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E532A">
      <w:pPr>
        <w:pStyle w:val="15"/>
        <w:spacing w:line="360" w:lineRule="auto"/>
        <w:rPr>
          <w:rFonts w:hint="eastAsia" w:ascii="仿宋" w:hAnsi="仿宋" w:eastAsia="仿宋" w:cs="仿宋"/>
          <w:color w:val="auto"/>
          <w:sz w:val="20"/>
          <w:highlight w:val="none"/>
        </w:rPr>
      </w:pPr>
    </w:p>
    <w:p w14:paraId="533E9137">
      <w:pPr>
        <w:spacing w:line="360" w:lineRule="auto"/>
        <w:ind w:right="21"/>
        <w:jc w:val="center"/>
        <w:rPr>
          <w:rFonts w:hint="eastAsia" w:ascii="仿宋" w:hAnsi="仿宋" w:eastAsia="仿宋" w:cs="仿宋"/>
          <w:b/>
          <w:bCs/>
          <w:color w:val="auto"/>
          <w:sz w:val="100"/>
          <w:highlight w:val="none"/>
          <w:lang w:val="en-US"/>
        </w:rPr>
      </w:pPr>
    </w:p>
    <w:p w14:paraId="3EEFD67E">
      <w:pPr>
        <w:spacing w:line="360" w:lineRule="auto"/>
        <w:ind w:right="21"/>
        <w:jc w:val="center"/>
        <w:rPr>
          <w:rFonts w:hint="eastAsia" w:ascii="仿宋" w:hAnsi="仿宋" w:eastAsia="仿宋" w:cs="仿宋"/>
          <w:b/>
          <w:bCs/>
          <w:color w:val="auto"/>
          <w:sz w:val="100"/>
          <w:highlight w:val="none"/>
          <w:lang w:val="en-US"/>
        </w:rPr>
      </w:pPr>
      <w:r>
        <w:rPr>
          <w:rFonts w:hint="eastAsia" w:ascii="仿宋" w:hAnsi="仿宋" w:eastAsia="仿宋" w:cs="仿宋"/>
          <w:b/>
          <w:bCs/>
          <w:color w:val="auto"/>
          <w:sz w:val="100"/>
          <w:highlight w:val="none"/>
          <w:lang w:val="en-US"/>
        </w:rPr>
        <w:t>公开招标</w:t>
      </w:r>
    </w:p>
    <w:p w14:paraId="293066FD">
      <w:pPr>
        <w:pStyle w:val="15"/>
        <w:spacing w:line="360" w:lineRule="auto"/>
        <w:rPr>
          <w:rFonts w:hint="eastAsia" w:ascii="仿宋" w:hAnsi="仿宋" w:eastAsia="仿宋" w:cs="仿宋"/>
          <w:color w:val="auto"/>
          <w:sz w:val="20"/>
          <w:highlight w:val="none"/>
        </w:rPr>
      </w:pPr>
    </w:p>
    <w:p w14:paraId="1B91D895">
      <w:pPr>
        <w:pStyle w:val="15"/>
        <w:spacing w:line="360" w:lineRule="auto"/>
        <w:rPr>
          <w:rFonts w:hint="eastAsia" w:ascii="仿宋" w:hAnsi="仿宋" w:eastAsia="仿宋" w:cs="仿宋"/>
          <w:color w:val="auto"/>
          <w:sz w:val="20"/>
          <w:highlight w:val="none"/>
        </w:rPr>
      </w:pPr>
    </w:p>
    <w:p w14:paraId="2D15EAF0">
      <w:pPr>
        <w:pStyle w:val="15"/>
        <w:spacing w:line="360" w:lineRule="auto"/>
        <w:rPr>
          <w:rFonts w:hint="eastAsia" w:ascii="仿宋" w:hAnsi="仿宋" w:eastAsia="仿宋" w:cs="仿宋"/>
          <w:color w:val="auto"/>
          <w:sz w:val="17"/>
          <w:highlight w:val="none"/>
        </w:rPr>
      </w:pPr>
    </w:p>
    <w:p w14:paraId="68202785">
      <w:pPr>
        <w:spacing w:line="480" w:lineRule="auto"/>
        <w:rPr>
          <w:rFonts w:hint="eastAsia" w:ascii="仿宋" w:hAnsi="仿宋" w:eastAsia="仿宋" w:cs="仿宋"/>
          <w:color w:val="auto"/>
          <w:sz w:val="44"/>
          <w:highlight w:val="none"/>
        </w:rPr>
      </w:pPr>
      <w:bookmarkStart w:id="0" w:name="第一章_投标邀请"/>
      <w:bookmarkEnd w:id="0"/>
      <w:r>
        <w:rPr>
          <w:rFonts w:hint="eastAsia" w:ascii="仿宋" w:hAnsi="仿宋" w:eastAsia="仿宋" w:cs="仿宋"/>
          <w:color w:val="auto"/>
          <w:sz w:val="44"/>
          <w:highlight w:val="none"/>
        </w:rPr>
        <w:tab/>
      </w:r>
      <w:r>
        <w:rPr>
          <w:rFonts w:hint="eastAsia" w:ascii="仿宋" w:hAnsi="仿宋" w:eastAsia="仿宋" w:cs="仿宋"/>
          <w:color w:val="auto"/>
          <w:sz w:val="44"/>
          <w:highlight w:val="none"/>
        </w:rPr>
        <w:t>项目编号：</w:t>
      </w:r>
      <w:r>
        <w:rPr>
          <w:rFonts w:hint="eastAsia" w:ascii="仿宋" w:hAnsi="仿宋" w:eastAsia="仿宋" w:cs="仿宋"/>
          <w:color w:val="auto"/>
          <w:sz w:val="44"/>
          <w:highlight w:val="none"/>
          <w:lang w:eastAsia="zh-CN"/>
        </w:rPr>
        <w:t>JSZC-320115-NJRD-G2026-0008</w:t>
      </w:r>
      <w:r>
        <w:rPr>
          <w:rFonts w:hint="eastAsia" w:ascii="仿宋" w:hAnsi="仿宋" w:eastAsia="仿宋" w:cs="仿宋"/>
          <w:color w:val="auto"/>
          <w:sz w:val="44"/>
          <w:highlight w:val="none"/>
        </w:rPr>
        <w:t xml:space="preserve"> </w:t>
      </w:r>
    </w:p>
    <w:p w14:paraId="71C7DA9C">
      <w:pPr>
        <w:spacing w:line="48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tab/>
      </w:r>
      <w:r>
        <w:rPr>
          <w:rFonts w:hint="eastAsia" w:ascii="仿宋" w:hAnsi="仿宋" w:eastAsia="仿宋" w:cs="仿宋"/>
          <w:color w:val="auto"/>
          <w:sz w:val="44"/>
          <w:highlight w:val="none"/>
        </w:rPr>
        <w:t>项目名称：</w:t>
      </w:r>
      <w:r>
        <w:rPr>
          <w:rFonts w:hint="eastAsia" w:ascii="仿宋" w:hAnsi="仿宋" w:eastAsia="仿宋" w:cs="仿宋"/>
          <w:color w:val="auto"/>
          <w:sz w:val="44"/>
          <w:highlight w:val="none"/>
          <w:lang w:eastAsia="zh-CN"/>
        </w:rPr>
        <w:t>禄口街道2026-2029年度压缩垃圾清运服务</w:t>
      </w:r>
    </w:p>
    <w:p w14:paraId="2EC1705A">
      <w:pPr>
        <w:rPr>
          <w:rFonts w:hint="eastAsia" w:ascii="仿宋" w:hAnsi="仿宋" w:eastAsia="仿宋" w:cs="仿宋"/>
          <w:color w:val="auto"/>
          <w:sz w:val="32"/>
          <w:highlight w:val="none"/>
        </w:rPr>
      </w:pPr>
    </w:p>
    <w:p w14:paraId="725D6DEB">
      <w:p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南京荣大工程项目管理有限公司</w:t>
      </w:r>
    </w:p>
    <w:p w14:paraId="0DCE381E">
      <w:pPr>
        <w:jc w:val="center"/>
        <w:rPr>
          <w:rFonts w:hint="eastAsia" w:ascii="仿宋" w:hAnsi="仿宋" w:eastAsia="仿宋" w:cs="仿宋"/>
          <w:color w:val="auto"/>
          <w:highlight w:val="none"/>
        </w:rPr>
      </w:pPr>
      <w:r>
        <w:rPr>
          <w:rFonts w:hint="eastAsia" w:ascii="仿宋" w:hAnsi="仿宋" w:eastAsia="仿宋" w:cs="仿宋"/>
          <w:color w:val="auto"/>
          <w:sz w:val="44"/>
          <w:highlight w:val="none"/>
        </w:rPr>
        <w:t>二〇二</w:t>
      </w:r>
      <w:r>
        <w:rPr>
          <w:rFonts w:hint="eastAsia" w:ascii="仿宋" w:hAnsi="仿宋" w:eastAsia="仿宋" w:cs="仿宋"/>
          <w:color w:val="auto"/>
          <w:sz w:val="44"/>
          <w:highlight w:val="none"/>
          <w:lang w:val="en-US"/>
        </w:rPr>
        <w:t>六</w:t>
      </w:r>
      <w:r>
        <w:rPr>
          <w:rFonts w:hint="eastAsia" w:ascii="仿宋" w:hAnsi="仿宋" w:eastAsia="仿宋" w:cs="仿宋"/>
          <w:color w:val="auto"/>
          <w:sz w:val="44"/>
          <w:highlight w:val="none"/>
        </w:rPr>
        <w:t>年</w:t>
      </w:r>
      <w:r>
        <w:rPr>
          <w:rFonts w:hint="eastAsia" w:ascii="仿宋" w:hAnsi="仿宋" w:eastAsia="仿宋" w:cs="仿宋"/>
          <w:color w:val="auto"/>
          <w:sz w:val="44"/>
          <w:highlight w:val="none"/>
          <w:lang w:val="en-US" w:eastAsia="zh-CN"/>
        </w:rPr>
        <w:t>七</w:t>
      </w:r>
      <w:r>
        <w:rPr>
          <w:rFonts w:hint="eastAsia" w:ascii="仿宋" w:hAnsi="仿宋" w:eastAsia="仿宋" w:cs="仿宋"/>
          <w:color w:val="auto"/>
          <w:sz w:val="44"/>
          <w:highlight w:val="none"/>
        </w:rPr>
        <w:t>月</w:t>
      </w:r>
    </w:p>
    <w:p w14:paraId="6C0519DE">
      <w:pPr>
        <w:jc w:val="center"/>
        <w:rPr>
          <w:rFonts w:hint="eastAsia" w:ascii="仿宋" w:hAnsi="仿宋" w:eastAsia="仿宋" w:cs="仿宋"/>
          <w:color w:val="auto"/>
          <w:sz w:val="44"/>
          <w:highlight w:val="none"/>
        </w:rPr>
      </w:pPr>
      <w:r>
        <w:rPr>
          <w:rFonts w:hint="eastAsia" w:ascii="仿宋" w:hAnsi="仿宋" w:eastAsia="仿宋" w:cs="仿宋"/>
          <w:color w:val="auto"/>
          <w:sz w:val="44"/>
          <w:highlight w:val="none"/>
        </w:rPr>
        <w:br w:type="page" w:clear="all"/>
      </w:r>
      <w:r>
        <w:rPr>
          <w:rFonts w:hint="eastAsia" w:ascii="仿宋" w:hAnsi="仿宋" w:eastAsia="仿宋" w:cs="仿宋"/>
          <w:color w:val="auto"/>
          <w:sz w:val="44"/>
          <w:highlight w:val="none"/>
        </w:rPr>
        <w:t>目录</w:t>
      </w:r>
    </w:p>
    <w:sdt>
      <w:sdtPr>
        <w:rPr>
          <w:color w:val="auto"/>
          <w:sz w:val="21"/>
          <w:highlight w:val="none"/>
        </w:rPr>
        <w:id w:val="147458918"/>
      </w:sdtPr>
      <w:sdtEndPr>
        <w:rPr>
          <w:color w:val="auto"/>
          <w:sz w:val="21"/>
          <w:highlight w:val="none"/>
        </w:rPr>
      </w:sdtEndPr>
      <w:sdtContent>
        <w:p w14:paraId="61935D0C">
          <w:pPr>
            <w:jc w:val="center"/>
            <w:rPr>
              <w:rFonts w:hint="eastAsia"/>
              <w:color w:val="auto"/>
              <w:highlight w:val="none"/>
            </w:rPr>
          </w:pPr>
        </w:p>
        <w:p w14:paraId="0A2E864C">
          <w:pPr>
            <w:pStyle w:val="27"/>
            <w:tabs>
              <w:tab w:val="right" w:leader="dot" w:pos="10210"/>
            </w:tabs>
            <w:rPr>
              <w:color w:val="auto"/>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_Toc5137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_Toc5137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color w:val="auto"/>
              <w:szCs w:val="24"/>
              <w:highlight w:val="none"/>
            </w:rPr>
            <w:fldChar w:fldCharType="end"/>
          </w:r>
        </w:p>
        <w:p w14:paraId="4EB2A0F5">
          <w:pPr>
            <w:pStyle w:val="27"/>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_Toc7639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_Toc7639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color w:val="auto"/>
              <w:szCs w:val="24"/>
              <w:highlight w:val="none"/>
            </w:rPr>
            <w:fldChar w:fldCharType="end"/>
          </w:r>
        </w:p>
        <w:p w14:paraId="3C98BA7C">
          <w:pPr>
            <w:pStyle w:val="27"/>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_Toc5618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第三章 评标方法和标准</w:t>
          </w:r>
          <w:r>
            <w:rPr>
              <w:color w:val="auto"/>
              <w:highlight w:val="none"/>
            </w:rPr>
            <w:tab/>
          </w:r>
          <w:r>
            <w:rPr>
              <w:color w:val="auto"/>
              <w:highlight w:val="none"/>
            </w:rPr>
            <w:fldChar w:fldCharType="begin"/>
          </w:r>
          <w:r>
            <w:rPr>
              <w:color w:val="auto"/>
              <w:highlight w:val="none"/>
            </w:rPr>
            <w:instrText xml:space="preserve"> PAGEREF _Toc5618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仿宋"/>
              <w:color w:val="auto"/>
              <w:szCs w:val="24"/>
              <w:highlight w:val="none"/>
            </w:rPr>
            <w:fldChar w:fldCharType="end"/>
          </w:r>
        </w:p>
        <w:p w14:paraId="241D5816">
          <w:pPr>
            <w:pStyle w:val="27"/>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_Toc7504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第四章  采购项目的技术规格、要求和数量等</w:t>
          </w:r>
          <w:r>
            <w:rPr>
              <w:color w:val="auto"/>
              <w:highlight w:val="none"/>
            </w:rPr>
            <w:tab/>
          </w:r>
          <w:r>
            <w:rPr>
              <w:color w:val="auto"/>
              <w:highlight w:val="none"/>
            </w:rPr>
            <w:fldChar w:fldCharType="begin"/>
          </w:r>
          <w:r>
            <w:rPr>
              <w:color w:val="auto"/>
              <w:highlight w:val="none"/>
            </w:rPr>
            <w:instrText xml:space="preserve"> PAGEREF _Toc7504 \h </w:instrText>
          </w:r>
          <w:r>
            <w:rPr>
              <w:color w:val="auto"/>
              <w:highlight w:val="none"/>
            </w:rPr>
            <w:fldChar w:fldCharType="separate"/>
          </w:r>
          <w:r>
            <w:rPr>
              <w:color w:val="auto"/>
              <w:highlight w:val="none"/>
            </w:rPr>
            <w:t>28</w:t>
          </w:r>
          <w:r>
            <w:rPr>
              <w:color w:val="auto"/>
              <w:highlight w:val="none"/>
            </w:rPr>
            <w:fldChar w:fldCharType="end"/>
          </w:r>
          <w:r>
            <w:rPr>
              <w:rFonts w:hint="eastAsia" w:ascii="仿宋" w:hAnsi="仿宋" w:eastAsia="仿宋" w:cs="仿宋"/>
              <w:color w:val="auto"/>
              <w:szCs w:val="24"/>
              <w:highlight w:val="none"/>
            </w:rPr>
            <w:fldChar w:fldCharType="end"/>
          </w:r>
        </w:p>
        <w:p w14:paraId="29922784">
          <w:pPr>
            <w:pStyle w:val="27"/>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_Toc26714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第五章 合同格式</w:t>
          </w:r>
          <w:r>
            <w:rPr>
              <w:color w:val="auto"/>
              <w:highlight w:val="none"/>
            </w:rPr>
            <w:tab/>
          </w:r>
          <w:r>
            <w:rPr>
              <w:color w:val="auto"/>
              <w:highlight w:val="none"/>
            </w:rPr>
            <w:fldChar w:fldCharType="begin"/>
          </w:r>
          <w:r>
            <w:rPr>
              <w:color w:val="auto"/>
              <w:highlight w:val="none"/>
            </w:rPr>
            <w:instrText xml:space="preserve"> PAGEREF _Toc26714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仿宋"/>
              <w:color w:val="auto"/>
              <w:szCs w:val="24"/>
              <w:highlight w:val="none"/>
            </w:rPr>
            <w:fldChar w:fldCharType="end"/>
          </w:r>
        </w:p>
        <w:p w14:paraId="5004DC89">
          <w:pPr>
            <w:pStyle w:val="27"/>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_Toc4925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第六章 投标书</w:t>
          </w:r>
          <w:r>
            <w:rPr>
              <w:color w:val="auto"/>
              <w:highlight w:val="none"/>
            </w:rPr>
            <w:tab/>
          </w:r>
          <w:r>
            <w:rPr>
              <w:color w:val="auto"/>
              <w:highlight w:val="none"/>
            </w:rPr>
            <w:fldChar w:fldCharType="begin"/>
          </w:r>
          <w:r>
            <w:rPr>
              <w:color w:val="auto"/>
              <w:highlight w:val="none"/>
            </w:rPr>
            <w:instrText xml:space="preserve"> PAGEREF _Toc4925 \h </w:instrText>
          </w:r>
          <w:r>
            <w:rPr>
              <w:color w:val="auto"/>
              <w:highlight w:val="none"/>
            </w:rPr>
            <w:fldChar w:fldCharType="separate"/>
          </w:r>
          <w:r>
            <w:rPr>
              <w:color w:val="auto"/>
              <w:highlight w:val="none"/>
            </w:rPr>
            <w:t>40</w:t>
          </w:r>
          <w:r>
            <w:rPr>
              <w:color w:val="auto"/>
              <w:highlight w:val="none"/>
            </w:rPr>
            <w:fldChar w:fldCharType="end"/>
          </w:r>
          <w:r>
            <w:rPr>
              <w:rFonts w:hint="eastAsia" w:ascii="仿宋" w:hAnsi="仿宋" w:eastAsia="仿宋" w:cs="仿宋"/>
              <w:color w:val="auto"/>
              <w:szCs w:val="24"/>
              <w:highlight w:val="none"/>
            </w:rPr>
            <w:fldChar w:fldCharType="end"/>
          </w:r>
        </w:p>
        <w:p w14:paraId="27F55FE2">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_Toc8257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pacing w:val="-2"/>
              <w:szCs w:val="28"/>
              <w:highlight w:val="none"/>
            </w:rPr>
            <w:t>附件一、投标申请及声明格式</w:t>
          </w:r>
          <w:r>
            <w:rPr>
              <w:color w:val="auto"/>
              <w:highlight w:val="none"/>
            </w:rPr>
            <w:tab/>
          </w:r>
          <w:r>
            <w:rPr>
              <w:color w:val="auto"/>
              <w:highlight w:val="none"/>
            </w:rPr>
            <w:fldChar w:fldCharType="begin"/>
          </w:r>
          <w:r>
            <w:rPr>
              <w:color w:val="auto"/>
              <w:highlight w:val="none"/>
            </w:rPr>
            <w:instrText xml:space="preserve"> PAGEREF _Toc8257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szCs w:val="24"/>
              <w:highlight w:val="none"/>
            </w:rPr>
            <w:fldChar w:fldCharType="end"/>
          </w:r>
        </w:p>
        <w:p w14:paraId="47756BF0">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_Toc31514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附件二、法定代表人授权委托书格式</w:t>
          </w:r>
          <w:r>
            <w:rPr>
              <w:color w:val="auto"/>
              <w:highlight w:val="none"/>
            </w:rPr>
            <w:tab/>
          </w:r>
          <w:r>
            <w:rPr>
              <w:color w:val="auto"/>
              <w:highlight w:val="none"/>
            </w:rPr>
            <w:fldChar w:fldCharType="begin"/>
          </w:r>
          <w:r>
            <w:rPr>
              <w:color w:val="auto"/>
              <w:highlight w:val="none"/>
            </w:rPr>
            <w:instrText xml:space="preserve"> PAGEREF _Toc31514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szCs w:val="24"/>
              <w:highlight w:val="none"/>
            </w:rPr>
            <w:fldChar w:fldCharType="end"/>
          </w:r>
        </w:p>
        <w:p w14:paraId="6B03593E">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_Toc9229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附件三、开标一览表</w:t>
          </w:r>
          <w:r>
            <w:rPr>
              <w:color w:val="auto"/>
              <w:highlight w:val="none"/>
            </w:rPr>
            <w:tab/>
          </w:r>
          <w:r>
            <w:rPr>
              <w:color w:val="auto"/>
              <w:highlight w:val="none"/>
            </w:rPr>
            <w:fldChar w:fldCharType="begin"/>
          </w:r>
          <w:r>
            <w:rPr>
              <w:color w:val="auto"/>
              <w:highlight w:val="none"/>
            </w:rPr>
            <w:instrText xml:space="preserve"> PAGEREF _Toc9229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szCs w:val="24"/>
              <w:highlight w:val="none"/>
            </w:rPr>
            <w:fldChar w:fldCharType="end"/>
          </w:r>
        </w:p>
        <w:p w14:paraId="2FCE225A">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_Toc32556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附件四、报价明细表</w:t>
          </w:r>
          <w:r>
            <w:rPr>
              <w:color w:val="auto"/>
              <w:highlight w:val="none"/>
            </w:rPr>
            <w:tab/>
          </w:r>
          <w:r>
            <w:rPr>
              <w:color w:val="auto"/>
              <w:highlight w:val="none"/>
            </w:rPr>
            <w:fldChar w:fldCharType="begin"/>
          </w:r>
          <w:r>
            <w:rPr>
              <w:color w:val="auto"/>
              <w:highlight w:val="none"/>
            </w:rPr>
            <w:instrText xml:space="preserve"> PAGEREF _Toc32556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szCs w:val="24"/>
              <w:highlight w:val="none"/>
            </w:rPr>
            <w:fldChar w:fldCharType="end"/>
          </w:r>
        </w:p>
        <w:p w14:paraId="69AD423D">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_Toc9371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附件五、项目实施方案（格式自拟）</w:t>
          </w:r>
          <w:r>
            <w:rPr>
              <w:color w:val="auto"/>
              <w:highlight w:val="none"/>
            </w:rPr>
            <w:tab/>
          </w:r>
          <w:r>
            <w:rPr>
              <w:color w:val="auto"/>
              <w:highlight w:val="none"/>
            </w:rPr>
            <w:fldChar w:fldCharType="begin"/>
          </w:r>
          <w:r>
            <w:rPr>
              <w:color w:val="auto"/>
              <w:highlight w:val="none"/>
            </w:rPr>
            <w:instrText xml:space="preserve"> PAGEREF _Toc9371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szCs w:val="24"/>
              <w:highlight w:val="none"/>
            </w:rPr>
            <w:fldChar w:fldCharType="end"/>
          </w:r>
        </w:p>
        <w:p w14:paraId="0E66BB34">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_Toc9689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附件六、</w:t>
          </w:r>
          <w:r>
            <w:rPr>
              <w:rFonts w:hint="eastAsia" w:ascii="仿宋" w:hAnsi="仿宋" w:eastAsia="仿宋" w:cs="仿宋"/>
              <w:color w:val="auto"/>
              <w:szCs w:val="28"/>
              <w:highlight w:val="none"/>
              <w:lang w:val="en-US"/>
            </w:rPr>
            <w:t>供货（或</w:t>
          </w:r>
          <w:r>
            <w:rPr>
              <w:rFonts w:hint="eastAsia" w:ascii="仿宋" w:hAnsi="仿宋" w:eastAsia="仿宋" w:cs="仿宋"/>
              <w:color w:val="auto"/>
              <w:szCs w:val="28"/>
              <w:highlight w:val="none"/>
            </w:rPr>
            <w:t>服务）质量保证承诺书（格式自拟）</w:t>
          </w:r>
          <w:r>
            <w:rPr>
              <w:color w:val="auto"/>
              <w:highlight w:val="none"/>
            </w:rPr>
            <w:tab/>
          </w:r>
          <w:r>
            <w:rPr>
              <w:color w:val="auto"/>
              <w:highlight w:val="none"/>
            </w:rPr>
            <w:fldChar w:fldCharType="begin"/>
          </w:r>
          <w:r>
            <w:rPr>
              <w:color w:val="auto"/>
              <w:highlight w:val="none"/>
            </w:rPr>
            <w:instrText xml:space="preserve"> PAGEREF _Toc9689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szCs w:val="24"/>
              <w:highlight w:val="none"/>
            </w:rPr>
            <w:fldChar w:fldCharType="end"/>
          </w:r>
        </w:p>
        <w:p w14:paraId="4B77974A">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_Toc19376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附件七、拟投入本项目人员情况一览表</w:t>
          </w:r>
          <w:r>
            <w:rPr>
              <w:color w:val="auto"/>
              <w:highlight w:val="none"/>
            </w:rPr>
            <w:tab/>
          </w:r>
          <w:r>
            <w:rPr>
              <w:color w:val="auto"/>
              <w:highlight w:val="none"/>
            </w:rPr>
            <w:fldChar w:fldCharType="begin"/>
          </w:r>
          <w:r>
            <w:rPr>
              <w:color w:val="auto"/>
              <w:highlight w:val="none"/>
            </w:rPr>
            <w:instrText xml:space="preserve"> PAGEREF _Toc19376 \h </w:instrText>
          </w:r>
          <w:r>
            <w:rPr>
              <w:color w:val="auto"/>
              <w:highlight w:val="none"/>
            </w:rPr>
            <w:fldChar w:fldCharType="separate"/>
          </w:r>
          <w:r>
            <w:rPr>
              <w:color w:val="auto"/>
              <w:highlight w:val="none"/>
            </w:rPr>
            <w:t>49</w:t>
          </w:r>
          <w:r>
            <w:rPr>
              <w:color w:val="auto"/>
              <w:highlight w:val="none"/>
            </w:rPr>
            <w:fldChar w:fldCharType="end"/>
          </w:r>
          <w:r>
            <w:rPr>
              <w:rFonts w:hint="eastAsia" w:ascii="仿宋" w:hAnsi="仿宋" w:eastAsia="仿宋" w:cs="仿宋"/>
              <w:color w:val="auto"/>
              <w:szCs w:val="24"/>
              <w:highlight w:val="none"/>
            </w:rPr>
            <w:fldChar w:fldCharType="end"/>
          </w:r>
        </w:p>
        <w:p w14:paraId="09D391FD">
          <w:pPr>
            <w:pStyle w:val="33"/>
            <w:tabs>
              <w:tab w:val="right" w:leader="dot" w:pos="10210"/>
            </w:tabs>
            <w:rPr>
              <w:rFonts w:hint="eastAsia" w:ascii="仿宋" w:hAnsi="仿宋" w:eastAsia="仿宋" w:cs="仿宋"/>
              <w:color w:val="auto"/>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_Toc8932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附件八、商务条款响应表</w:t>
          </w:r>
          <w:r>
            <w:rPr>
              <w:color w:val="auto"/>
              <w:highlight w:val="none"/>
            </w:rPr>
            <w:tab/>
          </w:r>
          <w:r>
            <w:rPr>
              <w:color w:val="auto"/>
              <w:highlight w:val="none"/>
            </w:rPr>
            <w:fldChar w:fldCharType="begin"/>
          </w:r>
          <w:r>
            <w:rPr>
              <w:color w:val="auto"/>
              <w:highlight w:val="none"/>
            </w:rPr>
            <w:instrText xml:space="preserve"> PAGEREF _Toc8932 \h </w:instrText>
          </w:r>
          <w:r>
            <w:rPr>
              <w:color w:val="auto"/>
              <w:highlight w:val="none"/>
            </w:rPr>
            <w:fldChar w:fldCharType="separate"/>
          </w:r>
          <w:r>
            <w:rPr>
              <w:color w:val="auto"/>
              <w:highlight w:val="none"/>
            </w:rPr>
            <w:t>50</w:t>
          </w:r>
          <w:r>
            <w:rPr>
              <w:color w:val="auto"/>
              <w:highlight w:val="none"/>
            </w:rPr>
            <w:fldChar w:fldCharType="end"/>
          </w:r>
          <w:r>
            <w:rPr>
              <w:rFonts w:hint="eastAsia" w:ascii="仿宋" w:hAnsi="仿宋" w:eastAsia="仿宋" w:cs="仿宋"/>
              <w:color w:val="auto"/>
              <w:szCs w:val="24"/>
              <w:highlight w:val="none"/>
            </w:rPr>
            <w:fldChar w:fldCharType="end"/>
          </w:r>
        </w:p>
        <w:p w14:paraId="6936ACC4">
          <w:pPr>
            <w:pStyle w:val="33"/>
            <w:tabs>
              <w:tab w:val="right" w:leader="dot" w:pos="10210"/>
            </w:tabs>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_Toc8932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w:t>
          </w:r>
          <w:r>
            <w:rPr>
              <w:rFonts w:hint="eastAsia" w:ascii="仿宋" w:hAnsi="仿宋" w:eastAsia="仿宋" w:cs="仿宋"/>
              <w:color w:val="auto"/>
              <w:szCs w:val="28"/>
              <w:highlight w:val="none"/>
              <w:lang w:val="en-US" w:eastAsia="zh-CN"/>
            </w:rPr>
            <w:t>九</w:t>
          </w:r>
          <w:r>
            <w:rPr>
              <w:rFonts w:hint="eastAsia" w:ascii="仿宋" w:hAnsi="仿宋" w:eastAsia="仿宋" w:cs="仿宋"/>
              <w:color w:val="auto"/>
              <w:szCs w:val="28"/>
              <w:highlight w:val="none"/>
            </w:rPr>
            <w:t>、技术条款偏离表</w:t>
          </w:r>
          <w:r>
            <w:rPr>
              <w:color w:val="auto"/>
              <w:highlight w:val="none"/>
            </w:rPr>
            <w:tab/>
          </w:r>
          <w:r>
            <w:rPr>
              <w:rFonts w:hint="eastAsia"/>
              <w:color w:val="auto"/>
              <w:highlight w:val="none"/>
              <w:lang w:val="en-US" w:eastAsia="zh-CN"/>
            </w:rPr>
            <w:t>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lang w:val="en-US" w:eastAsia="zh-CN"/>
            </w:rPr>
            <w:t>1</w:t>
          </w:r>
        </w:p>
        <w:p w14:paraId="13AAA391">
          <w:pPr>
            <w:pStyle w:val="33"/>
            <w:tabs>
              <w:tab w:val="right" w:leader="dot" w:pos="10210"/>
            </w:tabs>
            <w:rPr>
              <w:rFonts w:hint="eastAsia"/>
              <w:color w:val="auto"/>
              <w:highlight w:val="none"/>
              <w:lang w:val="en-US" w:eastAsia="zh-CN"/>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_Toc8932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w:t>
          </w:r>
          <w:r>
            <w:rPr>
              <w:rFonts w:hint="eastAsia" w:ascii="仿宋" w:hAnsi="仿宋" w:eastAsia="仿宋" w:cs="仿宋"/>
              <w:color w:val="auto"/>
              <w:szCs w:val="28"/>
              <w:highlight w:val="none"/>
              <w:lang w:val="en-US" w:eastAsia="zh-CN"/>
            </w:rPr>
            <w:t>十</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val="en-US" w:eastAsia="zh-CN"/>
            </w:rPr>
            <w:t>移动式联体压缩箱配置及产权归属承诺书</w:t>
          </w:r>
          <w:r>
            <w:rPr>
              <w:color w:val="auto"/>
              <w:highlight w:val="none"/>
            </w:rPr>
            <w:tab/>
          </w:r>
          <w:r>
            <w:rPr>
              <w:rFonts w:hint="eastAsia"/>
              <w:color w:val="auto"/>
              <w:highlight w:val="none"/>
              <w:lang w:val="en-US" w:eastAsia="zh-CN"/>
            </w:rPr>
            <w:t>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lang w:val="en-US" w:eastAsia="zh-CN"/>
            </w:rPr>
            <w:t>2</w:t>
          </w:r>
        </w:p>
        <w:p w14:paraId="19DF04F6">
          <w:pPr>
            <w:pStyle w:val="33"/>
            <w:tabs>
              <w:tab w:val="right" w:leader="dot" w:pos="10210"/>
            </w:tabs>
            <w:rPr>
              <w:rFonts w:hint="eastAsia" w:eastAsia="仿宋"/>
              <w:color w:val="auto"/>
              <w:highlight w:val="none"/>
              <w:lang w:val="en-US" w:eastAsia="zh-CN"/>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_Toc13007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w:t>
          </w:r>
          <w:r>
            <w:rPr>
              <w:rFonts w:hint="eastAsia" w:ascii="仿宋" w:hAnsi="仿宋" w:eastAsia="仿宋" w:cs="仿宋"/>
              <w:color w:val="auto"/>
              <w:szCs w:val="28"/>
              <w:highlight w:val="none"/>
              <w:lang w:val="en-US" w:eastAsia="zh-CN"/>
            </w:rPr>
            <w:t>十一</w:t>
          </w:r>
          <w:r>
            <w:rPr>
              <w:rFonts w:hint="eastAsia" w:ascii="仿宋" w:hAnsi="仿宋" w:eastAsia="仿宋" w:cs="仿宋"/>
              <w:color w:val="auto"/>
              <w:szCs w:val="28"/>
              <w:highlight w:val="none"/>
            </w:rPr>
            <w:t>、中小企业声明函格式</w:t>
          </w:r>
          <w:r>
            <w:rPr>
              <w:color w:val="auto"/>
              <w:highlight w:val="none"/>
            </w:rPr>
            <w:tab/>
          </w:r>
          <w:r>
            <w:rPr>
              <w:rFonts w:hint="eastAsia"/>
              <w:color w:val="auto"/>
              <w:highlight w:val="none"/>
              <w:lang w:val="en-US" w:eastAsia="zh-CN"/>
            </w:rPr>
            <w:t>5</w:t>
          </w:r>
          <w:r>
            <w:rPr>
              <w:rFonts w:hint="eastAsia" w:ascii="仿宋" w:hAnsi="仿宋" w:eastAsia="仿宋" w:cs="仿宋"/>
              <w:color w:val="auto"/>
              <w:szCs w:val="24"/>
              <w:highlight w:val="none"/>
            </w:rPr>
            <w:fldChar w:fldCharType="end"/>
          </w:r>
          <w:r>
            <w:rPr>
              <w:rFonts w:hint="eastAsia" w:ascii="仿宋" w:hAnsi="仿宋" w:eastAsia="仿宋" w:cs="仿宋"/>
              <w:color w:val="auto"/>
              <w:szCs w:val="24"/>
              <w:highlight w:val="none"/>
              <w:lang w:val="en-US" w:eastAsia="zh-CN"/>
            </w:rPr>
            <w:t>3</w:t>
          </w:r>
        </w:p>
        <w:p w14:paraId="615D754E">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_Toc13161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附件十</w:t>
          </w:r>
          <w:r>
            <w:rPr>
              <w:rFonts w:hint="eastAsia" w:ascii="仿宋" w:hAnsi="仿宋" w:eastAsia="仿宋" w:cs="仿宋"/>
              <w:color w:val="auto"/>
              <w:szCs w:val="28"/>
              <w:highlight w:val="none"/>
              <w:lang w:val="en-US" w:eastAsia="zh-CN"/>
            </w:rPr>
            <w:t>二</w:t>
          </w:r>
          <w:r>
            <w:rPr>
              <w:rFonts w:hint="eastAsia" w:ascii="仿宋" w:hAnsi="仿宋" w:eastAsia="仿宋" w:cs="仿宋"/>
              <w:color w:val="auto"/>
              <w:szCs w:val="28"/>
              <w:highlight w:val="none"/>
            </w:rPr>
            <w:t>、无重大违法记录声明格式</w:t>
          </w:r>
          <w:r>
            <w:rPr>
              <w:color w:val="auto"/>
              <w:highlight w:val="none"/>
            </w:rPr>
            <w:tab/>
          </w:r>
          <w:r>
            <w:rPr>
              <w:color w:val="auto"/>
              <w:highlight w:val="none"/>
            </w:rPr>
            <w:fldChar w:fldCharType="begin"/>
          </w:r>
          <w:r>
            <w:rPr>
              <w:color w:val="auto"/>
              <w:highlight w:val="none"/>
            </w:rPr>
            <w:instrText xml:space="preserve"> PAGEREF _Toc13161 \h </w:instrText>
          </w:r>
          <w:r>
            <w:rPr>
              <w:color w:val="auto"/>
              <w:highlight w:val="none"/>
            </w:rPr>
            <w:fldChar w:fldCharType="separate"/>
          </w:r>
          <w:r>
            <w:rPr>
              <w:color w:val="auto"/>
              <w:highlight w:val="none"/>
            </w:rPr>
            <w:t>54</w:t>
          </w:r>
          <w:r>
            <w:rPr>
              <w:color w:val="auto"/>
              <w:highlight w:val="none"/>
            </w:rPr>
            <w:fldChar w:fldCharType="end"/>
          </w:r>
          <w:r>
            <w:rPr>
              <w:rFonts w:hint="eastAsia" w:ascii="仿宋" w:hAnsi="仿宋" w:eastAsia="仿宋" w:cs="仿宋"/>
              <w:color w:val="auto"/>
              <w:szCs w:val="24"/>
              <w:highlight w:val="none"/>
            </w:rPr>
            <w:fldChar w:fldCharType="end"/>
          </w:r>
        </w:p>
        <w:p w14:paraId="45AAB7AE">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_Toc3517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附件十</w:t>
          </w:r>
          <w:r>
            <w:rPr>
              <w:rFonts w:hint="eastAsia" w:ascii="仿宋" w:hAnsi="仿宋" w:eastAsia="仿宋" w:cs="仿宋"/>
              <w:color w:val="auto"/>
              <w:szCs w:val="28"/>
              <w:highlight w:val="none"/>
              <w:lang w:val="en-US" w:eastAsia="zh-CN"/>
            </w:rPr>
            <w:t>三</w:t>
          </w:r>
          <w:r>
            <w:rPr>
              <w:rFonts w:hint="eastAsia" w:ascii="仿宋" w:hAnsi="仿宋" w:eastAsia="仿宋" w:cs="仿宋"/>
              <w:color w:val="auto"/>
              <w:szCs w:val="28"/>
              <w:highlight w:val="none"/>
            </w:rPr>
            <w:t>、具备履行合同所必需的设备和专业技术能力的书面声明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_Toc3517 \h </w:instrText>
          </w:r>
          <w:r>
            <w:rPr>
              <w:color w:val="auto"/>
              <w:highlight w:val="none"/>
            </w:rPr>
            <w:fldChar w:fldCharType="separate"/>
          </w:r>
          <w:r>
            <w:rPr>
              <w:color w:val="auto"/>
              <w:highlight w:val="none"/>
            </w:rPr>
            <w:t>55</w:t>
          </w:r>
          <w:r>
            <w:rPr>
              <w:color w:val="auto"/>
              <w:highlight w:val="none"/>
            </w:rPr>
            <w:fldChar w:fldCharType="end"/>
          </w:r>
          <w:r>
            <w:rPr>
              <w:rFonts w:hint="eastAsia" w:ascii="仿宋" w:hAnsi="仿宋" w:eastAsia="仿宋" w:cs="仿宋"/>
              <w:color w:val="auto"/>
              <w:szCs w:val="24"/>
              <w:highlight w:val="none"/>
            </w:rPr>
            <w:fldChar w:fldCharType="end"/>
          </w:r>
        </w:p>
        <w:p w14:paraId="24DEB957">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_Toc25288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附件十</w:t>
          </w:r>
          <w:r>
            <w:rPr>
              <w:rFonts w:hint="eastAsia" w:ascii="仿宋" w:hAnsi="仿宋" w:eastAsia="仿宋" w:cs="仿宋"/>
              <w:color w:val="auto"/>
              <w:szCs w:val="28"/>
              <w:highlight w:val="none"/>
              <w:lang w:val="en-US" w:eastAsia="zh-CN"/>
            </w:rPr>
            <w:t>四</w:t>
          </w:r>
          <w:r>
            <w:rPr>
              <w:rFonts w:hint="eastAsia" w:ascii="仿宋" w:hAnsi="仿宋" w:eastAsia="仿宋" w:cs="仿宋"/>
              <w:color w:val="auto"/>
              <w:szCs w:val="28"/>
              <w:highlight w:val="none"/>
            </w:rPr>
            <w:t>、残疾人福利性单位声明函</w:t>
          </w:r>
          <w:r>
            <w:rPr>
              <w:color w:val="auto"/>
              <w:highlight w:val="none"/>
            </w:rPr>
            <w:tab/>
          </w:r>
          <w:r>
            <w:rPr>
              <w:color w:val="auto"/>
              <w:highlight w:val="none"/>
            </w:rPr>
            <w:fldChar w:fldCharType="begin"/>
          </w:r>
          <w:r>
            <w:rPr>
              <w:color w:val="auto"/>
              <w:highlight w:val="none"/>
            </w:rPr>
            <w:instrText xml:space="preserve"> PAGEREF _Toc25288 \h </w:instrText>
          </w:r>
          <w:r>
            <w:rPr>
              <w:color w:val="auto"/>
              <w:highlight w:val="none"/>
            </w:rPr>
            <w:fldChar w:fldCharType="separate"/>
          </w:r>
          <w:r>
            <w:rPr>
              <w:color w:val="auto"/>
              <w:highlight w:val="none"/>
            </w:rPr>
            <w:t>56</w:t>
          </w:r>
          <w:r>
            <w:rPr>
              <w:color w:val="auto"/>
              <w:highlight w:val="none"/>
            </w:rPr>
            <w:fldChar w:fldCharType="end"/>
          </w:r>
          <w:r>
            <w:rPr>
              <w:rFonts w:hint="eastAsia" w:ascii="仿宋" w:hAnsi="仿宋" w:eastAsia="仿宋" w:cs="仿宋"/>
              <w:color w:val="auto"/>
              <w:szCs w:val="24"/>
              <w:highlight w:val="none"/>
            </w:rPr>
            <w:fldChar w:fldCharType="end"/>
          </w:r>
        </w:p>
        <w:p w14:paraId="78D60E3B">
          <w:pPr>
            <w:pStyle w:val="33"/>
            <w:tabs>
              <w:tab w:val="right" w:leader="dot" w:pos="10210"/>
            </w:tabs>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_Toc3653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附件十</w:t>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rPr>
            <w:t>、南京市政府采购供应商信用记录表暨信用承诺书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_Toc3653 \h </w:instrText>
          </w:r>
          <w:r>
            <w:rPr>
              <w:color w:val="auto"/>
              <w:highlight w:val="none"/>
            </w:rPr>
            <w:fldChar w:fldCharType="separate"/>
          </w:r>
          <w:r>
            <w:rPr>
              <w:color w:val="auto"/>
              <w:highlight w:val="none"/>
            </w:rPr>
            <w:t>57</w:t>
          </w:r>
          <w:r>
            <w:rPr>
              <w:color w:val="auto"/>
              <w:highlight w:val="none"/>
            </w:rPr>
            <w:fldChar w:fldCharType="end"/>
          </w:r>
          <w:r>
            <w:rPr>
              <w:rFonts w:hint="eastAsia" w:ascii="仿宋" w:hAnsi="仿宋" w:eastAsia="仿宋" w:cs="仿宋"/>
              <w:color w:val="auto"/>
              <w:szCs w:val="24"/>
              <w:highlight w:val="none"/>
            </w:rPr>
            <w:fldChar w:fldCharType="end"/>
          </w:r>
        </w:p>
        <w:p w14:paraId="5C444BF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fldChar w:fldCharType="end"/>
          </w:r>
        </w:p>
      </w:sdtContent>
    </w:sdt>
    <w:p w14:paraId="69036278">
      <w:pPr>
        <w:rPr>
          <w:rFonts w:hint="eastAsia" w:ascii="仿宋" w:hAnsi="仿宋" w:eastAsia="仿宋" w:cs="仿宋"/>
          <w:color w:val="auto"/>
          <w:highlight w:val="none"/>
        </w:rPr>
      </w:pPr>
      <w:r>
        <w:rPr>
          <w:color w:val="auto"/>
          <w:highlight w:val="none"/>
        </w:rPr>
        <w:br w:type="page" w:clear="all"/>
      </w:r>
    </w:p>
    <w:p w14:paraId="49C23300">
      <w:pPr>
        <w:pStyle w:val="2"/>
        <w:spacing w:before="0" w:line="360" w:lineRule="auto"/>
        <w:ind w:left="0"/>
        <w:rPr>
          <w:color w:val="auto"/>
          <w:highlight w:val="none"/>
        </w:rPr>
      </w:pPr>
      <w:bookmarkStart w:id="1" w:name="_Toc5137"/>
      <w:r>
        <w:rPr>
          <w:rFonts w:hint="eastAsia" w:ascii="仿宋" w:hAnsi="仿宋" w:eastAsia="仿宋" w:cs="仿宋"/>
          <w:color w:val="auto"/>
          <w:highlight w:val="none"/>
        </w:rPr>
        <w:t>第一章 投标邀请</w:t>
      </w:r>
      <w:bookmarkEnd w:id="1"/>
    </w:p>
    <w:p w14:paraId="01B5A3C0">
      <w:pPr>
        <w:spacing w:line="360" w:lineRule="auto"/>
        <w:ind w:left="119" w:right="21"/>
        <w:jc w:val="center"/>
        <w:rPr>
          <w:rFonts w:hint="eastAsia" w:ascii="仿宋" w:hAnsi="仿宋" w:eastAsia="仿宋" w:cs="仿宋"/>
          <w:b/>
          <w:color w:val="auto"/>
          <w:sz w:val="28"/>
          <w:highlight w:val="none"/>
        </w:rPr>
      </w:pPr>
      <w:r>
        <w:rPr>
          <w:rFonts w:hint="eastAsia" w:ascii="仿宋" w:hAnsi="仿宋" w:eastAsia="仿宋" w:cs="仿宋"/>
          <w:b/>
          <w:color w:val="auto"/>
          <w:sz w:val="28"/>
          <w:highlight w:val="none"/>
          <w:lang w:eastAsia="zh-CN"/>
        </w:rPr>
        <w:t>禄口街道2026-2029年度压缩垃圾清运服务</w:t>
      </w:r>
      <w:r>
        <w:rPr>
          <w:rFonts w:hint="eastAsia" w:ascii="仿宋" w:hAnsi="仿宋" w:eastAsia="仿宋" w:cs="仿宋"/>
          <w:b/>
          <w:color w:val="auto"/>
          <w:sz w:val="28"/>
          <w:highlight w:val="none"/>
        </w:rPr>
        <w:t>招标公告</w:t>
      </w:r>
    </w:p>
    <w:p w14:paraId="5391A485">
      <w:pPr>
        <w:pBdr>
          <w:top w:val="single" w:color="auto" w:sz="4" w:space="1"/>
          <w:left w:val="single" w:color="auto" w:sz="4" w:space="4"/>
          <w:bottom w:val="single" w:color="auto" w:sz="4" w:space="1"/>
          <w:right w:val="single" w:color="auto" w:sz="4" w:space="4"/>
        </w:pBdr>
        <w:spacing w:line="360" w:lineRule="auto"/>
        <w:rPr>
          <w:rFonts w:hint="eastAsia" w:ascii="仿宋" w:hAnsi="仿宋" w:eastAsia="仿宋" w:cs="仿宋"/>
          <w:color w:val="auto"/>
          <w:sz w:val="24"/>
          <w:szCs w:val="24"/>
          <w:highlight w:val="none"/>
        </w:rPr>
      </w:pPr>
      <w:bookmarkStart w:id="2" w:name="_Toc35393790"/>
      <w:bookmarkStart w:id="3" w:name="_Toc28359079"/>
      <w:bookmarkStart w:id="4" w:name="_Toc28359002"/>
      <w:bookmarkStart w:id="5" w:name="_Toc35393621"/>
      <w:bookmarkStart w:id="6" w:name="_Hlk24379207"/>
      <w:r>
        <w:rPr>
          <w:rFonts w:hint="eastAsia" w:ascii="仿宋" w:hAnsi="仿宋" w:eastAsia="仿宋" w:cs="仿宋"/>
          <w:color w:val="auto"/>
          <w:sz w:val="24"/>
          <w:szCs w:val="24"/>
          <w:highlight w:val="none"/>
        </w:rPr>
        <w:t>项目概况</w:t>
      </w:r>
    </w:p>
    <w:p w14:paraId="4F436B4C">
      <w:pPr>
        <w:pBdr>
          <w:top w:val="single" w:color="auto" w:sz="4" w:space="1"/>
          <w:left w:val="single" w:color="auto" w:sz="4" w:space="4"/>
          <w:bottom w:val="single" w:color="auto" w:sz="4" w:space="1"/>
          <w:right w:val="single" w:color="auto" w:sz="4" w:space="4"/>
        </w:pBdr>
        <w:spacing w:line="360" w:lineRule="auto"/>
        <w:ind w:firstLine="560"/>
        <w:rPr>
          <w:rFonts w:hint="eastAsia"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禄口街道2026-2029年度压缩垃圾清运服务</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val="en-US" w:eastAsia="zh-CN"/>
        </w:rPr>
        <w:t>JSZC-320115-NJRD-G2026-0008</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采购项目的潜在供应商应在“江苏政府采购网、南京公共采购信息网”自行免费下载获取采购文件，并于</w:t>
      </w:r>
      <w:r>
        <w:rPr>
          <w:rFonts w:hint="eastAsia" w:ascii="仿宋" w:hAnsi="仿宋" w:eastAsia="仿宋" w:cs="仿宋"/>
          <w:bCs/>
          <w:color w:val="auto"/>
          <w:sz w:val="24"/>
          <w:szCs w:val="24"/>
          <w:highlight w:val="none"/>
        </w:rPr>
        <w:t>2026年</w:t>
      </w:r>
      <w:r>
        <w:rPr>
          <w:rFonts w:hint="eastAsia" w:ascii="仿宋" w:hAnsi="仿宋" w:eastAsia="仿宋" w:cs="仿宋"/>
          <w:bCs/>
          <w:color w:val="auto"/>
          <w:sz w:val="24"/>
          <w:szCs w:val="24"/>
          <w:highlight w:val="none"/>
          <w:lang w:val="en-US" w:eastAsia="zh-CN"/>
        </w:rPr>
        <w:t xml:space="preserve">  8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lang w:val="en-US" w:eastAsia="zh-CN"/>
        </w:rPr>
        <w:t xml:space="preserve">  20 </w:t>
      </w:r>
      <w:r>
        <w:rPr>
          <w:rFonts w:hint="eastAsia" w:ascii="仿宋" w:hAnsi="仿宋" w:eastAsia="仿宋" w:cs="仿宋"/>
          <w:bCs/>
          <w:color w:val="auto"/>
          <w:sz w:val="24"/>
          <w:szCs w:val="24"/>
          <w:highlight w:val="none"/>
        </w:rPr>
        <w:t>日</w:t>
      </w:r>
      <w:r>
        <w:rPr>
          <w:rFonts w:hint="eastAsia" w:ascii="仿宋" w:hAnsi="仿宋" w:eastAsia="仿宋" w:cs="仿宋"/>
          <w:bCs/>
          <w:color w:val="auto"/>
          <w:sz w:val="24"/>
          <w:szCs w:val="24"/>
          <w:highlight w:val="none"/>
          <w:lang w:val="en-US" w:eastAsia="zh-CN"/>
        </w:rPr>
        <w:t>09</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0（北京时间）前提交响应文件</w:t>
      </w:r>
      <w:r>
        <w:rPr>
          <w:rFonts w:hint="eastAsia" w:ascii="仿宋" w:hAnsi="仿宋" w:eastAsia="仿宋" w:cs="仿宋"/>
          <w:color w:val="auto"/>
          <w:sz w:val="24"/>
          <w:szCs w:val="24"/>
          <w:highlight w:val="none"/>
        </w:rPr>
        <w:t>。</w:t>
      </w:r>
    </w:p>
    <w:p w14:paraId="76CD68CD">
      <w:pPr>
        <w:spacing w:line="360" w:lineRule="auto"/>
        <w:jc w:val="both"/>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一、项目基本情况</w:t>
      </w:r>
      <w:bookmarkEnd w:id="2"/>
      <w:bookmarkEnd w:id="3"/>
      <w:bookmarkEnd w:id="4"/>
      <w:bookmarkEnd w:id="5"/>
    </w:p>
    <w:p w14:paraId="35848183">
      <w:pPr>
        <w:spacing w:line="360" w:lineRule="auto"/>
        <w:ind w:firstLine="56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shd w:val="clear" w:color="auto" w:fill="FFFFFF"/>
          <w:lang w:eastAsia="zh-CN"/>
        </w:rPr>
        <w:t>JSZC-320115-NJRD-G2026-0008</w:t>
      </w:r>
    </w:p>
    <w:p w14:paraId="3929D0C2">
      <w:pPr>
        <w:spacing w:line="360" w:lineRule="auto"/>
        <w:ind w:firstLine="560"/>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rPr>
        <w:t>项目名称：</w:t>
      </w:r>
      <w:bookmarkEnd w:id="6"/>
      <w:r>
        <w:rPr>
          <w:rFonts w:hint="eastAsia" w:ascii="仿宋" w:hAnsi="仿宋" w:eastAsia="仿宋" w:cs="仿宋"/>
          <w:color w:val="auto"/>
          <w:sz w:val="24"/>
          <w:szCs w:val="24"/>
          <w:highlight w:val="none"/>
          <w:shd w:val="clear" w:color="auto" w:fill="FFFFFF"/>
          <w:lang w:eastAsia="zh-CN"/>
        </w:rPr>
        <w:t>禄口街道2026-2029年度压缩垃圾清运服务</w:t>
      </w:r>
    </w:p>
    <w:p w14:paraId="14A1D510">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预算金额：771.0625</w:t>
      </w:r>
      <w:r>
        <w:rPr>
          <w:rFonts w:hint="eastAsia" w:ascii="仿宋" w:hAnsi="仿宋" w:eastAsia="仿宋" w:cs="仿宋"/>
          <w:color w:val="auto"/>
          <w:sz w:val="24"/>
          <w:szCs w:val="24"/>
          <w:highlight w:val="none"/>
          <w:lang w:eastAsia="zh-CN"/>
        </w:rPr>
        <w:t>万元</w:t>
      </w:r>
      <w:r>
        <w:rPr>
          <w:rFonts w:hint="eastAsia" w:ascii="仿宋" w:hAnsi="仿宋" w:eastAsia="仿宋" w:cs="仿宋"/>
          <w:color w:val="auto"/>
          <w:sz w:val="24"/>
          <w:szCs w:val="24"/>
          <w:highlight w:val="none"/>
          <w:lang w:val="en-US" w:eastAsia="zh-CN"/>
        </w:rPr>
        <w:t>/年，三年共计2313.1875‬万元</w:t>
      </w:r>
      <w:r>
        <w:rPr>
          <w:rFonts w:hint="eastAsia" w:ascii="仿宋" w:hAnsi="仿宋" w:eastAsia="仿宋" w:cs="仿宋"/>
          <w:color w:val="auto"/>
          <w:sz w:val="24"/>
          <w:szCs w:val="24"/>
          <w:highlight w:val="none"/>
        </w:rPr>
        <w:t>‬</w:t>
      </w:r>
    </w:p>
    <w:p w14:paraId="685D041A">
      <w:pPr>
        <w:ind w:firstLine="560"/>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控制价：771.0625</w:t>
      </w:r>
      <w:r>
        <w:rPr>
          <w:rFonts w:hint="eastAsia" w:ascii="仿宋" w:hAnsi="仿宋" w:eastAsia="仿宋" w:cs="仿宋"/>
          <w:color w:val="auto"/>
          <w:sz w:val="24"/>
          <w:szCs w:val="24"/>
          <w:highlight w:val="none"/>
          <w:lang w:eastAsia="zh-CN"/>
        </w:rPr>
        <w:t>万元</w:t>
      </w:r>
      <w:r>
        <w:rPr>
          <w:rFonts w:hint="eastAsia" w:ascii="仿宋" w:hAnsi="仿宋" w:eastAsia="仿宋" w:cs="仿宋"/>
          <w:color w:val="auto"/>
          <w:sz w:val="24"/>
          <w:szCs w:val="24"/>
          <w:highlight w:val="none"/>
          <w:lang w:val="en-US" w:eastAsia="zh-CN"/>
        </w:rPr>
        <w:t>/年，三年共计2313.1875‬万元（超过每年最高限价，按无效标处理）</w:t>
      </w:r>
    </w:p>
    <w:p w14:paraId="580A4CE5">
      <w:pPr>
        <w:spacing w:line="360" w:lineRule="auto"/>
        <w:ind w:firstLine="560"/>
        <w:rPr>
          <w:rFonts w:hint="eastAsia"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采购需求：</w:t>
      </w:r>
      <w:r>
        <w:rPr>
          <w:rFonts w:hint="eastAsia" w:ascii="仿宋" w:hAnsi="仿宋" w:eastAsia="仿宋" w:cs="仿宋"/>
          <w:color w:val="auto"/>
          <w:sz w:val="24"/>
          <w:szCs w:val="24"/>
          <w:highlight w:val="none"/>
          <w:lang w:eastAsia="zh-CN"/>
        </w:rPr>
        <w:t>禄口街道2026-2029年度压缩垃圾清运服务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详见招标文件。</w:t>
      </w:r>
    </w:p>
    <w:p w14:paraId="61C831C3">
      <w:pPr>
        <w:spacing w:line="360" w:lineRule="auto"/>
        <w:ind w:firstLine="56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合同履行期限：</w:t>
      </w:r>
      <w:bookmarkStart w:id="7" w:name="_Toc35393791"/>
      <w:bookmarkStart w:id="8" w:name="_Toc35393622"/>
      <w:bookmarkStart w:id="9" w:name="_Toc28359003"/>
      <w:bookmarkStart w:id="10" w:name="_Toc28359080"/>
      <w:r>
        <w:rPr>
          <w:rFonts w:hint="eastAsia" w:ascii="仿宋" w:hAnsi="仿宋" w:eastAsia="仿宋" w:cs="仿宋"/>
          <w:color w:val="auto"/>
          <w:sz w:val="24"/>
          <w:szCs w:val="24"/>
          <w:highlight w:val="none"/>
          <w:lang w:val="en-US" w:eastAsia="zh-CN"/>
        </w:rPr>
        <w:t>三年（合同一年一签，当年履约验收合格后方可续签下一年度合同）</w:t>
      </w:r>
    </w:p>
    <w:p w14:paraId="7523091F">
      <w:pPr>
        <w:spacing w:line="360" w:lineRule="auto"/>
        <w:ind w:firstLine="56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本项目（是/否）接受联合体投标：否</w:t>
      </w:r>
      <w:r>
        <w:rPr>
          <w:rFonts w:hint="eastAsia" w:ascii="仿宋" w:hAnsi="仿宋" w:eastAsia="仿宋" w:cs="仿宋"/>
          <w:color w:val="auto"/>
          <w:sz w:val="24"/>
          <w:szCs w:val="24"/>
          <w:highlight w:val="none"/>
          <w:lang w:val="en-US" w:eastAsia="zh-CN"/>
        </w:rPr>
        <w:t xml:space="preserve">                                                                                                                                                                                                   </w:t>
      </w:r>
    </w:p>
    <w:p w14:paraId="2757F98F">
      <w:pPr>
        <w:spacing w:line="360" w:lineRule="auto"/>
        <w:jc w:val="both"/>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二、申请人的资格要求：</w:t>
      </w:r>
      <w:bookmarkEnd w:id="7"/>
      <w:bookmarkEnd w:id="8"/>
      <w:bookmarkEnd w:id="9"/>
      <w:bookmarkEnd w:id="10"/>
    </w:p>
    <w:p w14:paraId="0EDF6322">
      <w:pPr>
        <w:pStyle w:val="35"/>
        <w:widowControl/>
        <w:spacing w:after="210" w:line="15" w:lineRule="atLeast"/>
        <w:ind w:firstLine="240" w:firstLineChars="100"/>
        <w:rPr>
          <w:rFonts w:hint="eastAsia" w:ascii="仿宋" w:hAnsi="仿宋" w:eastAsia="仿宋" w:cs="仿宋"/>
          <w:color w:val="auto"/>
          <w:sz w:val="24"/>
          <w:szCs w:val="24"/>
          <w:highlight w:val="none"/>
        </w:rPr>
      </w:pPr>
      <w:bookmarkStart w:id="11" w:name="_Toc35393623"/>
      <w:bookmarkStart w:id="12" w:name="_Toc28359081"/>
      <w:bookmarkStart w:id="13" w:name="_Toc28359004"/>
      <w:bookmarkStart w:id="14" w:name="_Toc35393792"/>
      <w:r>
        <w:rPr>
          <w:rFonts w:hint="eastAsia" w:ascii="仿宋" w:hAnsi="仿宋" w:eastAsia="仿宋" w:cs="仿宋"/>
          <w:color w:val="auto"/>
          <w:sz w:val="24"/>
          <w:szCs w:val="24"/>
          <w:highlight w:val="none"/>
          <w:shd w:val="clear" w:color="auto" w:fill="FFFFFF"/>
          <w:lang w:val="en-US" w:eastAsia="zh-CN"/>
        </w:rPr>
        <w:t>2.1</w:t>
      </w:r>
      <w:r>
        <w:rPr>
          <w:rFonts w:hint="eastAsia" w:ascii="仿宋" w:hAnsi="仿宋" w:eastAsia="仿宋" w:cs="仿宋"/>
          <w:color w:val="auto"/>
          <w:sz w:val="24"/>
          <w:szCs w:val="24"/>
          <w:highlight w:val="none"/>
          <w:shd w:val="clear" w:color="auto" w:fill="FFFFFF"/>
        </w:rPr>
        <w:t>满足《中华人民共和国政府采购法》第二十二条规定：</w:t>
      </w:r>
    </w:p>
    <w:p w14:paraId="7DE64920">
      <w:pPr>
        <w:pStyle w:val="35"/>
        <w:widowControl/>
        <w:spacing w:after="210" w:line="15" w:lineRule="atLeast"/>
        <w:ind w:firstLine="240" w:firstLineChars="100"/>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（1）具有独立承担民事责任的能力（提供法人或者其他组织的营业执照，自然人的身份证明，复印件加盖公章）；</w:t>
      </w:r>
    </w:p>
    <w:p w14:paraId="3BA9E110">
      <w:pPr>
        <w:pStyle w:val="35"/>
        <w:widowControl/>
        <w:spacing w:after="210" w:line="15" w:lineRule="atLeast"/>
        <w:ind w:firstLine="240" w:firstLineChars="100"/>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（2）具有良好的商业信誉和健全的财务会计制度（提供参加本次采购活动前的会计报表或经审计的财务报告，成立不满一年无需提供）；</w:t>
      </w:r>
    </w:p>
    <w:p w14:paraId="31C58EBB">
      <w:pPr>
        <w:pStyle w:val="35"/>
        <w:widowControl/>
        <w:spacing w:after="210" w:line="15" w:lineRule="atLeast"/>
        <w:ind w:firstLine="240" w:firstLineChars="100"/>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（3）具有履行合同所必需的设备和专业技术能力（根据项目需求提供履行合同所必需的设备和专业技术能力的证明材料，复印件加盖公章）；</w:t>
      </w:r>
    </w:p>
    <w:p w14:paraId="282D05F4">
      <w:pPr>
        <w:pStyle w:val="35"/>
        <w:widowControl/>
        <w:spacing w:after="210" w:line="15" w:lineRule="atLeast"/>
        <w:ind w:firstLine="240" w:firstLineChars="100"/>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（4）有依法缴纳税收和社会保障资金的良好记录（提供参加本次采购活动前半年内（至少一个月）依法缴纳税收和社会保障资金的相关资料，复印件加盖公章）；</w:t>
      </w:r>
    </w:p>
    <w:p w14:paraId="1197BCF4">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（5）参加政府采购活动前三年内，在经营活动中没有重大违法记录（提供参加本次采购活动前 3 年内在经营活动中没有重大违法记录的书面声明的原件）；</w:t>
      </w:r>
    </w:p>
    <w:p w14:paraId="7CA80705">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（6）法律、行政法规规定的其他条件。</w:t>
      </w:r>
    </w:p>
    <w:p w14:paraId="5970DB20">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val="en-US" w:eastAsia="zh-CN"/>
        </w:rPr>
        <w:t>2.2</w:t>
      </w:r>
      <w:r>
        <w:rPr>
          <w:rFonts w:hint="eastAsia" w:ascii="仿宋" w:hAnsi="仿宋" w:eastAsia="仿宋" w:cs="仿宋"/>
          <w:color w:val="auto"/>
          <w:sz w:val="24"/>
          <w:szCs w:val="24"/>
          <w:highlight w:val="none"/>
          <w:shd w:val="clear" w:color="auto" w:fill="FFFFFF"/>
          <w:lang w:eastAsia="zh-CN"/>
        </w:rPr>
        <w:t>落实政府采购政策需满足的资格要求：</w:t>
      </w:r>
      <w:r>
        <w:rPr>
          <w:rFonts w:hint="eastAsia" w:ascii="仿宋" w:hAnsi="仿宋" w:eastAsia="仿宋" w:cs="仿宋"/>
          <w:color w:val="auto"/>
          <w:sz w:val="24"/>
          <w:szCs w:val="24"/>
          <w:highlight w:val="none"/>
          <w:shd w:val="clear" w:color="auto" w:fill="FFFFFF"/>
          <w:lang w:val="en-US" w:eastAsia="zh-CN"/>
        </w:rPr>
        <w:t>本项目按照采用以下第（ 4 ）种方式落实政府采购促进中小企业发展的要求：</w:t>
      </w:r>
    </w:p>
    <w:p w14:paraId="38EA59FB">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val="en-US" w:eastAsia="zh-CN"/>
        </w:rPr>
        <w:t>（1）本项目整体专门面向中小企业采购服务。</w:t>
      </w:r>
    </w:p>
    <w:p w14:paraId="5CD4C72D">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val="en-US" w:eastAsia="zh-CN"/>
        </w:rPr>
        <w:t>（2）本项目整体专门面向小微企业采购服务。</w:t>
      </w:r>
    </w:p>
    <w:p w14:paraId="0119E905">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val="en-US" w:eastAsia="zh-CN"/>
        </w:rPr>
        <w:t>（3）本项目通过以下第种方式预留部分采购份额采购中小企业服务：①本项目要求供应商以联合体形式参加，企业合同金额应当达到的比例为%。②本项目要求供应商进行合同分包，企业合同金额应当达到的比例为%。</w:t>
      </w:r>
    </w:p>
    <w:p w14:paraId="24B00A3E">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val="en-US" w:eastAsia="zh-CN"/>
        </w:rPr>
        <w:t>（4）本项目为非预留份额的采购项目或采购包，执行价格扣除优惠政策，具体详见采购文件。</w:t>
      </w:r>
    </w:p>
    <w:p w14:paraId="6CB8B86A">
      <w:pPr>
        <w:pStyle w:val="35"/>
        <w:widowControl/>
        <w:spacing w:after="210" w:line="15" w:lineRule="atLeast"/>
        <w:ind w:firstLine="240" w:firstLineChars="100"/>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2.3本项目的特定资格要求：无。</w:t>
      </w:r>
    </w:p>
    <w:p w14:paraId="06078AD2">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2.</w:t>
      </w:r>
      <w:r>
        <w:rPr>
          <w:rFonts w:hint="eastAsia" w:ascii="仿宋" w:hAnsi="仿宋" w:eastAsia="仿宋" w:cs="仿宋"/>
          <w:color w:val="auto"/>
          <w:sz w:val="24"/>
          <w:szCs w:val="24"/>
          <w:highlight w:val="none"/>
          <w:shd w:val="clear" w:color="auto" w:fill="FFFFFF"/>
          <w:lang w:val="en-US" w:eastAsia="zh-CN"/>
        </w:rPr>
        <w:t>4</w:t>
      </w:r>
      <w:r>
        <w:rPr>
          <w:rFonts w:hint="eastAsia" w:ascii="仿宋" w:hAnsi="仿宋" w:eastAsia="仿宋" w:cs="仿宋"/>
          <w:color w:val="auto"/>
          <w:sz w:val="24"/>
          <w:szCs w:val="24"/>
          <w:highlight w:val="none"/>
          <w:shd w:val="clear" w:color="auto" w:fill="FFFFFF"/>
        </w:rPr>
        <w:t>南京市政府采购供应商信用记录表暨信用承诺书</w:t>
      </w:r>
    </w:p>
    <w:p w14:paraId="7F8B132A">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color w:val="auto"/>
          <w:sz w:val="24"/>
          <w:szCs w:val="24"/>
          <w:highlight w:val="none"/>
          <w:shd w:val="clear" w:color="auto" w:fill="FFFFFF"/>
          <w:lang w:eastAsia="zh-CN"/>
        </w:rPr>
        <w:t>法人代表签字并加</w:t>
      </w:r>
      <w:r>
        <w:rPr>
          <w:rFonts w:hint="eastAsia" w:ascii="仿宋" w:hAnsi="仿宋" w:eastAsia="仿宋" w:cs="仿宋"/>
          <w:color w:val="auto"/>
          <w:sz w:val="24"/>
          <w:szCs w:val="24"/>
          <w:highlight w:val="none"/>
          <w:shd w:val="clear" w:color="auto" w:fill="FFFFFF"/>
        </w:rPr>
        <w:t>盖单位公章，随响应文件一并递交。</w:t>
      </w:r>
    </w:p>
    <w:p w14:paraId="7DE23A39">
      <w:pPr>
        <w:pStyle w:val="35"/>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在政府采购资格审查环节，供应商只需提供书面《南京市政府采购供应商信用记录表暨信用承诺书》，即可替代以下证明材料：</w:t>
      </w:r>
    </w:p>
    <w:p w14:paraId="2E309035">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（1）具有独立承担民事责任的能力（提供法人或者其他组织的营业执照，自然人的身份证明，复印件加盖公章）；</w:t>
      </w:r>
    </w:p>
    <w:p w14:paraId="1E1194E0">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（2）具有良好的商业信誉和健全的财务会计制度（提供参加本次采购活动前的会计报表或经审计的财务报告，成立不满一年无需提供）；</w:t>
      </w:r>
    </w:p>
    <w:p w14:paraId="6A89C130">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（3）具有履行合同所必需的设备和专业技术能力（根据项目需求提供履行合同所必需的设备和专业技术能力的证明材料，复印件加盖公章）；</w:t>
      </w:r>
    </w:p>
    <w:p w14:paraId="4C0C3211">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（4）有依法缴纳税收和社会保障资金的良好记录（提供参加本次采购活动前半年内（至少一个月）依法缴纳税收和社会保障资金的相关资料，复印件加盖公章）；</w:t>
      </w:r>
    </w:p>
    <w:p w14:paraId="65D03BB9">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（5）参加政府采购活动前三年内，在经营活动中没有重大违法记录（提供参加本次采购活动前 3 年内在经营活动中没有重大违法记录的书面声明的原件）；</w:t>
      </w:r>
    </w:p>
    <w:p w14:paraId="1CA9BA9D">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（6）法律、行政法规规定的其他条件。</w:t>
      </w:r>
    </w:p>
    <w:p w14:paraId="53E6791A">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供应商在中标（成交）后，应按采购文件要求，将上述由信用承诺书替代的证明材料提交采购人或采购代理机构核验。经核验无误后，由采购人或采购代理机构发出中标（成交）通知书。</w:t>
      </w:r>
    </w:p>
    <w:p w14:paraId="4892A478">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供应商涉及以下情形的，不适用信用承诺：</w:t>
      </w:r>
    </w:p>
    <w:p w14:paraId="13FF6A0C">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（1）供应商被列入严重失信主体名单；</w:t>
      </w:r>
    </w:p>
    <w:p w14:paraId="7F991AE4">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（2）被相关监管部门作出行政处罚且尚在处罚有效期内；</w:t>
      </w:r>
    </w:p>
    <w:p w14:paraId="57641D75">
      <w:pPr>
        <w:pStyle w:val="35"/>
        <w:keepNext w:val="0"/>
        <w:keepLines w:val="0"/>
        <w:pageBreakBefore w:val="0"/>
        <w:widowControl/>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（3）其他法律、行政法规规定的不适用信用承诺的情形。</w:t>
      </w:r>
    </w:p>
    <w:p w14:paraId="34450D0C">
      <w:pPr>
        <w:pStyle w:val="35"/>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供应商对信用承诺内容的真实性、合法性、有效性负责。如作出虚假信用承诺，视同为“提供虚假材料谋取中标、成交”的违法行为。</w:t>
      </w:r>
    </w:p>
    <w:p w14:paraId="754DA2A6">
      <w:pPr>
        <w:spacing w:line="360" w:lineRule="auto"/>
        <w:jc w:val="both"/>
        <w:rPr>
          <w:rFonts w:hint="eastAsia"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三、获取招标文件</w:t>
      </w:r>
      <w:bookmarkEnd w:id="11"/>
      <w:bookmarkEnd w:id="12"/>
      <w:bookmarkEnd w:id="13"/>
      <w:bookmarkEnd w:id="14"/>
    </w:p>
    <w:p w14:paraId="17E67965">
      <w:pPr>
        <w:spacing w:line="360" w:lineRule="auto"/>
        <w:ind w:firstLine="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 xml:space="preserve">  7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 xml:space="preserve">  30 </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至</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 xml:space="preserve"> 8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 xml:space="preserve">  5 </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，每天9：00-1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0-1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rPr>
        <w:t>（北京时间，法定节假日除外）</w:t>
      </w:r>
    </w:p>
    <w:p w14:paraId="0BEB7B55">
      <w:pPr>
        <w:spacing w:line="360" w:lineRule="auto"/>
        <w:ind w:firstLine="540"/>
        <w:rPr>
          <w:rFonts w:hint="eastAsia"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val="en-US"/>
        </w:rPr>
        <w:t>“江苏政府采购网、南京公共采购信息网”自行免费下载 </w:t>
      </w:r>
    </w:p>
    <w:p w14:paraId="31218850">
      <w:pPr>
        <w:spacing w:line="360" w:lineRule="auto"/>
        <w:ind w:firstLine="54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方式：</w:t>
      </w:r>
      <w:r>
        <w:rPr>
          <w:rFonts w:hint="eastAsia" w:ascii="仿宋" w:hAnsi="仿宋" w:eastAsia="仿宋" w:cs="仿宋"/>
          <w:color w:val="auto"/>
          <w:sz w:val="24"/>
          <w:szCs w:val="24"/>
          <w:highlight w:val="none"/>
          <w:lang w:val="en-US"/>
        </w:rPr>
        <w:t>供应商</w:t>
      </w:r>
      <w:r>
        <w:rPr>
          <w:rFonts w:hint="eastAsia" w:ascii="仿宋" w:hAnsi="仿宋" w:eastAsia="仿宋" w:cs="仿宋"/>
          <w:color w:val="auto"/>
          <w:sz w:val="24"/>
          <w:szCs w:val="24"/>
          <w:highlight w:val="none"/>
          <w:lang w:val="en-US" w:eastAsia="zh-CN"/>
        </w:rPr>
        <w:t>登录</w:t>
      </w:r>
      <w:r>
        <w:rPr>
          <w:rFonts w:hint="eastAsia" w:ascii="仿宋" w:hAnsi="仿宋" w:eastAsia="仿宋" w:cs="仿宋"/>
          <w:color w:val="auto"/>
          <w:sz w:val="24"/>
          <w:szCs w:val="24"/>
          <w:highlight w:val="none"/>
          <w:lang w:val="en-US"/>
        </w:rPr>
        <w:t>“江苏政府采购网”，在网站首页点击“苏采云”→使用CA数字证书“CA锁”登录系统</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rPr>
        <w:t>新用户需进行“平台用户注册”</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rPr>
        <w:t>→“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p>
    <w:p w14:paraId="10DE0AEA">
      <w:pPr>
        <w:spacing w:line="360" w:lineRule="auto"/>
        <w:ind w:firstLine="54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lang w:val="en-US"/>
        </w:rPr>
        <w:t>0.00元</w:t>
      </w:r>
    </w:p>
    <w:p w14:paraId="738AB4EE">
      <w:pPr>
        <w:spacing w:line="360" w:lineRule="auto"/>
        <w:jc w:val="both"/>
        <w:rPr>
          <w:rFonts w:hint="eastAsia" w:ascii="仿宋" w:hAnsi="仿宋" w:eastAsia="仿宋" w:cs="仿宋"/>
          <w:b/>
          <w:bCs/>
          <w:color w:val="auto"/>
          <w:sz w:val="24"/>
          <w:szCs w:val="24"/>
          <w:highlight w:val="none"/>
          <w:lang w:val="en-US" w:bidi="ar-SA"/>
        </w:rPr>
      </w:pPr>
      <w:bookmarkStart w:id="15" w:name="_Toc28359082"/>
      <w:bookmarkStart w:id="16" w:name="_Toc28359005"/>
      <w:bookmarkStart w:id="17" w:name="_Toc35393624"/>
      <w:bookmarkStart w:id="18" w:name="_Toc35393793"/>
      <w:r>
        <w:rPr>
          <w:rFonts w:hint="eastAsia" w:ascii="仿宋" w:hAnsi="仿宋" w:eastAsia="仿宋" w:cs="仿宋"/>
          <w:b/>
          <w:bCs/>
          <w:color w:val="auto"/>
          <w:sz w:val="24"/>
          <w:szCs w:val="24"/>
          <w:highlight w:val="none"/>
          <w:lang w:val="en-US" w:bidi="ar-SA"/>
        </w:rPr>
        <w:t>四、提交投标文件</w:t>
      </w:r>
      <w:bookmarkEnd w:id="15"/>
      <w:bookmarkEnd w:id="16"/>
      <w:r>
        <w:rPr>
          <w:rFonts w:hint="eastAsia" w:ascii="仿宋" w:hAnsi="仿宋" w:eastAsia="仿宋" w:cs="仿宋"/>
          <w:b/>
          <w:bCs/>
          <w:color w:val="auto"/>
          <w:sz w:val="24"/>
          <w:szCs w:val="24"/>
          <w:highlight w:val="none"/>
          <w:lang w:val="en-US" w:bidi="ar-SA"/>
        </w:rPr>
        <w:t>截止时间、开标时间和地点</w:t>
      </w:r>
      <w:bookmarkEnd w:id="17"/>
      <w:bookmarkEnd w:id="18"/>
    </w:p>
    <w:p w14:paraId="3E846576">
      <w:pPr>
        <w:spacing w:line="360" w:lineRule="auto"/>
        <w:ind w:firstLine="56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2026年</w:t>
      </w:r>
      <w:r>
        <w:rPr>
          <w:rFonts w:hint="eastAsia" w:ascii="仿宋" w:hAnsi="仿宋" w:eastAsia="仿宋" w:cs="仿宋"/>
          <w:color w:val="auto"/>
          <w:sz w:val="24"/>
          <w:szCs w:val="24"/>
          <w:highlight w:val="none"/>
          <w:lang w:val="en-US" w:eastAsia="zh-CN"/>
        </w:rPr>
        <w:t xml:space="preserve">  8 </w:t>
      </w:r>
      <w:r>
        <w:rPr>
          <w:rFonts w:hint="eastAsia" w:ascii="仿宋" w:hAnsi="仿宋" w:eastAsia="仿宋" w:cs="仿宋"/>
          <w:color w:val="auto"/>
          <w:sz w:val="24"/>
          <w:szCs w:val="24"/>
          <w:highlight w:val="none"/>
          <w:lang w:val="en-US"/>
        </w:rPr>
        <w:t>月</w:t>
      </w:r>
      <w:r>
        <w:rPr>
          <w:rFonts w:hint="eastAsia" w:ascii="仿宋" w:hAnsi="仿宋" w:eastAsia="仿宋" w:cs="仿宋"/>
          <w:color w:val="auto"/>
          <w:sz w:val="24"/>
          <w:szCs w:val="24"/>
          <w:highlight w:val="none"/>
          <w:lang w:val="en-US" w:eastAsia="zh-CN"/>
        </w:rPr>
        <w:t xml:space="preserve">  20  </w:t>
      </w:r>
      <w:r>
        <w:rPr>
          <w:rFonts w:hint="eastAsia" w:ascii="仿宋" w:hAnsi="仿宋" w:eastAsia="仿宋" w:cs="仿宋"/>
          <w:color w:val="auto"/>
          <w:sz w:val="24"/>
          <w:szCs w:val="24"/>
          <w:highlight w:val="none"/>
          <w:lang w:val="en-US"/>
        </w:rPr>
        <w:t>日</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0（北京时间）</w:t>
      </w:r>
    </w:p>
    <w:p w14:paraId="2BBFE06E">
      <w:pPr>
        <w:spacing w:line="360" w:lineRule="auto"/>
        <w:ind w:firstLine="56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地点：“苏采云”政府采购交易系统网上开标大厅 </w:t>
      </w:r>
    </w:p>
    <w:p w14:paraId="3A21DAFA">
      <w:pPr>
        <w:spacing w:line="360" w:lineRule="auto"/>
        <w:jc w:val="both"/>
        <w:rPr>
          <w:rFonts w:hint="eastAsia" w:ascii="仿宋" w:hAnsi="仿宋" w:eastAsia="仿宋" w:cs="仿宋"/>
          <w:b/>
          <w:bCs/>
          <w:color w:val="auto"/>
          <w:sz w:val="24"/>
          <w:szCs w:val="24"/>
          <w:highlight w:val="none"/>
          <w:lang w:val="en-US" w:bidi="ar-SA"/>
        </w:rPr>
      </w:pPr>
      <w:bookmarkStart w:id="19" w:name="_Toc28359084"/>
      <w:bookmarkStart w:id="20" w:name="_Toc35393625"/>
      <w:bookmarkStart w:id="21" w:name="_Toc28359007"/>
      <w:bookmarkStart w:id="22" w:name="_Toc35393794"/>
      <w:r>
        <w:rPr>
          <w:rFonts w:hint="eastAsia" w:ascii="仿宋" w:hAnsi="仿宋" w:eastAsia="仿宋" w:cs="仿宋"/>
          <w:b/>
          <w:bCs/>
          <w:color w:val="auto"/>
          <w:sz w:val="24"/>
          <w:szCs w:val="24"/>
          <w:highlight w:val="none"/>
          <w:lang w:val="en-US" w:bidi="ar-SA"/>
        </w:rPr>
        <w:t>五、公告期限</w:t>
      </w:r>
      <w:bookmarkEnd w:id="19"/>
      <w:bookmarkEnd w:id="20"/>
      <w:bookmarkEnd w:id="21"/>
      <w:bookmarkEnd w:id="22"/>
    </w:p>
    <w:p w14:paraId="038C9B5B">
      <w:pPr>
        <w:spacing w:line="360" w:lineRule="auto"/>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03FA71C9">
      <w:pPr>
        <w:spacing w:line="360" w:lineRule="auto"/>
        <w:jc w:val="both"/>
        <w:rPr>
          <w:rFonts w:hint="eastAsia" w:ascii="仿宋" w:hAnsi="仿宋" w:eastAsia="仿宋" w:cs="仿宋"/>
          <w:b/>
          <w:bCs/>
          <w:color w:val="auto"/>
          <w:sz w:val="24"/>
          <w:szCs w:val="24"/>
          <w:highlight w:val="none"/>
          <w:lang w:val="en-US" w:bidi="ar-SA"/>
        </w:rPr>
      </w:pPr>
      <w:bookmarkStart w:id="23" w:name="_Toc35393795"/>
      <w:bookmarkStart w:id="24" w:name="_Toc35393626"/>
      <w:r>
        <w:rPr>
          <w:rFonts w:hint="eastAsia" w:ascii="仿宋" w:hAnsi="仿宋" w:eastAsia="仿宋" w:cs="仿宋"/>
          <w:b/>
          <w:bCs/>
          <w:color w:val="auto"/>
          <w:sz w:val="24"/>
          <w:szCs w:val="24"/>
          <w:highlight w:val="none"/>
          <w:lang w:val="en-US" w:bidi="ar-SA"/>
        </w:rPr>
        <w:t>六、其他补充事宜</w:t>
      </w:r>
      <w:bookmarkEnd w:id="23"/>
      <w:bookmarkEnd w:id="24"/>
    </w:p>
    <w:p w14:paraId="4F9DACB5">
      <w:pPr>
        <w:pStyle w:val="199"/>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rPr>
        <w:t>拒绝下述供应商参加本次采购活动：</w:t>
      </w:r>
    </w:p>
    <w:p w14:paraId="20179947">
      <w:pPr>
        <w:pStyle w:val="199"/>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rPr>
        <w:t>）供应商单位负责人为同一人或者存在直接控股、管理关系的不同供应商，不得参加同一合同项下的政府采购活动。</w:t>
      </w:r>
    </w:p>
    <w:p w14:paraId="10404001">
      <w:pPr>
        <w:pStyle w:val="199"/>
        <w:keepNext w:val="0"/>
        <w:keepLines w:val="0"/>
        <w:pageBreakBefore w:val="0"/>
        <w:widowControl w:val="0"/>
        <w:kinsoku/>
        <w:wordWrap/>
        <w:overflowPunct/>
        <w:topLinePunct w:val="0"/>
        <w:autoSpaceDE/>
        <w:autoSpaceDN/>
        <w:bidi w:val="0"/>
        <w:adjustRightInd/>
        <w:snapToGrid/>
        <w:spacing w:after="0" w:line="360" w:lineRule="auto"/>
        <w:ind w:left="0"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en-US"/>
        </w:rPr>
        <w:t>）凡为采购项目提供整体设计、规范编制或者项目管理、监理、检测等服务的供应商，不得再参加本项目的采购活动。</w:t>
      </w:r>
    </w:p>
    <w:p w14:paraId="58F397A9">
      <w:pPr>
        <w:pStyle w:val="199"/>
        <w:keepNext w:val="0"/>
        <w:keepLines w:val="0"/>
        <w:pageBreakBefore w:val="0"/>
        <w:widowControl w:val="0"/>
        <w:kinsoku/>
        <w:wordWrap/>
        <w:overflowPunct/>
        <w:topLinePunct w:val="0"/>
        <w:autoSpaceDE/>
        <w:autoSpaceDN/>
        <w:bidi w:val="0"/>
        <w:adjustRightInd/>
        <w:snapToGrid/>
        <w:spacing w:after="0" w:line="360" w:lineRule="auto"/>
        <w:ind w:left="0"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）供应商被“信用中国”网站、“中国政府采购网”列入失信被执行人、重大税收违法案件当事人名单、政府采购严重违法失信行为记录名单。</w:t>
      </w:r>
    </w:p>
    <w:p w14:paraId="173A8B8F">
      <w:pPr>
        <w:pStyle w:val="199"/>
        <w:keepNext w:val="0"/>
        <w:keepLines w:val="0"/>
        <w:pageBreakBefore w:val="0"/>
        <w:widowControl w:val="0"/>
        <w:kinsoku/>
        <w:wordWrap/>
        <w:overflowPunct/>
        <w:topLinePunct w:val="0"/>
        <w:autoSpaceDE/>
        <w:autoSpaceDN/>
        <w:bidi w:val="0"/>
        <w:adjustRightInd/>
        <w:snapToGrid/>
        <w:spacing w:after="0" w:line="360" w:lineRule="auto"/>
        <w:ind w:left="0" w:firstLine="544" w:firstLineChars="227"/>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2、采购人不组织，投标人可自行联系采购人。请务必对项目现场和周围环境进行仔细认真查勘，在随后的采购中，对现场资料和数据所作出的推论、解释和结论及由此造成的后果由供应商负责。</w:t>
      </w:r>
    </w:p>
    <w:p w14:paraId="5A510F74">
      <w:pPr>
        <w:spacing w:line="360" w:lineRule="auto"/>
        <w:jc w:val="both"/>
        <w:rPr>
          <w:rFonts w:hint="eastAsia" w:ascii="仿宋" w:hAnsi="仿宋" w:eastAsia="仿宋" w:cs="仿宋"/>
          <w:b/>
          <w:bCs/>
          <w:color w:val="auto"/>
          <w:sz w:val="24"/>
          <w:szCs w:val="24"/>
          <w:highlight w:val="none"/>
          <w:lang w:val="en-US" w:bidi="ar-SA"/>
        </w:rPr>
      </w:pPr>
      <w:bookmarkStart w:id="25" w:name="_Toc28359085"/>
      <w:bookmarkStart w:id="26" w:name="_Toc28359008"/>
      <w:bookmarkStart w:id="27" w:name="_Toc35393796"/>
      <w:bookmarkStart w:id="28" w:name="_Toc35393627"/>
      <w:r>
        <w:rPr>
          <w:rFonts w:hint="eastAsia" w:ascii="仿宋" w:hAnsi="仿宋" w:eastAsia="仿宋" w:cs="仿宋"/>
          <w:b/>
          <w:bCs/>
          <w:color w:val="auto"/>
          <w:sz w:val="24"/>
          <w:szCs w:val="24"/>
          <w:highlight w:val="none"/>
          <w:lang w:val="en-US" w:bidi="ar-SA"/>
        </w:rPr>
        <w:t>七、对本次招标提出询问，请按以下方式联系。</w:t>
      </w:r>
      <w:bookmarkEnd w:id="25"/>
      <w:bookmarkEnd w:id="26"/>
      <w:bookmarkEnd w:id="27"/>
      <w:bookmarkEnd w:id="28"/>
    </w:p>
    <w:p w14:paraId="41E31C54">
      <w:pPr>
        <w:widowControl/>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1.采购人信息</w:t>
      </w:r>
    </w:p>
    <w:p w14:paraId="1DC8167C">
      <w:pPr>
        <w:spacing w:line="360" w:lineRule="auto"/>
        <w:ind w:left="1166" w:hanging="3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lang w:val="en-US" w:eastAsia="zh-CN"/>
        </w:rPr>
        <w:t>南京市江宁区人民政府禄口街道办事处</w:t>
      </w:r>
    </w:p>
    <w:p w14:paraId="351103F4">
      <w:pPr>
        <w:spacing w:line="360" w:lineRule="auto"/>
        <w:ind w:left="1166" w:hanging="35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lang w:val="en-US" w:eastAsia="zh-CN"/>
        </w:rPr>
        <w:t>南京市江宁区禄口大街38号</w:t>
      </w:r>
    </w:p>
    <w:p w14:paraId="180B6E9D">
      <w:pPr>
        <w:spacing w:line="360" w:lineRule="auto"/>
        <w:ind w:left="1166" w:hanging="35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rPr>
        <w:t>联系人：</w:t>
      </w:r>
      <w:r>
        <w:rPr>
          <w:rFonts w:hint="eastAsia" w:ascii="仿宋" w:hAnsi="仿宋" w:eastAsia="仿宋" w:cs="仿宋"/>
          <w:color w:val="auto"/>
          <w:sz w:val="24"/>
          <w:szCs w:val="24"/>
          <w:highlight w:val="none"/>
          <w:u w:val="single"/>
          <w:lang w:val="en-US" w:eastAsia="zh-CN"/>
        </w:rPr>
        <w:t>荣工</w:t>
      </w:r>
    </w:p>
    <w:p w14:paraId="6CF53D6E">
      <w:pPr>
        <w:spacing w:line="360" w:lineRule="auto"/>
        <w:ind w:firstLine="84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eastAsia="zh-CN"/>
        </w:rPr>
        <w:t>025-52775873</w:t>
      </w:r>
    </w:p>
    <w:p w14:paraId="7A5A510D">
      <w:pPr>
        <w:spacing w:line="360" w:lineRule="auto"/>
        <w:ind w:left="1166" w:hanging="350"/>
        <w:rPr>
          <w:rFonts w:hint="eastAsia" w:ascii="仿宋" w:hAnsi="仿宋" w:eastAsia="仿宋" w:cs="仿宋"/>
          <w:color w:val="auto"/>
          <w:sz w:val="24"/>
          <w:szCs w:val="24"/>
          <w:highlight w:val="none"/>
        </w:rPr>
      </w:pPr>
      <w:bookmarkStart w:id="29" w:name="_Toc28359009"/>
      <w:bookmarkStart w:id="30" w:name="_Toc28359086"/>
      <w:r>
        <w:rPr>
          <w:rFonts w:hint="eastAsia" w:ascii="仿宋" w:hAnsi="仿宋" w:eastAsia="仿宋" w:cs="仿宋"/>
          <w:color w:val="auto"/>
          <w:sz w:val="24"/>
          <w:szCs w:val="24"/>
          <w:highlight w:val="none"/>
        </w:rPr>
        <w:t>2.采购代理机构信息</w:t>
      </w:r>
      <w:bookmarkEnd w:id="29"/>
      <w:bookmarkEnd w:id="30"/>
    </w:p>
    <w:p w14:paraId="30E70074">
      <w:pPr>
        <w:spacing w:line="360" w:lineRule="auto"/>
        <w:ind w:firstLine="84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lang w:val="en-US" w:eastAsia="zh-CN"/>
        </w:rPr>
        <w:t>南京荣大工程项目管理有限公司</w:t>
      </w:r>
    </w:p>
    <w:p w14:paraId="44B7AE1A">
      <w:pPr>
        <w:spacing w:line="360" w:lineRule="auto"/>
        <w:ind w:firstLine="8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南京市江宁区东山街道潭园西路121号</w:t>
      </w:r>
    </w:p>
    <w:p w14:paraId="6C23C6B8">
      <w:pPr>
        <w:spacing w:line="360" w:lineRule="auto"/>
        <w:ind w:firstLine="84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rPr>
        <w:t>联系人：</w:t>
      </w:r>
      <w:r>
        <w:rPr>
          <w:rFonts w:hint="eastAsia" w:ascii="仿宋" w:hAnsi="仿宋" w:eastAsia="仿宋" w:cs="仿宋"/>
          <w:color w:val="auto"/>
          <w:sz w:val="24"/>
          <w:szCs w:val="24"/>
          <w:highlight w:val="none"/>
          <w:u w:val="single"/>
          <w:lang w:val="en-US" w:eastAsia="zh-CN"/>
        </w:rPr>
        <w:t>贺工</w:t>
      </w:r>
    </w:p>
    <w:p w14:paraId="26B3F277">
      <w:pPr>
        <w:spacing w:line="360" w:lineRule="auto"/>
        <w:ind w:firstLine="84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联系方式：</w:t>
      </w:r>
      <w:bookmarkStart w:id="31" w:name="_Toc28359010"/>
      <w:bookmarkStart w:id="32" w:name="_Toc28359087"/>
      <w:r>
        <w:rPr>
          <w:rFonts w:hint="eastAsia" w:ascii="仿宋" w:hAnsi="仿宋" w:eastAsia="仿宋" w:cs="仿宋"/>
          <w:color w:val="auto"/>
          <w:sz w:val="24"/>
          <w:szCs w:val="24"/>
          <w:highlight w:val="none"/>
          <w:u w:val="single"/>
          <w:lang w:val="en-US" w:eastAsia="zh-CN"/>
        </w:rPr>
        <w:t>17705141491</w:t>
      </w:r>
    </w:p>
    <w:p w14:paraId="692464E8">
      <w:pPr>
        <w:spacing w:line="360" w:lineRule="auto"/>
        <w:ind w:firstLine="84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3.项目联系方式</w:t>
      </w:r>
      <w:bookmarkEnd w:id="31"/>
      <w:bookmarkEnd w:id="32"/>
    </w:p>
    <w:p w14:paraId="58169F81">
      <w:pPr>
        <w:pStyle w:val="20"/>
        <w:spacing w:line="360" w:lineRule="auto"/>
        <w:ind w:firstLine="8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u w:val="single"/>
          <w:lang w:val="en-US" w:eastAsia="zh-CN"/>
        </w:rPr>
        <w:t>贺工</w:t>
      </w:r>
    </w:p>
    <w:p w14:paraId="2DAD1685">
      <w:pPr>
        <w:spacing w:line="360" w:lineRule="auto"/>
        <w:ind w:firstLine="840"/>
        <w:rPr>
          <w:rFonts w:hint="eastAsia" w:ascii="仿宋" w:hAnsi="仿宋" w:eastAsia="仿宋" w:cs="仿宋"/>
          <w:color w:val="auto"/>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lang w:val="en-US" w:eastAsia="zh-CN"/>
        </w:rPr>
        <w:t>17705141491</w:t>
      </w:r>
      <w:r>
        <w:rPr>
          <w:rFonts w:hint="eastAsia" w:ascii="仿宋" w:hAnsi="仿宋" w:eastAsia="仿宋" w:cs="仿宋"/>
          <w:color w:val="auto"/>
          <w:highlight w:val="none"/>
        </w:rPr>
        <w:br w:type="page" w:clear="all"/>
      </w:r>
    </w:p>
    <w:p w14:paraId="597E32D8">
      <w:pPr>
        <w:pStyle w:val="2"/>
        <w:spacing w:before="0" w:line="360" w:lineRule="auto"/>
        <w:ind w:left="0"/>
        <w:rPr>
          <w:rFonts w:hint="eastAsia" w:ascii="仿宋" w:hAnsi="仿宋" w:eastAsia="仿宋" w:cs="仿宋"/>
          <w:color w:val="auto"/>
          <w:highlight w:val="none"/>
        </w:rPr>
      </w:pPr>
      <w:bookmarkStart w:id="33" w:name="_Toc7639"/>
      <w:r>
        <w:rPr>
          <w:rFonts w:hint="eastAsia" w:ascii="仿宋" w:hAnsi="仿宋" w:eastAsia="仿宋" w:cs="仿宋"/>
          <w:color w:val="auto"/>
          <w:highlight w:val="none"/>
        </w:rPr>
        <w:t>第二章 投标人须知</w:t>
      </w:r>
      <w:bookmarkEnd w:id="33"/>
    </w:p>
    <w:p w14:paraId="206FDBFB">
      <w:pPr>
        <w:spacing w:line="360" w:lineRule="auto"/>
        <w:ind w:right="859" w:firstLine="478"/>
        <w:jc w:val="both"/>
        <w:rPr>
          <w:rFonts w:hint="eastAsia" w:ascii="仿宋" w:hAnsi="仿宋" w:eastAsia="仿宋" w:cs="仿宋"/>
          <w:color w:val="auto"/>
          <w:sz w:val="26"/>
          <w:szCs w:val="26"/>
          <w:highlight w:val="none"/>
        </w:rPr>
      </w:pPr>
      <w:r>
        <w:rPr>
          <w:rFonts w:hint="eastAsia" w:ascii="仿宋" w:hAnsi="仿宋" w:eastAsia="仿宋" w:cs="仿宋"/>
          <w:b/>
          <w:color w:val="auto"/>
          <w:spacing w:val="-1"/>
          <w:sz w:val="26"/>
          <w:szCs w:val="26"/>
          <w:highlight w:val="none"/>
          <w:u w:val="single"/>
          <w:lang w:eastAsia="zh-CN"/>
        </w:rPr>
        <w:t>南京荣大工程项目管理有限公司</w:t>
      </w:r>
      <w:r>
        <w:rPr>
          <w:rFonts w:hint="eastAsia" w:ascii="仿宋" w:hAnsi="仿宋" w:eastAsia="仿宋" w:cs="仿宋"/>
          <w:b/>
          <w:color w:val="auto"/>
          <w:spacing w:val="-1"/>
          <w:sz w:val="26"/>
          <w:szCs w:val="26"/>
          <w:highlight w:val="none"/>
        </w:rPr>
        <w:t xml:space="preserve"> </w:t>
      </w:r>
      <w:r>
        <w:rPr>
          <w:rFonts w:hint="eastAsia" w:ascii="仿宋" w:hAnsi="仿宋" w:eastAsia="仿宋" w:cs="仿宋"/>
          <w:color w:val="auto"/>
          <w:spacing w:val="-3"/>
          <w:sz w:val="26"/>
          <w:szCs w:val="26"/>
          <w:highlight w:val="none"/>
        </w:rPr>
        <w:t xml:space="preserve">受 </w:t>
      </w:r>
      <w:r>
        <w:rPr>
          <w:rFonts w:hint="eastAsia" w:ascii="仿宋" w:hAnsi="仿宋" w:eastAsia="仿宋" w:cs="仿宋"/>
          <w:b/>
          <w:color w:val="auto"/>
          <w:sz w:val="26"/>
          <w:szCs w:val="26"/>
          <w:highlight w:val="none"/>
          <w:u w:val="single"/>
          <w:lang w:eastAsia="zh-CN"/>
        </w:rPr>
        <w:t>南京市江宁区人民政府禄口街道办事处</w:t>
      </w:r>
      <w:r>
        <w:rPr>
          <w:rFonts w:hint="eastAsia" w:ascii="仿宋" w:hAnsi="仿宋" w:eastAsia="仿宋" w:cs="仿宋"/>
          <w:color w:val="auto"/>
          <w:sz w:val="26"/>
          <w:szCs w:val="26"/>
          <w:highlight w:val="none"/>
        </w:rPr>
        <w:t>委托，</w:t>
      </w:r>
      <w:r>
        <w:rPr>
          <w:rFonts w:hint="eastAsia" w:ascii="仿宋" w:hAnsi="仿宋" w:eastAsia="仿宋" w:cs="仿宋"/>
          <w:color w:val="auto"/>
          <w:sz w:val="26"/>
          <w:szCs w:val="26"/>
          <w:highlight w:val="none"/>
          <w:lang w:eastAsia="zh-CN"/>
        </w:rPr>
        <w:t>对</w:t>
      </w:r>
      <w:r>
        <w:rPr>
          <w:rFonts w:hint="eastAsia" w:ascii="仿宋" w:hAnsi="仿宋" w:eastAsia="仿宋" w:cs="仿宋"/>
          <w:b/>
          <w:color w:val="auto"/>
          <w:sz w:val="26"/>
          <w:szCs w:val="26"/>
          <w:highlight w:val="none"/>
          <w:u w:val="single"/>
          <w:lang w:eastAsia="zh-CN"/>
        </w:rPr>
        <w:t>禄口街道2026-2029年度压缩垃圾清运服务</w:t>
      </w:r>
      <w:r>
        <w:rPr>
          <w:rFonts w:hint="eastAsia" w:ascii="仿宋" w:hAnsi="仿宋" w:eastAsia="仿宋" w:cs="仿宋"/>
          <w:color w:val="auto"/>
          <w:sz w:val="26"/>
          <w:szCs w:val="26"/>
          <w:highlight w:val="none"/>
        </w:rPr>
        <w:t>进行公开招标，兹邀请符合条件的供应商参与投标，相关信息如下：</w:t>
      </w:r>
    </w:p>
    <w:tbl>
      <w:tblPr>
        <w:tblStyle w:val="39"/>
        <w:tblpPr w:leftFromText="180" w:rightFromText="180" w:vertAnchor="text" w:horzAnchor="page" w:tblpXSpec="center" w:tblpY="151"/>
        <w:tblW w:w="99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1"/>
        <w:gridCol w:w="1034"/>
        <w:gridCol w:w="1078"/>
        <w:gridCol w:w="1692"/>
        <w:gridCol w:w="5304"/>
      </w:tblGrid>
      <w:tr w14:paraId="30991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821" w:type="dxa"/>
            <w:noWrap w:val="0"/>
          </w:tcPr>
          <w:p w14:paraId="7C9FB56A">
            <w:pPr>
              <w:pStyle w:val="201"/>
              <w:spacing w:line="360" w:lineRule="auto"/>
              <w:ind w:left="129" w:right="121"/>
              <w:jc w:val="center"/>
              <w:rPr>
                <w:rFonts w:hint="eastAsia" w:ascii="仿宋" w:hAnsi="仿宋" w:eastAsia="仿宋" w:cs="仿宋"/>
                <w:b/>
                <w:color w:val="auto"/>
                <w:sz w:val="26"/>
                <w:szCs w:val="26"/>
                <w:highlight w:val="none"/>
              </w:rPr>
            </w:pPr>
            <w:r>
              <w:rPr>
                <w:rFonts w:hint="eastAsia" w:ascii="仿宋" w:hAnsi="仿宋" w:eastAsia="仿宋" w:cs="仿宋"/>
                <w:b/>
                <w:color w:val="auto"/>
                <w:sz w:val="26"/>
                <w:szCs w:val="26"/>
                <w:highlight w:val="none"/>
              </w:rPr>
              <w:t>序号</w:t>
            </w:r>
          </w:p>
        </w:tc>
        <w:tc>
          <w:tcPr>
            <w:tcW w:w="2112" w:type="dxa"/>
            <w:gridSpan w:val="2"/>
            <w:noWrap w:val="0"/>
          </w:tcPr>
          <w:p w14:paraId="7A98DCC0">
            <w:pPr>
              <w:pStyle w:val="201"/>
              <w:tabs>
                <w:tab w:val="left" w:pos="428"/>
              </w:tabs>
              <w:spacing w:line="360" w:lineRule="auto"/>
              <w:ind w:left="8"/>
              <w:jc w:val="center"/>
              <w:rPr>
                <w:rFonts w:hint="eastAsia" w:ascii="仿宋" w:hAnsi="仿宋" w:eastAsia="仿宋" w:cs="仿宋"/>
                <w:b/>
                <w:color w:val="auto"/>
                <w:sz w:val="26"/>
                <w:szCs w:val="26"/>
                <w:highlight w:val="none"/>
              </w:rPr>
            </w:pPr>
            <w:r>
              <w:rPr>
                <w:rFonts w:hint="eastAsia" w:ascii="仿宋" w:hAnsi="仿宋" w:eastAsia="仿宋" w:cs="仿宋"/>
                <w:b/>
                <w:color w:val="auto"/>
                <w:sz w:val="26"/>
                <w:szCs w:val="26"/>
                <w:highlight w:val="none"/>
              </w:rPr>
              <w:t>项</w:t>
            </w:r>
            <w:r>
              <w:rPr>
                <w:rFonts w:hint="eastAsia" w:ascii="仿宋" w:hAnsi="仿宋" w:eastAsia="仿宋" w:cs="仿宋"/>
                <w:b/>
                <w:color w:val="auto"/>
                <w:sz w:val="26"/>
                <w:szCs w:val="26"/>
                <w:highlight w:val="none"/>
              </w:rPr>
              <w:tab/>
            </w:r>
            <w:r>
              <w:rPr>
                <w:rFonts w:hint="eastAsia" w:ascii="仿宋" w:hAnsi="仿宋" w:eastAsia="仿宋" w:cs="仿宋"/>
                <w:b/>
                <w:color w:val="auto"/>
                <w:sz w:val="26"/>
                <w:szCs w:val="26"/>
                <w:highlight w:val="none"/>
              </w:rPr>
              <w:t>目</w:t>
            </w:r>
          </w:p>
        </w:tc>
        <w:tc>
          <w:tcPr>
            <w:tcW w:w="6996" w:type="dxa"/>
            <w:gridSpan w:val="2"/>
            <w:noWrap w:val="0"/>
          </w:tcPr>
          <w:p w14:paraId="162B36D2">
            <w:pPr>
              <w:pStyle w:val="201"/>
              <w:tabs>
                <w:tab w:val="left" w:pos="1168"/>
              </w:tabs>
              <w:spacing w:line="360" w:lineRule="auto"/>
              <w:ind w:left="9"/>
              <w:jc w:val="center"/>
              <w:rPr>
                <w:rFonts w:hint="eastAsia" w:ascii="仿宋" w:hAnsi="仿宋" w:eastAsia="仿宋" w:cs="仿宋"/>
                <w:b/>
                <w:color w:val="auto"/>
                <w:sz w:val="26"/>
                <w:szCs w:val="26"/>
                <w:highlight w:val="none"/>
              </w:rPr>
            </w:pPr>
            <w:r>
              <w:rPr>
                <w:rFonts w:hint="eastAsia" w:ascii="仿宋" w:hAnsi="仿宋" w:eastAsia="仿宋" w:cs="仿宋"/>
                <w:b/>
                <w:color w:val="auto"/>
                <w:sz w:val="26"/>
                <w:szCs w:val="26"/>
                <w:highlight w:val="none"/>
              </w:rPr>
              <w:t>内</w:t>
            </w:r>
            <w:r>
              <w:rPr>
                <w:rFonts w:hint="eastAsia" w:ascii="仿宋" w:hAnsi="仿宋" w:eastAsia="仿宋" w:cs="仿宋"/>
                <w:b/>
                <w:color w:val="auto"/>
                <w:sz w:val="26"/>
                <w:szCs w:val="26"/>
                <w:highlight w:val="none"/>
              </w:rPr>
              <w:tab/>
            </w:r>
            <w:r>
              <w:rPr>
                <w:rFonts w:hint="eastAsia" w:ascii="仿宋" w:hAnsi="仿宋" w:eastAsia="仿宋" w:cs="仿宋"/>
                <w:b/>
                <w:color w:val="auto"/>
                <w:sz w:val="26"/>
                <w:szCs w:val="26"/>
                <w:highlight w:val="none"/>
              </w:rPr>
              <w:t>容</w:t>
            </w:r>
          </w:p>
        </w:tc>
      </w:tr>
      <w:tr w14:paraId="75F9B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21" w:type="dxa"/>
            <w:noWrap w:val="0"/>
          </w:tcPr>
          <w:p w14:paraId="7173D3C9">
            <w:pPr>
              <w:pStyle w:val="201"/>
              <w:spacing w:line="360" w:lineRule="auto"/>
              <w:ind w:left="9"/>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1</w:t>
            </w:r>
          </w:p>
        </w:tc>
        <w:tc>
          <w:tcPr>
            <w:tcW w:w="2112" w:type="dxa"/>
            <w:gridSpan w:val="2"/>
            <w:noWrap w:val="0"/>
          </w:tcPr>
          <w:p w14:paraId="1B592CEC">
            <w:pPr>
              <w:pStyle w:val="201"/>
              <w:spacing w:line="360" w:lineRule="auto"/>
              <w:ind w:left="572"/>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项目编号</w:t>
            </w:r>
          </w:p>
        </w:tc>
        <w:tc>
          <w:tcPr>
            <w:tcW w:w="6996" w:type="dxa"/>
            <w:gridSpan w:val="2"/>
            <w:noWrap w:val="0"/>
          </w:tcPr>
          <w:p w14:paraId="2365F8BE">
            <w:pPr>
              <w:pStyle w:val="201"/>
              <w:spacing w:line="360" w:lineRule="auto"/>
              <w:ind w:left="107"/>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eastAsia="zh-CN"/>
              </w:rPr>
              <w:t>JSZC-320115-NJRD-G2026-0008</w:t>
            </w:r>
          </w:p>
        </w:tc>
      </w:tr>
      <w:tr w14:paraId="7ACC6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noWrap w:val="0"/>
          </w:tcPr>
          <w:p w14:paraId="6148A61F">
            <w:pPr>
              <w:pStyle w:val="201"/>
              <w:spacing w:line="360" w:lineRule="auto"/>
              <w:ind w:left="9"/>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2</w:t>
            </w:r>
          </w:p>
        </w:tc>
        <w:tc>
          <w:tcPr>
            <w:tcW w:w="2112" w:type="dxa"/>
            <w:gridSpan w:val="2"/>
            <w:noWrap w:val="0"/>
          </w:tcPr>
          <w:p w14:paraId="0C317042">
            <w:pPr>
              <w:pStyle w:val="201"/>
              <w:spacing w:line="360" w:lineRule="auto"/>
              <w:ind w:left="572"/>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项目名称</w:t>
            </w:r>
          </w:p>
        </w:tc>
        <w:tc>
          <w:tcPr>
            <w:tcW w:w="6996" w:type="dxa"/>
            <w:gridSpan w:val="2"/>
            <w:noWrap w:val="0"/>
          </w:tcPr>
          <w:p w14:paraId="4C22082C">
            <w:pPr>
              <w:pStyle w:val="201"/>
              <w:spacing w:line="360" w:lineRule="auto"/>
              <w:ind w:left="107"/>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eastAsia="zh-CN"/>
              </w:rPr>
              <w:t>禄口街道2026-2029年度压缩垃圾清运服务</w:t>
            </w:r>
          </w:p>
        </w:tc>
      </w:tr>
      <w:tr w14:paraId="41A5F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noWrap w:val="0"/>
          </w:tcPr>
          <w:p w14:paraId="28D16729">
            <w:pPr>
              <w:pStyle w:val="201"/>
              <w:spacing w:line="360" w:lineRule="auto"/>
              <w:ind w:left="9"/>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3</w:t>
            </w:r>
          </w:p>
        </w:tc>
        <w:tc>
          <w:tcPr>
            <w:tcW w:w="2112" w:type="dxa"/>
            <w:gridSpan w:val="2"/>
            <w:noWrap w:val="0"/>
          </w:tcPr>
          <w:p w14:paraId="3EA9FFB6">
            <w:pPr>
              <w:pStyle w:val="201"/>
              <w:spacing w:line="360" w:lineRule="auto"/>
              <w:ind w:left="363"/>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采购代理机构</w:t>
            </w:r>
          </w:p>
        </w:tc>
        <w:tc>
          <w:tcPr>
            <w:tcW w:w="6996" w:type="dxa"/>
            <w:gridSpan w:val="2"/>
            <w:noWrap w:val="0"/>
          </w:tcPr>
          <w:p w14:paraId="481B5FE7">
            <w:pPr>
              <w:pStyle w:val="201"/>
              <w:spacing w:line="360" w:lineRule="auto"/>
              <w:ind w:left="107"/>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eastAsia="zh-CN"/>
              </w:rPr>
              <w:t>南京荣大工程项目管理有限公司</w:t>
            </w:r>
          </w:p>
        </w:tc>
      </w:tr>
      <w:tr w14:paraId="0D153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noWrap w:val="0"/>
          </w:tcPr>
          <w:p w14:paraId="078F06ED">
            <w:pPr>
              <w:pStyle w:val="201"/>
              <w:spacing w:line="360" w:lineRule="auto"/>
              <w:ind w:left="9"/>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4</w:t>
            </w:r>
          </w:p>
        </w:tc>
        <w:tc>
          <w:tcPr>
            <w:tcW w:w="2112" w:type="dxa"/>
            <w:gridSpan w:val="2"/>
            <w:noWrap w:val="0"/>
          </w:tcPr>
          <w:p w14:paraId="0956C096">
            <w:pPr>
              <w:pStyle w:val="201"/>
              <w:spacing w:line="360" w:lineRule="auto"/>
              <w:ind w:left="363"/>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代理机构地址</w:t>
            </w:r>
          </w:p>
        </w:tc>
        <w:tc>
          <w:tcPr>
            <w:tcW w:w="6996" w:type="dxa"/>
            <w:gridSpan w:val="2"/>
            <w:noWrap w:val="0"/>
          </w:tcPr>
          <w:p w14:paraId="604B1973">
            <w:pPr>
              <w:pStyle w:val="201"/>
              <w:spacing w:line="360" w:lineRule="auto"/>
              <w:ind w:left="107"/>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eastAsia="zh-CN"/>
              </w:rPr>
              <w:t>南京市江宁区东山街道潭园西路121号</w:t>
            </w:r>
          </w:p>
        </w:tc>
      </w:tr>
      <w:tr w14:paraId="13615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jc w:val="center"/>
        </w:trPr>
        <w:tc>
          <w:tcPr>
            <w:tcW w:w="821" w:type="dxa"/>
            <w:noWrap w:val="0"/>
            <w:vAlign w:val="center"/>
          </w:tcPr>
          <w:p w14:paraId="71E152D0">
            <w:pPr>
              <w:pStyle w:val="201"/>
              <w:spacing w:line="360" w:lineRule="auto"/>
              <w:ind w:left="9"/>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5</w:t>
            </w:r>
          </w:p>
        </w:tc>
        <w:tc>
          <w:tcPr>
            <w:tcW w:w="2112" w:type="dxa"/>
            <w:gridSpan w:val="2"/>
            <w:noWrap w:val="0"/>
            <w:vAlign w:val="center"/>
          </w:tcPr>
          <w:p w14:paraId="780E5956">
            <w:pPr>
              <w:pStyle w:val="201"/>
              <w:spacing w:line="360" w:lineRule="auto"/>
              <w:ind w:left="15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招标文件获取方法</w:t>
            </w:r>
          </w:p>
        </w:tc>
        <w:tc>
          <w:tcPr>
            <w:tcW w:w="6996" w:type="dxa"/>
            <w:gridSpan w:val="2"/>
            <w:noWrap w:val="0"/>
          </w:tcPr>
          <w:p w14:paraId="43021B16">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供应商</w:t>
            </w:r>
            <w:r>
              <w:rPr>
                <w:rFonts w:hint="eastAsia" w:ascii="仿宋" w:hAnsi="仿宋" w:eastAsia="仿宋" w:cs="仿宋"/>
                <w:color w:val="auto"/>
                <w:sz w:val="26"/>
                <w:szCs w:val="26"/>
                <w:highlight w:val="none"/>
                <w:lang w:eastAsia="zh-CN"/>
              </w:rPr>
              <w:t>登录</w:t>
            </w:r>
            <w:r>
              <w:rPr>
                <w:rFonts w:hint="eastAsia" w:ascii="仿宋" w:hAnsi="仿宋" w:eastAsia="仿宋" w:cs="仿宋"/>
                <w:color w:val="auto"/>
                <w:sz w:val="26"/>
                <w:szCs w:val="26"/>
                <w:highlight w:val="none"/>
              </w:rPr>
              <w:t>“江苏政府采购网”，在网站首页点击“苏采云”→使用CA锁登录系统</w:t>
            </w:r>
            <w:r>
              <w:rPr>
                <w:rFonts w:hint="eastAsia" w:ascii="仿宋" w:hAnsi="仿宋" w:eastAsia="仿宋" w:cs="仿宋"/>
                <w:color w:val="auto"/>
                <w:sz w:val="26"/>
                <w:szCs w:val="26"/>
                <w:highlight w:val="none"/>
                <w:lang w:eastAsia="zh-CN"/>
              </w:rPr>
              <w:t>（</w:t>
            </w:r>
            <w:r>
              <w:rPr>
                <w:rFonts w:hint="eastAsia" w:ascii="仿宋" w:hAnsi="仿宋" w:eastAsia="仿宋" w:cs="仿宋"/>
                <w:color w:val="auto"/>
                <w:sz w:val="26"/>
                <w:szCs w:val="26"/>
                <w:highlight w:val="none"/>
              </w:rPr>
              <w:t>新用户需进行“平台用户注册”</w:t>
            </w:r>
            <w:r>
              <w:rPr>
                <w:rFonts w:hint="eastAsia" w:ascii="仿宋" w:hAnsi="仿宋" w:eastAsia="仿宋" w:cs="仿宋"/>
                <w:color w:val="auto"/>
                <w:sz w:val="26"/>
                <w:szCs w:val="26"/>
                <w:highlight w:val="none"/>
                <w:lang w:eastAsia="zh-CN"/>
              </w:rPr>
              <w:t>）</w:t>
            </w:r>
            <w:r>
              <w:rPr>
                <w:rFonts w:hint="eastAsia" w:ascii="仿宋" w:hAnsi="仿宋" w:eastAsia="仿宋" w:cs="仿宋"/>
                <w:color w:val="auto"/>
                <w:sz w:val="26"/>
                <w:szCs w:val="26"/>
                <w:highlight w:val="none"/>
              </w:rPr>
              <w:t>→“项目参与”进行登记，在“可参与项目”中选择“我要参与”，参与成功后到“已参与项目”界面中找到该项目下载文件并进行操作。</w:t>
            </w:r>
          </w:p>
        </w:tc>
      </w:tr>
      <w:tr w14:paraId="40192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821" w:type="dxa"/>
            <w:noWrap w:val="0"/>
            <w:vAlign w:val="center"/>
          </w:tcPr>
          <w:p w14:paraId="28CD8C96">
            <w:pPr>
              <w:pStyle w:val="201"/>
              <w:spacing w:line="360" w:lineRule="auto"/>
              <w:ind w:left="9"/>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6</w:t>
            </w:r>
          </w:p>
        </w:tc>
        <w:tc>
          <w:tcPr>
            <w:tcW w:w="2112" w:type="dxa"/>
            <w:gridSpan w:val="2"/>
            <w:noWrap w:val="0"/>
            <w:vAlign w:val="center"/>
          </w:tcPr>
          <w:p w14:paraId="18B5EAB2">
            <w:pPr>
              <w:pStyle w:val="201"/>
              <w:spacing w:line="360" w:lineRule="auto"/>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项目控制价</w:t>
            </w:r>
          </w:p>
        </w:tc>
        <w:tc>
          <w:tcPr>
            <w:tcW w:w="6996" w:type="dxa"/>
            <w:gridSpan w:val="2"/>
            <w:noWrap w:val="0"/>
            <w:vAlign w:val="center"/>
          </w:tcPr>
          <w:p w14:paraId="7A957D66">
            <w:pPr>
              <w:ind w:firstLine="240"/>
              <w:jc w:val="both"/>
              <w:rPr>
                <w:rFonts w:hint="default" w:ascii="仿宋" w:hAnsi="仿宋" w:eastAsia="仿宋" w:cs="仿宋"/>
                <w:color w:val="auto"/>
                <w:sz w:val="26"/>
                <w:szCs w:val="26"/>
                <w:highlight w:val="none"/>
                <w:lang w:val="en-US"/>
              </w:rPr>
            </w:pPr>
            <w:r>
              <w:rPr>
                <w:rFonts w:hint="default" w:ascii="仿宋" w:hAnsi="仿宋" w:eastAsia="仿宋" w:cs="仿宋"/>
                <w:color w:val="auto"/>
                <w:sz w:val="26"/>
                <w:szCs w:val="26"/>
                <w:highlight w:val="none"/>
                <w:lang w:val="en-US"/>
              </w:rPr>
              <w:t>771.0625</w:t>
            </w:r>
            <w:r>
              <w:rPr>
                <w:rFonts w:hint="default" w:ascii="仿宋" w:hAnsi="仿宋" w:eastAsia="仿宋" w:cs="仿宋"/>
                <w:color w:val="auto"/>
                <w:sz w:val="26"/>
                <w:szCs w:val="26"/>
                <w:highlight w:val="none"/>
                <w:lang w:val="en-US" w:eastAsia="zh-CN"/>
              </w:rPr>
              <w:t>万元/年，三年共计2313.1875‬万元（超过每年最高限价，按无效标处理）</w:t>
            </w:r>
          </w:p>
        </w:tc>
      </w:tr>
      <w:tr w14:paraId="16C94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jc w:val="center"/>
        </w:trPr>
        <w:tc>
          <w:tcPr>
            <w:tcW w:w="821" w:type="dxa"/>
            <w:noWrap w:val="0"/>
            <w:vAlign w:val="bottom"/>
          </w:tcPr>
          <w:p w14:paraId="084D3703">
            <w:pPr>
              <w:pStyle w:val="201"/>
              <w:spacing w:line="360" w:lineRule="auto"/>
              <w:ind w:left="9"/>
              <w:jc w:val="center"/>
              <w:rPr>
                <w:rFonts w:hint="eastAsia" w:ascii="仿宋" w:hAnsi="仿宋" w:eastAsia="仿宋" w:cs="仿宋"/>
                <w:color w:val="auto"/>
                <w:sz w:val="26"/>
                <w:szCs w:val="26"/>
                <w:highlight w:val="none"/>
                <w:lang w:val="en-US"/>
              </w:rPr>
            </w:pPr>
            <w:r>
              <w:rPr>
                <w:rFonts w:hint="eastAsia" w:ascii="仿宋" w:hAnsi="仿宋" w:eastAsia="仿宋" w:cs="仿宋"/>
                <w:color w:val="auto"/>
                <w:sz w:val="26"/>
                <w:szCs w:val="26"/>
                <w:highlight w:val="none"/>
                <w:lang w:val="en-US"/>
              </w:rPr>
              <w:t>7</w:t>
            </w:r>
          </w:p>
        </w:tc>
        <w:tc>
          <w:tcPr>
            <w:tcW w:w="2112" w:type="dxa"/>
            <w:gridSpan w:val="2"/>
            <w:noWrap w:val="0"/>
            <w:vAlign w:val="bottom"/>
          </w:tcPr>
          <w:p w14:paraId="3C2571F1">
            <w:pPr>
              <w:pStyle w:val="201"/>
              <w:spacing w:line="360" w:lineRule="auto"/>
              <w:ind w:left="466"/>
              <w:rPr>
                <w:rFonts w:hint="eastAsia" w:ascii="仿宋" w:hAnsi="仿宋" w:eastAsia="仿宋" w:cs="仿宋"/>
                <w:color w:val="auto"/>
                <w:sz w:val="26"/>
                <w:szCs w:val="26"/>
                <w:highlight w:val="none"/>
                <w:lang w:val="en-US"/>
              </w:rPr>
            </w:pPr>
            <w:r>
              <w:rPr>
                <w:rFonts w:hint="eastAsia" w:ascii="仿宋" w:hAnsi="仿宋" w:eastAsia="仿宋" w:cs="仿宋"/>
                <w:color w:val="auto"/>
                <w:sz w:val="26"/>
                <w:szCs w:val="26"/>
                <w:highlight w:val="none"/>
                <w:lang w:val="en-US"/>
              </w:rPr>
              <w:t>服务周期</w:t>
            </w:r>
          </w:p>
        </w:tc>
        <w:tc>
          <w:tcPr>
            <w:tcW w:w="6996" w:type="dxa"/>
            <w:gridSpan w:val="2"/>
            <w:noWrap w:val="0"/>
            <w:vAlign w:val="bottom"/>
          </w:tcPr>
          <w:p w14:paraId="18FD40B3">
            <w:pPr>
              <w:pStyle w:val="201"/>
              <w:spacing w:line="360" w:lineRule="auto"/>
              <w:ind w:left="107"/>
              <w:rPr>
                <w:rFonts w:hint="default" w:ascii="仿宋" w:hAnsi="仿宋" w:eastAsia="仿宋" w:cs="仿宋"/>
                <w:color w:val="auto"/>
                <w:sz w:val="26"/>
                <w:szCs w:val="26"/>
                <w:highlight w:val="none"/>
                <w:lang w:val="en-US" w:eastAsia="zh-CN"/>
              </w:rPr>
            </w:pPr>
            <w:r>
              <w:rPr>
                <w:rFonts w:hint="default" w:ascii="仿宋" w:hAnsi="仿宋" w:eastAsia="仿宋" w:cs="仿宋"/>
                <w:color w:val="auto"/>
                <w:sz w:val="26"/>
                <w:szCs w:val="26"/>
                <w:highlight w:val="none"/>
                <w:lang w:val="en-US" w:eastAsia="zh-CN"/>
              </w:rPr>
              <w:t>三年（合同一年一签，当年履约验收合格后方可续签下一年度合同）</w:t>
            </w:r>
          </w:p>
        </w:tc>
      </w:tr>
      <w:tr w14:paraId="1EE75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tcBorders>
              <w:bottom w:val="single" w:color="auto" w:sz="4" w:space="0"/>
            </w:tcBorders>
            <w:noWrap w:val="0"/>
            <w:vAlign w:val="center"/>
          </w:tcPr>
          <w:p w14:paraId="6012A6B1">
            <w:pPr>
              <w:pStyle w:val="201"/>
              <w:spacing w:line="360" w:lineRule="auto"/>
              <w:ind w:left="129" w:right="120"/>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lang w:val="en-US"/>
              </w:rPr>
              <w:t>8</w:t>
            </w:r>
          </w:p>
        </w:tc>
        <w:tc>
          <w:tcPr>
            <w:tcW w:w="2112" w:type="dxa"/>
            <w:gridSpan w:val="2"/>
            <w:tcBorders>
              <w:bottom w:val="single" w:color="auto" w:sz="4" w:space="0"/>
            </w:tcBorders>
            <w:noWrap w:val="0"/>
          </w:tcPr>
          <w:p w14:paraId="731CF40F">
            <w:pPr>
              <w:pStyle w:val="201"/>
              <w:spacing w:line="360" w:lineRule="auto"/>
              <w:ind w:left="466"/>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投标有效期</w:t>
            </w:r>
          </w:p>
        </w:tc>
        <w:tc>
          <w:tcPr>
            <w:tcW w:w="6996" w:type="dxa"/>
            <w:gridSpan w:val="2"/>
            <w:tcBorders>
              <w:bottom w:val="single" w:color="auto" w:sz="4" w:space="0"/>
            </w:tcBorders>
            <w:noWrap w:val="0"/>
          </w:tcPr>
          <w:p w14:paraId="3F267924">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投标截止之日起90天</w:t>
            </w:r>
          </w:p>
        </w:tc>
      </w:tr>
      <w:tr w14:paraId="7BE86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821" w:type="dxa"/>
            <w:vMerge w:val="restart"/>
            <w:tcBorders>
              <w:top w:val="single" w:color="auto" w:sz="4" w:space="0"/>
              <w:left w:val="single" w:color="auto" w:sz="4" w:space="0"/>
              <w:bottom w:val="single" w:color="auto" w:sz="4" w:space="0"/>
              <w:right w:val="single" w:color="auto" w:sz="4" w:space="0"/>
            </w:tcBorders>
            <w:noWrap w:val="0"/>
            <w:vAlign w:val="center"/>
          </w:tcPr>
          <w:p w14:paraId="663EFA3C">
            <w:pPr>
              <w:pStyle w:val="201"/>
              <w:spacing w:line="360" w:lineRule="auto"/>
              <w:ind w:left="129" w:right="120"/>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lang w:val="en-US"/>
              </w:rPr>
              <w:t>9</w:t>
            </w:r>
          </w:p>
        </w:tc>
        <w:tc>
          <w:tcPr>
            <w:tcW w:w="1034" w:type="dxa"/>
            <w:vMerge w:val="restart"/>
            <w:tcBorders>
              <w:top w:val="single" w:color="auto" w:sz="4" w:space="0"/>
              <w:left w:val="single" w:color="auto" w:sz="4" w:space="0"/>
              <w:bottom w:val="single" w:color="auto" w:sz="4" w:space="0"/>
              <w:right w:val="single" w:color="auto" w:sz="4" w:space="0"/>
            </w:tcBorders>
            <w:noWrap w:val="0"/>
            <w:vAlign w:val="center"/>
          </w:tcPr>
          <w:p w14:paraId="3DB51771">
            <w:pPr>
              <w:pStyle w:val="201"/>
              <w:spacing w:line="360" w:lineRule="auto"/>
              <w:ind w:left="241" w:right="231"/>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投标报名</w:t>
            </w:r>
          </w:p>
        </w:tc>
        <w:tc>
          <w:tcPr>
            <w:tcW w:w="1078" w:type="dxa"/>
            <w:tcBorders>
              <w:top w:val="single" w:color="auto" w:sz="4" w:space="0"/>
              <w:left w:val="single" w:color="auto" w:sz="4" w:space="0"/>
              <w:bottom w:val="single" w:color="auto" w:sz="4" w:space="0"/>
              <w:right w:val="single" w:color="auto" w:sz="4" w:space="0"/>
            </w:tcBorders>
            <w:noWrap w:val="0"/>
            <w:vAlign w:val="center"/>
          </w:tcPr>
          <w:p w14:paraId="557AE939">
            <w:pPr>
              <w:pStyle w:val="201"/>
              <w:spacing w:line="360" w:lineRule="auto"/>
              <w:ind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时间</w:t>
            </w:r>
          </w:p>
        </w:tc>
        <w:tc>
          <w:tcPr>
            <w:tcW w:w="6996" w:type="dxa"/>
            <w:gridSpan w:val="2"/>
            <w:tcBorders>
              <w:top w:val="single" w:color="auto" w:sz="4" w:space="0"/>
              <w:left w:val="single" w:color="auto" w:sz="4" w:space="0"/>
              <w:bottom w:val="single" w:color="auto" w:sz="4" w:space="0"/>
              <w:right w:val="single" w:color="auto" w:sz="4" w:space="0"/>
            </w:tcBorders>
            <w:noWrap w:val="0"/>
          </w:tcPr>
          <w:p w14:paraId="38A43152">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自招标文件公告发布之日起5个工作日</w:t>
            </w:r>
          </w:p>
        </w:tc>
      </w:tr>
      <w:tr w14:paraId="39F06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21" w:type="dxa"/>
            <w:vMerge w:val="continue"/>
            <w:tcBorders>
              <w:top w:val="single" w:color="auto" w:sz="4" w:space="0"/>
              <w:left w:val="single" w:color="auto" w:sz="4" w:space="0"/>
              <w:bottom w:val="single" w:color="auto" w:sz="4" w:space="0"/>
              <w:right w:val="single" w:color="auto" w:sz="4" w:space="0"/>
            </w:tcBorders>
            <w:noWrap w:val="0"/>
          </w:tcPr>
          <w:p w14:paraId="143C631E">
            <w:pPr>
              <w:spacing w:line="360" w:lineRule="auto"/>
              <w:rPr>
                <w:rFonts w:hint="eastAsia" w:ascii="仿宋" w:hAnsi="仿宋" w:eastAsia="仿宋" w:cs="仿宋"/>
                <w:color w:val="auto"/>
                <w:sz w:val="26"/>
                <w:szCs w:val="26"/>
                <w:highlight w:val="none"/>
              </w:rPr>
            </w:pPr>
          </w:p>
        </w:tc>
        <w:tc>
          <w:tcPr>
            <w:tcW w:w="1034" w:type="dxa"/>
            <w:vMerge w:val="continue"/>
            <w:tcBorders>
              <w:top w:val="single" w:color="auto" w:sz="4" w:space="0"/>
              <w:left w:val="single" w:color="auto" w:sz="4" w:space="0"/>
              <w:bottom w:val="single" w:color="auto" w:sz="4" w:space="0"/>
              <w:right w:val="single" w:color="auto" w:sz="4" w:space="0"/>
            </w:tcBorders>
            <w:noWrap w:val="0"/>
          </w:tcPr>
          <w:p w14:paraId="03DC1495">
            <w:pPr>
              <w:spacing w:line="360" w:lineRule="auto"/>
              <w:rPr>
                <w:rFonts w:hint="eastAsia" w:ascii="仿宋" w:hAnsi="仿宋" w:eastAsia="仿宋" w:cs="仿宋"/>
                <w:color w:val="auto"/>
                <w:sz w:val="26"/>
                <w:szCs w:val="26"/>
                <w:highlight w:val="none"/>
              </w:rPr>
            </w:pPr>
          </w:p>
        </w:tc>
        <w:tc>
          <w:tcPr>
            <w:tcW w:w="1078" w:type="dxa"/>
            <w:tcBorders>
              <w:top w:val="single" w:color="auto" w:sz="4" w:space="0"/>
              <w:left w:val="single" w:color="auto" w:sz="4" w:space="0"/>
              <w:bottom w:val="single" w:color="auto" w:sz="4" w:space="0"/>
              <w:right w:val="single" w:color="auto" w:sz="4" w:space="0"/>
            </w:tcBorders>
            <w:noWrap w:val="0"/>
          </w:tcPr>
          <w:p w14:paraId="4861D1FE">
            <w:pPr>
              <w:pStyle w:val="201"/>
              <w:spacing w:line="360" w:lineRule="auto"/>
              <w:ind w:left="99"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地点</w:t>
            </w:r>
          </w:p>
        </w:tc>
        <w:tc>
          <w:tcPr>
            <w:tcW w:w="6996" w:type="dxa"/>
            <w:gridSpan w:val="2"/>
            <w:tcBorders>
              <w:top w:val="single" w:color="auto" w:sz="4" w:space="0"/>
              <w:left w:val="single" w:color="auto" w:sz="4" w:space="0"/>
              <w:bottom w:val="single" w:color="auto" w:sz="4" w:space="0"/>
              <w:right w:val="single" w:color="auto" w:sz="4" w:space="0"/>
            </w:tcBorders>
            <w:noWrap w:val="0"/>
          </w:tcPr>
          <w:p w14:paraId="775FCAB3">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“江苏政府采购网、南京公共采购信息网”自行免费下载 </w:t>
            </w:r>
          </w:p>
        </w:tc>
      </w:tr>
      <w:tr w14:paraId="0E804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21" w:type="dxa"/>
            <w:vMerge w:val="continue"/>
            <w:tcBorders>
              <w:top w:val="single" w:color="auto" w:sz="4" w:space="0"/>
              <w:left w:val="single" w:color="auto" w:sz="4" w:space="0"/>
              <w:bottom w:val="single" w:color="auto" w:sz="4" w:space="0"/>
              <w:right w:val="single" w:color="auto" w:sz="4" w:space="0"/>
            </w:tcBorders>
            <w:noWrap w:val="0"/>
            <w:vAlign w:val="center"/>
          </w:tcPr>
          <w:p w14:paraId="0900654E">
            <w:pPr>
              <w:pStyle w:val="201"/>
              <w:spacing w:line="360" w:lineRule="auto"/>
              <w:ind w:right="120"/>
              <w:jc w:val="center"/>
              <w:rPr>
                <w:rFonts w:hint="eastAsia" w:ascii="仿宋" w:hAnsi="仿宋" w:eastAsia="仿宋" w:cs="仿宋"/>
                <w:color w:val="auto"/>
                <w:sz w:val="26"/>
                <w:szCs w:val="26"/>
                <w:highlight w:val="none"/>
                <w:lang w:val="en-US"/>
              </w:rPr>
            </w:pPr>
          </w:p>
        </w:tc>
        <w:tc>
          <w:tcPr>
            <w:tcW w:w="1034" w:type="dxa"/>
            <w:vMerge w:val="continue"/>
            <w:tcBorders>
              <w:top w:val="single" w:color="auto" w:sz="4" w:space="0"/>
              <w:left w:val="single" w:color="auto" w:sz="4" w:space="0"/>
              <w:bottom w:val="single" w:color="auto" w:sz="4" w:space="0"/>
              <w:right w:val="single" w:color="auto" w:sz="4" w:space="0"/>
            </w:tcBorders>
            <w:noWrap w:val="0"/>
          </w:tcPr>
          <w:p w14:paraId="7EC47C02">
            <w:pPr>
              <w:spacing w:line="360" w:lineRule="auto"/>
              <w:rPr>
                <w:rFonts w:hint="eastAsia" w:ascii="仿宋" w:hAnsi="仿宋" w:eastAsia="仿宋" w:cs="仿宋"/>
                <w:color w:val="auto"/>
                <w:sz w:val="26"/>
                <w:szCs w:val="26"/>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E88BC16">
            <w:pPr>
              <w:pStyle w:val="201"/>
              <w:spacing w:line="360" w:lineRule="auto"/>
              <w:ind w:left="99"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要求</w:t>
            </w:r>
          </w:p>
        </w:tc>
        <w:tc>
          <w:tcPr>
            <w:tcW w:w="6996" w:type="dxa"/>
            <w:gridSpan w:val="2"/>
            <w:tcBorders>
              <w:top w:val="single" w:color="auto" w:sz="4" w:space="0"/>
              <w:left w:val="single" w:color="auto" w:sz="4" w:space="0"/>
              <w:bottom w:val="single" w:color="auto" w:sz="4" w:space="0"/>
              <w:right w:val="single" w:color="auto" w:sz="4" w:space="0"/>
            </w:tcBorders>
            <w:noWrap w:val="0"/>
          </w:tcPr>
          <w:p w14:paraId="34BBB1FA">
            <w:pPr>
              <w:spacing w:line="360" w:lineRule="auto"/>
              <w:jc w:val="both"/>
              <w:rPr>
                <w:rFonts w:hint="eastAsia" w:ascii="仿宋" w:hAnsi="仿宋" w:eastAsia="仿宋" w:cs="仿宋"/>
                <w:color w:val="auto"/>
                <w:sz w:val="26"/>
                <w:szCs w:val="26"/>
                <w:highlight w:val="none"/>
                <w:lang w:val="en-US"/>
              </w:rPr>
            </w:pPr>
            <w:r>
              <w:rPr>
                <w:rFonts w:hint="eastAsia" w:ascii="仿宋" w:hAnsi="仿宋" w:eastAsia="仿宋" w:cs="仿宋"/>
                <w:color w:val="auto"/>
                <w:sz w:val="26"/>
                <w:szCs w:val="26"/>
                <w:highlight w:val="none"/>
                <w:lang w:val="en-US"/>
              </w:rPr>
              <w:t>供应商</w:t>
            </w:r>
            <w:r>
              <w:rPr>
                <w:rFonts w:hint="eastAsia" w:ascii="仿宋" w:hAnsi="仿宋" w:eastAsia="仿宋" w:cs="仿宋"/>
                <w:color w:val="auto"/>
                <w:sz w:val="26"/>
                <w:szCs w:val="26"/>
                <w:highlight w:val="none"/>
                <w:lang w:val="en-US" w:eastAsia="zh-CN"/>
              </w:rPr>
              <w:t>登录</w:t>
            </w:r>
            <w:r>
              <w:rPr>
                <w:rFonts w:hint="eastAsia" w:ascii="仿宋" w:hAnsi="仿宋" w:eastAsia="仿宋" w:cs="仿宋"/>
                <w:color w:val="auto"/>
                <w:sz w:val="26"/>
                <w:szCs w:val="26"/>
                <w:highlight w:val="none"/>
                <w:lang w:val="en-US"/>
              </w:rPr>
              <w:t>“江苏政府采购网”，在网站首页点击“苏采云”→使用CA锁登录系统</w:t>
            </w:r>
            <w:r>
              <w:rPr>
                <w:rFonts w:hint="eastAsia" w:ascii="仿宋" w:hAnsi="仿宋" w:eastAsia="仿宋" w:cs="仿宋"/>
                <w:color w:val="auto"/>
                <w:sz w:val="26"/>
                <w:szCs w:val="26"/>
                <w:highlight w:val="none"/>
                <w:lang w:val="en-US" w:eastAsia="zh-CN"/>
              </w:rPr>
              <w:t>（</w:t>
            </w:r>
            <w:r>
              <w:rPr>
                <w:rFonts w:hint="eastAsia" w:ascii="仿宋" w:hAnsi="仿宋" w:eastAsia="仿宋" w:cs="仿宋"/>
                <w:color w:val="auto"/>
                <w:sz w:val="26"/>
                <w:szCs w:val="26"/>
                <w:highlight w:val="none"/>
                <w:lang w:val="en-US"/>
              </w:rPr>
              <w:t>新用户需进行“平台用户注册”</w:t>
            </w:r>
            <w:r>
              <w:rPr>
                <w:rFonts w:hint="eastAsia" w:ascii="仿宋" w:hAnsi="仿宋" w:eastAsia="仿宋" w:cs="仿宋"/>
                <w:color w:val="auto"/>
                <w:sz w:val="26"/>
                <w:szCs w:val="26"/>
                <w:highlight w:val="none"/>
                <w:lang w:val="en-US" w:eastAsia="zh-CN"/>
              </w:rPr>
              <w:t>）</w:t>
            </w:r>
            <w:r>
              <w:rPr>
                <w:rFonts w:hint="eastAsia" w:ascii="仿宋" w:hAnsi="仿宋" w:eastAsia="仿宋" w:cs="仿宋"/>
                <w:color w:val="auto"/>
                <w:sz w:val="26"/>
                <w:szCs w:val="26"/>
                <w:highlight w:val="none"/>
                <w:lang w:val="en-US"/>
              </w:rPr>
              <w:t>→“项目参与”进行登记，在“可参与项目”中选择“我要参与”，参与成功后到“已参与项目”界面中找到该项目下载文件并进行操作。</w:t>
            </w:r>
          </w:p>
        </w:tc>
      </w:tr>
      <w:tr w14:paraId="7D255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vMerge w:val="restart"/>
            <w:tcBorders>
              <w:top w:val="single" w:color="auto" w:sz="4" w:space="0"/>
              <w:left w:val="single" w:color="auto" w:sz="4" w:space="0"/>
              <w:bottom w:val="single" w:color="auto" w:sz="4" w:space="0"/>
              <w:right w:val="single" w:color="auto" w:sz="4" w:space="0"/>
            </w:tcBorders>
            <w:noWrap w:val="0"/>
            <w:vAlign w:val="center"/>
          </w:tcPr>
          <w:p w14:paraId="5489BE17">
            <w:pPr>
              <w:pStyle w:val="201"/>
              <w:spacing w:line="360" w:lineRule="auto"/>
              <w:ind w:right="120"/>
              <w:jc w:val="center"/>
              <w:rPr>
                <w:rFonts w:hint="eastAsia" w:ascii="仿宋" w:hAnsi="仿宋" w:eastAsia="仿宋" w:cs="仿宋"/>
                <w:color w:val="auto"/>
                <w:sz w:val="26"/>
                <w:szCs w:val="26"/>
                <w:highlight w:val="none"/>
                <w:lang w:val="en-US"/>
              </w:rPr>
            </w:pPr>
            <w:r>
              <w:rPr>
                <w:rFonts w:hint="eastAsia" w:ascii="仿宋" w:hAnsi="仿宋" w:eastAsia="仿宋" w:cs="仿宋"/>
                <w:color w:val="auto"/>
                <w:sz w:val="26"/>
                <w:szCs w:val="26"/>
                <w:highlight w:val="none"/>
                <w:lang w:val="en-US"/>
              </w:rPr>
              <w:t>10</w:t>
            </w:r>
          </w:p>
        </w:tc>
        <w:tc>
          <w:tcPr>
            <w:tcW w:w="1034" w:type="dxa"/>
            <w:vMerge w:val="restart"/>
            <w:tcBorders>
              <w:top w:val="single" w:color="auto" w:sz="4" w:space="0"/>
              <w:left w:val="single" w:color="auto" w:sz="4" w:space="0"/>
              <w:bottom w:val="single" w:color="auto" w:sz="4" w:space="0"/>
              <w:right w:val="single" w:color="auto" w:sz="4" w:space="0"/>
            </w:tcBorders>
            <w:noWrap w:val="0"/>
            <w:vAlign w:val="center"/>
          </w:tcPr>
          <w:p w14:paraId="6F96F50B">
            <w:pPr>
              <w:pStyle w:val="201"/>
              <w:spacing w:line="360" w:lineRule="auto"/>
              <w:ind w:right="126"/>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投标文件递交信息</w:t>
            </w:r>
          </w:p>
        </w:tc>
        <w:tc>
          <w:tcPr>
            <w:tcW w:w="1078" w:type="dxa"/>
            <w:tcBorders>
              <w:top w:val="single" w:color="auto" w:sz="4" w:space="0"/>
              <w:left w:val="single" w:color="auto" w:sz="4" w:space="0"/>
              <w:bottom w:val="single" w:color="auto" w:sz="4" w:space="0"/>
              <w:right w:val="single" w:color="auto" w:sz="4" w:space="0"/>
            </w:tcBorders>
            <w:noWrap w:val="0"/>
            <w:vAlign w:val="center"/>
          </w:tcPr>
          <w:p w14:paraId="7880EE83">
            <w:pPr>
              <w:pStyle w:val="201"/>
              <w:spacing w:line="360" w:lineRule="auto"/>
              <w:ind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时间</w:t>
            </w:r>
          </w:p>
        </w:tc>
        <w:tc>
          <w:tcPr>
            <w:tcW w:w="6996" w:type="dxa"/>
            <w:gridSpan w:val="2"/>
            <w:tcBorders>
              <w:top w:val="single" w:color="auto" w:sz="4" w:space="0"/>
              <w:left w:val="single" w:color="auto" w:sz="4" w:space="0"/>
              <w:bottom w:val="single" w:color="auto" w:sz="4" w:space="0"/>
              <w:right w:val="single" w:color="auto" w:sz="4" w:space="0"/>
            </w:tcBorders>
            <w:noWrap w:val="0"/>
            <w:vAlign w:val="center"/>
          </w:tcPr>
          <w:p w14:paraId="074BF538">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2026年</w:t>
            </w:r>
            <w:r>
              <w:rPr>
                <w:rFonts w:hint="eastAsia" w:ascii="仿宋" w:hAnsi="仿宋" w:eastAsia="仿宋" w:cs="仿宋"/>
                <w:color w:val="auto"/>
                <w:sz w:val="26"/>
                <w:szCs w:val="26"/>
                <w:highlight w:val="none"/>
                <w:lang w:val="en-US" w:eastAsia="zh-CN"/>
              </w:rPr>
              <w:t xml:space="preserve">  8 </w:t>
            </w:r>
            <w:r>
              <w:rPr>
                <w:rFonts w:hint="eastAsia" w:ascii="仿宋" w:hAnsi="仿宋" w:eastAsia="仿宋" w:cs="仿宋"/>
                <w:color w:val="auto"/>
                <w:sz w:val="26"/>
                <w:szCs w:val="26"/>
                <w:highlight w:val="none"/>
              </w:rPr>
              <w:t>月</w:t>
            </w:r>
            <w:r>
              <w:rPr>
                <w:rFonts w:hint="eastAsia" w:ascii="仿宋" w:hAnsi="仿宋" w:eastAsia="仿宋" w:cs="仿宋"/>
                <w:color w:val="auto"/>
                <w:sz w:val="26"/>
                <w:szCs w:val="26"/>
                <w:highlight w:val="none"/>
                <w:lang w:val="en-US" w:eastAsia="zh-CN"/>
              </w:rPr>
              <w:t xml:space="preserve">  20  </w:t>
            </w:r>
            <w:r>
              <w:rPr>
                <w:rFonts w:hint="eastAsia" w:ascii="仿宋" w:hAnsi="仿宋" w:eastAsia="仿宋" w:cs="仿宋"/>
                <w:color w:val="auto"/>
                <w:sz w:val="26"/>
                <w:szCs w:val="26"/>
                <w:highlight w:val="none"/>
              </w:rPr>
              <w:t>日</w:t>
            </w:r>
            <w:r>
              <w:rPr>
                <w:rFonts w:hint="eastAsia" w:ascii="仿宋" w:hAnsi="仿宋" w:eastAsia="仿宋" w:cs="仿宋"/>
                <w:color w:val="auto"/>
                <w:sz w:val="26"/>
                <w:szCs w:val="26"/>
                <w:highlight w:val="none"/>
                <w:lang w:val="en-US" w:eastAsia="zh-CN"/>
              </w:rPr>
              <w:t>09</w:t>
            </w:r>
            <w:r>
              <w:rPr>
                <w:rFonts w:hint="eastAsia" w:ascii="仿宋" w:hAnsi="仿宋" w:eastAsia="仿宋" w:cs="仿宋"/>
                <w:color w:val="auto"/>
                <w:sz w:val="26"/>
                <w:szCs w:val="26"/>
                <w:highlight w:val="none"/>
              </w:rPr>
              <w:t>：</w:t>
            </w:r>
            <w:r>
              <w:rPr>
                <w:rFonts w:hint="eastAsia" w:ascii="仿宋" w:hAnsi="仿宋" w:eastAsia="仿宋" w:cs="仿宋"/>
                <w:color w:val="auto"/>
                <w:sz w:val="26"/>
                <w:szCs w:val="26"/>
                <w:highlight w:val="none"/>
                <w:lang w:val="en-US" w:eastAsia="zh-CN"/>
              </w:rPr>
              <w:t>3</w:t>
            </w:r>
            <w:r>
              <w:rPr>
                <w:rFonts w:hint="eastAsia" w:ascii="仿宋" w:hAnsi="仿宋" w:eastAsia="仿宋" w:cs="仿宋"/>
                <w:color w:val="auto"/>
                <w:sz w:val="26"/>
                <w:szCs w:val="26"/>
                <w:highlight w:val="none"/>
              </w:rPr>
              <w:t>0</w:t>
            </w:r>
          </w:p>
        </w:tc>
      </w:tr>
      <w:tr w14:paraId="67266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821" w:type="dxa"/>
            <w:vMerge w:val="continue"/>
            <w:tcBorders>
              <w:top w:val="single" w:color="auto" w:sz="4" w:space="0"/>
              <w:left w:val="single" w:color="auto" w:sz="4" w:space="0"/>
              <w:bottom w:val="single" w:color="auto" w:sz="4" w:space="0"/>
              <w:right w:val="single" w:color="auto" w:sz="4" w:space="0"/>
            </w:tcBorders>
            <w:noWrap w:val="0"/>
            <w:vAlign w:val="center"/>
          </w:tcPr>
          <w:p w14:paraId="3E508F29">
            <w:pPr>
              <w:spacing w:line="360" w:lineRule="auto"/>
              <w:jc w:val="center"/>
              <w:rPr>
                <w:rFonts w:hint="eastAsia" w:ascii="仿宋" w:hAnsi="仿宋" w:eastAsia="仿宋" w:cs="仿宋"/>
                <w:color w:val="auto"/>
                <w:sz w:val="26"/>
                <w:szCs w:val="26"/>
                <w:highlight w:val="none"/>
              </w:rPr>
            </w:pPr>
          </w:p>
        </w:tc>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14:paraId="27123AEE">
            <w:pPr>
              <w:spacing w:line="360" w:lineRule="auto"/>
              <w:jc w:val="center"/>
              <w:rPr>
                <w:rFonts w:hint="eastAsia" w:ascii="仿宋" w:hAnsi="仿宋" w:eastAsia="仿宋" w:cs="仿宋"/>
                <w:color w:val="auto"/>
                <w:sz w:val="26"/>
                <w:szCs w:val="26"/>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2309573">
            <w:pPr>
              <w:pStyle w:val="201"/>
              <w:spacing w:line="360" w:lineRule="auto"/>
              <w:ind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地点</w:t>
            </w:r>
          </w:p>
        </w:tc>
        <w:tc>
          <w:tcPr>
            <w:tcW w:w="6996" w:type="dxa"/>
            <w:gridSpan w:val="2"/>
            <w:tcBorders>
              <w:top w:val="single" w:color="auto" w:sz="4" w:space="0"/>
              <w:left w:val="single" w:color="auto" w:sz="4" w:space="0"/>
              <w:bottom w:val="single" w:color="auto" w:sz="4" w:space="0"/>
              <w:right w:val="single" w:color="auto" w:sz="4" w:space="0"/>
            </w:tcBorders>
            <w:noWrap w:val="0"/>
            <w:vAlign w:val="center"/>
          </w:tcPr>
          <w:p w14:paraId="3A3C9D14">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“江苏政府采购网、南京公共采购信息网”自行</w:t>
            </w:r>
            <w:r>
              <w:rPr>
                <w:rFonts w:hint="eastAsia" w:ascii="仿宋" w:hAnsi="仿宋" w:eastAsia="仿宋" w:cs="仿宋"/>
                <w:color w:val="auto"/>
                <w:sz w:val="26"/>
                <w:szCs w:val="26"/>
                <w:highlight w:val="none"/>
                <w:lang w:val="en-US" w:eastAsia="zh-CN"/>
              </w:rPr>
              <w:t>上传</w:t>
            </w:r>
            <w:r>
              <w:rPr>
                <w:rFonts w:hint="eastAsia" w:ascii="仿宋" w:hAnsi="仿宋" w:eastAsia="仿宋" w:cs="仿宋"/>
                <w:color w:val="auto"/>
                <w:sz w:val="26"/>
                <w:szCs w:val="26"/>
                <w:highlight w:val="none"/>
              </w:rPr>
              <w:t> </w:t>
            </w:r>
          </w:p>
        </w:tc>
      </w:tr>
      <w:tr w14:paraId="2B792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jc w:val="center"/>
        </w:trPr>
        <w:tc>
          <w:tcPr>
            <w:tcW w:w="821" w:type="dxa"/>
            <w:vMerge w:val="continue"/>
            <w:tcBorders>
              <w:top w:val="single" w:color="auto" w:sz="4" w:space="0"/>
              <w:left w:val="single" w:color="auto" w:sz="4" w:space="0"/>
              <w:bottom w:val="single" w:color="auto" w:sz="4" w:space="0"/>
              <w:right w:val="single" w:color="auto" w:sz="4" w:space="0"/>
            </w:tcBorders>
            <w:noWrap w:val="0"/>
            <w:vAlign w:val="center"/>
          </w:tcPr>
          <w:p w14:paraId="2D3B75EA">
            <w:pPr>
              <w:pStyle w:val="201"/>
              <w:spacing w:line="360" w:lineRule="auto"/>
              <w:ind w:left="129" w:right="120"/>
              <w:jc w:val="center"/>
              <w:rPr>
                <w:rFonts w:hint="eastAsia" w:ascii="仿宋" w:hAnsi="仿宋" w:eastAsia="仿宋" w:cs="仿宋"/>
                <w:color w:val="auto"/>
                <w:sz w:val="26"/>
                <w:szCs w:val="26"/>
                <w:highlight w:val="none"/>
                <w:lang w:val="en-US"/>
              </w:rPr>
            </w:pPr>
          </w:p>
        </w:tc>
        <w:tc>
          <w:tcPr>
            <w:tcW w:w="1034" w:type="dxa"/>
            <w:vMerge w:val="continue"/>
            <w:tcBorders>
              <w:top w:val="single" w:color="auto" w:sz="4" w:space="0"/>
              <w:left w:val="single" w:color="auto" w:sz="4" w:space="0"/>
              <w:bottom w:val="single" w:color="auto" w:sz="4" w:space="0"/>
              <w:right w:val="single" w:color="auto" w:sz="4" w:space="0"/>
            </w:tcBorders>
            <w:noWrap w:val="0"/>
            <w:vAlign w:val="center"/>
          </w:tcPr>
          <w:p w14:paraId="4AC0BD24">
            <w:pPr>
              <w:spacing w:line="360" w:lineRule="auto"/>
              <w:jc w:val="center"/>
              <w:rPr>
                <w:rFonts w:hint="eastAsia" w:ascii="仿宋" w:hAnsi="仿宋" w:eastAsia="仿宋" w:cs="仿宋"/>
                <w:color w:val="auto"/>
                <w:sz w:val="26"/>
                <w:szCs w:val="26"/>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86468B3">
            <w:pPr>
              <w:pStyle w:val="201"/>
              <w:spacing w:line="360" w:lineRule="auto"/>
              <w:ind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要求</w:t>
            </w:r>
          </w:p>
        </w:tc>
        <w:tc>
          <w:tcPr>
            <w:tcW w:w="6996" w:type="dxa"/>
            <w:gridSpan w:val="2"/>
            <w:tcBorders>
              <w:top w:val="single" w:color="auto" w:sz="4" w:space="0"/>
              <w:left w:val="single" w:color="auto" w:sz="4" w:space="0"/>
              <w:bottom w:val="single" w:color="auto" w:sz="4" w:space="0"/>
              <w:right w:val="single" w:color="auto" w:sz="4" w:space="0"/>
            </w:tcBorders>
            <w:noWrap w:val="0"/>
            <w:vAlign w:val="center"/>
          </w:tcPr>
          <w:p w14:paraId="10B4D7AE">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b/>
                <w:bCs/>
                <w:color w:val="auto"/>
                <w:sz w:val="26"/>
                <w:szCs w:val="26"/>
                <w:highlight w:val="none"/>
                <w:lang w:val="en-US"/>
              </w:rPr>
              <w:t>供应商</w:t>
            </w:r>
            <w:r>
              <w:rPr>
                <w:rFonts w:hint="eastAsia" w:ascii="仿宋" w:hAnsi="仿宋" w:eastAsia="仿宋" w:cs="仿宋"/>
                <w:b/>
                <w:bCs/>
                <w:color w:val="auto"/>
                <w:sz w:val="26"/>
                <w:szCs w:val="26"/>
                <w:highlight w:val="none"/>
                <w:lang w:val="en-US" w:eastAsia="zh-CN"/>
              </w:rPr>
              <w:t>登录</w:t>
            </w:r>
            <w:r>
              <w:rPr>
                <w:rFonts w:hint="eastAsia" w:ascii="仿宋" w:hAnsi="仿宋" w:eastAsia="仿宋" w:cs="仿宋"/>
                <w:b/>
                <w:bCs/>
                <w:color w:val="auto"/>
                <w:sz w:val="26"/>
                <w:szCs w:val="26"/>
                <w:highlight w:val="none"/>
                <w:lang w:val="en-US"/>
              </w:rPr>
              <w:t>“江苏政府采购网”，在网站首页点击“苏采云”→使用CA锁登录系统</w:t>
            </w:r>
            <w:r>
              <w:rPr>
                <w:rFonts w:hint="eastAsia" w:ascii="仿宋" w:hAnsi="仿宋" w:eastAsia="仿宋" w:cs="仿宋"/>
                <w:b/>
                <w:bCs/>
                <w:color w:val="auto"/>
                <w:sz w:val="26"/>
                <w:szCs w:val="26"/>
                <w:highlight w:val="none"/>
                <w:lang w:val="en-US" w:eastAsia="zh-CN"/>
              </w:rPr>
              <w:t>（</w:t>
            </w:r>
            <w:r>
              <w:rPr>
                <w:rFonts w:hint="eastAsia" w:ascii="仿宋" w:hAnsi="仿宋" w:eastAsia="仿宋" w:cs="仿宋"/>
                <w:b/>
                <w:bCs/>
                <w:color w:val="auto"/>
                <w:sz w:val="26"/>
                <w:szCs w:val="26"/>
                <w:highlight w:val="none"/>
                <w:lang w:val="en-US"/>
              </w:rPr>
              <w:t>新用户需进行“平台用户注册”</w:t>
            </w:r>
            <w:r>
              <w:rPr>
                <w:rFonts w:hint="eastAsia" w:ascii="仿宋" w:hAnsi="仿宋" w:eastAsia="仿宋" w:cs="仿宋"/>
                <w:b/>
                <w:bCs/>
                <w:color w:val="auto"/>
                <w:sz w:val="26"/>
                <w:szCs w:val="26"/>
                <w:highlight w:val="none"/>
                <w:lang w:val="en-US" w:eastAsia="zh-CN"/>
              </w:rPr>
              <w:t>）</w:t>
            </w:r>
            <w:r>
              <w:rPr>
                <w:rFonts w:hint="eastAsia" w:ascii="仿宋" w:hAnsi="仿宋" w:eastAsia="仿宋" w:cs="仿宋"/>
                <w:b/>
                <w:bCs/>
                <w:color w:val="auto"/>
                <w:sz w:val="26"/>
                <w:szCs w:val="26"/>
                <w:highlight w:val="none"/>
                <w:lang w:val="en-US"/>
              </w:rPr>
              <w:t>→“项目参与”进行登记，在“可参与项目”中选择“我要参与”，参与成功后到“已参与项目”界面中找到该项目下载文件并进行操作。</w:t>
            </w:r>
          </w:p>
        </w:tc>
      </w:tr>
      <w:tr w14:paraId="0E12E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vMerge w:val="restart"/>
            <w:tcBorders>
              <w:top w:val="single" w:color="auto" w:sz="4" w:space="0"/>
            </w:tcBorders>
            <w:noWrap w:val="0"/>
            <w:vAlign w:val="center"/>
          </w:tcPr>
          <w:p w14:paraId="6AF93613">
            <w:pPr>
              <w:pStyle w:val="201"/>
              <w:spacing w:line="360" w:lineRule="auto"/>
              <w:ind w:right="120"/>
              <w:jc w:val="center"/>
              <w:rPr>
                <w:rFonts w:hint="eastAsia" w:ascii="仿宋" w:hAnsi="仿宋" w:eastAsia="仿宋" w:cs="仿宋"/>
                <w:color w:val="auto"/>
                <w:sz w:val="26"/>
                <w:szCs w:val="26"/>
                <w:highlight w:val="none"/>
                <w:lang w:val="en-US"/>
              </w:rPr>
            </w:pPr>
            <w:r>
              <w:rPr>
                <w:rFonts w:hint="eastAsia" w:ascii="仿宋" w:hAnsi="仿宋" w:eastAsia="仿宋" w:cs="仿宋"/>
                <w:color w:val="auto"/>
                <w:sz w:val="26"/>
                <w:szCs w:val="26"/>
                <w:highlight w:val="none"/>
                <w:lang w:val="en-US"/>
              </w:rPr>
              <w:t>11</w:t>
            </w:r>
          </w:p>
        </w:tc>
        <w:tc>
          <w:tcPr>
            <w:tcW w:w="1034" w:type="dxa"/>
            <w:vMerge w:val="restart"/>
            <w:tcBorders>
              <w:top w:val="single" w:color="auto" w:sz="4" w:space="0"/>
            </w:tcBorders>
            <w:noWrap w:val="0"/>
            <w:vAlign w:val="center"/>
          </w:tcPr>
          <w:p w14:paraId="7EB88B4B">
            <w:pPr>
              <w:pStyle w:val="201"/>
              <w:spacing w:line="360" w:lineRule="auto"/>
              <w:jc w:val="center"/>
              <w:rPr>
                <w:rFonts w:hint="eastAsia" w:ascii="仿宋" w:hAnsi="仿宋" w:eastAsia="仿宋" w:cs="仿宋"/>
                <w:color w:val="auto"/>
                <w:sz w:val="26"/>
                <w:szCs w:val="26"/>
                <w:highlight w:val="none"/>
              </w:rPr>
            </w:pPr>
            <w:r>
              <w:rPr>
                <w:rFonts w:hint="eastAsia" w:ascii="仿宋" w:hAnsi="仿宋" w:eastAsia="仿宋" w:cs="仿宋"/>
                <w:color w:val="auto"/>
                <w:spacing w:val="-1"/>
                <w:sz w:val="26"/>
                <w:szCs w:val="26"/>
                <w:highlight w:val="none"/>
              </w:rPr>
              <w:t>投标</w:t>
            </w:r>
            <w:r>
              <w:rPr>
                <w:rFonts w:hint="eastAsia" w:ascii="仿宋" w:hAnsi="仿宋" w:eastAsia="仿宋" w:cs="仿宋"/>
                <w:color w:val="auto"/>
                <w:spacing w:val="-1"/>
                <w:sz w:val="26"/>
                <w:szCs w:val="26"/>
                <w:highlight w:val="none"/>
                <w:lang w:val="en-US"/>
              </w:rPr>
              <w:t>文件开启</w:t>
            </w:r>
            <w:r>
              <w:rPr>
                <w:rFonts w:hint="eastAsia" w:ascii="仿宋" w:hAnsi="仿宋" w:eastAsia="仿宋" w:cs="仿宋"/>
                <w:color w:val="auto"/>
                <w:spacing w:val="-1"/>
                <w:sz w:val="26"/>
                <w:szCs w:val="26"/>
                <w:highlight w:val="none"/>
              </w:rPr>
              <w:t>信息</w:t>
            </w:r>
          </w:p>
        </w:tc>
        <w:tc>
          <w:tcPr>
            <w:tcW w:w="1078" w:type="dxa"/>
            <w:tcBorders>
              <w:top w:val="single" w:color="auto" w:sz="4" w:space="0"/>
            </w:tcBorders>
            <w:noWrap w:val="0"/>
            <w:vAlign w:val="center"/>
          </w:tcPr>
          <w:p w14:paraId="3278CF9B">
            <w:pPr>
              <w:pStyle w:val="201"/>
              <w:spacing w:line="360" w:lineRule="auto"/>
              <w:ind w:left="99"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时间</w:t>
            </w:r>
          </w:p>
        </w:tc>
        <w:tc>
          <w:tcPr>
            <w:tcW w:w="6996" w:type="dxa"/>
            <w:gridSpan w:val="2"/>
            <w:tcBorders>
              <w:top w:val="single" w:color="auto" w:sz="4" w:space="0"/>
            </w:tcBorders>
            <w:noWrap w:val="0"/>
          </w:tcPr>
          <w:p w14:paraId="75D17B79">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2026年</w:t>
            </w:r>
            <w:r>
              <w:rPr>
                <w:rFonts w:hint="eastAsia" w:ascii="仿宋" w:hAnsi="仿宋" w:eastAsia="仿宋" w:cs="仿宋"/>
                <w:color w:val="auto"/>
                <w:sz w:val="26"/>
                <w:szCs w:val="26"/>
                <w:highlight w:val="none"/>
                <w:lang w:val="en-US" w:eastAsia="zh-CN"/>
              </w:rPr>
              <w:t xml:space="preserve">  8 </w:t>
            </w:r>
            <w:r>
              <w:rPr>
                <w:rFonts w:hint="eastAsia" w:ascii="仿宋" w:hAnsi="仿宋" w:eastAsia="仿宋" w:cs="仿宋"/>
                <w:color w:val="auto"/>
                <w:sz w:val="26"/>
                <w:szCs w:val="26"/>
                <w:highlight w:val="none"/>
              </w:rPr>
              <w:t>月</w:t>
            </w:r>
            <w:r>
              <w:rPr>
                <w:rFonts w:hint="eastAsia" w:ascii="仿宋" w:hAnsi="仿宋" w:eastAsia="仿宋" w:cs="仿宋"/>
                <w:color w:val="auto"/>
                <w:sz w:val="26"/>
                <w:szCs w:val="26"/>
                <w:highlight w:val="none"/>
                <w:lang w:val="en-US" w:eastAsia="zh-CN"/>
              </w:rPr>
              <w:t xml:space="preserve">  20  </w:t>
            </w:r>
            <w:r>
              <w:rPr>
                <w:rFonts w:hint="eastAsia" w:ascii="仿宋" w:hAnsi="仿宋" w:eastAsia="仿宋" w:cs="仿宋"/>
                <w:color w:val="auto"/>
                <w:sz w:val="26"/>
                <w:szCs w:val="26"/>
                <w:highlight w:val="none"/>
              </w:rPr>
              <w:t>日</w:t>
            </w:r>
            <w:r>
              <w:rPr>
                <w:rFonts w:hint="eastAsia" w:ascii="仿宋" w:hAnsi="仿宋" w:eastAsia="仿宋" w:cs="仿宋"/>
                <w:color w:val="auto"/>
                <w:sz w:val="26"/>
                <w:szCs w:val="26"/>
                <w:highlight w:val="none"/>
                <w:lang w:val="en-US" w:eastAsia="zh-CN"/>
              </w:rPr>
              <w:t>09</w:t>
            </w:r>
            <w:r>
              <w:rPr>
                <w:rFonts w:hint="eastAsia" w:ascii="仿宋" w:hAnsi="仿宋" w:eastAsia="仿宋" w:cs="仿宋"/>
                <w:color w:val="auto"/>
                <w:sz w:val="26"/>
                <w:szCs w:val="26"/>
                <w:highlight w:val="none"/>
              </w:rPr>
              <w:t>：</w:t>
            </w:r>
            <w:r>
              <w:rPr>
                <w:rFonts w:hint="eastAsia" w:ascii="仿宋" w:hAnsi="仿宋" w:eastAsia="仿宋" w:cs="仿宋"/>
                <w:color w:val="auto"/>
                <w:sz w:val="26"/>
                <w:szCs w:val="26"/>
                <w:highlight w:val="none"/>
                <w:lang w:val="en-US" w:eastAsia="zh-CN"/>
              </w:rPr>
              <w:t>3</w:t>
            </w:r>
            <w:r>
              <w:rPr>
                <w:rFonts w:hint="eastAsia" w:ascii="仿宋" w:hAnsi="仿宋" w:eastAsia="仿宋" w:cs="仿宋"/>
                <w:color w:val="auto"/>
                <w:sz w:val="26"/>
                <w:szCs w:val="26"/>
                <w:highlight w:val="none"/>
              </w:rPr>
              <w:t>0</w:t>
            </w:r>
          </w:p>
        </w:tc>
      </w:tr>
      <w:tr w14:paraId="3D5C0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jc w:val="center"/>
        </w:trPr>
        <w:tc>
          <w:tcPr>
            <w:tcW w:w="821" w:type="dxa"/>
            <w:vMerge w:val="continue"/>
            <w:tcBorders>
              <w:top w:val="nil"/>
            </w:tcBorders>
            <w:noWrap w:val="0"/>
            <w:vAlign w:val="center"/>
          </w:tcPr>
          <w:p w14:paraId="1DDA2C30">
            <w:pPr>
              <w:pStyle w:val="201"/>
              <w:spacing w:line="360" w:lineRule="auto"/>
              <w:ind w:right="120"/>
              <w:jc w:val="center"/>
              <w:rPr>
                <w:rFonts w:hint="eastAsia" w:ascii="仿宋" w:hAnsi="仿宋" w:eastAsia="仿宋" w:cs="仿宋"/>
                <w:color w:val="auto"/>
                <w:sz w:val="26"/>
                <w:szCs w:val="26"/>
                <w:highlight w:val="none"/>
                <w:lang w:val="en-US"/>
              </w:rPr>
            </w:pPr>
          </w:p>
        </w:tc>
        <w:tc>
          <w:tcPr>
            <w:tcW w:w="1034" w:type="dxa"/>
            <w:vMerge w:val="continue"/>
            <w:tcBorders>
              <w:top w:val="nil"/>
            </w:tcBorders>
            <w:noWrap w:val="0"/>
            <w:vAlign w:val="center"/>
          </w:tcPr>
          <w:p w14:paraId="7ED61DC5">
            <w:pPr>
              <w:spacing w:line="360" w:lineRule="auto"/>
              <w:jc w:val="center"/>
              <w:rPr>
                <w:rFonts w:hint="eastAsia" w:ascii="仿宋" w:hAnsi="仿宋" w:eastAsia="仿宋" w:cs="仿宋"/>
                <w:color w:val="auto"/>
                <w:sz w:val="26"/>
                <w:szCs w:val="26"/>
                <w:highlight w:val="none"/>
              </w:rPr>
            </w:pPr>
          </w:p>
        </w:tc>
        <w:tc>
          <w:tcPr>
            <w:tcW w:w="1078" w:type="dxa"/>
            <w:noWrap w:val="0"/>
            <w:vAlign w:val="center"/>
          </w:tcPr>
          <w:p w14:paraId="19748457">
            <w:pPr>
              <w:pStyle w:val="201"/>
              <w:spacing w:line="360" w:lineRule="auto"/>
              <w:ind w:left="99"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地点</w:t>
            </w:r>
          </w:p>
        </w:tc>
        <w:tc>
          <w:tcPr>
            <w:tcW w:w="6996" w:type="dxa"/>
            <w:gridSpan w:val="2"/>
            <w:noWrap w:val="0"/>
          </w:tcPr>
          <w:p w14:paraId="33A8CCBF">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“苏采云”政府采购交易系统网上开标大厅</w:t>
            </w:r>
          </w:p>
        </w:tc>
      </w:tr>
      <w:tr w14:paraId="2F46A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21" w:type="dxa"/>
            <w:vMerge w:val="restart"/>
            <w:noWrap w:val="0"/>
            <w:vAlign w:val="center"/>
          </w:tcPr>
          <w:p w14:paraId="67DB5A8C">
            <w:pPr>
              <w:pStyle w:val="201"/>
              <w:spacing w:line="360" w:lineRule="auto"/>
              <w:ind w:right="120"/>
              <w:jc w:val="center"/>
              <w:rPr>
                <w:rFonts w:hint="eastAsia" w:ascii="仿宋" w:hAnsi="仿宋" w:eastAsia="仿宋" w:cs="仿宋"/>
                <w:color w:val="auto"/>
                <w:sz w:val="26"/>
                <w:szCs w:val="26"/>
                <w:highlight w:val="none"/>
                <w:lang w:val="en-US" w:eastAsia="zh-CN"/>
              </w:rPr>
            </w:pPr>
            <w:r>
              <w:rPr>
                <w:rFonts w:hint="eastAsia" w:ascii="仿宋" w:hAnsi="仿宋" w:eastAsia="仿宋" w:cs="仿宋"/>
                <w:color w:val="auto"/>
                <w:sz w:val="26"/>
                <w:szCs w:val="26"/>
                <w:highlight w:val="none"/>
                <w:lang w:val="en-US"/>
              </w:rPr>
              <w:t>1</w:t>
            </w:r>
            <w:r>
              <w:rPr>
                <w:rFonts w:hint="eastAsia" w:ascii="仿宋" w:hAnsi="仿宋" w:eastAsia="仿宋" w:cs="仿宋"/>
                <w:color w:val="auto"/>
                <w:sz w:val="26"/>
                <w:szCs w:val="26"/>
                <w:highlight w:val="none"/>
                <w:lang w:val="en-US" w:eastAsia="zh-CN"/>
              </w:rPr>
              <w:t>2</w:t>
            </w:r>
          </w:p>
        </w:tc>
        <w:tc>
          <w:tcPr>
            <w:tcW w:w="1034" w:type="dxa"/>
            <w:vMerge w:val="restart"/>
            <w:noWrap w:val="0"/>
            <w:vAlign w:val="center"/>
          </w:tcPr>
          <w:p w14:paraId="16A465EF">
            <w:pPr>
              <w:pStyle w:val="201"/>
              <w:spacing w:line="360" w:lineRule="auto"/>
              <w:ind w:right="231"/>
              <w:jc w:val="right"/>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lang w:val="en-US"/>
              </w:rPr>
              <w:t>联</w:t>
            </w:r>
            <w:r>
              <w:rPr>
                <w:rFonts w:hint="eastAsia" w:ascii="仿宋" w:hAnsi="仿宋" w:eastAsia="仿宋" w:cs="仿宋"/>
                <w:color w:val="auto"/>
                <w:sz w:val="26"/>
                <w:szCs w:val="26"/>
                <w:highlight w:val="none"/>
              </w:rPr>
              <w:t>系</w:t>
            </w:r>
          </w:p>
          <w:p w14:paraId="07E13CF2">
            <w:pPr>
              <w:pStyle w:val="201"/>
              <w:spacing w:line="360" w:lineRule="auto"/>
              <w:ind w:right="231"/>
              <w:jc w:val="right"/>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lang w:val="en-US"/>
              </w:rPr>
              <w:t>事</w:t>
            </w:r>
            <w:r>
              <w:rPr>
                <w:rFonts w:hint="eastAsia" w:ascii="仿宋" w:hAnsi="仿宋" w:eastAsia="仿宋" w:cs="仿宋"/>
                <w:color w:val="auto"/>
                <w:sz w:val="26"/>
                <w:szCs w:val="26"/>
                <w:highlight w:val="none"/>
              </w:rPr>
              <w:t>项</w:t>
            </w:r>
          </w:p>
        </w:tc>
        <w:tc>
          <w:tcPr>
            <w:tcW w:w="1078" w:type="dxa"/>
            <w:vMerge w:val="restart"/>
            <w:noWrap w:val="0"/>
            <w:vAlign w:val="center"/>
          </w:tcPr>
          <w:p w14:paraId="3C7B4782">
            <w:pPr>
              <w:pStyle w:val="201"/>
              <w:spacing w:line="360" w:lineRule="auto"/>
              <w:jc w:val="center"/>
              <w:rPr>
                <w:rFonts w:hint="eastAsia" w:ascii="仿宋" w:hAnsi="仿宋" w:eastAsia="仿宋" w:cs="仿宋"/>
                <w:color w:val="auto"/>
                <w:sz w:val="26"/>
                <w:szCs w:val="26"/>
                <w:highlight w:val="none"/>
              </w:rPr>
            </w:pPr>
          </w:p>
          <w:p w14:paraId="72EF97DB">
            <w:pPr>
              <w:pStyle w:val="201"/>
              <w:spacing w:line="360" w:lineRule="auto"/>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采购单位</w:t>
            </w:r>
          </w:p>
        </w:tc>
        <w:tc>
          <w:tcPr>
            <w:tcW w:w="1692" w:type="dxa"/>
            <w:noWrap w:val="0"/>
          </w:tcPr>
          <w:p w14:paraId="5629B20B">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联系人</w:t>
            </w:r>
          </w:p>
        </w:tc>
        <w:tc>
          <w:tcPr>
            <w:tcW w:w="5304" w:type="dxa"/>
            <w:noWrap w:val="0"/>
          </w:tcPr>
          <w:p w14:paraId="58E8D289">
            <w:pPr>
              <w:pStyle w:val="201"/>
              <w:spacing w:line="360" w:lineRule="auto"/>
              <w:ind w:left="108"/>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val="en-US" w:eastAsia="zh-CN"/>
              </w:rPr>
              <w:t>荣工</w:t>
            </w:r>
          </w:p>
        </w:tc>
      </w:tr>
      <w:tr w14:paraId="1003D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21" w:type="dxa"/>
            <w:vMerge w:val="continue"/>
            <w:tcBorders>
              <w:top w:val="nil"/>
            </w:tcBorders>
            <w:noWrap w:val="0"/>
            <w:vAlign w:val="center"/>
          </w:tcPr>
          <w:p w14:paraId="02B07A0D">
            <w:pPr>
              <w:spacing w:line="360" w:lineRule="auto"/>
              <w:jc w:val="center"/>
              <w:rPr>
                <w:rFonts w:hint="eastAsia" w:ascii="仿宋" w:hAnsi="仿宋" w:eastAsia="仿宋" w:cs="仿宋"/>
                <w:color w:val="auto"/>
                <w:sz w:val="26"/>
                <w:szCs w:val="26"/>
                <w:highlight w:val="none"/>
              </w:rPr>
            </w:pPr>
          </w:p>
        </w:tc>
        <w:tc>
          <w:tcPr>
            <w:tcW w:w="1034" w:type="dxa"/>
            <w:vMerge w:val="continue"/>
            <w:tcBorders>
              <w:top w:val="nil"/>
            </w:tcBorders>
            <w:noWrap w:val="0"/>
            <w:vAlign w:val="center"/>
          </w:tcPr>
          <w:p w14:paraId="34CF8FE2">
            <w:pPr>
              <w:spacing w:line="360" w:lineRule="auto"/>
              <w:jc w:val="center"/>
              <w:rPr>
                <w:rFonts w:hint="eastAsia" w:ascii="仿宋" w:hAnsi="仿宋" w:eastAsia="仿宋" w:cs="仿宋"/>
                <w:color w:val="auto"/>
                <w:sz w:val="26"/>
                <w:szCs w:val="26"/>
                <w:highlight w:val="none"/>
              </w:rPr>
            </w:pPr>
          </w:p>
        </w:tc>
        <w:tc>
          <w:tcPr>
            <w:tcW w:w="1078" w:type="dxa"/>
            <w:vMerge w:val="continue"/>
            <w:tcBorders>
              <w:top w:val="nil"/>
            </w:tcBorders>
            <w:noWrap w:val="0"/>
            <w:vAlign w:val="center"/>
          </w:tcPr>
          <w:p w14:paraId="44271785">
            <w:pPr>
              <w:spacing w:line="360" w:lineRule="auto"/>
              <w:jc w:val="center"/>
              <w:rPr>
                <w:rFonts w:hint="eastAsia" w:ascii="仿宋" w:hAnsi="仿宋" w:eastAsia="仿宋" w:cs="仿宋"/>
                <w:color w:val="auto"/>
                <w:sz w:val="26"/>
                <w:szCs w:val="26"/>
                <w:highlight w:val="none"/>
              </w:rPr>
            </w:pPr>
          </w:p>
        </w:tc>
        <w:tc>
          <w:tcPr>
            <w:tcW w:w="1692" w:type="dxa"/>
            <w:noWrap w:val="0"/>
          </w:tcPr>
          <w:p w14:paraId="048E0B7B">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联系电话</w:t>
            </w:r>
          </w:p>
        </w:tc>
        <w:tc>
          <w:tcPr>
            <w:tcW w:w="5304" w:type="dxa"/>
            <w:noWrap w:val="0"/>
          </w:tcPr>
          <w:p w14:paraId="112FCC51">
            <w:pPr>
              <w:pStyle w:val="201"/>
              <w:spacing w:line="360" w:lineRule="auto"/>
              <w:ind w:left="108"/>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eastAsia="zh-CN"/>
              </w:rPr>
              <w:t>025-52775873</w:t>
            </w:r>
          </w:p>
        </w:tc>
      </w:tr>
      <w:tr w14:paraId="44257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 w:hRule="atLeast"/>
          <w:jc w:val="center"/>
        </w:trPr>
        <w:tc>
          <w:tcPr>
            <w:tcW w:w="821" w:type="dxa"/>
            <w:vMerge w:val="continue"/>
            <w:tcBorders>
              <w:top w:val="nil"/>
            </w:tcBorders>
            <w:noWrap w:val="0"/>
            <w:vAlign w:val="center"/>
          </w:tcPr>
          <w:p w14:paraId="3862A00C">
            <w:pPr>
              <w:spacing w:line="360" w:lineRule="auto"/>
              <w:jc w:val="center"/>
              <w:rPr>
                <w:rFonts w:hint="eastAsia" w:ascii="仿宋" w:hAnsi="仿宋" w:eastAsia="仿宋" w:cs="仿宋"/>
                <w:color w:val="auto"/>
                <w:sz w:val="26"/>
                <w:szCs w:val="26"/>
                <w:highlight w:val="none"/>
              </w:rPr>
            </w:pPr>
          </w:p>
        </w:tc>
        <w:tc>
          <w:tcPr>
            <w:tcW w:w="1034" w:type="dxa"/>
            <w:vMerge w:val="continue"/>
            <w:tcBorders>
              <w:top w:val="nil"/>
            </w:tcBorders>
            <w:noWrap w:val="0"/>
            <w:vAlign w:val="center"/>
          </w:tcPr>
          <w:p w14:paraId="2A11FE43">
            <w:pPr>
              <w:spacing w:line="360" w:lineRule="auto"/>
              <w:jc w:val="center"/>
              <w:rPr>
                <w:rFonts w:hint="eastAsia" w:ascii="仿宋" w:hAnsi="仿宋" w:eastAsia="仿宋" w:cs="仿宋"/>
                <w:color w:val="auto"/>
                <w:sz w:val="26"/>
                <w:szCs w:val="26"/>
                <w:highlight w:val="none"/>
              </w:rPr>
            </w:pPr>
          </w:p>
        </w:tc>
        <w:tc>
          <w:tcPr>
            <w:tcW w:w="1078" w:type="dxa"/>
            <w:vMerge w:val="restart"/>
            <w:noWrap w:val="0"/>
            <w:vAlign w:val="center"/>
          </w:tcPr>
          <w:p w14:paraId="0D6E7A28">
            <w:pPr>
              <w:pStyle w:val="201"/>
              <w:spacing w:line="360" w:lineRule="auto"/>
              <w:ind w:right="92"/>
              <w:jc w:val="center"/>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代理机构</w:t>
            </w:r>
          </w:p>
        </w:tc>
        <w:tc>
          <w:tcPr>
            <w:tcW w:w="1692" w:type="dxa"/>
            <w:noWrap w:val="0"/>
          </w:tcPr>
          <w:p w14:paraId="52EE82DB">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联系人</w:t>
            </w:r>
          </w:p>
        </w:tc>
        <w:tc>
          <w:tcPr>
            <w:tcW w:w="5304" w:type="dxa"/>
            <w:noWrap w:val="0"/>
          </w:tcPr>
          <w:p w14:paraId="7EA1947F">
            <w:pPr>
              <w:pStyle w:val="201"/>
              <w:spacing w:line="360" w:lineRule="auto"/>
              <w:ind w:left="108"/>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val="en-US" w:eastAsia="zh-CN"/>
              </w:rPr>
              <w:t>贺工</w:t>
            </w:r>
          </w:p>
        </w:tc>
      </w:tr>
      <w:tr w14:paraId="47EDF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jc w:val="center"/>
        </w:trPr>
        <w:tc>
          <w:tcPr>
            <w:tcW w:w="821" w:type="dxa"/>
            <w:vMerge w:val="continue"/>
            <w:tcBorders>
              <w:top w:val="nil"/>
            </w:tcBorders>
            <w:noWrap w:val="0"/>
          </w:tcPr>
          <w:p w14:paraId="751EEACB">
            <w:pPr>
              <w:spacing w:line="360" w:lineRule="auto"/>
              <w:rPr>
                <w:rFonts w:hint="eastAsia" w:ascii="仿宋" w:hAnsi="仿宋" w:eastAsia="仿宋" w:cs="仿宋"/>
                <w:color w:val="auto"/>
                <w:sz w:val="26"/>
                <w:szCs w:val="26"/>
                <w:highlight w:val="none"/>
              </w:rPr>
            </w:pPr>
          </w:p>
        </w:tc>
        <w:tc>
          <w:tcPr>
            <w:tcW w:w="1034" w:type="dxa"/>
            <w:vMerge w:val="continue"/>
            <w:tcBorders>
              <w:top w:val="nil"/>
            </w:tcBorders>
            <w:noWrap w:val="0"/>
          </w:tcPr>
          <w:p w14:paraId="7991D75B">
            <w:pPr>
              <w:spacing w:line="360" w:lineRule="auto"/>
              <w:rPr>
                <w:rFonts w:hint="eastAsia" w:ascii="仿宋" w:hAnsi="仿宋" w:eastAsia="仿宋" w:cs="仿宋"/>
                <w:color w:val="auto"/>
                <w:sz w:val="26"/>
                <w:szCs w:val="26"/>
                <w:highlight w:val="none"/>
              </w:rPr>
            </w:pPr>
          </w:p>
        </w:tc>
        <w:tc>
          <w:tcPr>
            <w:tcW w:w="1078" w:type="dxa"/>
            <w:vMerge w:val="continue"/>
            <w:tcBorders>
              <w:top w:val="nil"/>
            </w:tcBorders>
            <w:noWrap w:val="0"/>
          </w:tcPr>
          <w:p w14:paraId="072CE972">
            <w:pPr>
              <w:spacing w:line="360" w:lineRule="auto"/>
              <w:rPr>
                <w:rFonts w:hint="eastAsia" w:ascii="仿宋" w:hAnsi="仿宋" w:eastAsia="仿宋" w:cs="仿宋"/>
                <w:color w:val="auto"/>
                <w:sz w:val="26"/>
                <w:szCs w:val="26"/>
                <w:highlight w:val="none"/>
              </w:rPr>
            </w:pPr>
          </w:p>
        </w:tc>
        <w:tc>
          <w:tcPr>
            <w:tcW w:w="1692" w:type="dxa"/>
            <w:noWrap w:val="0"/>
          </w:tcPr>
          <w:p w14:paraId="64A523DB">
            <w:pPr>
              <w:pStyle w:val="201"/>
              <w:spacing w:line="360" w:lineRule="auto"/>
              <w:ind w:left="107"/>
              <w:rPr>
                <w:rFonts w:hint="eastAsia" w:ascii="仿宋" w:hAnsi="仿宋" w:eastAsia="仿宋" w:cs="仿宋"/>
                <w:color w:val="auto"/>
                <w:sz w:val="26"/>
                <w:szCs w:val="26"/>
                <w:highlight w:val="none"/>
              </w:rPr>
            </w:pPr>
            <w:r>
              <w:rPr>
                <w:rFonts w:hint="eastAsia" w:ascii="仿宋" w:hAnsi="仿宋" w:eastAsia="仿宋" w:cs="仿宋"/>
                <w:color w:val="auto"/>
                <w:sz w:val="26"/>
                <w:szCs w:val="26"/>
                <w:highlight w:val="none"/>
              </w:rPr>
              <w:t>联系电话</w:t>
            </w:r>
          </w:p>
        </w:tc>
        <w:tc>
          <w:tcPr>
            <w:tcW w:w="5304" w:type="dxa"/>
            <w:noWrap w:val="0"/>
          </w:tcPr>
          <w:p w14:paraId="085A85BE">
            <w:pPr>
              <w:pStyle w:val="201"/>
              <w:spacing w:line="360" w:lineRule="auto"/>
              <w:ind w:left="108"/>
              <w:rPr>
                <w:rFonts w:hint="eastAsia" w:ascii="仿宋" w:hAnsi="仿宋" w:eastAsia="仿宋" w:cs="仿宋"/>
                <w:color w:val="auto"/>
                <w:sz w:val="26"/>
                <w:szCs w:val="26"/>
                <w:highlight w:val="none"/>
                <w:lang w:eastAsia="zh-CN"/>
              </w:rPr>
            </w:pPr>
            <w:r>
              <w:rPr>
                <w:rFonts w:hint="eastAsia" w:ascii="仿宋" w:hAnsi="仿宋" w:eastAsia="仿宋" w:cs="仿宋"/>
                <w:color w:val="auto"/>
                <w:sz w:val="26"/>
                <w:szCs w:val="26"/>
                <w:highlight w:val="none"/>
                <w:lang w:eastAsia="zh-CN"/>
              </w:rPr>
              <w:t>17705141491</w:t>
            </w:r>
            <w:bookmarkStart w:id="73" w:name="_GoBack"/>
            <w:bookmarkEnd w:id="73"/>
          </w:p>
        </w:tc>
      </w:tr>
    </w:tbl>
    <w:p w14:paraId="55AB7C43">
      <w:pPr>
        <w:pStyle w:val="199"/>
        <w:spacing w:line="360" w:lineRule="auto"/>
        <w:ind w:left="0" w:leftChars="0" w:firstLine="0" w:firstLineChars="0"/>
        <w:rPr>
          <w:rFonts w:hint="eastAsia" w:ascii="仿宋" w:hAnsi="仿宋" w:eastAsia="仿宋" w:cs="仿宋"/>
          <w:color w:val="auto"/>
          <w:highlight w:val="none"/>
        </w:rPr>
        <w:sectPr>
          <w:pgSz w:w="11910" w:h="16840"/>
          <w:pgMar w:top="1701" w:right="1134" w:bottom="1701" w:left="1134" w:header="0" w:footer="992" w:gutter="0"/>
          <w:cols w:space="425" w:num="1"/>
          <w:docGrid w:linePitch="360" w:charSpace="0"/>
        </w:sectPr>
      </w:pPr>
    </w:p>
    <w:p w14:paraId="73DE050C">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一、总则</w:t>
      </w:r>
    </w:p>
    <w:p w14:paraId="3AC017E1">
      <w:pPr>
        <w:pStyle w:val="15"/>
        <w:spacing w:line="360" w:lineRule="auto"/>
        <w:ind w:left="15"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适用法律</w:t>
      </w:r>
    </w:p>
    <w:p w14:paraId="7B0C5102">
      <w:pPr>
        <w:pStyle w:val="15"/>
        <w:spacing w:line="360" w:lineRule="auto"/>
        <w:ind w:left="13" w:right="90" w:firstLine="7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pacing w:val="-9"/>
          <w:sz w:val="24"/>
          <w:szCs w:val="24"/>
          <w:highlight w:val="none"/>
        </w:rPr>
        <w:t xml:space="preserve"> </w:t>
      </w:r>
      <w:r>
        <w:rPr>
          <w:rFonts w:hint="eastAsia" w:ascii="仿宋" w:hAnsi="仿宋" w:eastAsia="仿宋" w:cs="仿宋"/>
          <w:color w:val="auto"/>
          <w:spacing w:val="-9"/>
          <w:sz w:val="24"/>
          <w:szCs w:val="24"/>
          <w:highlight w:val="none"/>
          <w:lang w:val="en-US" w:eastAsia="zh-CN"/>
        </w:rPr>
        <w:t>执行</w:t>
      </w:r>
      <w:r>
        <w:rPr>
          <w:rFonts w:hint="eastAsia" w:ascii="仿宋" w:hAnsi="仿宋" w:eastAsia="仿宋" w:cs="仿宋"/>
          <w:color w:val="auto"/>
          <w:spacing w:val="-9"/>
          <w:sz w:val="24"/>
          <w:szCs w:val="24"/>
          <w:highlight w:val="none"/>
        </w:rPr>
        <w:t>《中华人民共和国政府采购法</w:t>
      </w:r>
      <w:r>
        <w:rPr>
          <w:rFonts w:hint="eastAsia" w:ascii="仿宋" w:hAnsi="仿宋" w:eastAsia="仿宋" w:cs="仿宋"/>
          <w:color w:val="auto"/>
          <w:spacing w:val="-9"/>
          <w:sz w:val="24"/>
          <w:szCs w:val="24"/>
          <w:highlight w:val="none"/>
          <w:lang w:eastAsia="zh-CN"/>
        </w:rPr>
        <w:t>》《</w:t>
      </w:r>
      <w:r>
        <w:rPr>
          <w:rFonts w:hint="eastAsia" w:ascii="仿宋" w:hAnsi="仿宋" w:eastAsia="仿宋" w:cs="仿宋"/>
          <w:color w:val="auto"/>
          <w:spacing w:val="-9"/>
          <w:sz w:val="24"/>
          <w:szCs w:val="24"/>
          <w:highlight w:val="none"/>
        </w:rPr>
        <w:t>中华人民共和国政府采购法实施条例</w:t>
      </w:r>
      <w:r>
        <w:rPr>
          <w:rFonts w:hint="eastAsia" w:ascii="仿宋" w:hAnsi="仿宋" w:eastAsia="仿宋" w:cs="仿宋"/>
          <w:color w:val="auto"/>
          <w:spacing w:val="-9"/>
          <w:sz w:val="24"/>
          <w:szCs w:val="24"/>
          <w:highlight w:val="none"/>
          <w:lang w:eastAsia="zh-CN"/>
        </w:rPr>
        <w:t>》《</w:t>
      </w:r>
      <w:r>
        <w:rPr>
          <w:rFonts w:hint="eastAsia" w:ascii="仿宋" w:hAnsi="仿宋" w:eastAsia="仿宋" w:cs="仿宋"/>
          <w:color w:val="auto"/>
          <w:spacing w:val="-9"/>
          <w:sz w:val="24"/>
          <w:szCs w:val="24"/>
          <w:highlight w:val="none"/>
        </w:rPr>
        <w:t>政府采购货物和服务招标投标管理办法》等有关法律、规章和规定等。</w:t>
      </w:r>
    </w:p>
    <w:p w14:paraId="4C12E4EC">
      <w:pPr>
        <w:spacing w:line="360" w:lineRule="auto"/>
        <w:ind w:left="15" w:firstLine="4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2.</w:t>
      </w:r>
      <w:r>
        <w:rPr>
          <w:rFonts w:hint="eastAsia" w:ascii="仿宋" w:hAnsi="仿宋" w:eastAsia="仿宋" w:cs="仿宋"/>
          <w:b/>
          <w:color w:val="auto"/>
          <w:sz w:val="24"/>
          <w:szCs w:val="24"/>
          <w:highlight w:val="none"/>
        </w:rPr>
        <w:t>定义</w:t>
      </w:r>
    </w:p>
    <w:p w14:paraId="1067F47B">
      <w:pPr>
        <w:pStyle w:val="199"/>
        <w:spacing w:line="360" w:lineRule="auto"/>
        <w:ind w:left="66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2.1</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供应商</w:t>
      </w:r>
      <w:r>
        <w:rPr>
          <w:rFonts w:hint="eastAsia" w:ascii="仿宋" w:hAnsi="仿宋" w:eastAsia="仿宋" w:cs="仿宋"/>
          <w:color w:val="auto"/>
          <w:spacing w:val="-12"/>
          <w:sz w:val="24"/>
          <w:szCs w:val="24"/>
          <w:highlight w:val="none"/>
        </w:rPr>
        <w:t>”是指参加投标竞争，并符合招标文件规定资格条件的法人、其他组织或者自然人。</w:t>
      </w:r>
    </w:p>
    <w:p w14:paraId="2FD1C8BD">
      <w:pPr>
        <w:pStyle w:val="199"/>
        <w:spacing w:line="360" w:lineRule="auto"/>
        <w:ind w:left="675"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2.2</w:t>
      </w:r>
      <w:r>
        <w:rPr>
          <w:rFonts w:hint="eastAsia" w:ascii="仿宋" w:hAnsi="仿宋" w:eastAsia="仿宋" w:cs="仿宋"/>
          <w:color w:val="auto"/>
          <w:sz w:val="24"/>
          <w:szCs w:val="24"/>
          <w:highlight w:val="none"/>
        </w:rPr>
        <w:t>“服务”指本招标文件中所述</w:t>
      </w:r>
      <w:r>
        <w:rPr>
          <w:rFonts w:hint="eastAsia" w:ascii="仿宋" w:hAnsi="仿宋" w:eastAsia="仿宋" w:cs="仿宋"/>
          <w:b/>
          <w:color w:val="auto"/>
          <w:sz w:val="24"/>
          <w:szCs w:val="24"/>
          <w:highlight w:val="none"/>
        </w:rPr>
        <w:t>产品</w:t>
      </w:r>
      <w:r>
        <w:rPr>
          <w:rFonts w:hint="eastAsia" w:ascii="仿宋" w:hAnsi="仿宋" w:eastAsia="仿宋" w:cs="仿宋"/>
          <w:color w:val="auto"/>
          <w:sz w:val="24"/>
          <w:szCs w:val="24"/>
          <w:highlight w:val="none"/>
        </w:rPr>
        <w:t>及相关服务。</w:t>
      </w:r>
    </w:p>
    <w:p w14:paraId="073A51DD">
      <w:pPr>
        <w:pStyle w:val="199"/>
        <w:spacing w:line="360" w:lineRule="auto"/>
        <w:ind w:left="660" w:firstLine="0"/>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lang w:val="en-US"/>
        </w:rPr>
        <w:t>2.3</w:t>
      </w:r>
      <w:r>
        <w:rPr>
          <w:rFonts w:hint="eastAsia" w:ascii="仿宋" w:hAnsi="仿宋" w:eastAsia="仿宋" w:cs="仿宋"/>
          <w:color w:val="auto"/>
          <w:spacing w:val="-12"/>
          <w:sz w:val="24"/>
          <w:szCs w:val="24"/>
          <w:highlight w:val="none"/>
        </w:rPr>
        <w:t>“用户或使用单位”是指使用服务的单位。</w:t>
      </w:r>
    </w:p>
    <w:p w14:paraId="65277080">
      <w:pPr>
        <w:pStyle w:val="199"/>
        <w:tabs>
          <w:tab w:val="left" w:pos="0"/>
        </w:tabs>
        <w:spacing w:line="360" w:lineRule="auto"/>
        <w:ind w:left="-18" w:right="5139" w:firstLine="524"/>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3.</w:t>
      </w:r>
      <w:r>
        <w:rPr>
          <w:rFonts w:hint="eastAsia" w:ascii="仿宋" w:hAnsi="仿宋" w:eastAsia="仿宋" w:cs="仿宋"/>
          <w:b/>
          <w:color w:val="auto"/>
          <w:sz w:val="24"/>
          <w:szCs w:val="24"/>
          <w:highlight w:val="none"/>
        </w:rPr>
        <w:t>政策功能</w:t>
      </w:r>
    </w:p>
    <w:p w14:paraId="47C34F38">
      <w:pPr>
        <w:pStyle w:val="199"/>
        <w:tabs>
          <w:tab w:val="left" w:pos="0"/>
        </w:tabs>
        <w:spacing w:line="360" w:lineRule="auto"/>
        <w:ind w:left="458"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3.1</w:t>
      </w:r>
      <w:r>
        <w:rPr>
          <w:rFonts w:hint="eastAsia" w:ascii="仿宋" w:hAnsi="仿宋" w:eastAsia="仿宋" w:cs="仿宋"/>
          <w:b/>
          <w:color w:val="auto"/>
          <w:sz w:val="24"/>
          <w:szCs w:val="24"/>
          <w:highlight w:val="none"/>
        </w:rPr>
        <w:t>中小企业、监狱企业、残疾人福利性单位相关政策</w:t>
      </w:r>
    </w:p>
    <w:p w14:paraId="6108115F">
      <w:pPr>
        <w:pStyle w:val="199"/>
        <w:tabs>
          <w:tab w:val="left" w:pos="0"/>
        </w:tabs>
        <w:spacing w:line="360" w:lineRule="auto"/>
        <w:ind w:left="458" w:right="9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中小企业划型标准按照《关于印发中小企业划型标准规定的通知（工信部联企业〔2011</w:t>
      </w:r>
      <w:r>
        <w:rPr>
          <w:rFonts w:hint="eastAsia" w:ascii="仿宋" w:hAnsi="仿宋" w:eastAsia="仿宋" w:cs="仿宋"/>
          <w:color w:val="auto"/>
          <w:spacing w:val="-11"/>
          <w:sz w:val="24"/>
          <w:szCs w:val="24"/>
          <w:highlight w:val="none"/>
        </w:rPr>
        <w:t>〕</w:t>
      </w:r>
      <w:r>
        <w:rPr>
          <w:rFonts w:hint="eastAsia" w:ascii="仿宋" w:hAnsi="仿宋" w:eastAsia="仿宋" w:cs="仿宋"/>
          <w:color w:val="auto"/>
          <w:sz w:val="24"/>
          <w:szCs w:val="24"/>
          <w:highlight w:val="none"/>
        </w:rPr>
        <w:t>300号）》</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的相关规定认定。</w:t>
      </w:r>
    </w:p>
    <w:p w14:paraId="042C7A60">
      <w:pPr>
        <w:pStyle w:val="199"/>
        <w:tabs>
          <w:tab w:val="left" w:pos="-850"/>
        </w:tabs>
        <w:spacing w:line="360" w:lineRule="auto"/>
        <w:ind w:left="473" w:right="783" w:firstLine="464"/>
        <w:jc w:val="both"/>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（2）根据《政府采购促进中小企业发展管理办法》的相关规定，本项目对小型和微型企业产品的价格给予扣除，以扣除后的价格作为评审价格。</w:t>
      </w:r>
    </w:p>
    <w:p w14:paraId="1EF7FB97">
      <w:pPr>
        <w:pStyle w:val="199"/>
        <w:tabs>
          <w:tab w:val="left" w:pos="0"/>
        </w:tabs>
        <w:spacing w:line="360" w:lineRule="auto"/>
        <w:ind w:left="458" w:right="785"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56504EA4">
      <w:pPr>
        <w:pStyle w:val="199"/>
        <w:spacing w:line="360" w:lineRule="auto"/>
        <w:ind w:left="495" w:right="785" w:firstLine="4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（4）根据《财库〔2017〕141号》符合条件的残疾人福利性单位视同小型、微型企业，享受中小  企业</w:t>
      </w:r>
      <w:r>
        <w:rPr>
          <w:rFonts w:hint="eastAsia" w:ascii="仿宋" w:hAnsi="仿宋" w:eastAsia="仿宋" w:cs="仿宋"/>
          <w:color w:val="auto"/>
          <w:spacing w:val="-4"/>
          <w:sz w:val="24"/>
          <w:szCs w:val="24"/>
          <w:highlight w:val="none"/>
        </w:rPr>
        <w:t>发展的政府采购政策。残疾人福利性单位属于小型、微型企业的，不重复享受政策。</w:t>
      </w:r>
    </w:p>
    <w:p w14:paraId="64EAA2D7">
      <w:pPr>
        <w:pStyle w:val="199"/>
        <w:tabs>
          <w:tab w:val="left" w:pos="1823"/>
        </w:tabs>
        <w:spacing w:line="360" w:lineRule="auto"/>
        <w:ind w:left="-18" w:firstLine="102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小型、微型企业提供中型或大型企业制造的货物的，视同为中型或大型企业。</w:t>
      </w:r>
    </w:p>
    <w:p w14:paraId="313249A5">
      <w:pPr>
        <w:pStyle w:val="15"/>
        <w:spacing w:line="360" w:lineRule="auto"/>
        <w:ind w:left="649" w:right="730" w:firstLine="43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参加政府采购活动的中小企业应当按“关于印发《政府采购促进中小企业发展管理办法》的通知[财库〔2020〕46号]” 和《财库〔2017〕141号》</w:t>
      </w:r>
      <w:r>
        <w:rPr>
          <w:rFonts w:hint="eastAsia" w:ascii="仿宋" w:hAnsi="仿宋" w:eastAsia="仿宋" w:cs="仿宋"/>
          <w:color w:val="auto"/>
          <w:spacing w:val="-5"/>
          <w:sz w:val="24"/>
          <w:szCs w:val="24"/>
          <w:highlight w:val="none"/>
        </w:rPr>
        <w:t>规定提供《中小企业声明函》和《残疾人福利性单位声明函》。未提供上述资料的报价，其价格不予扣除。</w:t>
      </w:r>
    </w:p>
    <w:p w14:paraId="11E5F539">
      <w:pPr>
        <w:pStyle w:val="199"/>
        <w:tabs>
          <w:tab w:val="left" w:pos="0"/>
        </w:tabs>
        <w:spacing w:line="360" w:lineRule="auto"/>
        <w:ind w:left="-18" w:right="760" w:firstLine="780"/>
        <w:jc w:val="both"/>
        <w:rPr>
          <w:rFonts w:hint="eastAsia" w:ascii="仿宋" w:hAnsi="仿宋" w:eastAsia="仿宋" w:cs="仿宋"/>
          <w:color w:val="auto"/>
          <w:sz w:val="24"/>
          <w:szCs w:val="24"/>
          <w:highlight w:val="none"/>
        </w:rPr>
      </w:pPr>
      <w:r>
        <w:rPr>
          <w:rFonts w:hint="eastAsia" w:ascii="仿宋" w:hAnsi="仿宋" w:eastAsia="仿宋" w:cs="仿宋"/>
          <w:b/>
          <w:color w:val="auto"/>
          <w:spacing w:val="-4"/>
          <w:sz w:val="24"/>
          <w:szCs w:val="24"/>
          <w:highlight w:val="none"/>
          <w:lang w:val="en-US"/>
        </w:rPr>
        <w:t>3.2</w:t>
      </w:r>
      <w:r>
        <w:rPr>
          <w:rFonts w:hint="eastAsia" w:ascii="仿宋" w:hAnsi="仿宋" w:eastAsia="仿宋" w:cs="仿宋"/>
          <w:b/>
          <w:color w:val="auto"/>
          <w:spacing w:val="-4"/>
          <w:sz w:val="24"/>
          <w:szCs w:val="24"/>
          <w:highlight w:val="none"/>
        </w:rPr>
        <w:t>强制采购节能产品、信息安全产品，优先采购环境标志产品。</w:t>
      </w:r>
    </w:p>
    <w:p w14:paraId="6454DFB0">
      <w:pPr>
        <w:pStyle w:val="199"/>
        <w:tabs>
          <w:tab w:val="left" w:pos="440"/>
        </w:tabs>
        <w:spacing w:line="360" w:lineRule="auto"/>
        <w:ind w:left="649" w:right="760" w:firstLine="420"/>
        <w:jc w:val="both"/>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节能产品是指列入财政部、国</w:t>
      </w:r>
      <w:r>
        <w:rPr>
          <w:rFonts w:hint="eastAsia" w:ascii="仿宋" w:hAnsi="仿宋" w:eastAsia="仿宋" w:cs="仿宋"/>
          <w:color w:val="auto"/>
          <w:spacing w:val="-6"/>
          <w:sz w:val="24"/>
          <w:szCs w:val="24"/>
          <w:highlight w:val="none"/>
        </w:rPr>
        <w:t>家发展和改革委员会制定的《节能产品政府采购清单》，且经过认定的节能产品；信息安全产品是指</w:t>
      </w:r>
      <w:r>
        <w:rPr>
          <w:rFonts w:hint="eastAsia" w:ascii="仿宋" w:hAnsi="仿宋" w:eastAsia="仿宋" w:cs="仿宋"/>
          <w:color w:val="auto"/>
          <w:spacing w:val="-3"/>
          <w:sz w:val="24"/>
          <w:szCs w:val="24"/>
          <w:highlight w:val="none"/>
        </w:rPr>
        <w:t>列入国家质检总局 国家认监委《信息安全产品强制性认证目录》，并获得强制性产品认证证书的产</w:t>
      </w:r>
      <w:r>
        <w:rPr>
          <w:rFonts w:hint="eastAsia" w:ascii="仿宋" w:hAnsi="仿宋" w:eastAsia="仿宋" w:cs="仿宋"/>
          <w:color w:val="auto"/>
          <w:spacing w:val="-8"/>
          <w:sz w:val="24"/>
          <w:szCs w:val="24"/>
          <w:highlight w:val="none"/>
        </w:rPr>
        <w:t>品；环境标志产品是指列入财政部、国家环保总局制定的《环境标志产品政府采购清单》，且经过认证的环境标志产品。</w:t>
      </w:r>
    </w:p>
    <w:p w14:paraId="7833EA24">
      <w:pPr>
        <w:pStyle w:val="199"/>
        <w:tabs>
          <w:tab w:val="left" w:pos="1827"/>
        </w:tabs>
        <w:spacing w:line="360" w:lineRule="auto"/>
        <w:ind w:left="640" w:right="783" w:firstLine="2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）提供的产品属于信息安全产品的，供应商应当选择经国家认证的信息安全产品，并提供由中国信息安全认证中心按国家标准认证颁发的有效认证证书复印件。</w:t>
      </w:r>
    </w:p>
    <w:p w14:paraId="6D43646C">
      <w:pPr>
        <w:pStyle w:val="199"/>
        <w:tabs>
          <w:tab w:val="left" w:pos="1827"/>
        </w:tabs>
        <w:spacing w:line="360" w:lineRule="auto"/>
        <w:ind w:left="-18" w:firstLine="102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）提供的产品属于政府强制采购节能产品的，供应商应当选择《节能产品政府采购清单》中的产品，并提供有效的节能产品认证证书复印件。</w:t>
      </w:r>
    </w:p>
    <w:p w14:paraId="57507841">
      <w:pPr>
        <w:pStyle w:val="199"/>
        <w:tabs>
          <w:tab w:val="left" w:pos="1820"/>
        </w:tabs>
        <w:spacing w:line="360" w:lineRule="auto"/>
        <w:ind w:left="640" w:right="784" w:firstLine="268"/>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）提供的产品属于环境标志产品的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供应商应当选择《环境标志产品政府采购清单》中的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且经过认证的环境标志产品投标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并提供有效的环境标志产品认证证书复印件</w:t>
      </w:r>
      <w:r>
        <w:rPr>
          <w:rFonts w:hint="eastAsia" w:ascii="仿宋" w:hAnsi="仿宋" w:eastAsia="仿宋" w:cs="仿宋"/>
          <w:b/>
          <w:color w:val="auto"/>
          <w:sz w:val="24"/>
          <w:szCs w:val="24"/>
          <w:highlight w:val="none"/>
        </w:rPr>
        <w:t>。</w:t>
      </w:r>
    </w:p>
    <w:p w14:paraId="1F387474">
      <w:pPr>
        <w:pStyle w:val="199"/>
        <w:tabs>
          <w:tab w:val="left" w:pos="220"/>
        </w:tabs>
        <w:spacing w:line="360" w:lineRule="auto"/>
        <w:ind w:left="200" w:right="658" w:firstLine="52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3.3</w:t>
      </w:r>
      <w:r>
        <w:rPr>
          <w:rFonts w:hint="eastAsia" w:ascii="仿宋" w:hAnsi="仿宋" w:eastAsia="仿宋" w:cs="仿宋"/>
          <w:b/>
          <w:color w:val="auto"/>
          <w:sz w:val="24"/>
          <w:szCs w:val="24"/>
          <w:highlight w:val="none"/>
        </w:rPr>
        <w:t xml:space="preserve">采购文件中的参考产品品牌或型号，是采购人根据项目所要实现的功能列出的品牌或型号， </w:t>
      </w:r>
      <w:r>
        <w:rPr>
          <w:rFonts w:hint="eastAsia" w:ascii="仿宋" w:hAnsi="仿宋" w:eastAsia="仿宋" w:cs="仿宋"/>
          <w:b/>
          <w:color w:val="auto"/>
          <w:spacing w:val="-8"/>
          <w:sz w:val="24"/>
          <w:szCs w:val="24"/>
          <w:highlight w:val="none"/>
        </w:rPr>
        <w:t>并不是限制条件。供应商可以采用不低于参考的产品档次参与竞争，但是所有技术和功能不得低于采</w:t>
      </w:r>
      <w:r>
        <w:rPr>
          <w:rFonts w:hint="eastAsia" w:ascii="仿宋" w:hAnsi="仿宋" w:eastAsia="仿宋" w:cs="仿宋"/>
          <w:b/>
          <w:color w:val="auto"/>
          <w:spacing w:val="-9"/>
          <w:sz w:val="24"/>
          <w:szCs w:val="24"/>
          <w:highlight w:val="none"/>
        </w:rPr>
        <w:t>购要求，并提供证明材料以保证整体功能的实现，并在方案中加以合理的阐述说明，否则将可能作为无效投标处理。</w:t>
      </w:r>
    </w:p>
    <w:p w14:paraId="469B761F">
      <w:pPr>
        <w:pStyle w:val="199"/>
        <w:tabs>
          <w:tab w:val="left" w:pos="0"/>
        </w:tabs>
        <w:spacing w:line="360" w:lineRule="auto"/>
        <w:ind w:left="200" w:right="743" w:firstLine="529"/>
        <w:jc w:val="both"/>
        <w:rPr>
          <w:rFonts w:hint="eastAsia" w:ascii="仿宋" w:hAnsi="仿宋" w:eastAsia="仿宋" w:cs="仿宋"/>
          <w:b/>
          <w:color w:val="auto"/>
          <w:sz w:val="24"/>
          <w:szCs w:val="24"/>
          <w:highlight w:val="none"/>
        </w:rPr>
      </w:pPr>
      <w:r>
        <w:rPr>
          <w:rFonts w:hint="eastAsia" w:ascii="仿宋" w:hAnsi="仿宋" w:eastAsia="仿宋" w:cs="仿宋"/>
          <w:b/>
          <w:color w:val="auto"/>
          <w:spacing w:val="-7"/>
          <w:sz w:val="24"/>
          <w:szCs w:val="24"/>
          <w:highlight w:val="none"/>
          <w:lang w:val="en-US"/>
        </w:rPr>
        <w:t>3.4</w:t>
      </w:r>
      <w:r>
        <w:rPr>
          <w:rFonts w:hint="eastAsia" w:ascii="仿宋" w:hAnsi="仿宋" w:eastAsia="仿宋" w:cs="仿宋"/>
          <w:b/>
          <w:color w:val="auto"/>
          <w:spacing w:val="-7"/>
          <w:sz w:val="24"/>
          <w:szCs w:val="24"/>
          <w:highlight w:val="none"/>
        </w:rPr>
        <w:t>根据《南京市政府采购供应商信用管理工作暂行办法》的相关规定：供应商参加政府采购活</w:t>
      </w:r>
      <w:r>
        <w:rPr>
          <w:rFonts w:hint="eastAsia" w:ascii="仿宋" w:hAnsi="仿宋" w:eastAsia="仿宋" w:cs="仿宋"/>
          <w:b/>
          <w:color w:val="auto"/>
          <w:spacing w:val="-9"/>
          <w:sz w:val="24"/>
          <w:szCs w:val="24"/>
          <w:highlight w:val="none"/>
        </w:rPr>
        <w:t>动时，应当按“关于印发《南京市政府采购供应商信用管理工作暂行办法》的通知</w:t>
      </w:r>
      <w:r>
        <w:rPr>
          <w:rFonts w:hint="eastAsia" w:ascii="仿宋" w:hAnsi="仿宋" w:eastAsia="仿宋" w:cs="仿宋"/>
          <w:b/>
          <w:color w:val="auto"/>
          <w:sz w:val="24"/>
          <w:szCs w:val="24"/>
          <w:highlight w:val="none"/>
        </w:rPr>
        <w:t>（宁财规</w:t>
      </w:r>
      <w:r>
        <w:rPr>
          <w:rFonts w:hint="eastAsia" w:ascii="仿宋" w:hAnsi="仿宋" w:eastAsia="仿宋" w:cs="仿宋"/>
          <w:b/>
          <w:color w:val="auto"/>
          <w:sz w:val="24"/>
          <w:szCs w:val="24"/>
          <w:highlight w:val="none"/>
          <w:lang w:eastAsia="zh-CN"/>
        </w:rPr>
        <w:t>〔2018〕10号</w:t>
      </w:r>
      <w:r>
        <w:rPr>
          <w:rFonts w:hint="eastAsia" w:ascii="仿宋" w:hAnsi="仿宋" w:eastAsia="仿宋" w:cs="仿宋"/>
          <w:b/>
          <w:color w:val="auto"/>
          <w:sz w:val="24"/>
          <w:szCs w:val="24"/>
          <w:highlight w:val="none"/>
        </w:rPr>
        <w:t>）</w:t>
      </w:r>
      <w:r>
        <w:rPr>
          <w:rFonts w:hint="eastAsia" w:ascii="仿宋" w:hAnsi="仿宋" w:eastAsia="仿宋" w:cs="仿宋"/>
          <w:b/>
          <w:color w:val="auto"/>
          <w:spacing w:val="-2"/>
          <w:sz w:val="24"/>
          <w:szCs w:val="24"/>
          <w:highlight w:val="none"/>
        </w:rPr>
        <w:t>” 规定提供《南京市政府采购供应商信用记录表暨信用承诺书》。</w:t>
      </w:r>
    </w:p>
    <w:p w14:paraId="23D53B4C">
      <w:pPr>
        <w:spacing w:line="360" w:lineRule="auto"/>
        <w:ind w:left="19" w:hanging="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二、招标文件</w:t>
      </w:r>
    </w:p>
    <w:p w14:paraId="6873B7B7">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4.</w:t>
      </w:r>
      <w:r>
        <w:rPr>
          <w:rFonts w:hint="eastAsia" w:ascii="仿宋" w:hAnsi="仿宋" w:eastAsia="仿宋" w:cs="仿宋"/>
          <w:b/>
          <w:color w:val="auto"/>
          <w:sz w:val="24"/>
          <w:szCs w:val="24"/>
          <w:highlight w:val="none"/>
        </w:rPr>
        <w:t>招标文件组成</w:t>
      </w:r>
    </w:p>
    <w:p w14:paraId="487E9F42">
      <w:pPr>
        <w:pStyle w:val="199"/>
        <w:tabs>
          <w:tab w:val="left" w:pos="0"/>
        </w:tabs>
        <w:spacing w:line="360" w:lineRule="auto"/>
        <w:ind w:left="-18" w:right="727" w:firstLine="526"/>
        <w:jc w:val="both"/>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rPr>
        <w:t>4.1</w:t>
      </w:r>
      <w:r>
        <w:rPr>
          <w:rFonts w:hint="eastAsia" w:ascii="仿宋" w:hAnsi="仿宋" w:eastAsia="仿宋" w:cs="仿宋"/>
          <w:color w:val="auto"/>
          <w:spacing w:val="-6"/>
          <w:sz w:val="24"/>
          <w:szCs w:val="24"/>
          <w:highlight w:val="none"/>
        </w:rPr>
        <w:t>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p>
    <w:p w14:paraId="09FDC70D">
      <w:pPr>
        <w:pStyle w:val="199"/>
        <w:tabs>
          <w:tab w:val="left" w:pos="0"/>
        </w:tabs>
        <w:spacing w:line="360" w:lineRule="auto"/>
        <w:ind w:left="-18" w:right="727" w:firstLine="526"/>
        <w:jc w:val="both"/>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rPr>
        <w:t>4.2</w:t>
      </w:r>
      <w:r>
        <w:rPr>
          <w:rFonts w:hint="eastAsia" w:ascii="仿宋" w:hAnsi="仿宋" w:eastAsia="仿宋" w:cs="仿宋"/>
          <w:color w:val="auto"/>
          <w:spacing w:val="-6"/>
          <w:sz w:val="24"/>
          <w:szCs w:val="24"/>
          <w:highlight w:val="none"/>
        </w:rPr>
        <w:t>招标的最小单位是包。招标服务数量及技术要求中未分包的，供应商对要求提供的服务不得部分投标；招标服务数量及技术要求中已经分包的，应当以包为单位投标。</w:t>
      </w:r>
    </w:p>
    <w:p w14:paraId="4E07E45B">
      <w:pPr>
        <w:pStyle w:val="199"/>
        <w:tabs>
          <w:tab w:val="left" w:pos="0"/>
        </w:tabs>
        <w:spacing w:line="360" w:lineRule="auto"/>
        <w:ind w:left="-18" w:right="727" w:firstLine="526"/>
        <w:jc w:val="both"/>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rPr>
        <w:t>4.3</w:t>
      </w:r>
      <w:r>
        <w:rPr>
          <w:rFonts w:hint="eastAsia" w:ascii="仿宋" w:hAnsi="仿宋" w:eastAsia="仿宋" w:cs="仿宋"/>
          <w:color w:val="auto"/>
          <w:spacing w:val="-6"/>
          <w:sz w:val="24"/>
          <w:szCs w:val="24"/>
          <w:highlight w:val="none"/>
        </w:rPr>
        <w:t>招标文件如果要求供应商提交备选投标方案的，供应商可以提交备选方案；否则，备选方案将被拒绝。</w:t>
      </w:r>
    </w:p>
    <w:p w14:paraId="49D11B9B">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5.</w:t>
      </w:r>
      <w:r>
        <w:rPr>
          <w:rFonts w:hint="eastAsia" w:ascii="仿宋" w:hAnsi="仿宋" w:eastAsia="仿宋" w:cs="仿宋"/>
          <w:b/>
          <w:color w:val="auto"/>
          <w:sz w:val="24"/>
          <w:szCs w:val="24"/>
          <w:highlight w:val="none"/>
        </w:rPr>
        <w:t>招标文件的澄清、修改</w:t>
      </w:r>
    </w:p>
    <w:p w14:paraId="2F40572B">
      <w:pPr>
        <w:pStyle w:val="199"/>
        <w:tabs>
          <w:tab w:val="left" w:pos="1616"/>
        </w:tabs>
        <w:spacing w:line="360" w:lineRule="auto"/>
        <w:ind w:left="-18" w:right="725"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5.1</w:t>
      </w:r>
      <w:r>
        <w:rPr>
          <w:rFonts w:hint="eastAsia" w:ascii="仿宋" w:hAnsi="仿宋" w:eastAsia="仿宋" w:cs="仿宋"/>
          <w:color w:val="auto"/>
          <w:sz w:val="24"/>
          <w:szCs w:val="24"/>
          <w:highlight w:val="none"/>
        </w:rPr>
        <w:t>代理机构对已发出的招标文件进行必要澄清或者修改的，将在招标文件要求提交投标文件截止时间</w:t>
      </w:r>
      <w:r>
        <w:rPr>
          <w:rFonts w:hint="eastAsia" w:ascii="仿宋" w:hAnsi="仿宋" w:eastAsia="仿宋" w:cs="仿宋"/>
          <w:b/>
          <w:color w:val="auto"/>
          <w:sz w:val="24"/>
          <w:szCs w:val="24"/>
          <w:highlight w:val="none"/>
          <w:u w:val="single"/>
        </w:rPr>
        <w:t>十五日</w:t>
      </w:r>
      <w:r>
        <w:rPr>
          <w:rFonts w:hint="eastAsia" w:ascii="仿宋" w:hAnsi="仿宋" w:eastAsia="仿宋" w:cs="仿宋"/>
          <w:color w:val="auto"/>
          <w:sz w:val="24"/>
          <w:szCs w:val="24"/>
          <w:highlight w:val="none"/>
        </w:rPr>
        <w:t>前，在原招标公告媒体发布更正公告，该澄清或者修改的内容为招标文件的组成部分。</w:t>
      </w:r>
    </w:p>
    <w:p w14:paraId="60377041">
      <w:pPr>
        <w:pStyle w:val="199"/>
        <w:tabs>
          <w:tab w:val="left" w:pos="0"/>
        </w:tabs>
        <w:spacing w:line="360" w:lineRule="auto"/>
        <w:ind w:left="-18" w:right="783"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5.2</w:t>
      </w:r>
      <w:r>
        <w:rPr>
          <w:rFonts w:hint="eastAsia" w:ascii="仿宋" w:hAnsi="仿宋" w:eastAsia="仿宋" w:cs="仿宋"/>
          <w:color w:val="auto"/>
          <w:sz w:val="24"/>
          <w:szCs w:val="24"/>
          <w:highlight w:val="none"/>
        </w:rPr>
        <w:t>代理机构在招标文件要求提交投标文件截止时间三日前，有权决定延长投标截止时间和开标时间，并在原采购信息发布媒体上发布变更公告。</w:t>
      </w:r>
    </w:p>
    <w:p w14:paraId="1169E212">
      <w:pPr>
        <w:pStyle w:val="199"/>
        <w:tabs>
          <w:tab w:val="left" w:pos="0"/>
        </w:tabs>
        <w:spacing w:line="360" w:lineRule="auto"/>
        <w:ind w:left="-18" w:right="783"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5.3</w:t>
      </w:r>
      <w:r>
        <w:rPr>
          <w:rFonts w:hint="eastAsia" w:ascii="仿宋" w:hAnsi="仿宋" w:eastAsia="仿宋" w:cs="仿宋"/>
          <w:color w:val="auto"/>
          <w:sz w:val="24"/>
          <w:szCs w:val="24"/>
          <w:highlight w:val="none"/>
        </w:rPr>
        <w:t xml:space="preserve">供应商应在投标截止时间前关注原采购信息发布媒体上有关本招标项目有无变更公告。  </w:t>
      </w:r>
    </w:p>
    <w:p w14:paraId="45209C38">
      <w:pPr>
        <w:pStyle w:val="199"/>
        <w:tabs>
          <w:tab w:val="left" w:pos="0"/>
        </w:tabs>
        <w:spacing w:line="360" w:lineRule="auto"/>
        <w:ind w:left="19" w:right="1147" w:hanging="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三、投标</w:t>
      </w:r>
    </w:p>
    <w:p w14:paraId="54BB59D0">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6.</w:t>
      </w:r>
      <w:r>
        <w:rPr>
          <w:rFonts w:hint="eastAsia" w:ascii="仿宋" w:hAnsi="仿宋" w:eastAsia="仿宋" w:cs="仿宋"/>
          <w:b/>
          <w:color w:val="auto"/>
          <w:sz w:val="24"/>
          <w:szCs w:val="24"/>
          <w:highlight w:val="none"/>
        </w:rPr>
        <w:t>投标文件的语言、计量单位、货币和编制</w:t>
      </w:r>
    </w:p>
    <w:p w14:paraId="47A299C0">
      <w:pPr>
        <w:pStyle w:val="199"/>
        <w:tabs>
          <w:tab w:val="left" w:pos="0"/>
        </w:tabs>
        <w:spacing w:line="360" w:lineRule="auto"/>
        <w:ind w:left="-18" w:right="783" w:firstLine="540"/>
        <w:jc w:val="both"/>
        <w:rPr>
          <w:rFonts w:hint="eastAsia" w:ascii="仿宋" w:hAnsi="仿宋" w:eastAsia="仿宋" w:cs="仿宋"/>
          <w:color w:val="auto"/>
          <w:spacing w:val="-7"/>
          <w:sz w:val="24"/>
          <w:szCs w:val="24"/>
          <w:highlight w:val="none"/>
          <w:lang w:val="en-US"/>
        </w:rPr>
      </w:pPr>
      <w:r>
        <w:rPr>
          <w:rFonts w:hint="eastAsia" w:ascii="仿宋" w:hAnsi="仿宋" w:eastAsia="仿宋" w:cs="仿宋"/>
          <w:color w:val="auto"/>
          <w:spacing w:val="-7"/>
          <w:sz w:val="24"/>
          <w:szCs w:val="24"/>
          <w:highlight w:val="none"/>
          <w:lang w:val="en-US"/>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4942BC4E">
      <w:pPr>
        <w:pStyle w:val="199"/>
        <w:tabs>
          <w:tab w:val="left" w:pos="0"/>
        </w:tabs>
        <w:spacing w:line="360" w:lineRule="auto"/>
        <w:ind w:left="-18" w:right="783" w:firstLine="540"/>
        <w:jc w:val="both"/>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lang w:val="en-US"/>
        </w:rPr>
        <w:t>6.2</w:t>
      </w:r>
      <w:r>
        <w:rPr>
          <w:rFonts w:hint="eastAsia" w:ascii="仿宋" w:hAnsi="仿宋" w:eastAsia="仿宋" w:cs="仿宋"/>
          <w:color w:val="auto"/>
          <w:spacing w:val="-7"/>
          <w:sz w:val="24"/>
          <w:szCs w:val="24"/>
          <w:highlight w:val="none"/>
        </w:rPr>
        <w:t>供应商所使用的计量单位应为国家法定计量单位。</w:t>
      </w:r>
    </w:p>
    <w:p w14:paraId="07327FD3">
      <w:pPr>
        <w:pStyle w:val="199"/>
        <w:tabs>
          <w:tab w:val="left" w:pos="0"/>
        </w:tabs>
        <w:spacing w:line="360" w:lineRule="auto"/>
        <w:ind w:left="-18" w:right="783" w:firstLine="540"/>
        <w:jc w:val="both"/>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lang w:val="en-US"/>
        </w:rPr>
        <w:t>6.3</w:t>
      </w:r>
      <w:r>
        <w:rPr>
          <w:rFonts w:hint="eastAsia" w:ascii="仿宋" w:hAnsi="仿宋" w:eastAsia="仿宋" w:cs="仿宋"/>
          <w:color w:val="auto"/>
          <w:spacing w:val="-7"/>
          <w:sz w:val="24"/>
          <w:szCs w:val="24"/>
          <w:highlight w:val="none"/>
        </w:rPr>
        <w:t>供应商应用人民币报价。</w:t>
      </w:r>
    </w:p>
    <w:p w14:paraId="6940EEB9">
      <w:pPr>
        <w:pStyle w:val="199"/>
        <w:tabs>
          <w:tab w:val="left" w:pos="0"/>
        </w:tabs>
        <w:spacing w:line="360" w:lineRule="auto"/>
        <w:ind w:left="-18" w:right="783" w:firstLine="540"/>
        <w:jc w:val="both"/>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lang w:val="en-US"/>
        </w:rPr>
        <w:t>6.4</w:t>
      </w:r>
      <w:r>
        <w:rPr>
          <w:rFonts w:hint="eastAsia" w:ascii="仿宋" w:hAnsi="仿宋" w:eastAsia="仿宋" w:cs="仿宋"/>
          <w:color w:val="auto"/>
          <w:spacing w:val="-7"/>
          <w:sz w:val="24"/>
          <w:szCs w:val="24"/>
          <w:highlight w:val="none"/>
        </w:rPr>
        <w:t>投标文件应字迹清楚、内容齐全、不得涂改。如有修改，修改处须有供应商公章和法定代表人或其授权的供应商代表签字。</w:t>
      </w:r>
    </w:p>
    <w:p w14:paraId="25F4C549">
      <w:pPr>
        <w:pStyle w:val="199"/>
        <w:tabs>
          <w:tab w:val="left" w:pos="0"/>
        </w:tabs>
        <w:spacing w:line="360" w:lineRule="auto"/>
        <w:ind w:left="-18" w:right="783" w:firstLine="540"/>
        <w:jc w:val="both"/>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lang w:val="en-US"/>
        </w:rPr>
        <w:t>6.5</w:t>
      </w:r>
      <w:r>
        <w:rPr>
          <w:rFonts w:hint="eastAsia" w:ascii="仿宋" w:hAnsi="仿宋" w:eastAsia="仿宋" w:cs="仿宋"/>
          <w:color w:val="auto"/>
          <w:spacing w:val="-7"/>
          <w:sz w:val="24"/>
          <w:szCs w:val="24"/>
          <w:highlight w:val="none"/>
        </w:rPr>
        <w:t xml:space="preserve">供应商应在投标文件中写清相应的项目编号、项目名称、供应商全称、地址、电话、传真等。    </w:t>
      </w:r>
    </w:p>
    <w:p w14:paraId="75E16193">
      <w:pPr>
        <w:pStyle w:val="199"/>
        <w:tabs>
          <w:tab w:val="left" w:pos="0"/>
        </w:tabs>
        <w:spacing w:line="360" w:lineRule="auto"/>
        <w:ind w:left="13" w:right="679" w:firstLine="235"/>
        <w:rPr>
          <w:rFonts w:hint="eastAsia" w:ascii="仿宋" w:hAnsi="仿宋" w:eastAsia="仿宋" w:cs="仿宋"/>
          <w:b/>
          <w:color w:val="auto"/>
          <w:sz w:val="24"/>
          <w:szCs w:val="24"/>
          <w:highlight w:val="none"/>
        </w:rPr>
      </w:pPr>
      <w:r>
        <w:rPr>
          <w:rFonts w:hint="eastAsia" w:ascii="仿宋" w:hAnsi="仿宋" w:eastAsia="仿宋" w:cs="仿宋"/>
          <w:color w:val="auto"/>
          <w:spacing w:val="-7"/>
          <w:sz w:val="24"/>
          <w:szCs w:val="24"/>
          <w:highlight w:val="none"/>
          <w:lang w:eastAsia="zh-CN"/>
        </w:rPr>
        <w:t>7.</w:t>
      </w:r>
      <w:r>
        <w:rPr>
          <w:rFonts w:hint="eastAsia" w:ascii="仿宋" w:hAnsi="仿宋" w:eastAsia="仿宋" w:cs="仿宋"/>
          <w:b/>
          <w:color w:val="auto"/>
          <w:spacing w:val="-7"/>
          <w:sz w:val="24"/>
          <w:szCs w:val="24"/>
          <w:highlight w:val="none"/>
        </w:rPr>
        <w:t>联合投标</w:t>
      </w:r>
    </w:p>
    <w:p w14:paraId="7173AC37">
      <w:pPr>
        <w:spacing w:line="360" w:lineRule="auto"/>
        <w:ind w:left="15" w:right="5550" w:firstLine="482"/>
        <w:rPr>
          <w:rFonts w:hint="eastAsia" w:ascii="仿宋" w:hAnsi="仿宋" w:eastAsia="仿宋" w:cs="仿宋"/>
          <w:b/>
          <w:color w:val="auto"/>
          <w:spacing w:val="-1"/>
          <w:sz w:val="24"/>
          <w:szCs w:val="24"/>
          <w:highlight w:val="none"/>
        </w:rPr>
      </w:pPr>
      <w:r>
        <w:rPr>
          <w:rFonts w:hint="eastAsia" w:ascii="仿宋" w:hAnsi="仿宋" w:eastAsia="仿宋" w:cs="仿宋"/>
          <w:color w:val="auto"/>
          <w:sz w:val="24"/>
          <w:szCs w:val="24"/>
          <w:highlight w:val="none"/>
        </w:rPr>
        <w:t>7.1</w:t>
      </w:r>
      <w:r>
        <w:rPr>
          <w:rFonts w:hint="eastAsia" w:ascii="仿宋" w:hAnsi="仿宋" w:eastAsia="仿宋" w:cs="仿宋"/>
          <w:color w:val="auto"/>
          <w:spacing w:val="-58"/>
          <w:sz w:val="24"/>
          <w:szCs w:val="24"/>
          <w:highlight w:val="none"/>
        </w:rPr>
        <w:t xml:space="preserve"> </w:t>
      </w:r>
      <w:r>
        <w:rPr>
          <w:rFonts w:hint="eastAsia" w:ascii="仿宋" w:hAnsi="仿宋" w:eastAsia="仿宋" w:cs="仿宋"/>
          <w:b/>
          <w:color w:val="auto"/>
          <w:spacing w:val="-1"/>
          <w:sz w:val="24"/>
          <w:szCs w:val="24"/>
          <w:highlight w:val="none"/>
        </w:rPr>
        <w:t>本次采购不接受联合体投标。</w:t>
      </w:r>
    </w:p>
    <w:p w14:paraId="1420170A">
      <w:pPr>
        <w:spacing w:line="360" w:lineRule="auto"/>
        <w:ind w:left="15" w:right="6439"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8.</w:t>
      </w:r>
      <w:r>
        <w:rPr>
          <w:rFonts w:hint="eastAsia" w:ascii="仿宋" w:hAnsi="仿宋" w:eastAsia="仿宋" w:cs="仿宋"/>
          <w:b/>
          <w:color w:val="auto"/>
          <w:sz w:val="24"/>
          <w:szCs w:val="24"/>
          <w:highlight w:val="none"/>
        </w:rPr>
        <w:t>投标费用</w:t>
      </w:r>
    </w:p>
    <w:p w14:paraId="2767ADD6">
      <w:pPr>
        <w:spacing w:line="360" w:lineRule="auto"/>
        <w:ind w:left="15" w:right="3350"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8.1供应商应承担所有与准备和参加投标有关的费用。</w:t>
      </w:r>
    </w:p>
    <w:p w14:paraId="75371A28">
      <w:pPr>
        <w:spacing w:line="360" w:lineRule="auto"/>
        <w:ind w:left="15" w:right="490"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8.2</w:t>
      </w:r>
      <w:r>
        <w:rPr>
          <w:rFonts w:hint="eastAsia" w:ascii="仿宋" w:hAnsi="仿宋" w:eastAsia="仿宋" w:cs="仿宋"/>
          <w:color w:val="auto"/>
          <w:sz w:val="24"/>
          <w:szCs w:val="24"/>
          <w:highlight w:val="none"/>
        </w:rPr>
        <w:t>本项目采购服务费收费标准：招标代理服务费以中标金额为基数，按照计价格〔2002〕1980号文件规定标准的</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0%计算收取，由成交供应商在领取成交通知书时支付给采购代理机构，请供应商自行考虑招标代理费并计入总投标报价中，无论是否单独列项，均视为已含在总投标报价中。</w:t>
      </w:r>
    </w:p>
    <w:p w14:paraId="09DCF3E4">
      <w:pPr>
        <w:spacing w:line="360" w:lineRule="auto"/>
        <w:ind w:left="15" w:right="3350"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9.</w:t>
      </w:r>
      <w:r>
        <w:rPr>
          <w:rFonts w:hint="eastAsia" w:ascii="仿宋" w:hAnsi="仿宋" w:eastAsia="仿宋" w:cs="仿宋"/>
          <w:b/>
          <w:color w:val="auto"/>
          <w:sz w:val="24"/>
          <w:szCs w:val="24"/>
          <w:highlight w:val="none"/>
        </w:rPr>
        <w:t>投标文件组成</w:t>
      </w:r>
    </w:p>
    <w:p w14:paraId="068B06C4">
      <w:pPr>
        <w:pStyle w:val="199"/>
        <w:tabs>
          <w:tab w:val="left" w:pos="1666"/>
        </w:tabs>
        <w:spacing w:line="360" w:lineRule="auto"/>
        <w:ind w:left="200" w:right="752" w:firstLine="521"/>
        <w:jc w:val="both"/>
        <w:rPr>
          <w:rFonts w:hint="eastAsia" w:ascii="仿宋" w:hAnsi="仿宋" w:eastAsia="仿宋" w:cs="仿宋"/>
          <w:b/>
          <w:color w:val="auto"/>
          <w:sz w:val="24"/>
          <w:szCs w:val="24"/>
          <w:highlight w:val="none"/>
        </w:rPr>
      </w:pPr>
      <w:r>
        <w:rPr>
          <w:rFonts w:hint="eastAsia" w:ascii="仿宋" w:hAnsi="仿宋" w:eastAsia="仿宋" w:cs="仿宋"/>
          <w:color w:val="auto"/>
          <w:spacing w:val="-1"/>
          <w:sz w:val="24"/>
          <w:szCs w:val="24"/>
          <w:highlight w:val="none"/>
          <w:lang w:val="en-US"/>
        </w:rPr>
        <w:t>9.1</w:t>
      </w:r>
      <w:r>
        <w:rPr>
          <w:rFonts w:hint="eastAsia" w:ascii="仿宋" w:hAnsi="仿宋" w:eastAsia="仿宋" w:cs="仿宋"/>
          <w:color w:val="auto"/>
          <w:spacing w:val="-1"/>
          <w:sz w:val="24"/>
          <w:szCs w:val="24"/>
          <w:highlight w:val="none"/>
        </w:rPr>
        <w:t>供应商应当根据招标文件要求编制投标文件，投标文件应对招标文件提出的要求和条件作出实质性响应，</w:t>
      </w:r>
      <w:r>
        <w:rPr>
          <w:rFonts w:hint="eastAsia" w:ascii="仿宋" w:hAnsi="仿宋" w:eastAsia="仿宋" w:cs="仿宋"/>
          <w:b/>
          <w:color w:val="auto"/>
          <w:sz w:val="24"/>
          <w:szCs w:val="24"/>
          <w:highlight w:val="none"/>
        </w:rPr>
        <w:t>对带星号</w:t>
      </w:r>
      <w:r>
        <w:rPr>
          <w:rFonts w:hint="eastAsia" w:ascii="仿宋" w:hAnsi="仿宋" w:eastAsia="仿宋" w:cs="仿宋"/>
          <w:b/>
          <w:color w:val="auto"/>
          <w:spacing w:val="3"/>
          <w:sz w:val="24"/>
          <w:szCs w:val="24"/>
          <w:highlight w:val="none"/>
        </w:rPr>
        <w:t>（</w:t>
      </w:r>
      <w:r>
        <w:rPr>
          <w:rFonts w:hint="eastAsia" w:ascii="仿宋" w:hAnsi="仿宋" w:eastAsia="仿宋" w:cs="仿宋"/>
          <w:b/>
          <w:color w:val="auto"/>
          <w:spacing w:val="2"/>
          <w:sz w:val="24"/>
          <w:szCs w:val="24"/>
          <w:highlight w:val="none"/>
        </w:rPr>
        <w:t>“★或*”）</w:t>
      </w:r>
      <w:r>
        <w:rPr>
          <w:rFonts w:hint="eastAsia" w:ascii="仿宋" w:hAnsi="仿宋" w:eastAsia="仿宋" w:cs="仿宋"/>
          <w:b/>
          <w:color w:val="auto"/>
          <w:sz w:val="24"/>
          <w:szCs w:val="24"/>
          <w:highlight w:val="none"/>
        </w:rPr>
        <w:t>的技术条款必须在投标文件中提供技术支持资料（如白皮书、彩页、手册、检测报告等），未提供技术支持资料的，评审时不予认可。</w:t>
      </w:r>
    </w:p>
    <w:p w14:paraId="62D8273D">
      <w:pPr>
        <w:pStyle w:val="199"/>
        <w:tabs>
          <w:tab w:val="left" w:pos="1666"/>
        </w:tabs>
        <w:spacing w:line="360" w:lineRule="auto"/>
        <w:ind w:left="200" w:right="752" w:firstLine="521"/>
        <w:jc w:val="both"/>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lang w:val="en-US"/>
        </w:rPr>
        <w:t>9.2</w:t>
      </w:r>
      <w:r>
        <w:rPr>
          <w:rFonts w:hint="eastAsia" w:ascii="仿宋" w:hAnsi="仿宋" w:eastAsia="仿宋" w:cs="仿宋"/>
          <w:color w:val="auto"/>
          <w:spacing w:val="-1"/>
          <w:sz w:val="24"/>
          <w:szCs w:val="24"/>
          <w:highlight w:val="none"/>
        </w:rPr>
        <w:t>供应商根据招标文件载明的标的采购项目实际情况，拟在中标后将中标项目的非主体、非关键性工作交由他人完成的，应当在投标文件中载明。</w:t>
      </w:r>
    </w:p>
    <w:p w14:paraId="7DCB589D">
      <w:pPr>
        <w:pStyle w:val="199"/>
        <w:tabs>
          <w:tab w:val="left" w:pos="1666"/>
        </w:tabs>
        <w:spacing w:line="360" w:lineRule="auto"/>
        <w:ind w:left="200" w:right="752" w:firstLine="521"/>
        <w:jc w:val="both"/>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lang w:val="en-US"/>
        </w:rPr>
        <w:t>9.3</w:t>
      </w:r>
      <w:r>
        <w:rPr>
          <w:rFonts w:hint="eastAsia" w:ascii="仿宋" w:hAnsi="仿宋" w:eastAsia="仿宋" w:cs="仿宋"/>
          <w:color w:val="auto"/>
          <w:spacing w:val="-1"/>
          <w:sz w:val="24"/>
          <w:szCs w:val="24"/>
          <w:highlight w:val="none"/>
        </w:rPr>
        <w:t>投标文件由商务部分、技术部分、价格部分，以及其他部分组成。</w:t>
      </w:r>
    </w:p>
    <w:p w14:paraId="5A3849BF">
      <w:pPr>
        <w:pStyle w:val="199"/>
        <w:tabs>
          <w:tab w:val="left" w:pos="0"/>
        </w:tabs>
        <w:spacing w:line="360" w:lineRule="auto"/>
        <w:ind w:left="15" w:right="2030" w:firstLine="231"/>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10.</w:t>
      </w:r>
      <w:r>
        <w:rPr>
          <w:rFonts w:hint="eastAsia" w:ascii="仿宋" w:hAnsi="仿宋" w:eastAsia="仿宋" w:cs="仿宋"/>
          <w:b/>
          <w:color w:val="auto"/>
          <w:sz w:val="24"/>
          <w:szCs w:val="24"/>
          <w:highlight w:val="none"/>
        </w:rPr>
        <w:t>投标文件的商务部分</w:t>
      </w:r>
    </w:p>
    <w:p w14:paraId="2DCD4D01">
      <w:pPr>
        <w:pStyle w:val="15"/>
        <w:spacing w:line="360" w:lineRule="auto"/>
        <w:ind w:left="15" w:right="90" w:firstLine="4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10.1商务部分是证明供应商有资格参加投标和中标后有能力履行合同的文件，这些文件应能满足招标的要求，包括但不限于下列文件，</w:t>
      </w:r>
      <w:r>
        <w:rPr>
          <w:rFonts w:hint="eastAsia" w:ascii="仿宋" w:hAnsi="仿宋" w:eastAsia="仿宋" w:cs="仿宋"/>
          <w:b/>
          <w:color w:val="auto"/>
          <w:sz w:val="24"/>
          <w:szCs w:val="24"/>
          <w:highlight w:val="none"/>
        </w:rPr>
        <w:t>其中加*项目不得有缺失或无效</w:t>
      </w:r>
      <w:r>
        <w:rPr>
          <w:rFonts w:hint="eastAsia" w:ascii="仿宋" w:hAnsi="仿宋" w:eastAsia="仿宋" w:cs="仿宋"/>
          <w:color w:val="auto"/>
          <w:sz w:val="24"/>
          <w:szCs w:val="24"/>
          <w:highlight w:val="none"/>
        </w:rPr>
        <w:t>。</w:t>
      </w:r>
    </w:p>
    <w:p w14:paraId="4A190850">
      <w:pPr>
        <w:pStyle w:val="199"/>
        <w:tabs>
          <w:tab w:val="left" w:pos="1824"/>
        </w:tabs>
        <w:spacing w:line="360" w:lineRule="auto"/>
        <w:ind w:left="-18" w:firstLine="77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1）</w:t>
      </w:r>
      <w:r>
        <w:rPr>
          <w:rFonts w:hint="eastAsia" w:ascii="仿宋" w:hAnsi="仿宋" w:eastAsia="仿宋" w:cs="仿宋"/>
          <w:b/>
          <w:color w:val="auto"/>
          <w:sz w:val="24"/>
          <w:szCs w:val="24"/>
          <w:highlight w:val="none"/>
        </w:rPr>
        <w:t>*投标函（投标申请及声明）；</w:t>
      </w:r>
    </w:p>
    <w:p w14:paraId="2AF485BA">
      <w:pPr>
        <w:pStyle w:val="199"/>
        <w:tabs>
          <w:tab w:val="left" w:pos="1824"/>
        </w:tabs>
        <w:spacing w:line="360" w:lineRule="auto"/>
        <w:ind w:left="-18" w:firstLine="77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2</w:t>
      </w:r>
      <w:r>
        <w:rPr>
          <w:rFonts w:hint="eastAsia" w:ascii="仿宋" w:hAnsi="仿宋" w:eastAsia="仿宋" w:cs="仿宋"/>
          <w:b/>
          <w:color w:val="auto"/>
          <w:sz w:val="24"/>
          <w:szCs w:val="24"/>
          <w:highlight w:val="none"/>
        </w:rPr>
        <w:t>）*法定代表人授权委托书原件及委托代理人的身份证复印件；</w:t>
      </w:r>
    </w:p>
    <w:p w14:paraId="79952800">
      <w:pPr>
        <w:pStyle w:val="199"/>
        <w:tabs>
          <w:tab w:val="left" w:pos="1824"/>
        </w:tabs>
        <w:spacing w:line="360" w:lineRule="auto"/>
        <w:ind w:left="-18" w:firstLine="77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eastAsia="zh-CN"/>
        </w:rPr>
        <w:t>（3）</w:t>
      </w: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 xml:space="preserve">章 </w:t>
      </w:r>
      <w:r>
        <w:rPr>
          <w:rFonts w:hint="eastAsia" w:ascii="仿宋" w:hAnsi="仿宋" w:eastAsia="仿宋" w:cs="仿宋"/>
          <w:b/>
          <w:color w:val="auto"/>
          <w:sz w:val="24"/>
          <w:szCs w:val="24"/>
          <w:highlight w:val="none"/>
          <w:lang w:val="en-US" w:eastAsia="zh-CN"/>
        </w:rPr>
        <w:t>2.1</w:t>
      </w:r>
      <w:r>
        <w:rPr>
          <w:rFonts w:hint="eastAsia" w:ascii="仿宋" w:hAnsi="仿宋" w:eastAsia="仿宋" w:cs="仿宋"/>
          <w:b/>
          <w:color w:val="auto"/>
          <w:sz w:val="24"/>
          <w:szCs w:val="24"/>
          <w:highlight w:val="none"/>
        </w:rPr>
        <w:t>《中华人民共和国政府采购法》规定的条件证明文件（复印件）并加盖公章；</w:t>
      </w:r>
    </w:p>
    <w:p w14:paraId="02D3E994">
      <w:pPr>
        <w:pStyle w:val="199"/>
        <w:tabs>
          <w:tab w:val="left" w:pos="1824"/>
        </w:tabs>
        <w:spacing w:line="360" w:lineRule="auto"/>
        <w:ind w:left="-18" w:firstLine="77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eastAsia="zh-CN"/>
        </w:rPr>
        <w:t>（4）</w:t>
      </w: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 xml:space="preserve">章 </w:t>
      </w:r>
      <w:r>
        <w:rPr>
          <w:rFonts w:hint="eastAsia" w:ascii="仿宋" w:hAnsi="仿宋" w:eastAsia="仿宋" w:cs="仿宋"/>
          <w:b/>
          <w:color w:val="auto"/>
          <w:sz w:val="24"/>
          <w:szCs w:val="24"/>
          <w:highlight w:val="none"/>
          <w:lang w:val="en-US" w:eastAsia="zh-CN"/>
        </w:rPr>
        <w:t>2.3</w:t>
      </w:r>
      <w:r>
        <w:rPr>
          <w:rFonts w:hint="eastAsia" w:ascii="仿宋" w:hAnsi="仿宋" w:eastAsia="仿宋" w:cs="仿宋"/>
          <w:b/>
          <w:color w:val="auto"/>
          <w:sz w:val="24"/>
          <w:szCs w:val="24"/>
          <w:highlight w:val="none"/>
        </w:rPr>
        <w:t>采购人根据采购项目的特殊要求提出的特定条件证明文件；</w:t>
      </w:r>
    </w:p>
    <w:p w14:paraId="765F13B4">
      <w:pPr>
        <w:pStyle w:val="199"/>
        <w:tabs>
          <w:tab w:val="left" w:pos="1824"/>
        </w:tabs>
        <w:spacing w:line="360" w:lineRule="auto"/>
        <w:ind w:left="-18" w:firstLine="776"/>
        <w:rPr>
          <w:rFonts w:hint="eastAsia"/>
          <w:color w:val="auto"/>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）*开标一览表；</w:t>
      </w:r>
    </w:p>
    <w:p w14:paraId="44EE0755">
      <w:pPr>
        <w:pStyle w:val="199"/>
        <w:tabs>
          <w:tab w:val="left" w:pos="1824"/>
        </w:tabs>
        <w:spacing w:line="360" w:lineRule="auto"/>
        <w:ind w:left="-18" w:firstLine="77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）*《南京市政府采购供应商信用记录表暨信用承诺书》；</w:t>
      </w:r>
    </w:p>
    <w:p w14:paraId="6A17DC8F">
      <w:pPr>
        <w:pStyle w:val="199"/>
        <w:tabs>
          <w:tab w:val="left" w:pos="1824"/>
        </w:tabs>
        <w:spacing w:line="360" w:lineRule="auto"/>
        <w:ind w:left="-18" w:firstLine="776"/>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w:t>
      </w:r>
      <w:r>
        <w:rPr>
          <w:rFonts w:hint="eastAsia" w:ascii="仿宋" w:hAnsi="仿宋" w:eastAsia="仿宋" w:cs="仿宋"/>
          <w:b/>
          <w:color w:val="auto"/>
          <w:sz w:val="24"/>
          <w:szCs w:val="24"/>
          <w:highlight w:val="none"/>
        </w:rPr>
        <w:t>《投标分项报价</w:t>
      </w:r>
      <w:r>
        <w:rPr>
          <w:rFonts w:hint="eastAsia" w:ascii="仿宋" w:hAnsi="仿宋" w:eastAsia="仿宋" w:cs="仿宋"/>
          <w:b/>
          <w:color w:val="auto"/>
          <w:sz w:val="24"/>
          <w:szCs w:val="24"/>
          <w:highlight w:val="none"/>
          <w:lang w:val="en-US" w:eastAsia="zh-CN"/>
        </w:rPr>
        <w:t>表</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eastAsia="zh-CN"/>
        </w:rPr>
        <w:t>；</w:t>
      </w:r>
    </w:p>
    <w:p w14:paraId="7E10123B">
      <w:pPr>
        <w:pStyle w:val="199"/>
        <w:tabs>
          <w:tab w:val="left" w:pos="1824"/>
        </w:tabs>
        <w:spacing w:line="360" w:lineRule="auto"/>
        <w:ind w:left="-18" w:firstLine="776"/>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w:t>
      </w:r>
      <w:r>
        <w:rPr>
          <w:rFonts w:hint="eastAsia" w:ascii="仿宋" w:hAnsi="仿宋" w:eastAsia="仿宋" w:cs="仿宋"/>
          <w:b/>
          <w:color w:val="auto"/>
          <w:sz w:val="24"/>
          <w:szCs w:val="24"/>
          <w:highlight w:val="none"/>
        </w:rPr>
        <w:t>《商务条款响应表》</w:t>
      </w:r>
      <w:r>
        <w:rPr>
          <w:rFonts w:hint="eastAsia" w:ascii="仿宋" w:hAnsi="仿宋" w:eastAsia="仿宋" w:cs="仿宋"/>
          <w:b/>
          <w:color w:val="auto"/>
          <w:sz w:val="24"/>
          <w:szCs w:val="24"/>
          <w:highlight w:val="none"/>
          <w:lang w:eastAsia="zh-CN"/>
        </w:rPr>
        <w:t>；</w:t>
      </w:r>
    </w:p>
    <w:p w14:paraId="3CA8CC07">
      <w:pPr>
        <w:pStyle w:val="199"/>
        <w:tabs>
          <w:tab w:val="left" w:pos="1824"/>
        </w:tabs>
        <w:spacing w:line="360" w:lineRule="auto"/>
        <w:ind w:left="-18" w:firstLine="776"/>
        <w:rPr>
          <w:rFonts w:hint="eastAsia"/>
          <w:color w:val="auto"/>
          <w:highlight w:val="none"/>
          <w:lang w:eastAsia="zh-CN"/>
        </w:rPr>
      </w:pP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rPr>
        <w:t>*移动式联体压缩箱配置及产权归属承诺书</w:t>
      </w:r>
      <w:r>
        <w:rPr>
          <w:rFonts w:hint="eastAsia" w:ascii="仿宋" w:hAnsi="仿宋" w:eastAsia="仿宋" w:cs="仿宋"/>
          <w:b/>
          <w:color w:val="auto"/>
          <w:sz w:val="24"/>
          <w:szCs w:val="24"/>
          <w:highlight w:val="none"/>
          <w:lang w:val="en-US" w:eastAsia="zh-CN"/>
        </w:rPr>
        <w:t>；</w:t>
      </w:r>
    </w:p>
    <w:p w14:paraId="230D59A8">
      <w:pPr>
        <w:pStyle w:val="199"/>
        <w:tabs>
          <w:tab w:val="left" w:pos="1824"/>
        </w:tabs>
        <w:spacing w:line="360" w:lineRule="auto"/>
        <w:ind w:left="-18" w:firstLine="77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投标供应商</w:t>
      </w:r>
      <w:r>
        <w:rPr>
          <w:rFonts w:hint="eastAsia" w:ascii="仿宋" w:hAnsi="仿宋" w:eastAsia="仿宋" w:cs="仿宋"/>
          <w:b/>
          <w:bCs/>
          <w:color w:val="auto"/>
          <w:sz w:val="24"/>
          <w:szCs w:val="24"/>
          <w:highlight w:val="none"/>
        </w:rPr>
        <w:t>认为需要提供的其他资格证明文件和商务资料等。</w:t>
      </w:r>
    </w:p>
    <w:p w14:paraId="360FC2CC">
      <w:pPr>
        <w:spacing w:line="360" w:lineRule="auto"/>
        <w:ind w:left="13" w:firstLine="23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11.</w:t>
      </w:r>
      <w:r>
        <w:rPr>
          <w:rFonts w:hint="eastAsia" w:ascii="仿宋" w:hAnsi="仿宋" w:eastAsia="仿宋" w:cs="仿宋"/>
          <w:b/>
          <w:color w:val="auto"/>
          <w:sz w:val="24"/>
          <w:szCs w:val="24"/>
          <w:highlight w:val="none"/>
        </w:rPr>
        <w:t>投标文件的技术部分</w:t>
      </w:r>
    </w:p>
    <w:p w14:paraId="4DC4B98E">
      <w:pPr>
        <w:pStyle w:val="199"/>
        <w:tabs>
          <w:tab w:val="left" w:pos="1824"/>
        </w:tabs>
        <w:spacing w:line="360" w:lineRule="auto"/>
        <w:ind w:left="-18" w:right="783"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11.1</w:t>
      </w:r>
      <w:r>
        <w:rPr>
          <w:rFonts w:hint="eastAsia" w:ascii="仿宋" w:hAnsi="仿宋" w:eastAsia="仿宋" w:cs="仿宋"/>
          <w:color w:val="auto"/>
          <w:sz w:val="24"/>
          <w:szCs w:val="24"/>
          <w:highlight w:val="none"/>
        </w:rPr>
        <w:t>技术部分是证明供应商提供的产品和服务是合格的、并符合招标文件要求的证明文件，以及对投标报价表中的服务的详细说明，这些文件可以是文字资料、图纸和数据等。</w:t>
      </w:r>
    </w:p>
    <w:p w14:paraId="7064B604">
      <w:pPr>
        <w:pStyle w:val="199"/>
        <w:tabs>
          <w:tab w:val="left" w:pos="1824"/>
        </w:tabs>
        <w:spacing w:line="360" w:lineRule="auto"/>
        <w:ind w:left="-18" w:right="783"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11.2</w:t>
      </w:r>
      <w:r>
        <w:rPr>
          <w:rFonts w:hint="eastAsia" w:ascii="仿宋" w:hAnsi="仿宋" w:eastAsia="仿宋" w:cs="仿宋"/>
          <w:color w:val="auto"/>
          <w:sz w:val="24"/>
          <w:szCs w:val="24"/>
          <w:highlight w:val="none"/>
        </w:rPr>
        <w:t>若技术性能无特殊说明，则按国家有关部门最新颁布的标准及规范为准；</w:t>
      </w:r>
    </w:p>
    <w:p w14:paraId="17546DD2">
      <w:pPr>
        <w:pStyle w:val="199"/>
        <w:tabs>
          <w:tab w:val="left" w:pos="1824"/>
        </w:tabs>
        <w:spacing w:line="360" w:lineRule="auto"/>
        <w:ind w:left="-18" w:right="783"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11.3</w:t>
      </w:r>
      <w:r>
        <w:rPr>
          <w:rFonts w:hint="eastAsia" w:ascii="仿宋" w:hAnsi="仿宋" w:eastAsia="仿宋" w:cs="仿宋"/>
          <w:color w:val="auto"/>
          <w:sz w:val="24"/>
          <w:szCs w:val="24"/>
          <w:highlight w:val="none"/>
        </w:rPr>
        <w:t>投标文件应按照招标文件要求提供技术资料、文件和有关证明，包括但不限于其中加*项目不得有缺失或无效：</w:t>
      </w:r>
    </w:p>
    <w:p w14:paraId="17242731">
      <w:pPr>
        <w:pStyle w:val="199"/>
        <w:tabs>
          <w:tab w:val="left" w:pos="1824"/>
        </w:tabs>
        <w:spacing w:line="360" w:lineRule="auto"/>
        <w:ind w:left="-18" w:firstLine="524"/>
        <w:rPr>
          <w:rFonts w:hint="eastAsia" w:ascii="仿宋" w:hAnsi="仿宋" w:eastAsia="仿宋" w:cs="仿宋"/>
          <w:b/>
          <w:color w:val="auto"/>
          <w:sz w:val="24"/>
          <w:szCs w:val="24"/>
          <w:highlight w:val="none"/>
        </w:rPr>
      </w:pPr>
      <w:r>
        <w:rPr>
          <w:rFonts w:hint="eastAsia" w:ascii="仿宋" w:hAnsi="仿宋" w:eastAsia="仿宋" w:cs="仿宋"/>
          <w:b/>
          <w:color w:val="auto"/>
          <w:spacing w:val="3"/>
          <w:sz w:val="24"/>
          <w:szCs w:val="24"/>
          <w:highlight w:val="none"/>
        </w:rPr>
        <w:t>（</w:t>
      </w:r>
      <w:r>
        <w:rPr>
          <w:rFonts w:hint="eastAsia" w:ascii="仿宋" w:hAnsi="仿宋" w:eastAsia="仿宋" w:cs="仿宋"/>
          <w:b/>
          <w:color w:val="auto"/>
          <w:spacing w:val="3"/>
          <w:sz w:val="24"/>
          <w:szCs w:val="24"/>
          <w:highlight w:val="none"/>
          <w:lang w:val="en-US"/>
        </w:rPr>
        <w:t>1）</w:t>
      </w:r>
      <w:r>
        <w:rPr>
          <w:rFonts w:hint="eastAsia" w:ascii="仿宋" w:hAnsi="仿宋" w:eastAsia="仿宋" w:cs="仿宋"/>
          <w:b/>
          <w:color w:val="auto"/>
          <w:spacing w:val="3"/>
          <w:sz w:val="24"/>
          <w:szCs w:val="24"/>
          <w:highlight w:val="none"/>
        </w:rPr>
        <w:t>*</w:t>
      </w:r>
      <w:r>
        <w:rPr>
          <w:rFonts w:hint="eastAsia" w:ascii="仿宋" w:hAnsi="仿宋" w:eastAsia="仿宋" w:cs="仿宋"/>
          <w:b/>
          <w:color w:val="auto"/>
          <w:sz w:val="24"/>
          <w:szCs w:val="24"/>
          <w:highlight w:val="none"/>
        </w:rPr>
        <w:t>投标人实施本项目拟投入的专业人员一览表；</w:t>
      </w:r>
    </w:p>
    <w:p w14:paraId="37639757">
      <w:pPr>
        <w:pStyle w:val="199"/>
        <w:tabs>
          <w:tab w:val="left" w:pos="1824"/>
        </w:tabs>
        <w:spacing w:line="360" w:lineRule="auto"/>
        <w:ind w:left="-18" w:firstLine="5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2</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供货（或</w:t>
      </w:r>
      <w:r>
        <w:rPr>
          <w:rFonts w:hint="eastAsia" w:ascii="仿宋" w:hAnsi="仿宋" w:eastAsia="仿宋" w:cs="仿宋"/>
          <w:b/>
          <w:color w:val="auto"/>
          <w:sz w:val="24"/>
          <w:szCs w:val="24"/>
          <w:highlight w:val="none"/>
        </w:rPr>
        <w:t>服务）质量保证承诺书；</w:t>
      </w:r>
    </w:p>
    <w:p w14:paraId="14DDCE06">
      <w:pPr>
        <w:pStyle w:val="199"/>
        <w:tabs>
          <w:tab w:val="left" w:pos="1824"/>
        </w:tabs>
        <w:spacing w:line="360" w:lineRule="auto"/>
        <w:ind w:left="-18" w:firstLine="5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3</w:t>
      </w:r>
      <w:r>
        <w:rPr>
          <w:rFonts w:hint="eastAsia" w:ascii="仿宋" w:hAnsi="仿宋" w:eastAsia="仿宋" w:cs="仿宋"/>
          <w:b/>
          <w:color w:val="auto"/>
          <w:sz w:val="24"/>
          <w:szCs w:val="24"/>
          <w:highlight w:val="none"/>
        </w:rPr>
        <w:t>）项目</w:t>
      </w:r>
      <w:r>
        <w:rPr>
          <w:rFonts w:hint="eastAsia" w:ascii="仿宋" w:hAnsi="仿宋" w:eastAsia="仿宋" w:cs="仿宋"/>
          <w:b/>
          <w:color w:val="auto"/>
          <w:sz w:val="24"/>
          <w:szCs w:val="24"/>
          <w:highlight w:val="none"/>
          <w:lang w:val="en-US"/>
        </w:rPr>
        <w:t>实施方案</w:t>
      </w:r>
      <w:r>
        <w:rPr>
          <w:rFonts w:hint="eastAsia" w:ascii="仿宋" w:hAnsi="仿宋" w:eastAsia="仿宋" w:cs="仿宋"/>
          <w:b/>
          <w:color w:val="auto"/>
          <w:sz w:val="24"/>
          <w:szCs w:val="24"/>
          <w:highlight w:val="none"/>
        </w:rPr>
        <w:t>；</w:t>
      </w:r>
    </w:p>
    <w:p w14:paraId="7178F4F6">
      <w:pPr>
        <w:pStyle w:val="199"/>
        <w:tabs>
          <w:tab w:val="left" w:pos="1824"/>
        </w:tabs>
        <w:spacing w:line="360" w:lineRule="auto"/>
        <w:ind w:left="-18" w:firstLine="51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rPr>
        <w:t>4</w:t>
      </w:r>
      <w:r>
        <w:rPr>
          <w:rFonts w:hint="eastAsia" w:ascii="仿宋" w:hAnsi="仿宋" w:eastAsia="仿宋" w:cs="仿宋"/>
          <w:b/>
          <w:color w:val="auto"/>
          <w:sz w:val="24"/>
          <w:szCs w:val="24"/>
          <w:highlight w:val="none"/>
        </w:rPr>
        <w:t>）*《技术条款偏离表》</w:t>
      </w:r>
      <w:r>
        <w:rPr>
          <w:rFonts w:hint="eastAsia" w:ascii="仿宋" w:hAnsi="仿宋" w:eastAsia="仿宋" w:cs="仿宋"/>
          <w:b/>
          <w:color w:val="auto"/>
          <w:sz w:val="24"/>
          <w:szCs w:val="24"/>
          <w:highlight w:val="none"/>
          <w:lang w:eastAsia="zh-CN"/>
        </w:rPr>
        <w:t>；</w:t>
      </w:r>
    </w:p>
    <w:p w14:paraId="189B9064">
      <w:pPr>
        <w:pStyle w:val="199"/>
        <w:tabs>
          <w:tab w:val="left" w:pos="1824"/>
        </w:tabs>
        <w:spacing w:line="360" w:lineRule="auto"/>
        <w:ind w:left="-18" w:firstLine="5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eastAsia="zh-CN"/>
        </w:rPr>
        <w:t>（</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lang w:val="zh-CN" w:eastAsia="zh-CN"/>
        </w:rPr>
        <w:t>）《</w:t>
      </w:r>
      <w:r>
        <w:rPr>
          <w:rFonts w:hint="eastAsia" w:ascii="仿宋" w:hAnsi="仿宋" w:eastAsia="仿宋" w:cs="仿宋"/>
          <w:b/>
          <w:color w:val="auto"/>
          <w:sz w:val="24"/>
          <w:szCs w:val="24"/>
          <w:highlight w:val="none"/>
          <w:lang w:val="en-US" w:eastAsia="zh-CN"/>
        </w:rPr>
        <w:t>中小企业声明函</w:t>
      </w:r>
      <w:r>
        <w:rPr>
          <w:rFonts w:hint="eastAsia" w:ascii="仿宋" w:hAnsi="仿宋" w:eastAsia="仿宋" w:cs="仿宋"/>
          <w:b/>
          <w:color w:val="auto"/>
          <w:sz w:val="24"/>
          <w:szCs w:val="24"/>
          <w:highlight w:val="none"/>
          <w:lang w:val="zh-CN" w:eastAsia="zh-CN"/>
        </w:rPr>
        <w:t>》；</w:t>
      </w:r>
    </w:p>
    <w:p w14:paraId="7489EFA4">
      <w:pPr>
        <w:pStyle w:val="199"/>
        <w:tabs>
          <w:tab w:val="left" w:pos="1824"/>
        </w:tabs>
        <w:spacing w:line="360" w:lineRule="auto"/>
        <w:ind w:left="-18" w:firstLine="508"/>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w:t>
      </w:r>
      <w:r>
        <w:rPr>
          <w:rFonts w:hint="eastAsia" w:ascii="仿宋" w:hAnsi="仿宋" w:eastAsia="仿宋" w:cs="仿宋"/>
          <w:b/>
          <w:bCs w:val="0"/>
          <w:color w:val="auto"/>
          <w:sz w:val="24"/>
          <w:szCs w:val="24"/>
          <w:highlight w:val="none"/>
          <w:lang w:val="en-US" w:eastAsia="zh-CN"/>
        </w:rPr>
        <w:t>6</w:t>
      </w:r>
      <w:r>
        <w:rPr>
          <w:rFonts w:hint="eastAsia" w:ascii="仿宋" w:hAnsi="仿宋" w:eastAsia="仿宋" w:cs="仿宋"/>
          <w:b/>
          <w:bCs w:val="0"/>
          <w:color w:val="auto"/>
          <w:sz w:val="24"/>
          <w:szCs w:val="24"/>
          <w:highlight w:val="none"/>
        </w:rPr>
        <w:t>）</w:t>
      </w:r>
      <w:r>
        <w:rPr>
          <w:rFonts w:hint="eastAsia" w:ascii="仿宋" w:hAnsi="仿宋" w:eastAsia="仿宋" w:cs="仿宋"/>
          <w:b/>
          <w:bCs w:val="0"/>
          <w:color w:val="auto"/>
          <w:sz w:val="24"/>
          <w:szCs w:val="24"/>
          <w:highlight w:val="none"/>
          <w:lang w:val="en-US" w:eastAsia="zh-CN"/>
        </w:rPr>
        <w:t>投标供应商</w:t>
      </w:r>
      <w:r>
        <w:rPr>
          <w:rFonts w:hint="eastAsia" w:ascii="仿宋" w:hAnsi="仿宋" w:eastAsia="仿宋" w:cs="仿宋"/>
          <w:b/>
          <w:bCs w:val="0"/>
          <w:color w:val="auto"/>
          <w:sz w:val="24"/>
          <w:szCs w:val="24"/>
          <w:highlight w:val="none"/>
        </w:rPr>
        <w:t>认为需要提供的其他证明文件。</w:t>
      </w:r>
    </w:p>
    <w:p w14:paraId="62B85F3A">
      <w:pPr>
        <w:pStyle w:val="199"/>
        <w:tabs>
          <w:tab w:val="left" w:pos="1824"/>
        </w:tabs>
        <w:spacing w:line="360" w:lineRule="auto"/>
        <w:ind w:left="15" w:right="4230" w:firstLine="231"/>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eastAsia="zh-CN"/>
        </w:rPr>
        <w:t>12.</w:t>
      </w:r>
      <w:r>
        <w:rPr>
          <w:rFonts w:hint="eastAsia" w:ascii="仿宋" w:hAnsi="仿宋" w:eastAsia="仿宋" w:cs="仿宋"/>
          <w:b/>
          <w:color w:val="auto"/>
          <w:sz w:val="24"/>
          <w:szCs w:val="24"/>
          <w:highlight w:val="none"/>
        </w:rPr>
        <w:t>投标文件的价格部分</w:t>
      </w:r>
    </w:p>
    <w:p w14:paraId="4680D6FC">
      <w:pPr>
        <w:pStyle w:val="199"/>
        <w:tabs>
          <w:tab w:val="left" w:pos="1824"/>
        </w:tabs>
        <w:spacing w:line="360" w:lineRule="auto"/>
        <w:ind w:left="-18"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12.1</w:t>
      </w:r>
      <w:r>
        <w:rPr>
          <w:rFonts w:hint="eastAsia" w:ascii="仿宋" w:hAnsi="仿宋" w:eastAsia="仿宋" w:cs="仿宋"/>
          <w:color w:val="auto"/>
          <w:sz w:val="24"/>
          <w:szCs w:val="24"/>
          <w:highlight w:val="none"/>
        </w:rPr>
        <w:t>价格部分是对投标货物及服务价格构成的说明，每一项服务仅接受一个价格。</w:t>
      </w:r>
    </w:p>
    <w:p w14:paraId="6CA877E8">
      <w:pPr>
        <w:pStyle w:val="199"/>
        <w:tabs>
          <w:tab w:val="left" w:pos="1776"/>
        </w:tabs>
        <w:spacing w:line="360" w:lineRule="auto"/>
        <w:ind w:left="-18" w:right="749" w:firstLine="527"/>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12.2</w:t>
      </w:r>
      <w:r>
        <w:rPr>
          <w:rFonts w:hint="eastAsia" w:ascii="仿宋" w:hAnsi="仿宋" w:eastAsia="仿宋" w:cs="仿宋"/>
          <w:b/>
          <w:color w:val="auto"/>
          <w:sz w:val="24"/>
          <w:szCs w:val="24"/>
          <w:highlight w:val="none"/>
        </w:rPr>
        <w:t>政府采购提倡公平竞争，反对低于成本、串通报价、哄抬价格等恶意竞争行为，任何盲目压价、低于成本报价、串通哄抬报价等价格将会被拒绝。报价应低于市场平均价。</w:t>
      </w:r>
    </w:p>
    <w:p w14:paraId="510445A0">
      <w:pPr>
        <w:pStyle w:val="199"/>
        <w:tabs>
          <w:tab w:val="left" w:pos="1776"/>
        </w:tabs>
        <w:spacing w:line="360" w:lineRule="auto"/>
        <w:ind w:left="-18" w:right="749" w:firstLine="527"/>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12.3本</w:t>
      </w:r>
      <w:r>
        <w:rPr>
          <w:rFonts w:hint="eastAsia" w:ascii="仿宋" w:hAnsi="仿宋" w:eastAsia="仿宋" w:cs="仿宋"/>
          <w:b/>
          <w:color w:val="auto"/>
          <w:sz w:val="24"/>
          <w:szCs w:val="24"/>
          <w:highlight w:val="none"/>
          <w:lang w:val="en-US" w:eastAsia="zh-CN"/>
        </w:rPr>
        <w:t>服务项目</w:t>
      </w:r>
      <w:r>
        <w:rPr>
          <w:rFonts w:hint="eastAsia" w:ascii="仿宋" w:hAnsi="仿宋" w:eastAsia="仿宋" w:cs="仿宋"/>
          <w:b/>
          <w:color w:val="auto"/>
          <w:sz w:val="24"/>
          <w:szCs w:val="24"/>
          <w:highlight w:val="none"/>
          <w:lang w:val="en-US"/>
        </w:rPr>
        <w:t>报价形式采用</w:t>
      </w:r>
      <w:r>
        <w:rPr>
          <w:rFonts w:hint="eastAsia" w:ascii="仿宋" w:hAnsi="仿宋" w:eastAsia="仿宋" w:cs="仿宋"/>
          <w:b/>
          <w:color w:val="auto"/>
          <w:sz w:val="24"/>
          <w:szCs w:val="24"/>
          <w:highlight w:val="none"/>
          <w:lang w:val="en-US" w:eastAsia="zh-CN"/>
        </w:rPr>
        <w:t>固定单价</w:t>
      </w:r>
      <w:r>
        <w:rPr>
          <w:rFonts w:hint="eastAsia" w:ascii="仿宋" w:hAnsi="仿宋" w:eastAsia="仿宋" w:cs="仿宋"/>
          <w:b/>
          <w:color w:val="auto"/>
          <w:sz w:val="24"/>
          <w:szCs w:val="24"/>
          <w:highlight w:val="none"/>
          <w:lang w:val="en-US"/>
        </w:rPr>
        <w:t>形式。投标报价：包括但不限于完成文件所确定的服务范围所需的全部费用，及其相应税费、政策性文件规定及实施过程中所有风险、责任等各项应有费用， 不论其在采购文件中是否有提及。投标供应商应根据上述因素自行考虑含入投标报价。</w:t>
      </w:r>
    </w:p>
    <w:p w14:paraId="3980A54A">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12.4 本项目执行财库〔2026〕2号《关于推动解决政府采购异常低价问题相关工作的通知》的相关规定。</w:t>
      </w:r>
    </w:p>
    <w:p w14:paraId="4B49D723">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12.4.1评审中出现下列情形之一的，评审委员会应当启动异常低价投标（响应）审查程序： </w:t>
      </w:r>
    </w:p>
    <w:p w14:paraId="208C1BEF">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 </w:t>
      </w:r>
    </w:p>
    <w:p w14:paraId="78926F24">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 </w:t>
      </w:r>
    </w:p>
    <w:p w14:paraId="539B5C31">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（3）投标（响应）报价低于采购项目最高限价45%的，即投标（响应）报价&lt;采购项目最高限价×45%； </w:t>
      </w:r>
    </w:p>
    <w:p w14:paraId="107ACDDB">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（4）评审委员会基于专业判断，认为供应商报价过低，有可能影响产品质量或者不能诚信履约的其他情形。 </w:t>
      </w:r>
    </w:p>
    <w:p w14:paraId="3E16D552">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相关法律法规对供应商报价有规定的，从其规定。 </w:t>
      </w:r>
    </w:p>
    <w:p w14:paraId="79E36011">
      <w:pPr>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12.4.2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p>
    <w:p w14:paraId="4AB3C7D8">
      <w:pPr>
        <w:ind w:firstLine="480" w:firstLineChars="200"/>
        <w:rPr>
          <w:rFonts w:hint="default" w:eastAsia="仿宋"/>
          <w:b w:val="0"/>
          <w:bCs/>
          <w:color w:val="auto"/>
          <w:highlight w:val="none"/>
          <w:lang w:val="en-US" w:eastAsia="zh-CN"/>
        </w:rPr>
      </w:pPr>
      <w:r>
        <w:rPr>
          <w:rFonts w:hint="eastAsia" w:ascii="仿宋" w:hAnsi="仿宋" w:eastAsia="仿宋" w:cs="仿宋"/>
          <w:b w:val="0"/>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A29678C">
      <w:pPr>
        <w:pStyle w:val="199"/>
        <w:tabs>
          <w:tab w:val="left" w:pos="1824"/>
        </w:tabs>
        <w:spacing w:line="360" w:lineRule="auto"/>
        <w:ind w:left="-18" w:firstLine="52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供应商的任何错漏、优惠、竞争性报价不得作为减轻责任、减少服务、增加收费、降低质量的理由。在验收过程中，如发现有漏项、缺件，投标方应无条件、无偿补齐，所发生的一切费用，视为已包含在投标方的最终投标报价中。</w:t>
      </w:r>
    </w:p>
    <w:p w14:paraId="6401611B">
      <w:pPr>
        <w:pStyle w:val="199"/>
        <w:tabs>
          <w:tab w:val="left" w:pos="1824"/>
        </w:tabs>
        <w:spacing w:line="360" w:lineRule="auto"/>
        <w:ind w:left="-18" w:right="763" w:firstLine="523"/>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供应商应在《开标一览表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投标分项报价</w:t>
      </w:r>
      <w:r>
        <w:rPr>
          <w:rFonts w:hint="eastAsia" w:ascii="仿宋" w:hAnsi="仿宋" w:eastAsia="仿宋" w:cs="仿宋"/>
          <w:color w:val="auto"/>
          <w:sz w:val="24"/>
          <w:szCs w:val="24"/>
          <w:highlight w:val="none"/>
          <w:lang w:val="en-US" w:eastAsia="zh-CN"/>
        </w:rPr>
        <w:t>表</w:t>
      </w:r>
      <w:r>
        <w:rPr>
          <w:rFonts w:hint="eastAsia" w:ascii="仿宋" w:hAnsi="仿宋" w:eastAsia="仿宋" w:cs="仿宋"/>
          <w:color w:val="auto"/>
          <w:sz w:val="24"/>
          <w:szCs w:val="24"/>
          <w:highlight w:val="none"/>
        </w:rPr>
        <w:t>》等标明提供货物及服务的</w:t>
      </w:r>
      <w:r>
        <w:rPr>
          <w:rFonts w:hint="eastAsia" w:ascii="仿宋" w:hAnsi="仿宋" w:eastAsia="仿宋" w:cs="仿宋"/>
          <w:b w:val="0"/>
          <w:bCs/>
          <w:color w:val="auto"/>
          <w:sz w:val="24"/>
          <w:szCs w:val="24"/>
          <w:highlight w:val="none"/>
        </w:rPr>
        <w:t>单价、总价以及分项</w:t>
      </w:r>
      <w:r>
        <w:rPr>
          <w:rFonts w:hint="eastAsia" w:ascii="仿宋" w:hAnsi="仿宋" w:eastAsia="仿宋" w:cs="仿宋"/>
          <w:b w:val="0"/>
          <w:bCs/>
          <w:color w:val="auto"/>
          <w:spacing w:val="-2"/>
          <w:sz w:val="24"/>
          <w:szCs w:val="24"/>
          <w:highlight w:val="none"/>
        </w:rPr>
        <w:t>报价</w:t>
      </w:r>
      <w:r>
        <w:rPr>
          <w:rFonts w:hint="eastAsia" w:ascii="仿宋" w:hAnsi="仿宋" w:eastAsia="仿宋" w:cs="仿宋"/>
          <w:color w:val="auto"/>
          <w:spacing w:val="-2"/>
          <w:sz w:val="24"/>
          <w:szCs w:val="24"/>
          <w:highlight w:val="none"/>
        </w:rPr>
        <w:t>。</w:t>
      </w:r>
      <w:r>
        <w:rPr>
          <w:rFonts w:hint="eastAsia" w:ascii="仿宋" w:hAnsi="仿宋" w:eastAsia="仿宋" w:cs="仿宋"/>
          <w:b w:val="0"/>
          <w:bCs w:val="0"/>
          <w:color w:val="auto"/>
          <w:spacing w:val="-2"/>
          <w:sz w:val="24"/>
          <w:szCs w:val="24"/>
          <w:highlight w:val="none"/>
        </w:rPr>
        <w:t>供应商系</w:t>
      </w:r>
      <w:r>
        <w:rPr>
          <w:rFonts w:hint="eastAsia" w:ascii="仿宋" w:hAnsi="仿宋" w:eastAsia="仿宋" w:cs="仿宋"/>
          <w:b w:val="0"/>
          <w:bCs w:val="0"/>
          <w:color w:val="auto"/>
          <w:spacing w:val="-1"/>
          <w:sz w:val="24"/>
          <w:szCs w:val="24"/>
          <w:highlight w:val="none"/>
        </w:rPr>
        <w:t>小企业</w:t>
      </w:r>
      <w:r>
        <w:rPr>
          <w:rFonts w:hint="eastAsia" w:ascii="仿宋" w:hAnsi="仿宋" w:eastAsia="仿宋" w:cs="仿宋"/>
          <w:b/>
          <w:color w:val="auto"/>
          <w:sz w:val="24"/>
          <w:szCs w:val="24"/>
          <w:highlight w:val="none"/>
        </w:rPr>
        <w:t>（</w:t>
      </w:r>
      <w:r>
        <w:rPr>
          <w:rFonts w:hint="eastAsia" w:ascii="仿宋" w:hAnsi="仿宋" w:eastAsia="仿宋" w:cs="仿宋"/>
          <w:b/>
          <w:color w:val="auto"/>
          <w:spacing w:val="-3"/>
          <w:sz w:val="24"/>
          <w:szCs w:val="24"/>
          <w:highlight w:val="none"/>
        </w:rPr>
        <w:t>含小型、微型企业、监狱企业</w:t>
      </w:r>
      <w:r>
        <w:rPr>
          <w:rFonts w:hint="eastAsia" w:ascii="仿宋" w:hAnsi="仿宋" w:eastAsia="仿宋" w:cs="仿宋"/>
          <w:b/>
          <w:color w:val="auto"/>
          <w:spacing w:val="-5"/>
          <w:sz w:val="24"/>
          <w:szCs w:val="24"/>
          <w:highlight w:val="none"/>
        </w:rPr>
        <w:t>），</w:t>
      </w:r>
      <w:r>
        <w:rPr>
          <w:rFonts w:hint="eastAsia" w:ascii="仿宋" w:hAnsi="仿宋" w:eastAsia="仿宋" w:cs="仿宋"/>
          <w:color w:val="auto"/>
          <w:spacing w:val="-5"/>
          <w:sz w:val="24"/>
          <w:szCs w:val="24"/>
          <w:highlight w:val="none"/>
        </w:rPr>
        <w:t>须在《开标一览表</w:t>
      </w:r>
      <w:r>
        <w:rPr>
          <w:rFonts w:hint="eastAsia" w:ascii="仿宋" w:hAnsi="仿宋" w:eastAsia="仿宋" w:cs="仿宋"/>
          <w:color w:val="auto"/>
          <w:spacing w:val="-5"/>
          <w:sz w:val="24"/>
          <w:szCs w:val="24"/>
          <w:highlight w:val="none"/>
          <w:lang w:eastAsia="zh-CN"/>
        </w:rPr>
        <w:t>》《</w:t>
      </w:r>
      <w:r>
        <w:rPr>
          <w:rFonts w:hint="eastAsia" w:ascii="仿宋" w:hAnsi="仿宋" w:eastAsia="仿宋" w:cs="仿宋"/>
          <w:color w:val="auto"/>
          <w:spacing w:val="-5"/>
          <w:sz w:val="24"/>
          <w:szCs w:val="24"/>
          <w:highlight w:val="none"/>
        </w:rPr>
        <w:t>投标分项报价</w:t>
      </w:r>
      <w:r>
        <w:rPr>
          <w:rFonts w:hint="eastAsia" w:ascii="仿宋" w:hAnsi="仿宋" w:eastAsia="仿宋" w:cs="仿宋"/>
          <w:color w:val="auto"/>
          <w:spacing w:val="-5"/>
          <w:sz w:val="24"/>
          <w:szCs w:val="24"/>
          <w:highlight w:val="none"/>
          <w:lang w:val="en-US" w:eastAsia="zh-CN"/>
        </w:rPr>
        <w:t>表</w:t>
      </w:r>
      <w:r>
        <w:rPr>
          <w:rFonts w:hint="eastAsia" w:ascii="仿宋" w:hAnsi="仿宋" w:eastAsia="仿宋" w:cs="仿宋"/>
          <w:color w:val="auto"/>
          <w:spacing w:val="-5"/>
          <w:sz w:val="24"/>
          <w:szCs w:val="24"/>
          <w:highlight w:val="none"/>
        </w:rPr>
        <w:t>》中注明。</w:t>
      </w:r>
    </w:p>
    <w:p w14:paraId="345F9639">
      <w:pPr>
        <w:pStyle w:val="199"/>
        <w:tabs>
          <w:tab w:val="left" w:pos="1824"/>
        </w:tabs>
        <w:spacing w:line="360" w:lineRule="auto"/>
        <w:ind w:left="-18" w:right="677" w:firstLine="545"/>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lang w:val="en-US"/>
        </w:rPr>
        <w:t>12.</w:t>
      </w:r>
      <w:r>
        <w:rPr>
          <w:rFonts w:hint="eastAsia" w:ascii="仿宋" w:hAnsi="仿宋" w:eastAsia="仿宋" w:cs="仿宋"/>
          <w:color w:val="auto"/>
          <w:spacing w:val="-5"/>
          <w:sz w:val="24"/>
          <w:szCs w:val="24"/>
          <w:highlight w:val="none"/>
          <w:lang w:val="en-US" w:eastAsia="zh-CN"/>
        </w:rPr>
        <w:t>7</w:t>
      </w:r>
      <w:r>
        <w:rPr>
          <w:rFonts w:hint="eastAsia" w:ascii="仿宋" w:hAnsi="仿宋" w:eastAsia="仿宋" w:cs="仿宋"/>
          <w:color w:val="auto"/>
          <w:spacing w:val="-5"/>
          <w:sz w:val="24"/>
          <w:szCs w:val="24"/>
          <w:highlight w:val="none"/>
        </w:rPr>
        <w:t>投标供</w:t>
      </w:r>
      <w:r>
        <w:rPr>
          <w:rFonts w:hint="eastAsia" w:ascii="仿宋" w:hAnsi="仿宋" w:eastAsia="仿宋" w:cs="仿宋"/>
          <w:color w:val="auto"/>
          <w:spacing w:val="-3"/>
          <w:sz w:val="24"/>
          <w:szCs w:val="24"/>
          <w:highlight w:val="none"/>
        </w:rPr>
        <w:t>应商应充分考虑到市场价格变动，以及项目实施过程中的不可预见因素，一旦成交，如果有漏项，视同让利。</w:t>
      </w:r>
    </w:p>
    <w:p w14:paraId="1922D575">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13.</w:t>
      </w:r>
      <w:r>
        <w:rPr>
          <w:rFonts w:hint="eastAsia" w:ascii="仿宋" w:hAnsi="仿宋" w:eastAsia="仿宋" w:cs="仿宋"/>
          <w:b/>
          <w:color w:val="auto"/>
          <w:sz w:val="24"/>
          <w:szCs w:val="24"/>
          <w:highlight w:val="none"/>
        </w:rPr>
        <w:t>投标文件的其他部分</w:t>
      </w:r>
    </w:p>
    <w:p w14:paraId="2A959DF4">
      <w:pPr>
        <w:pStyle w:val="199"/>
        <w:tabs>
          <w:tab w:val="left" w:pos="1823"/>
        </w:tabs>
        <w:spacing w:line="360" w:lineRule="auto"/>
        <w:ind w:left="15" w:firstLine="4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其他部分由供应商根据编制投标文件需要提供的其他相关文件。</w:t>
      </w:r>
    </w:p>
    <w:p w14:paraId="3C74620A">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14.</w:t>
      </w:r>
      <w:r>
        <w:rPr>
          <w:rFonts w:hint="eastAsia" w:ascii="仿宋" w:hAnsi="仿宋" w:eastAsia="仿宋" w:cs="仿宋"/>
          <w:b/>
          <w:color w:val="auto"/>
          <w:sz w:val="24"/>
          <w:szCs w:val="24"/>
          <w:highlight w:val="none"/>
        </w:rPr>
        <w:t>投标有效期</w:t>
      </w:r>
    </w:p>
    <w:p w14:paraId="69CA3EA0">
      <w:pPr>
        <w:pStyle w:val="199"/>
        <w:tabs>
          <w:tab w:val="left" w:pos="1823"/>
        </w:tabs>
        <w:spacing w:line="360" w:lineRule="auto"/>
        <w:ind w:left="15" w:firstLine="4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14.1 </w:t>
      </w:r>
      <w:r>
        <w:rPr>
          <w:rFonts w:hint="eastAsia" w:ascii="仿宋" w:hAnsi="仿宋" w:eastAsia="仿宋" w:cs="仿宋"/>
          <w:color w:val="auto"/>
          <w:sz w:val="24"/>
          <w:szCs w:val="24"/>
          <w:highlight w:val="none"/>
        </w:rPr>
        <w:t>自开标之日起90天内投标有效。</w:t>
      </w:r>
    </w:p>
    <w:p w14:paraId="3455D300">
      <w:pPr>
        <w:pStyle w:val="199"/>
        <w:tabs>
          <w:tab w:val="left" w:pos="1823"/>
        </w:tabs>
        <w:spacing w:line="360" w:lineRule="auto"/>
        <w:ind w:left="15" w:firstLine="4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14.2 </w:t>
      </w:r>
      <w:r>
        <w:rPr>
          <w:rFonts w:hint="eastAsia" w:ascii="仿宋" w:hAnsi="仿宋" w:eastAsia="仿宋" w:cs="仿宋"/>
          <w:color w:val="auto"/>
          <w:sz w:val="24"/>
          <w:szCs w:val="24"/>
          <w:highlight w:val="none"/>
        </w:rPr>
        <w:t>在特殊情况下，在原投标有效期截止之前，代理机构可要求供应商同意延长投标有效期， 这种要求与答复均以书面形式提交。</w:t>
      </w:r>
    </w:p>
    <w:p w14:paraId="38AFB57B">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15.</w:t>
      </w:r>
      <w:r>
        <w:rPr>
          <w:rFonts w:hint="eastAsia" w:ascii="仿宋" w:hAnsi="仿宋" w:eastAsia="仿宋" w:cs="仿宋"/>
          <w:b/>
          <w:color w:val="auto"/>
          <w:sz w:val="24"/>
          <w:szCs w:val="24"/>
          <w:highlight w:val="none"/>
        </w:rPr>
        <w:t>投标文件签署</w:t>
      </w:r>
    </w:p>
    <w:p w14:paraId="52283D7E">
      <w:pPr>
        <w:pStyle w:val="199"/>
        <w:tabs>
          <w:tab w:val="left" w:pos="1823"/>
        </w:tabs>
        <w:spacing w:line="360" w:lineRule="auto"/>
        <w:ind w:left="15" w:firstLine="4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.1 投标文件的正本和副本均由供应商法定代表人或经正式授权并对供应商有约束力的委托代理人签字。</w:t>
      </w:r>
    </w:p>
    <w:p w14:paraId="1AF85E56">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16.</w:t>
      </w:r>
      <w:r>
        <w:rPr>
          <w:rFonts w:hint="eastAsia" w:ascii="仿宋" w:hAnsi="仿宋" w:eastAsia="仿宋" w:cs="仿宋"/>
          <w:b/>
          <w:color w:val="auto"/>
          <w:sz w:val="24"/>
          <w:szCs w:val="24"/>
          <w:highlight w:val="none"/>
        </w:rPr>
        <w:t>投标文件的</w:t>
      </w:r>
      <w:r>
        <w:rPr>
          <w:rFonts w:hint="eastAsia" w:ascii="仿宋" w:hAnsi="仿宋" w:eastAsia="仿宋" w:cs="仿宋"/>
          <w:b/>
          <w:color w:val="auto"/>
          <w:sz w:val="24"/>
          <w:szCs w:val="24"/>
          <w:highlight w:val="none"/>
          <w:lang w:val="en-US"/>
        </w:rPr>
        <w:t>修改</w:t>
      </w:r>
      <w:r>
        <w:rPr>
          <w:rFonts w:hint="eastAsia" w:ascii="仿宋" w:hAnsi="仿宋" w:eastAsia="仿宋" w:cs="仿宋"/>
          <w:b/>
          <w:color w:val="auto"/>
          <w:sz w:val="24"/>
          <w:szCs w:val="24"/>
          <w:highlight w:val="none"/>
        </w:rPr>
        <w:t>和</w:t>
      </w:r>
      <w:r>
        <w:rPr>
          <w:rFonts w:hint="eastAsia" w:ascii="仿宋" w:hAnsi="仿宋" w:eastAsia="仿宋" w:cs="仿宋"/>
          <w:b/>
          <w:color w:val="auto"/>
          <w:sz w:val="24"/>
          <w:szCs w:val="24"/>
          <w:highlight w:val="none"/>
          <w:lang w:val="en-US"/>
        </w:rPr>
        <w:t>撤回</w:t>
      </w:r>
    </w:p>
    <w:p w14:paraId="54630915">
      <w:pPr>
        <w:spacing w:line="360" w:lineRule="auto"/>
        <w:ind w:left="15" w:firstLine="23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16.1 供应商在投标截止时</w:t>
      </w:r>
      <w:r>
        <w:rPr>
          <w:rFonts w:hint="eastAsia" w:ascii="仿宋" w:hAnsi="仿宋" w:eastAsia="仿宋" w:cs="仿宋"/>
          <w:color w:val="auto"/>
          <w:sz w:val="24"/>
          <w:szCs w:val="24"/>
          <w:highlight w:val="none"/>
          <w:lang w:val="en-US" w:eastAsia="zh-CN"/>
        </w:rPr>
        <w:t>间之</w:t>
      </w:r>
      <w:r>
        <w:rPr>
          <w:rFonts w:hint="eastAsia" w:ascii="仿宋" w:hAnsi="仿宋" w:eastAsia="仿宋" w:cs="仿宋"/>
          <w:color w:val="auto"/>
          <w:sz w:val="24"/>
          <w:szCs w:val="24"/>
          <w:highlight w:val="none"/>
          <w:lang w:val="en-US"/>
        </w:rPr>
        <w:t>前，可以对所递交的投标文件进行补充、修改或撤回，并书面通知代理机构。补充、修改的内容应当按照招标文件要求签署、盖章，并作为投标文件的组成部分。</w:t>
      </w:r>
    </w:p>
    <w:p w14:paraId="1DD41099">
      <w:pPr>
        <w:spacing w:line="360" w:lineRule="auto"/>
        <w:ind w:left="15" w:firstLine="23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16.2 投标截止时间过后，投标文件不得撤回。</w:t>
      </w:r>
    </w:p>
    <w:p w14:paraId="093F7C9E">
      <w:pPr>
        <w:spacing w:line="360" w:lineRule="auto"/>
        <w:ind w:left="19" w:right="4670" w:hanging="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四、开标、评标与确定中标供应商</w:t>
      </w:r>
    </w:p>
    <w:p w14:paraId="3960CA28">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17.</w:t>
      </w:r>
      <w:r>
        <w:rPr>
          <w:rFonts w:hint="eastAsia" w:ascii="仿宋" w:hAnsi="仿宋" w:eastAsia="仿宋" w:cs="仿宋"/>
          <w:b/>
          <w:color w:val="auto"/>
          <w:sz w:val="24"/>
          <w:szCs w:val="24"/>
          <w:highlight w:val="none"/>
        </w:rPr>
        <w:t>开标</w:t>
      </w:r>
    </w:p>
    <w:p w14:paraId="4D4728AC">
      <w:pPr>
        <w:spacing w:line="360" w:lineRule="auto"/>
        <w:ind w:left="15" w:firstLine="23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17.1 代理机构将在招标文件确定的时间进行公开开标。</w:t>
      </w:r>
    </w:p>
    <w:p w14:paraId="021A2624">
      <w:pPr>
        <w:spacing w:line="360" w:lineRule="auto"/>
        <w:ind w:left="15" w:firstLine="23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17.2 开标时，系统将统一进行开标唱标的流程，投标供应商确认各自投标报价。</w:t>
      </w:r>
    </w:p>
    <w:p w14:paraId="0ABA403B">
      <w:pPr>
        <w:spacing w:line="360" w:lineRule="auto"/>
        <w:ind w:left="15" w:firstLine="23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17.</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 xml:space="preserve"> 投标截止时间结束后参加投标的供应商不足三家的，须重新</w:t>
      </w:r>
      <w:r>
        <w:rPr>
          <w:rFonts w:hint="eastAsia" w:ascii="仿宋" w:hAnsi="仿宋" w:eastAsia="仿宋" w:cs="仿宋"/>
          <w:color w:val="auto"/>
          <w:sz w:val="24"/>
          <w:szCs w:val="24"/>
          <w:highlight w:val="none"/>
          <w:lang w:val="en-US" w:eastAsia="zh-CN"/>
        </w:rPr>
        <w:t>启动招标流程，二次招标仍不满足三家的</w:t>
      </w:r>
      <w:r>
        <w:rPr>
          <w:rFonts w:hint="eastAsia" w:ascii="仿宋" w:hAnsi="仿宋" w:eastAsia="仿宋" w:cs="仿宋"/>
          <w:color w:val="auto"/>
          <w:sz w:val="24"/>
          <w:szCs w:val="24"/>
          <w:highlight w:val="none"/>
          <w:lang w:val="en-US"/>
        </w:rPr>
        <w:t>，代理机构报经监管部门批准后，可变更为竞争性谈判。如果变更为竞争性谈判采购的，代理机构根据招标文件中的采购需求编制谈判文件，只与该两家供应商进行竞争性谈判采购。</w:t>
      </w:r>
    </w:p>
    <w:p w14:paraId="64017178">
      <w:pPr>
        <w:spacing w:line="360" w:lineRule="auto"/>
        <w:ind w:left="15" w:firstLine="23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18.</w:t>
      </w:r>
      <w:r>
        <w:rPr>
          <w:rFonts w:hint="eastAsia" w:ascii="仿宋" w:hAnsi="仿宋" w:eastAsia="仿宋" w:cs="仿宋"/>
          <w:b/>
          <w:color w:val="auto"/>
          <w:sz w:val="24"/>
          <w:szCs w:val="24"/>
          <w:highlight w:val="none"/>
        </w:rPr>
        <w:t>评标</w:t>
      </w:r>
    </w:p>
    <w:p w14:paraId="567A259D">
      <w:pPr>
        <w:pStyle w:val="199"/>
        <w:tabs>
          <w:tab w:val="left" w:pos="1827"/>
        </w:tabs>
        <w:spacing w:line="360" w:lineRule="auto"/>
        <w:ind w:left="15" w:firstLine="4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 xml:space="preserve">18.1 </w:t>
      </w:r>
      <w:r>
        <w:rPr>
          <w:rFonts w:hint="eastAsia" w:ascii="仿宋" w:hAnsi="仿宋" w:eastAsia="仿宋" w:cs="仿宋"/>
          <w:b/>
          <w:color w:val="auto"/>
          <w:sz w:val="24"/>
          <w:szCs w:val="24"/>
          <w:highlight w:val="none"/>
        </w:rPr>
        <w:t>评标组织</w:t>
      </w:r>
    </w:p>
    <w:p w14:paraId="660F37CC">
      <w:pPr>
        <w:pStyle w:val="199"/>
        <w:tabs>
          <w:tab w:val="left" w:pos="2038"/>
        </w:tabs>
        <w:spacing w:line="360" w:lineRule="auto"/>
        <w:ind w:left="15" w:firstLine="484"/>
        <w:jc w:val="both"/>
        <w:rPr>
          <w:rFonts w:hint="eastAsia"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rPr>
        <w:t>18.2.1 投标文件的资格性检查。</w:t>
      </w:r>
      <w:r>
        <w:rPr>
          <w:rFonts w:hint="eastAsia" w:ascii="仿宋" w:hAnsi="仿宋" w:eastAsia="仿宋" w:cs="仿宋"/>
          <w:color w:val="auto"/>
          <w:sz w:val="24"/>
          <w:szCs w:val="24"/>
          <w:highlight w:val="none"/>
          <w:lang w:val="en-US"/>
        </w:rPr>
        <w:t>依据法律法规和招标文件的规定，对投标文件中资格证明等进行审查，以确定供应商是否具备投标资格。投标文件有下列情况之一的，在资格性、符合性检查时按照无效投标处理：</w:t>
      </w:r>
    </w:p>
    <w:p w14:paraId="7AD9977D">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（1）未按照招标文件规定要求签署、盖章的；</w:t>
      </w:r>
    </w:p>
    <w:p w14:paraId="2ABD1908">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（2）投标总价超出采购预算限额的；</w:t>
      </w:r>
    </w:p>
    <w:p w14:paraId="08C51D07">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（3）报价低于完成本项目发生的所有含税费用、支付给员工的工资（不得低于供应商所在地最低工资标准）和国家强制缴纳的各种社会保障资金、公积金，以及供应商认为需要的其他费用等；</w:t>
      </w:r>
    </w:p>
    <w:p w14:paraId="126F4730">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（4）不具备招标文件中规定资格要求的；</w:t>
      </w:r>
    </w:p>
    <w:p w14:paraId="2BB11E73">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（5）不同供应商的投标文件由同一</w:t>
      </w:r>
      <w:r>
        <w:rPr>
          <w:rFonts w:hint="eastAsia" w:ascii="仿宋" w:hAnsi="仿宋" w:eastAsia="仿宋" w:cs="仿宋"/>
          <w:b/>
          <w:bCs/>
          <w:color w:val="auto"/>
          <w:sz w:val="24"/>
          <w:szCs w:val="24"/>
          <w:highlight w:val="none"/>
          <w:lang w:val="en-US" w:eastAsia="zh-CN"/>
        </w:rPr>
        <w:t>mac地址、IP地址相同的</w:t>
      </w:r>
      <w:r>
        <w:rPr>
          <w:rFonts w:hint="eastAsia" w:ascii="仿宋" w:hAnsi="仿宋" w:eastAsia="仿宋" w:cs="仿宋"/>
          <w:b/>
          <w:bCs/>
          <w:color w:val="auto"/>
          <w:sz w:val="24"/>
          <w:szCs w:val="24"/>
          <w:highlight w:val="none"/>
          <w:lang w:val="en-US"/>
        </w:rPr>
        <w:t>；</w:t>
      </w:r>
    </w:p>
    <w:p w14:paraId="7D4B5AF3">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（6）不同供应商委托同一单位或者个人办理投标事宜；</w:t>
      </w:r>
    </w:p>
    <w:p w14:paraId="1098E285">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（7）不同供应商的投标文件载明的项目管理成员为同一人；</w:t>
      </w:r>
    </w:p>
    <w:p w14:paraId="219EB8FB">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（8）不同供应商的投标文件异常一致或者投标报价呈规律性差异；</w:t>
      </w:r>
    </w:p>
    <w:p w14:paraId="5E2620C5">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（9）不同供应商的投标文件相互混装；</w:t>
      </w:r>
    </w:p>
    <w:p w14:paraId="7168A2C8">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（10）不同供应商的法定代表人或委托代理人有夫妻、直系血亲关系的；</w:t>
      </w:r>
    </w:p>
    <w:p w14:paraId="373FBD18">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（11）不同供应商的负责人为同一人或者存在控股、管理关系的；</w:t>
      </w:r>
    </w:p>
    <w:p w14:paraId="2622C6C9">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（12）不同供应商的委托代理人</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val="en-US"/>
        </w:rPr>
        <w:t>或法定代表人、项目经理、项目总监、项目负责人等</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val="en-US"/>
        </w:rPr>
        <w:t>在采购文件发布日上月至投标截止日当月在同一单位缴纳社会保险的；</w:t>
      </w:r>
    </w:p>
    <w:p w14:paraId="0B8B1A54">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（1</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lang w:val="en-US"/>
        </w:rPr>
        <w:t>）服务承诺和付款条件未响应招标要求的；</w:t>
      </w:r>
    </w:p>
    <w:p w14:paraId="225A7AFF">
      <w:pPr>
        <w:pStyle w:val="199"/>
        <w:tabs>
          <w:tab w:val="left" w:pos="2038"/>
        </w:tabs>
        <w:spacing w:line="360" w:lineRule="auto"/>
        <w:ind w:left="15" w:firstLine="484"/>
        <w:jc w:val="both"/>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（1</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val="en-US"/>
        </w:rPr>
        <w:t>）不符合</w:t>
      </w:r>
      <w:r>
        <w:rPr>
          <w:rFonts w:hint="eastAsia" w:ascii="仿宋" w:hAnsi="仿宋" w:eastAsia="仿宋" w:cs="仿宋"/>
          <w:b/>
          <w:bCs/>
          <w:color w:val="auto"/>
          <w:sz w:val="24"/>
          <w:szCs w:val="24"/>
          <w:highlight w:val="none"/>
          <w:lang w:val="en-US" w:eastAsia="zh-CN"/>
        </w:rPr>
        <w:t>法律法规</w:t>
      </w:r>
      <w:r>
        <w:rPr>
          <w:rFonts w:hint="eastAsia" w:ascii="仿宋" w:hAnsi="仿宋" w:eastAsia="仿宋" w:cs="仿宋"/>
          <w:b/>
          <w:bCs/>
          <w:color w:val="auto"/>
          <w:sz w:val="24"/>
          <w:szCs w:val="24"/>
          <w:highlight w:val="none"/>
          <w:lang w:val="en-US"/>
        </w:rPr>
        <w:t>和招标文件规定的其他实质性要求的等。</w:t>
      </w:r>
    </w:p>
    <w:p w14:paraId="52FB0A8D">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18.2.2 投标文件的符合性检查。依据招标文件规定，从投标文件的有效性、完整性和对招标文件的响应程度进行审查。</w:t>
      </w:r>
    </w:p>
    <w:p w14:paraId="3B4B1F81">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18.2.2.1 实质性要求是指本招标文件中用带星号（“★或*”）、“必须或须”或“应（应当）”等其他文字说明的商务和技术要求。</w:t>
      </w:r>
    </w:p>
    <w:p w14:paraId="3B5BADDF">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18.2.2.2 有下列情形之一的予以废标，同时将废标理由通知所有供应商：</w:t>
      </w:r>
    </w:p>
    <w:p w14:paraId="458644D3">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en-US"/>
        </w:rPr>
        <w:t>）出现影响采购公正的违法、违规行为的；</w:t>
      </w:r>
    </w:p>
    <w:p w14:paraId="1C17B111">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en-US"/>
        </w:rPr>
        <w:t>）因重大变故，采购任务取消的。</w:t>
      </w:r>
    </w:p>
    <w:p w14:paraId="086BD96F">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en-US"/>
        </w:rPr>
        <w:t>）不具备招标文件中规定资格条件的；</w:t>
      </w:r>
    </w:p>
    <w:p w14:paraId="722359E5">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en-US"/>
        </w:rPr>
        <w:t>）未实质性响应采购要求的；</w:t>
      </w:r>
    </w:p>
    <w:p w14:paraId="17D88CC7">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en-US"/>
        </w:rPr>
        <w:t>）报价低于完成本项目发生的所有含税费用、支付给员工的工资（不得低于供应商所在地最低工资标准）和国家强制缴纳的各种社会保障资金、公积金，以及供应商认为需要的其他费用等；</w:t>
      </w:r>
    </w:p>
    <w:p w14:paraId="3D182AAD">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en-US"/>
        </w:rPr>
        <w:t>）报价超过招标文件中规定的预算金额或者最高限价的；</w:t>
      </w:r>
    </w:p>
    <w:p w14:paraId="3054C734">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en-US"/>
        </w:rPr>
        <w:t>）招标文件中的打“★”或“*”项缺失或者未实质性响应的；</w:t>
      </w:r>
    </w:p>
    <w:p w14:paraId="440FC3A1">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en-US"/>
        </w:rPr>
        <w:t>）未按要求盖章和签字；</w:t>
      </w:r>
    </w:p>
    <w:p w14:paraId="0B713A31">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val="en-US"/>
        </w:rPr>
        <w:t>）不符合</w:t>
      </w:r>
      <w:r>
        <w:rPr>
          <w:rFonts w:hint="eastAsia" w:ascii="仿宋" w:hAnsi="仿宋" w:eastAsia="仿宋" w:cs="仿宋"/>
          <w:color w:val="auto"/>
          <w:sz w:val="24"/>
          <w:szCs w:val="24"/>
          <w:highlight w:val="none"/>
          <w:lang w:val="en-US" w:eastAsia="zh-CN"/>
        </w:rPr>
        <w:t>法律法规</w:t>
      </w:r>
      <w:r>
        <w:rPr>
          <w:rFonts w:hint="eastAsia" w:ascii="仿宋" w:hAnsi="仿宋" w:eastAsia="仿宋" w:cs="仿宋"/>
          <w:color w:val="auto"/>
          <w:sz w:val="24"/>
          <w:szCs w:val="24"/>
          <w:highlight w:val="none"/>
          <w:lang w:val="en-US"/>
        </w:rPr>
        <w:t>和采购文件规定的其他实质性要求的。</w:t>
      </w:r>
    </w:p>
    <w:p w14:paraId="59DF9CE0">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18.2.2.3 在评标期间，出现符合专业条件的供应商或者对招标文件作出实质性响应的供应商不足三家情形的，比照</w:t>
      </w:r>
      <w:r>
        <w:rPr>
          <w:rFonts w:hint="eastAsia" w:ascii="仿宋" w:hAnsi="仿宋" w:eastAsia="仿宋" w:cs="仿宋"/>
          <w:color w:val="auto"/>
          <w:sz w:val="24"/>
          <w:szCs w:val="24"/>
          <w:highlight w:val="none"/>
          <w:lang w:val="en-US" w:eastAsia="zh-CN"/>
        </w:rPr>
        <w:t>17.3</w:t>
      </w:r>
      <w:r>
        <w:rPr>
          <w:rFonts w:hint="eastAsia" w:ascii="仿宋" w:hAnsi="仿宋" w:eastAsia="仿宋" w:cs="仿宋"/>
          <w:color w:val="auto"/>
          <w:sz w:val="24"/>
          <w:szCs w:val="24"/>
          <w:highlight w:val="none"/>
          <w:lang w:val="en-US"/>
        </w:rPr>
        <w:t>款执行。</w:t>
      </w:r>
    </w:p>
    <w:p w14:paraId="4D97FFFA">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p>
    <w:p w14:paraId="7897BFC1">
      <w:pPr>
        <w:pStyle w:val="199"/>
        <w:tabs>
          <w:tab w:val="left" w:pos="2038"/>
        </w:tabs>
        <w:spacing w:line="360" w:lineRule="auto"/>
        <w:ind w:left="15" w:firstLine="482"/>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18.2.4 比较与评价。按照招标文件中规定的评标方法和标准，对资格性检查和符合性检查合格的投标文件进行商务和技术评估，综合比较与评价。</w:t>
      </w:r>
    </w:p>
    <w:p w14:paraId="08FD4FBA">
      <w:pPr>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19.</w:t>
      </w:r>
      <w:r>
        <w:rPr>
          <w:rFonts w:hint="eastAsia" w:ascii="仿宋" w:hAnsi="仿宋" w:eastAsia="仿宋" w:cs="仿宋"/>
          <w:b/>
          <w:color w:val="auto"/>
          <w:sz w:val="24"/>
          <w:szCs w:val="24"/>
          <w:highlight w:val="none"/>
          <w:lang w:val="en-US"/>
        </w:rPr>
        <w:t>评标办法</w:t>
      </w:r>
    </w:p>
    <w:p w14:paraId="02B87C83">
      <w:pPr>
        <w:pStyle w:val="199"/>
        <w:tabs>
          <w:tab w:val="left" w:pos="1827"/>
        </w:tabs>
        <w:spacing w:line="360" w:lineRule="auto"/>
        <w:ind w:left="-18" w:firstLine="27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19.1</w:t>
      </w:r>
      <w:r>
        <w:rPr>
          <w:rFonts w:hint="eastAsia" w:ascii="仿宋" w:hAnsi="仿宋" w:eastAsia="仿宋" w:cs="仿宋"/>
          <w:b/>
          <w:color w:val="auto"/>
          <w:sz w:val="24"/>
          <w:szCs w:val="24"/>
          <w:highlight w:val="none"/>
        </w:rPr>
        <w:t>评标方法和标准</w:t>
      </w:r>
    </w:p>
    <w:p w14:paraId="61375161">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19.1.1</w:t>
      </w:r>
      <w:r>
        <w:rPr>
          <w:rFonts w:hint="eastAsia" w:ascii="仿宋" w:hAnsi="仿宋" w:eastAsia="仿宋" w:cs="仿宋"/>
          <w:bCs/>
          <w:color w:val="auto"/>
          <w:sz w:val="24"/>
          <w:szCs w:val="24"/>
          <w:highlight w:val="none"/>
        </w:rPr>
        <w:t>采用综合评分法。即在最大限度地满足招标文件实质性要求前提下，按照招标文件中规定的各项因素进行综合评审后，以评标总得分最高的投标人作为中标候选供应商或者中标供应商的评标方法。</w:t>
      </w:r>
    </w:p>
    <w:p w14:paraId="067B802E">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19.1.2</w:t>
      </w:r>
      <w:r>
        <w:rPr>
          <w:rFonts w:hint="eastAsia" w:ascii="仿宋" w:hAnsi="仿宋" w:eastAsia="仿宋" w:cs="仿宋"/>
          <w:bCs/>
          <w:color w:val="auto"/>
          <w:sz w:val="24"/>
          <w:szCs w:val="24"/>
          <w:highlight w:val="none"/>
        </w:rPr>
        <w:t>综合评分的主要因素是：评分标准详见第三章。</w:t>
      </w:r>
    </w:p>
    <w:p w14:paraId="59B81456">
      <w:pPr>
        <w:pStyle w:val="199"/>
        <w:tabs>
          <w:tab w:val="left" w:pos="1827"/>
        </w:tabs>
        <w:spacing w:line="360" w:lineRule="auto"/>
        <w:ind w:left="-18" w:firstLine="27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20.</w:t>
      </w:r>
      <w:r>
        <w:rPr>
          <w:rFonts w:hint="eastAsia" w:ascii="仿宋" w:hAnsi="仿宋" w:eastAsia="仿宋" w:cs="仿宋"/>
          <w:b/>
          <w:color w:val="auto"/>
          <w:sz w:val="24"/>
          <w:szCs w:val="24"/>
          <w:highlight w:val="none"/>
        </w:rPr>
        <w:t>确定中标供应商</w:t>
      </w:r>
    </w:p>
    <w:p w14:paraId="3AFF9480">
      <w:pPr>
        <w:spacing w:line="360" w:lineRule="auto"/>
        <w:ind w:firstLine="480"/>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20.1</w:t>
      </w:r>
      <w:r>
        <w:rPr>
          <w:rFonts w:hint="eastAsia" w:ascii="仿宋" w:hAnsi="仿宋" w:eastAsia="仿宋" w:cs="仿宋"/>
          <w:bCs/>
          <w:color w:val="auto"/>
          <w:sz w:val="24"/>
          <w:szCs w:val="24"/>
          <w:highlight w:val="none"/>
        </w:rPr>
        <w:t>综合比较与评价后按照得分高低顺序对供应商进行排列。得分相同的，按投标报价由低到高顺序排列。得分且投标报价相同的，按技术指标优劣顺序排列。</w:t>
      </w:r>
    </w:p>
    <w:p w14:paraId="3AFE8DC9">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20.2</w:t>
      </w:r>
      <w:r>
        <w:rPr>
          <w:rFonts w:hint="eastAsia" w:ascii="仿宋" w:hAnsi="仿宋" w:eastAsia="仿宋" w:cs="仿宋"/>
          <w:bCs/>
          <w:color w:val="auto"/>
          <w:sz w:val="24"/>
          <w:szCs w:val="24"/>
          <w:highlight w:val="none"/>
        </w:rPr>
        <w:t>中标供应商确定后，将在财政部门指定的政府采购信息发布媒体上公告，并向中标供应商发出中标通知书。</w:t>
      </w:r>
    </w:p>
    <w:p w14:paraId="58EAF0BF">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20.3</w:t>
      </w:r>
      <w:r>
        <w:rPr>
          <w:rFonts w:hint="eastAsia" w:ascii="仿宋" w:hAnsi="仿宋" w:eastAsia="仿宋" w:cs="仿宋"/>
          <w:bCs/>
          <w:color w:val="auto"/>
          <w:sz w:val="24"/>
          <w:szCs w:val="24"/>
          <w:highlight w:val="none"/>
        </w:rPr>
        <w:t>中标通知书对采购人和中标供应商具有同等法律效力。</w:t>
      </w:r>
    </w:p>
    <w:p w14:paraId="2FABF276">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20.4</w:t>
      </w:r>
      <w:r>
        <w:rPr>
          <w:rFonts w:hint="eastAsia" w:ascii="仿宋" w:hAnsi="仿宋" w:eastAsia="仿宋" w:cs="仿宋"/>
          <w:bCs/>
          <w:color w:val="auto"/>
          <w:sz w:val="24"/>
          <w:szCs w:val="24"/>
          <w:highlight w:val="none"/>
        </w:rPr>
        <w:t>中标通知书发出后，采购人或中标供应商拒绝签订合同的，拒绝签订合同的一方应至少向另一方支付与投标保证金相等的补偿金，以及为招标、投标所发生的有关费用和双方商定的其他补偿。</w:t>
      </w:r>
    </w:p>
    <w:p w14:paraId="60CA836C">
      <w:pPr>
        <w:pStyle w:val="199"/>
        <w:tabs>
          <w:tab w:val="left" w:pos="1929"/>
        </w:tabs>
        <w:spacing w:line="360" w:lineRule="auto"/>
        <w:ind w:left="13" w:right="9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20.5</w:t>
      </w:r>
      <w:r>
        <w:rPr>
          <w:rFonts w:hint="eastAsia" w:ascii="仿宋" w:hAnsi="仿宋" w:eastAsia="仿宋" w:cs="仿宋"/>
          <w:bCs/>
          <w:color w:val="auto"/>
          <w:sz w:val="24"/>
          <w:szCs w:val="24"/>
          <w:highlight w:val="none"/>
        </w:rPr>
        <w:t>中标通知书发出后，中标供应商无正当理由不与采购人签订合同的，投标保证金不予退还；情节严重的，由财政部门将其列入不良行为记录名单，在一至三年内禁止参加南京市政府采购活动， 并予以通报。</w:t>
      </w:r>
    </w:p>
    <w:p w14:paraId="29A8FD14">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20.6</w:t>
      </w:r>
      <w:r>
        <w:rPr>
          <w:rFonts w:hint="eastAsia" w:ascii="仿宋" w:hAnsi="仿宋" w:eastAsia="仿宋" w:cs="仿宋"/>
          <w:bCs/>
          <w:color w:val="auto"/>
          <w:sz w:val="24"/>
          <w:szCs w:val="24"/>
          <w:highlight w:val="none"/>
        </w:rPr>
        <w:t>代理机构对未中标的投标人不作未中标原因的解释。</w:t>
      </w:r>
    </w:p>
    <w:p w14:paraId="616B7D37">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20.7</w:t>
      </w:r>
      <w:r>
        <w:rPr>
          <w:rFonts w:hint="eastAsia" w:ascii="仿宋" w:hAnsi="仿宋" w:eastAsia="仿宋" w:cs="仿宋"/>
          <w:bCs/>
          <w:color w:val="auto"/>
          <w:sz w:val="24"/>
          <w:szCs w:val="24"/>
          <w:highlight w:val="none"/>
        </w:rPr>
        <w:t>所有投标文件都将作为档案保存，不论中标与否，代理机构均不退回。</w:t>
      </w:r>
    </w:p>
    <w:p w14:paraId="64A66509">
      <w:pPr>
        <w:pStyle w:val="199"/>
        <w:tabs>
          <w:tab w:val="left" w:pos="1827"/>
        </w:tabs>
        <w:spacing w:line="360" w:lineRule="auto"/>
        <w:ind w:left="-18" w:firstLine="27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21.</w:t>
      </w:r>
      <w:r>
        <w:rPr>
          <w:rFonts w:hint="eastAsia" w:ascii="仿宋" w:hAnsi="仿宋" w:eastAsia="仿宋" w:cs="仿宋"/>
          <w:b/>
          <w:color w:val="auto"/>
          <w:sz w:val="24"/>
          <w:szCs w:val="24"/>
          <w:highlight w:val="none"/>
        </w:rPr>
        <w:t>编写评标报告</w:t>
      </w:r>
    </w:p>
    <w:p w14:paraId="6CE03FE4">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rPr>
        <w:t>1</w:t>
      </w:r>
      <w:r>
        <w:rPr>
          <w:rFonts w:hint="eastAsia" w:ascii="仿宋" w:hAnsi="仿宋" w:eastAsia="仿宋" w:cs="仿宋"/>
          <w:bCs/>
          <w:color w:val="auto"/>
          <w:sz w:val="24"/>
          <w:szCs w:val="24"/>
          <w:highlight w:val="none"/>
        </w:rPr>
        <w:t>.1 评标委员会根据全体评标成员签字的原始评标记录和评标结果编写评标报告。</w:t>
      </w:r>
    </w:p>
    <w:p w14:paraId="3B4B131E">
      <w:pPr>
        <w:pStyle w:val="199"/>
        <w:tabs>
          <w:tab w:val="left" w:pos="1827"/>
        </w:tabs>
        <w:spacing w:line="360" w:lineRule="auto"/>
        <w:ind w:left="-18" w:firstLine="27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22.</w:t>
      </w:r>
      <w:r>
        <w:rPr>
          <w:rFonts w:hint="eastAsia" w:ascii="仿宋" w:hAnsi="仿宋" w:eastAsia="仿宋" w:cs="仿宋"/>
          <w:b/>
          <w:color w:val="auto"/>
          <w:sz w:val="24"/>
          <w:szCs w:val="24"/>
          <w:highlight w:val="none"/>
        </w:rPr>
        <w:t>评标过程的保密性</w:t>
      </w:r>
    </w:p>
    <w:p w14:paraId="651D5221">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22.1</w:t>
      </w:r>
      <w:r>
        <w:rPr>
          <w:rFonts w:hint="eastAsia" w:ascii="仿宋" w:hAnsi="仿宋" w:eastAsia="仿宋" w:cs="仿宋"/>
          <w:bCs/>
          <w:color w:val="auto"/>
          <w:sz w:val="24"/>
          <w:szCs w:val="24"/>
          <w:highlight w:val="none"/>
        </w:rPr>
        <w:t>代理机构将采取必要措施，保证评标在严格保密的情况下进行。</w:t>
      </w:r>
    </w:p>
    <w:p w14:paraId="62C8ACD4">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22.2</w:t>
      </w:r>
      <w:r>
        <w:rPr>
          <w:rFonts w:hint="eastAsia" w:ascii="仿宋" w:hAnsi="仿宋" w:eastAsia="仿宋" w:cs="仿宋"/>
          <w:bCs/>
          <w:color w:val="auto"/>
          <w:sz w:val="24"/>
          <w:szCs w:val="24"/>
          <w:highlight w:val="none"/>
        </w:rPr>
        <w:t>任何单位和个人不得非法干预、影响评标办法的确定，以及评标过程和结果。</w:t>
      </w:r>
    </w:p>
    <w:p w14:paraId="269641CC">
      <w:pPr>
        <w:pStyle w:val="199"/>
        <w:tabs>
          <w:tab w:val="left" w:pos="1929"/>
        </w:tabs>
        <w:spacing w:line="360" w:lineRule="auto"/>
        <w:ind w:left="13" w:right="310" w:firstLine="484"/>
        <w:rPr>
          <w:rFonts w:hint="eastAsia"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22.3</w:t>
      </w:r>
      <w:r>
        <w:rPr>
          <w:rFonts w:hint="eastAsia" w:ascii="仿宋" w:hAnsi="仿宋" w:eastAsia="仿宋" w:cs="仿宋"/>
          <w:bCs/>
          <w:color w:val="auto"/>
          <w:sz w:val="24"/>
          <w:szCs w:val="24"/>
          <w:highlight w:val="none"/>
        </w:rPr>
        <w:t>凡是与审查、澄清、评价和比较投标的有关资料等，均不向供应商及与评标无关的其他人员透露。</w:t>
      </w:r>
      <w:r>
        <w:rPr>
          <w:rFonts w:hint="eastAsia" w:ascii="仿宋" w:hAnsi="仿宋" w:eastAsia="仿宋" w:cs="仿宋"/>
          <w:bCs/>
          <w:color w:val="auto"/>
          <w:sz w:val="24"/>
          <w:szCs w:val="24"/>
          <w:highlight w:val="none"/>
          <w:lang w:val="en-US"/>
        </w:rPr>
        <w:t xml:space="preserve">              </w:t>
      </w:r>
    </w:p>
    <w:p w14:paraId="50820C64">
      <w:pPr>
        <w:spacing w:line="360" w:lineRule="auto"/>
        <w:ind w:left="15" w:right="5990" w:firstLine="231"/>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23.</w:t>
      </w:r>
      <w:r>
        <w:rPr>
          <w:rFonts w:hint="eastAsia" w:ascii="仿宋" w:hAnsi="仿宋" w:eastAsia="仿宋" w:cs="仿宋"/>
          <w:b/>
          <w:color w:val="auto"/>
          <w:sz w:val="24"/>
          <w:szCs w:val="24"/>
          <w:highlight w:val="none"/>
          <w:lang w:val="en-US"/>
        </w:rPr>
        <w:t>签订合同</w:t>
      </w:r>
    </w:p>
    <w:p w14:paraId="3BF731DF">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23.1</w:t>
      </w:r>
      <w:r>
        <w:rPr>
          <w:rFonts w:hint="eastAsia" w:ascii="仿宋" w:hAnsi="仿宋" w:eastAsia="仿宋" w:cs="仿宋"/>
          <w:bCs/>
          <w:color w:val="auto"/>
          <w:sz w:val="24"/>
          <w:szCs w:val="24"/>
          <w:highlight w:val="none"/>
        </w:rPr>
        <w:t>中标供应商应当自中标通知书发出之日起三十日内，按照招标文件和中标供应商投标文件的约定与采购人签订采购合同，所签订的合同不得对招标文件和中标供应商投标文件作实质性修改。</w:t>
      </w:r>
    </w:p>
    <w:p w14:paraId="7DD23548">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23.2</w:t>
      </w:r>
      <w:r>
        <w:rPr>
          <w:rFonts w:hint="eastAsia" w:ascii="仿宋" w:hAnsi="仿宋" w:eastAsia="仿宋" w:cs="仿宋"/>
          <w:bCs/>
          <w:color w:val="auto"/>
          <w:sz w:val="24"/>
          <w:szCs w:val="24"/>
          <w:highlight w:val="none"/>
        </w:rPr>
        <w:t>采购人不得向中标供应商提出任何不合理的要求作为签订合同的条件，不得与中标供应商私下订立背离合同实质性内容的协议。</w:t>
      </w:r>
    </w:p>
    <w:p w14:paraId="6F3BCFD2">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23.3</w:t>
      </w:r>
      <w:r>
        <w:rPr>
          <w:rFonts w:hint="eastAsia" w:ascii="仿宋" w:hAnsi="仿宋" w:eastAsia="仿宋" w:cs="仿宋"/>
          <w:bCs/>
          <w:color w:val="auto"/>
          <w:sz w:val="24"/>
          <w:szCs w:val="24"/>
          <w:highlight w:val="none"/>
        </w:rPr>
        <w:t>中标供应商拒绝与采购人签订合同，或因不可抗力或者自身原因不能履行政府采购合同的，采购人可以按照评审报告推荐的中标候选人名单排序，确定下一候选人为中标供应商，也可以重新开展政府采购活动。</w:t>
      </w:r>
    </w:p>
    <w:p w14:paraId="472CD425">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23.4</w:t>
      </w:r>
      <w:r>
        <w:rPr>
          <w:rFonts w:hint="eastAsia" w:ascii="仿宋" w:hAnsi="仿宋" w:eastAsia="仿宋" w:cs="仿宋"/>
          <w:bCs/>
          <w:color w:val="auto"/>
          <w:sz w:val="24"/>
          <w:szCs w:val="24"/>
          <w:highlight w:val="none"/>
        </w:rPr>
        <w:t>采购合同履行中，采购人需追加与合同标的相同的服务的，在不改变合同其他条款的前提下，可以与供应商协商签订补充合同，但所有补充合同的采购金额不得超过原合同采购金额的百分之十。</w:t>
      </w:r>
    </w:p>
    <w:p w14:paraId="29D5EDD6">
      <w:pPr>
        <w:numPr>
          <w:ilvl w:val="0"/>
          <w:numId w:val="3"/>
        </w:numPr>
        <w:spacing w:line="360" w:lineRule="auto"/>
        <w:ind w:left="19" w:right="4010" w:hanging="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询问、质疑、投诉和诚实信用</w:t>
      </w:r>
    </w:p>
    <w:p w14:paraId="5D6B12DE">
      <w:pPr>
        <w:spacing w:line="360" w:lineRule="auto"/>
        <w:ind w:left="15" w:right="5990" w:firstLine="231"/>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24.</w:t>
      </w:r>
      <w:r>
        <w:rPr>
          <w:rFonts w:hint="eastAsia" w:ascii="仿宋" w:hAnsi="仿宋" w:eastAsia="仿宋" w:cs="仿宋"/>
          <w:b/>
          <w:color w:val="auto"/>
          <w:sz w:val="24"/>
          <w:szCs w:val="24"/>
          <w:highlight w:val="none"/>
          <w:lang w:val="en-US"/>
        </w:rPr>
        <w:t>询问</w:t>
      </w:r>
    </w:p>
    <w:p w14:paraId="5E1AED36">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rPr>
        <w:t>4</w:t>
      </w:r>
      <w:r>
        <w:rPr>
          <w:rFonts w:hint="eastAsia" w:ascii="仿宋" w:hAnsi="仿宋" w:eastAsia="仿宋" w:cs="仿宋"/>
          <w:bCs/>
          <w:color w:val="auto"/>
          <w:sz w:val="24"/>
          <w:szCs w:val="24"/>
          <w:highlight w:val="none"/>
        </w:rPr>
        <w:t>.1 供应商对招标活动事项有疑问的，可以向代理机构或采购人提出询问，代理机构或采购人将在两个工作日内作出答复，但答复的内容不涉及商业秘密。</w:t>
      </w:r>
    </w:p>
    <w:p w14:paraId="53AB2D0A">
      <w:pPr>
        <w:spacing w:line="360" w:lineRule="auto"/>
        <w:ind w:left="15" w:right="5990" w:firstLine="231"/>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25.</w:t>
      </w:r>
      <w:r>
        <w:rPr>
          <w:rFonts w:hint="eastAsia" w:ascii="仿宋" w:hAnsi="仿宋" w:eastAsia="仿宋" w:cs="仿宋"/>
          <w:b/>
          <w:color w:val="auto"/>
          <w:sz w:val="24"/>
          <w:szCs w:val="24"/>
          <w:highlight w:val="none"/>
          <w:lang w:val="en-US"/>
        </w:rPr>
        <w:t>质疑</w:t>
      </w:r>
    </w:p>
    <w:p w14:paraId="2EDCD170">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25.1</w:t>
      </w:r>
      <w:r>
        <w:rPr>
          <w:rFonts w:hint="eastAsia" w:ascii="仿宋" w:hAnsi="仿宋" w:eastAsia="仿宋" w:cs="仿宋"/>
          <w:bCs/>
          <w:color w:val="auto"/>
          <w:sz w:val="24"/>
          <w:szCs w:val="24"/>
          <w:highlight w:val="none"/>
        </w:rPr>
        <w:t>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p>
    <w:p w14:paraId="3C8BB6B1">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25.2</w:t>
      </w:r>
      <w:r>
        <w:rPr>
          <w:rFonts w:hint="eastAsia" w:ascii="仿宋" w:hAnsi="仿宋" w:eastAsia="仿宋" w:cs="仿宋"/>
          <w:bCs/>
          <w:color w:val="auto"/>
          <w:sz w:val="24"/>
          <w:szCs w:val="24"/>
          <w:highlight w:val="none"/>
        </w:rPr>
        <w:t>质疑文件应包括以下主要内容，并按照“谁主张、谁举证”的原则，附上相关证明材料。否则，代理机构或采购人不予受理：</w:t>
      </w:r>
    </w:p>
    <w:p w14:paraId="4E8C84F3">
      <w:pPr>
        <w:pStyle w:val="199"/>
        <w:tabs>
          <w:tab w:val="left" w:pos="1823"/>
        </w:tabs>
        <w:spacing w:line="360" w:lineRule="auto"/>
        <w:ind w:left="198" w:right="677" w:firstLine="52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rPr>
        <w:t>1</w:t>
      </w:r>
      <w:r>
        <w:rPr>
          <w:rFonts w:hint="eastAsia" w:ascii="仿宋" w:hAnsi="仿宋" w:eastAsia="仿宋" w:cs="仿宋"/>
          <w:color w:val="auto"/>
          <w:spacing w:val="-6"/>
          <w:sz w:val="24"/>
          <w:szCs w:val="24"/>
          <w:highlight w:val="none"/>
        </w:rPr>
        <w:t>）质疑项目名称、项目编号、包号、招标公告发布时间、开标时间；</w:t>
      </w:r>
    </w:p>
    <w:p w14:paraId="45627B56">
      <w:pPr>
        <w:pStyle w:val="199"/>
        <w:tabs>
          <w:tab w:val="left" w:pos="1823"/>
        </w:tabs>
        <w:spacing w:line="360" w:lineRule="auto"/>
        <w:ind w:left="200" w:right="677" w:firstLine="52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rPr>
        <w:t>2</w:t>
      </w:r>
      <w:r>
        <w:rPr>
          <w:rFonts w:hint="eastAsia" w:ascii="仿宋" w:hAnsi="仿宋" w:eastAsia="仿宋" w:cs="仿宋"/>
          <w:color w:val="auto"/>
          <w:spacing w:val="-6"/>
          <w:sz w:val="24"/>
          <w:szCs w:val="24"/>
          <w:highlight w:val="none"/>
        </w:rPr>
        <w:t>）提起质疑的日期、具体的质疑事项及事实根据（具体条款）；</w:t>
      </w:r>
    </w:p>
    <w:p w14:paraId="585FB6C5">
      <w:pPr>
        <w:pStyle w:val="199"/>
        <w:tabs>
          <w:tab w:val="left" w:pos="1823"/>
        </w:tabs>
        <w:spacing w:line="360" w:lineRule="auto"/>
        <w:ind w:left="200" w:right="677" w:firstLine="52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rPr>
        <w:t>3</w:t>
      </w:r>
      <w:r>
        <w:rPr>
          <w:rFonts w:hint="eastAsia" w:ascii="仿宋" w:hAnsi="仿宋" w:eastAsia="仿宋" w:cs="仿宋"/>
          <w:color w:val="auto"/>
          <w:spacing w:val="-6"/>
          <w:sz w:val="24"/>
          <w:szCs w:val="24"/>
          <w:highlight w:val="none"/>
        </w:rPr>
        <w:t>）认为自己合法权益受到损害或可能受到损害的相关证据材料。质疑相关证明材料中如</w:t>
      </w:r>
      <w:r>
        <w:rPr>
          <w:rFonts w:hint="eastAsia" w:ascii="仿宋" w:hAnsi="仿宋" w:eastAsia="仿宋" w:cs="仿宋"/>
          <w:color w:val="auto"/>
          <w:spacing w:val="-6"/>
          <w:sz w:val="24"/>
          <w:szCs w:val="24"/>
          <w:highlight w:val="none"/>
          <w:lang w:eastAsia="zh-CN"/>
        </w:rPr>
        <w:t>涉及</w:t>
      </w:r>
      <w:r>
        <w:rPr>
          <w:rFonts w:hint="eastAsia" w:ascii="仿宋" w:hAnsi="仿宋" w:eastAsia="仿宋" w:cs="仿宋"/>
          <w:color w:val="auto"/>
          <w:spacing w:val="-6"/>
          <w:sz w:val="24"/>
          <w:szCs w:val="24"/>
          <w:highlight w:val="none"/>
        </w:rPr>
        <w:t>产品功能或技术指标的，应出具相关制造商的证明文件（友情提示：供应商全部产品线中没有满足技术需求要求的产品才可以对招标产品</w:t>
      </w:r>
      <w:r>
        <w:rPr>
          <w:rFonts w:hint="eastAsia" w:ascii="仿宋" w:hAnsi="仿宋" w:eastAsia="仿宋" w:cs="仿宋"/>
          <w:color w:val="auto"/>
          <w:spacing w:val="-6"/>
          <w:sz w:val="24"/>
          <w:szCs w:val="24"/>
          <w:highlight w:val="none"/>
          <w:lang w:eastAsia="zh-CN"/>
        </w:rPr>
        <w:t>质疑</w:t>
      </w:r>
      <w:r>
        <w:rPr>
          <w:rFonts w:hint="eastAsia" w:ascii="仿宋" w:hAnsi="仿宋" w:eastAsia="仿宋" w:cs="仿宋"/>
          <w:color w:val="auto"/>
          <w:spacing w:val="-6"/>
          <w:sz w:val="24"/>
          <w:szCs w:val="24"/>
          <w:highlight w:val="none"/>
        </w:rPr>
        <w:t>，并提出修改理由和修改建议）；</w:t>
      </w:r>
    </w:p>
    <w:p w14:paraId="54D5BF84">
      <w:pPr>
        <w:pStyle w:val="199"/>
        <w:tabs>
          <w:tab w:val="left" w:pos="1823"/>
        </w:tabs>
        <w:spacing w:line="360" w:lineRule="auto"/>
        <w:ind w:left="200" w:right="677" w:firstLine="52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rPr>
        <w:t>4</w:t>
      </w:r>
      <w:r>
        <w:rPr>
          <w:rFonts w:hint="eastAsia" w:ascii="仿宋" w:hAnsi="仿宋" w:eastAsia="仿宋" w:cs="仿宋"/>
          <w:color w:val="auto"/>
          <w:spacing w:val="-6"/>
          <w:sz w:val="24"/>
          <w:szCs w:val="24"/>
          <w:highlight w:val="none"/>
        </w:rPr>
        <w:t>）质疑供应商名称、地址、邮编、联系人、联系电话（包括座机、手机、传真号码等）；</w:t>
      </w:r>
    </w:p>
    <w:p w14:paraId="041A074A">
      <w:pPr>
        <w:pStyle w:val="199"/>
        <w:tabs>
          <w:tab w:val="left" w:pos="1823"/>
        </w:tabs>
        <w:spacing w:line="360" w:lineRule="auto"/>
        <w:ind w:left="200" w:right="677" w:firstLine="52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rPr>
        <w:t>5</w:t>
      </w:r>
      <w:r>
        <w:rPr>
          <w:rFonts w:hint="eastAsia" w:ascii="仿宋" w:hAnsi="仿宋" w:eastAsia="仿宋" w:cs="仿宋"/>
          <w:color w:val="auto"/>
          <w:spacing w:val="-6"/>
          <w:sz w:val="24"/>
          <w:szCs w:val="24"/>
          <w:highlight w:val="none"/>
        </w:rPr>
        <w:t>）质疑文件应当署名，质疑人为自然人的，应当由本人签字并附有效身份证明；质疑人为法人或其他组织的，应当由法定代表人签字并加盖单位公章。</w:t>
      </w:r>
    </w:p>
    <w:p w14:paraId="4D1335FA">
      <w:pPr>
        <w:pStyle w:val="199"/>
        <w:tabs>
          <w:tab w:val="left" w:pos="1823"/>
        </w:tabs>
        <w:spacing w:line="360" w:lineRule="auto"/>
        <w:ind w:left="200" w:right="677" w:firstLine="52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rPr>
        <w:t>6</w:t>
      </w:r>
      <w:r>
        <w:rPr>
          <w:rFonts w:hint="eastAsia" w:ascii="仿宋" w:hAnsi="仿宋" w:eastAsia="仿宋" w:cs="仿宋"/>
          <w:color w:val="auto"/>
          <w:spacing w:val="-6"/>
          <w:sz w:val="24"/>
          <w:szCs w:val="24"/>
          <w:highlight w:val="none"/>
        </w:rPr>
        <w:t>）供应商委托代理质疑的，应当向被质疑人提交授权委托书，并载明委托代理的具体权限和事项。</w:t>
      </w:r>
    </w:p>
    <w:p w14:paraId="44E46B60">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25.3</w:t>
      </w:r>
      <w:r>
        <w:rPr>
          <w:rFonts w:hint="eastAsia" w:ascii="仿宋" w:hAnsi="仿宋" w:eastAsia="仿宋" w:cs="仿宋"/>
          <w:bCs/>
          <w:color w:val="auto"/>
          <w:sz w:val="24"/>
          <w:szCs w:val="24"/>
          <w:highlight w:val="none"/>
        </w:rPr>
        <w:t>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5B2F262D">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25.4</w:t>
      </w:r>
      <w:r>
        <w:rPr>
          <w:rFonts w:hint="eastAsia" w:ascii="仿宋" w:hAnsi="仿宋" w:eastAsia="仿宋" w:cs="仿宋"/>
          <w:bCs/>
          <w:color w:val="auto"/>
          <w:sz w:val="24"/>
          <w:szCs w:val="24"/>
          <w:highlight w:val="none"/>
        </w:rPr>
        <w:t>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p>
    <w:p w14:paraId="5E4D075E">
      <w:pPr>
        <w:spacing w:line="360" w:lineRule="auto"/>
        <w:ind w:left="15" w:right="5990" w:firstLine="231"/>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26.</w:t>
      </w:r>
      <w:r>
        <w:rPr>
          <w:rFonts w:hint="eastAsia" w:ascii="仿宋" w:hAnsi="仿宋" w:eastAsia="仿宋" w:cs="仿宋"/>
          <w:b/>
          <w:color w:val="auto"/>
          <w:sz w:val="24"/>
          <w:szCs w:val="24"/>
          <w:highlight w:val="none"/>
          <w:lang w:val="en-US"/>
        </w:rPr>
        <w:t>投诉</w:t>
      </w:r>
    </w:p>
    <w:p w14:paraId="57E74DAF">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rPr>
        <w:t>6</w:t>
      </w:r>
      <w:r>
        <w:rPr>
          <w:rFonts w:hint="eastAsia" w:ascii="仿宋" w:hAnsi="仿宋" w:eastAsia="仿宋" w:cs="仿宋"/>
          <w:bCs/>
          <w:color w:val="auto"/>
          <w:sz w:val="24"/>
          <w:szCs w:val="24"/>
          <w:highlight w:val="none"/>
        </w:rPr>
        <w:t>.1质疑供应商对代理机构的答复不满意，或代理机构未在规定的时间内作出答复的，可以在答复期满后十五个工作日内向采购项目同级财政部门投诉。</w:t>
      </w:r>
    </w:p>
    <w:p w14:paraId="45FA91BA">
      <w:pPr>
        <w:spacing w:line="360" w:lineRule="auto"/>
        <w:ind w:left="15" w:right="5990" w:firstLine="231"/>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27.</w:t>
      </w:r>
      <w:r>
        <w:rPr>
          <w:rFonts w:hint="eastAsia" w:ascii="仿宋" w:hAnsi="仿宋" w:eastAsia="仿宋" w:cs="仿宋"/>
          <w:b/>
          <w:color w:val="auto"/>
          <w:sz w:val="24"/>
          <w:szCs w:val="24"/>
          <w:highlight w:val="none"/>
          <w:lang w:val="en-US"/>
        </w:rPr>
        <w:t>诚实信用</w:t>
      </w:r>
    </w:p>
    <w:p w14:paraId="25122968">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27.1</w:t>
      </w:r>
      <w:r>
        <w:rPr>
          <w:rFonts w:hint="eastAsia" w:ascii="仿宋" w:hAnsi="仿宋" w:eastAsia="仿宋" w:cs="仿宋"/>
          <w:bCs/>
          <w:color w:val="auto"/>
          <w:sz w:val="24"/>
          <w:szCs w:val="24"/>
          <w:highlight w:val="none"/>
        </w:rPr>
        <w:t>供应商之间不得相互串通投标报价，不得妨碍其他供应商的公平竞争，不得损害采购人和其他供应商的合法权益。</w:t>
      </w:r>
    </w:p>
    <w:p w14:paraId="10D91ECA">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27.2</w:t>
      </w:r>
      <w:r>
        <w:rPr>
          <w:rFonts w:hint="eastAsia" w:ascii="仿宋" w:hAnsi="仿宋" w:eastAsia="仿宋" w:cs="仿宋"/>
          <w:bCs/>
          <w:color w:val="auto"/>
          <w:sz w:val="24"/>
          <w:szCs w:val="24"/>
          <w:highlight w:val="none"/>
        </w:rPr>
        <w:t>供应商不得以向代理机构工作人员、评标委员会成员行贿或者采取其他不正当手段谋取中标。经查实供应商有此行为的，政府采购管理部门将供应商列入不良行为记录名单，按照</w:t>
      </w:r>
      <w:r>
        <w:rPr>
          <w:rFonts w:hint="eastAsia" w:ascii="仿宋" w:hAnsi="仿宋" w:eastAsia="仿宋" w:cs="仿宋"/>
          <w:bCs/>
          <w:color w:val="auto"/>
          <w:sz w:val="24"/>
          <w:szCs w:val="24"/>
          <w:highlight w:val="none"/>
          <w:lang w:eastAsia="zh-CN"/>
        </w:rPr>
        <w:t>《中华人民共和国政府采购法》</w:t>
      </w:r>
      <w:r>
        <w:rPr>
          <w:rFonts w:hint="eastAsia" w:ascii="仿宋" w:hAnsi="仿宋" w:eastAsia="仿宋" w:cs="仿宋"/>
          <w:bCs/>
          <w:color w:val="auto"/>
          <w:sz w:val="24"/>
          <w:szCs w:val="24"/>
          <w:highlight w:val="none"/>
        </w:rPr>
        <w:t>有关规定处理。</w:t>
      </w:r>
    </w:p>
    <w:p w14:paraId="51BF5B85">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27.3</w:t>
      </w:r>
      <w:r>
        <w:rPr>
          <w:rFonts w:hint="eastAsia" w:ascii="仿宋" w:hAnsi="仿宋" w:eastAsia="仿宋" w:cs="仿宋"/>
          <w:bCs/>
          <w:color w:val="auto"/>
          <w:sz w:val="24"/>
          <w:szCs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BC04F38">
      <w:pPr>
        <w:pStyle w:val="199"/>
        <w:tabs>
          <w:tab w:val="left" w:pos="1929"/>
        </w:tabs>
        <w:spacing w:line="360" w:lineRule="auto"/>
        <w:ind w:left="13" w:right="310" w:firstLine="484"/>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rPr>
        <w:t>27</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lang w:val="en-US"/>
        </w:rPr>
        <w:t>4</w:t>
      </w:r>
      <w:r>
        <w:rPr>
          <w:rFonts w:hint="eastAsia" w:ascii="仿宋" w:hAnsi="仿宋" w:eastAsia="仿宋" w:cs="仿宋"/>
          <w:bCs/>
          <w:color w:val="auto"/>
          <w:sz w:val="24"/>
          <w:szCs w:val="24"/>
          <w:highlight w:val="none"/>
        </w:rPr>
        <w:t>供应商不得虚假承诺，否则，按照提供虚假材料谋取中标成交处理。</w:t>
      </w:r>
    </w:p>
    <w:p w14:paraId="5E02C0C1">
      <w:pPr>
        <w:pStyle w:val="199"/>
        <w:tabs>
          <w:tab w:val="left" w:pos="1929"/>
        </w:tabs>
        <w:spacing w:line="360" w:lineRule="auto"/>
        <w:ind w:left="13" w:right="310" w:firstLine="484"/>
        <w:rPr>
          <w:rFonts w:hint="eastAsia" w:ascii="仿宋" w:hAnsi="仿宋" w:eastAsia="仿宋" w:cs="仿宋"/>
          <w:color w:val="auto"/>
          <w:sz w:val="28"/>
          <w:szCs w:val="32"/>
          <w:highlight w:val="none"/>
        </w:rPr>
      </w:pPr>
      <w:r>
        <w:rPr>
          <w:rFonts w:hint="eastAsia" w:ascii="仿宋" w:hAnsi="仿宋" w:eastAsia="仿宋" w:cs="仿宋"/>
          <w:bCs/>
          <w:color w:val="auto"/>
          <w:sz w:val="24"/>
          <w:szCs w:val="24"/>
          <w:highlight w:val="none"/>
          <w:lang w:val="en-US"/>
        </w:rPr>
        <w:t>27.5</w:t>
      </w:r>
      <w:r>
        <w:rPr>
          <w:rFonts w:hint="eastAsia" w:ascii="仿宋" w:hAnsi="仿宋" w:eastAsia="仿宋" w:cs="仿宋"/>
          <w:bCs/>
          <w:color w:val="auto"/>
          <w:sz w:val="24"/>
          <w:szCs w:val="24"/>
          <w:highlight w:val="none"/>
        </w:rPr>
        <w:t>供应商应自觉遵守开标、评标纪律，扰乱开标评标现场秩序的，属于失信行为，根据《江苏省政府采购供应商监督管理暂行办法》，失信行为将被记入供应商诚信档案。</w:t>
      </w:r>
    </w:p>
    <w:p w14:paraId="3FC9A5AA">
      <w:pPr>
        <w:rPr>
          <w:rFonts w:hint="eastAsia" w:ascii="仿宋" w:hAnsi="仿宋" w:eastAsia="仿宋" w:cs="仿宋"/>
          <w:color w:val="auto"/>
          <w:sz w:val="44"/>
          <w:szCs w:val="44"/>
          <w:highlight w:val="none"/>
        </w:rPr>
      </w:pPr>
      <w:bookmarkStart w:id="34" w:name="第三章_评标方法和标准"/>
      <w:bookmarkEnd w:id="34"/>
      <w:r>
        <w:rPr>
          <w:rFonts w:hint="eastAsia" w:ascii="仿宋" w:hAnsi="仿宋" w:eastAsia="仿宋" w:cs="仿宋"/>
          <w:color w:val="auto"/>
          <w:sz w:val="44"/>
          <w:szCs w:val="44"/>
          <w:highlight w:val="none"/>
        </w:rPr>
        <w:br w:type="page" w:clear="all"/>
      </w:r>
    </w:p>
    <w:p w14:paraId="0222050E">
      <w:pPr>
        <w:pStyle w:val="2"/>
        <w:spacing w:before="0" w:line="360" w:lineRule="auto"/>
        <w:ind w:left="0"/>
        <w:rPr>
          <w:rFonts w:hint="eastAsia" w:ascii="仿宋" w:hAnsi="仿宋" w:eastAsia="仿宋" w:cs="仿宋"/>
          <w:color w:val="auto"/>
          <w:highlight w:val="none"/>
        </w:rPr>
      </w:pPr>
      <w:bookmarkStart w:id="35" w:name="_Toc5618"/>
      <w:r>
        <w:rPr>
          <w:rFonts w:hint="eastAsia" w:ascii="仿宋" w:hAnsi="仿宋" w:eastAsia="仿宋" w:cs="仿宋"/>
          <w:color w:val="auto"/>
          <w:highlight w:val="none"/>
        </w:rPr>
        <w:t>第三章 评标方法和标准</w:t>
      </w:r>
      <w:bookmarkEnd w:id="35"/>
    </w:p>
    <w:p w14:paraId="4F7810D0">
      <w:pPr>
        <w:widowControl/>
        <w:spacing w:line="360" w:lineRule="auto"/>
        <w:ind w:firstLine="44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采用综合评分法。综合评分法是指投标文件满足招标文件全部实质性要求，且按照招标文件评审因素量化指标评审得分最高的投标人为中标候选人的评标方法。综合比较与评价后，按得分由高到低顺序排列。得分相同的，</w:t>
      </w:r>
      <w:r>
        <w:rPr>
          <w:rFonts w:hint="eastAsia" w:eastAsia="宋体" w:asciiTheme="minorEastAsia" w:hAnsiTheme="minorEastAsia" w:cstheme="minorEastAsia"/>
          <w:color w:val="auto"/>
          <w:highlight w:val="none"/>
          <w:lang w:val="en-US" w:eastAsia="zh-CN"/>
        </w:rPr>
        <w:t>投标</w:t>
      </w:r>
      <w:r>
        <w:rPr>
          <w:rFonts w:hint="eastAsia" w:asciiTheme="minorEastAsia" w:hAnsiTheme="minorEastAsia" w:eastAsiaTheme="minorEastAsia" w:cstheme="minorEastAsia"/>
          <w:color w:val="auto"/>
          <w:highlight w:val="none"/>
        </w:rPr>
        <w:t>报价</w:t>
      </w:r>
      <w:r>
        <w:rPr>
          <w:rFonts w:hint="eastAsia" w:asciiTheme="minorEastAsia" w:hAnsiTheme="minorEastAsia" w:eastAsiaTheme="minorEastAsia" w:cstheme="minorEastAsia"/>
          <w:color w:val="auto"/>
          <w:highlight w:val="none"/>
        </w:rPr>
        <w:t>由低到高顺序排列。得分且</w:t>
      </w:r>
      <w:r>
        <w:rPr>
          <w:rFonts w:hint="eastAsia" w:eastAsia="宋体" w:asciiTheme="minorEastAsia" w:hAnsiTheme="minorEastAsia" w:cstheme="minorEastAsia"/>
          <w:color w:val="auto"/>
          <w:highlight w:val="none"/>
          <w:lang w:val="en-US" w:eastAsia="zh-CN"/>
        </w:rPr>
        <w:t>投标</w:t>
      </w:r>
      <w:r>
        <w:rPr>
          <w:rFonts w:hint="eastAsia" w:asciiTheme="minorEastAsia" w:hAnsiTheme="minorEastAsia" w:eastAsiaTheme="minorEastAsia" w:cstheme="minorEastAsia"/>
          <w:color w:val="auto"/>
          <w:highlight w:val="none"/>
        </w:rPr>
        <w:t>报价</w:t>
      </w:r>
      <w:r>
        <w:rPr>
          <w:rFonts w:hint="eastAsia" w:asciiTheme="minorEastAsia" w:hAnsiTheme="minorEastAsia" w:eastAsiaTheme="minorEastAsia" w:cstheme="minorEastAsia"/>
          <w:color w:val="auto"/>
          <w:highlight w:val="none"/>
        </w:rPr>
        <w:t>相同的，按技术指标</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服务方案</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优劣顺序排列；得分相同、报价相同且技术指标（服务方案）得分相同的，采取随机抽取的方式确定。</w:t>
      </w:r>
    </w:p>
    <w:tbl>
      <w:tblPr>
        <w:tblStyle w:val="39"/>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8"/>
        <w:gridCol w:w="1041"/>
        <w:gridCol w:w="6684"/>
        <w:gridCol w:w="573"/>
        <w:gridCol w:w="861"/>
      </w:tblGrid>
      <w:tr w14:paraId="41C5B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98" w:type="dxa"/>
            <w:noWrap w:val="0"/>
            <w:vAlign w:val="top"/>
          </w:tcPr>
          <w:p w14:paraId="34A11D41">
            <w:pPr>
              <w:spacing w:before="122" w:line="288" w:lineRule="auto"/>
              <w:jc w:val="center"/>
              <w:rPr>
                <w:rFonts w:hint="eastAsia"/>
                <w:b/>
                <w:bCs/>
                <w:color w:val="auto"/>
                <w:spacing w:val="-3"/>
                <w:sz w:val="21"/>
                <w:szCs w:val="21"/>
                <w:highlight w:val="none"/>
                <w:lang w:val="en-US" w:bidi="ar-SA"/>
              </w:rPr>
            </w:pPr>
            <w:bookmarkStart w:id="36" w:name="_Toc18654052"/>
            <w:r>
              <w:rPr>
                <w:b/>
                <w:bCs/>
                <w:color w:val="auto"/>
                <w:spacing w:val="-3"/>
                <w:sz w:val="21"/>
                <w:szCs w:val="21"/>
                <w:highlight w:val="none"/>
                <w:lang w:val="en-US" w:bidi="ar-SA"/>
              </w:rPr>
              <w:t>序号</w:t>
            </w:r>
          </w:p>
        </w:tc>
        <w:tc>
          <w:tcPr>
            <w:tcW w:w="1041" w:type="dxa"/>
            <w:noWrap w:val="0"/>
            <w:vAlign w:val="top"/>
          </w:tcPr>
          <w:p w14:paraId="0FBFCF92">
            <w:pPr>
              <w:spacing w:before="122" w:line="288" w:lineRule="auto"/>
              <w:jc w:val="center"/>
              <w:rPr>
                <w:rFonts w:hint="eastAsia"/>
                <w:b/>
                <w:bCs/>
                <w:color w:val="auto"/>
                <w:spacing w:val="-3"/>
                <w:sz w:val="21"/>
                <w:szCs w:val="21"/>
                <w:highlight w:val="none"/>
                <w:lang w:val="en-US" w:bidi="ar-SA"/>
              </w:rPr>
            </w:pPr>
            <w:r>
              <w:rPr>
                <w:b/>
                <w:bCs/>
                <w:color w:val="auto"/>
                <w:spacing w:val="-3"/>
                <w:sz w:val="21"/>
                <w:szCs w:val="21"/>
                <w:highlight w:val="none"/>
                <w:lang w:val="en-US" w:bidi="ar-SA"/>
              </w:rPr>
              <w:t>评审因素</w:t>
            </w:r>
          </w:p>
        </w:tc>
        <w:tc>
          <w:tcPr>
            <w:tcW w:w="6684" w:type="dxa"/>
            <w:noWrap w:val="0"/>
            <w:vAlign w:val="top"/>
          </w:tcPr>
          <w:p w14:paraId="0B9A7CC2">
            <w:pPr>
              <w:spacing w:before="122" w:line="288" w:lineRule="auto"/>
              <w:jc w:val="center"/>
              <w:rPr>
                <w:rFonts w:hint="eastAsia"/>
                <w:b/>
                <w:bCs/>
                <w:color w:val="auto"/>
                <w:spacing w:val="-3"/>
                <w:sz w:val="21"/>
                <w:szCs w:val="21"/>
                <w:highlight w:val="none"/>
                <w:lang w:val="en-US" w:bidi="ar-SA"/>
              </w:rPr>
            </w:pPr>
            <w:r>
              <w:rPr>
                <w:b/>
                <w:bCs/>
                <w:color w:val="auto"/>
                <w:spacing w:val="-3"/>
                <w:sz w:val="21"/>
                <w:szCs w:val="21"/>
                <w:highlight w:val="none"/>
                <w:lang w:val="en-US" w:bidi="ar-SA"/>
              </w:rPr>
              <w:t>评审细则</w:t>
            </w:r>
          </w:p>
        </w:tc>
        <w:tc>
          <w:tcPr>
            <w:tcW w:w="573" w:type="dxa"/>
            <w:noWrap w:val="0"/>
            <w:vAlign w:val="top"/>
          </w:tcPr>
          <w:p w14:paraId="20EEE4A0">
            <w:pPr>
              <w:spacing w:before="122" w:line="288" w:lineRule="auto"/>
              <w:jc w:val="center"/>
              <w:rPr>
                <w:rFonts w:hint="eastAsia"/>
                <w:b/>
                <w:bCs/>
                <w:color w:val="auto"/>
                <w:spacing w:val="-3"/>
                <w:sz w:val="21"/>
                <w:szCs w:val="21"/>
                <w:highlight w:val="none"/>
                <w:lang w:val="en-US" w:bidi="ar-SA"/>
              </w:rPr>
            </w:pPr>
            <w:r>
              <w:rPr>
                <w:b/>
                <w:bCs/>
                <w:color w:val="auto"/>
                <w:spacing w:val="-3"/>
                <w:sz w:val="21"/>
                <w:szCs w:val="21"/>
                <w:highlight w:val="none"/>
                <w:lang w:val="en-US" w:bidi="ar-SA"/>
              </w:rPr>
              <w:t>分值</w:t>
            </w:r>
          </w:p>
        </w:tc>
        <w:tc>
          <w:tcPr>
            <w:tcW w:w="861" w:type="dxa"/>
            <w:noWrap w:val="0"/>
            <w:vAlign w:val="top"/>
          </w:tcPr>
          <w:p w14:paraId="208A24B7">
            <w:pPr>
              <w:spacing w:before="122" w:line="288" w:lineRule="auto"/>
              <w:jc w:val="center"/>
              <w:rPr>
                <w:rFonts w:hint="eastAsia"/>
                <w:b/>
                <w:bCs/>
                <w:color w:val="auto"/>
                <w:spacing w:val="-3"/>
                <w:sz w:val="21"/>
                <w:szCs w:val="21"/>
                <w:highlight w:val="none"/>
                <w:lang w:val="en-US" w:bidi="ar-SA"/>
              </w:rPr>
            </w:pPr>
            <w:r>
              <w:rPr>
                <w:b/>
                <w:bCs/>
                <w:color w:val="auto"/>
                <w:spacing w:val="-3"/>
                <w:sz w:val="21"/>
                <w:szCs w:val="21"/>
                <w:highlight w:val="none"/>
                <w:lang w:val="en-US" w:bidi="ar-SA"/>
              </w:rPr>
              <w:t>类型</w:t>
            </w:r>
          </w:p>
        </w:tc>
      </w:tr>
      <w:tr w14:paraId="310BF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noWrap w:val="0"/>
            <w:vAlign w:val="top"/>
          </w:tcPr>
          <w:p w14:paraId="3860C40C">
            <w:pPr>
              <w:spacing w:before="122" w:line="264" w:lineRule="auto"/>
              <w:ind w:left="114"/>
              <w:jc w:val="both"/>
              <w:rPr>
                <w:rFonts w:hint="eastAsia"/>
                <w:color w:val="auto"/>
                <w:sz w:val="21"/>
                <w:szCs w:val="21"/>
                <w:highlight w:val="none"/>
                <w:lang w:val="en-US" w:bidi="ar-SA"/>
              </w:rPr>
            </w:pPr>
            <w:r>
              <w:rPr>
                <w:rFonts w:hint="eastAsia"/>
                <w:b/>
                <w:bCs/>
                <w:color w:val="auto"/>
                <w:spacing w:val="-3"/>
                <w:sz w:val="21"/>
                <w:szCs w:val="21"/>
                <w:highlight w:val="none"/>
                <w:lang w:val="en-US" w:bidi="ar-SA"/>
              </w:rPr>
              <w:t>1.</w:t>
            </w:r>
            <w:r>
              <w:rPr>
                <w:b/>
                <w:bCs/>
                <w:color w:val="auto"/>
                <w:spacing w:val="-3"/>
                <w:sz w:val="21"/>
                <w:szCs w:val="21"/>
                <w:highlight w:val="none"/>
                <w:lang w:val="en-US" w:bidi="ar-SA"/>
              </w:rPr>
              <w:t>价</w:t>
            </w:r>
            <w:r>
              <w:rPr>
                <w:b/>
                <w:bCs/>
                <w:color w:val="auto"/>
                <w:spacing w:val="-2"/>
                <w:sz w:val="21"/>
                <w:szCs w:val="21"/>
                <w:highlight w:val="none"/>
                <w:lang w:val="en-US" w:bidi="ar-SA"/>
              </w:rPr>
              <w:t>格</w:t>
            </w:r>
          </w:p>
        </w:tc>
      </w:tr>
      <w:tr w14:paraId="22DE9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98" w:type="dxa"/>
            <w:noWrap w:val="0"/>
            <w:vAlign w:val="center"/>
          </w:tcPr>
          <w:p w14:paraId="151D2ADF">
            <w:pPr>
              <w:spacing w:before="68" w:line="264" w:lineRule="auto"/>
              <w:jc w:val="center"/>
              <w:rPr>
                <w:rFonts w:hint="eastAsia"/>
                <w:color w:val="auto"/>
                <w:sz w:val="21"/>
                <w:szCs w:val="21"/>
                <w:highlight w:val="none"/>
                <w:lang w:val="en-US" w:bidi="ar-SA"/>
              </w:rPr>
            </w:pPr>
            <w:r>
              <w:rPr>
                <w:color w:val="auto"/>
                <w:spacing w:val="-6"/>
                <w:sz w:val="21"/>
                <w:szCs w:val="21"/>
                <w:highlight w:val="none"/>
                <w:lang w:val="en-US" w:bidi="ar-SA"/>
              </w:rPr>
              <w:t>1</w:t>
            </w:r>
            <w:r>
              <w:rPr>
                <w:color w:val="auto"/>
                <w:spacing w:val="-5"/>
                <w:sz w:val="21"/>
                <w:szCs w:val="21"/>
                <w:highlight w:val="none"/>
                <w:lang w:val="en-US" w:bidi="ar-SA"/>
              </w:rPr>
              <w:t>.1</w:t>
            </w:r>
          </w:p>
        </w:tc>
        <w:tc>
          <w:tcPr>
            <w:tcW w:w="1041" w:type="dxa"/>
            <w:noWrap w:val="0"/>
            <w:vAlign w:val="center"/>
          </w:tcPr>
          <w:p w14:paraId="70294991">
            <w:pPr>
              <w:spacing w:before="68" w:line="264" w:lineRule="auto"/>
              <w:rPr>
                <w:rFonts w:hint="eastAsia"/>
                <w:color w:val="auto"/>
                <w:sz w:val="21"/>
                <w:szCs w:val="21"/>
                <w:highlight w:val="none"/>
                <w:lang w:val="en-US" w:bidi="ar-SA"/>
              </w:rPr>
            </w:pPr>
            <w:r>
              <w:rPr>
                <w:color w:val="auto"/>
                <w:spacing w:val="-2"/>
                <w:sz w:val="21"/>
                <w:szCs w:val="21"/>
                <w:highlight w:val="none"/>
                <w:lang w:val="en-US" w:bidi="ar-SA"/>
              </w:rPr>
              <w:t>价格分</w:t>
            </w:r>
          </w:p>
        </w:tc>
        <w:tc>
          <w:tcPr>
            <w:tcW w:w="6684" w:type="dxa"/>
            <w:noWrap w:val="0"/>
            <w:vAlign w:val="center"/>
          </w:tcPr>
          <w:p w14:paraId="116069D1">
            <w:pPr>
              <w:spacing w:line="264" w:lineRule="auto"/>
              <w:rPr>
                <w:rFonts w:hint="eastAsia"/>
                <w:color w:val="auto"/>
                <w:sz w:val="21"/>
                <w:szCs w:val="21"/>
                <w:highlight w:val="none"/>
                <w:lang w:val="en-US" w:bidi="ar-SA"/>
              </w:rPr>
            </w:pPr>
            <w:r>
              <w:rPr>
                <w:rFonts w:hint="eastAsia"/>
                <w:color w:val="auto"/>
                <w:spacing w:val="1"/>
                <w:sz w:val="21"/>
                <w:szCs w:val="21"/>
                <w:highlight w:val="none"/>
                <w:lang w:val="en-US" w:bidi="ar-SA"/>
              </w:rPr>
              <w:t>采用低价优先</w:t>
            </w:r>
            <w:r>
              <w:rPr>
                <w:rFonts w:hint="eastAsia"/>
                <w:color w:val="auto"/>
                <w:sz w:val="21"/>
                <w:szCs w:val="21"/>
                <w:highlight w:val="none"/>
                <w:lang w:val="en-US" w:bidi="ar-SA"/>
              </w:rPr>
              <w:t>法计算，即满足招标文件要求且投标价格最低的投标</w:t>
            </w:r>
            <w:r>
              <w:rPr>
                <w:rFonts w:hint="eastAsia"/>
                <w:color w:val="auto"/>
                <w:spacing w:val="1"/>
                <w:sz w:val="21"/>
                <w:szCs w:val="21"/>
                <w:highlight w:val="none"/>
                <w:lang w:val="en-US" w:bidi="ar-SA"/>
              </w:rPr>
              <w:t>报价为评标基准</w:t>
            </w:r>
            <w:r>
              <w:rPr>
                <w:rFonts w:hint="eastAsia"/>
                <w:color w:val="auto"/>
                <w:sz w:val="21"/>
                <w:szCs w:val="21"/>
                <w:highlight w:val="none"/>
                <w:lang w:val="en-US" w:bidi="ar-SA"/>
              </w:rPr>
              <w:t>价，其价格分为满分。其他投标人的价格分统一按</w:t>
            </w:r>
            <w:r>
              <w:rPr>
                <w:rFonts w:hint="eastAsia"/>
                <w:color w:val="auto"/>
                <w:spacing w:val="-1"/>
                <w:sz w:val="21"/>
                <w:szCs w:val="21"/>
                <w:highlight w:val="none"/>
                <w:lang w:val="en-US" w:bidi="ar-SA"/>
              </w:rPr>
              <w:t>照下列公</w:t>
            </w:r>
            <w:r>
              <w:rPr>
                <w:rFonts w:hint="eastAsia"/>
                <w:color w:val="auto"/>
                <w:sz w:val="21"/>
                <w:szCs w:val="21"/>
                <w:highlight w:val="none"/>
                <w:lang w:val="en-US" w:bidi="ar-SA"/>
              </w:rPr>
              <w:t>式计算：投标报价得分=</w:t>
            </w:r>
            <w:r>
              <w:rPr>
                <w:rFonts w:hint="eastAsia"/>
                <w:color w:val="auto"/>
                <w:sz w:val="21"/>
                <w:szCs w:val="21"/>
                <w:highlight w:val="none"/>
                <w:lang w:val="en-US" w:eastAsia="zh-CN" w:bidi="ar-SA"/>
              </w:rPr>
              <w:t>（</w:t>
            </w:r>
            <w:r>
              <w:rPr>
                <w:rFonts w:hint="eastAsia"/>
                <w:color w:val="auto"/>
                <w:sz w:val="21"/>
                <w:szCs w:val="21"/>
                <w:highlight w:val="none"/>
                <w:lang w:val="en-US" w:bidi="ar-SA"/>
              </w:rPr>
              <w:t>评标基准价/投标报价</w:t>
            </w:r>
            <w:r>
              <w:rPr>
                <w:rFonts w:hint="eastAsia"/>
                <w:color w:val="auto"/>
                <w:sz w:val="21"/>
                <w:szCs w:val="21"/>
                <w:highlight w:val="none"/>
                <w:lang w:val="en-US" w:eastAsia="zh-CN" w:bidi="ar-SA"/>
              </w:rPr>
              <w:t>）</w:t>
            </w:r>
            <w:r>
              <w:rPr>
                <w:rFonts w:hint="eastAsia"/>
                <w:color w:val="auto"/>
                <w:sz w:val="21"/>
                <w:szCs w:val="21"/>
                <w:highlight w:val="none"/>
                <w:lang w:val="en-US" w:bidi="ar-SA"/>
              </w:rPr>
              <w:t>×</w:t>
            </w:r>
            <w:r>
              <w:rPr>
                <w:rFonts w:hint="eastAsia"/>
                <w:color w:val="auto"/>
                <w:sz w:val="21"/>
                <w:szCs w:val="21"/>
                <w:highlight w:val="none"/>
                <w:lang w:val="en-US" w:eastAsia="zh-CN" w:bidi="ar-SA"/>
              </w:rPr>
              <w:t>30</w:t>
            </w:r>
            <w:r>
              <w:rPr>
                <w:rFonts w:hint="eastAsia"/>
                <w:color w:val="auto"/>
                <w:sz w:val="21"/>
                <w:szCs w:val="21"/>
                <w:highlight w:val="none"/>
                <w:lang w:val="en-US" w:bidi="ar-SA"/>
              </w:rPr>
              <w:t>（小数点保留两位）</w:t>
            </w:r>
          </w:p>
          <w:p w14:paraId="4DCBC8C6">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本项目执行财库〔2026〕2号《关于推动解决政府采购异常低价问题相关工作的通知》的相关规定。</w:t>
            </w:r>
          </w:p>
          <w:p w14:paraId="7F712B3A">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1、评审中出现下列情形之一的，评审委员会应当启动异常低价投标（响应）审查程序： </w:t>
            </w:r>
          </w:p>
          <w:p w14:paraId="69E6A089">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（1）投标（响应）报价低于全部通过符合性审查供应商投标（响应）报价平均值50%的，即投标（响应）报价&lt;全部通过符合性审查供应商投标（响应）报价平均值×50%； </w:t>
            </w:r>
          </w:p>
          <w:p w14:paraId="750CBF74">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（2）投标（响应）报价低于通过符合性审查的次低报价供应商投标（响应）报价50%的，即投标（响应）报价&lt;通过符合性审查的次低报价供应商投标（响应）报价×50%； </w:t>
            </w:r>
          </w:p>
          <w:p w14:paraId="2B4A9F62">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（3）投标（响应）报价低于采购项目最高限价</w:t>
            </w:r>
            <w:r>
              <w:rPr>
                <w:rFonts w:hint="eastAsia"/>
                <w:color w:val="auto"/>
                <w:sz w:val="21"/>
                <w:szCs w:val="21"/>
                <w:highlight w:val="none"/>
                <w:lang w:val="en-US" w:eastAsia="zh-CN" w:bidi="ar-SA"/>
              </w:rPr>
              <w:t>4</w:t>
            </w:r>
            <w:r>
              <w:rPr>
                <w:rFonts w:hint="eastAsia"/>
                <w:color w:val="auto"/>
                <w:sz w:val="21"/>
                <w:szCs w:val="21"/>
                <w:highlight w:val="none"/>
                <w:lang w:val="en-US" w:bidi="ar-SA"/>
              </w:rPr>
              <w:t>5%的，即投标（响应）报价&lt;采购项目最高限价×</w:t>
            </w:r>
            <w:r>
              <w:rPr>
                <w:rFonts w:hint="eastAsia"/>
                <w:color w:val="auto"/>
                <w:sz w:val="21"/>
                <w:szCs w:val="21"/>
                <w:highlight w:val="none"/>
                <w:lang w:val="en-US" w:eastAsia="zh-CN" w:bidi="ar-SA"/>
              </w:rPr>
              <w:t>4</w:t>
            </w:r>
            <w:r>
              <w:rPr>
                <w:rFonts w:hint="eastAsia"/>
                <w:color w:val="auto"/>
                <w:sz w:val="21"/>
                <w:szCs w:val="21"/>
                <w:highlight w:val="none"/>
                <w:lang w:val="en-US" w:bidi="ar-SA"/>
              </w:rPr>
              <w:t>5%； </w:t>
            </w:r>
          </w:p>
          <w:p w14:paraId="4FE852C6">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（4）评审委员会基于专业判断，认为供应商报价过低，有可能影响产品质量或者不能诚信履约的其他情形。 </w:t>
            </w:r>
          </w:p>
          <w:p w14:paraId="64717471">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相关法律法规对供应商报价有规定的，从其规定。 </w:t>
            </w:r>
          </w:p>
          <w:p w14:paraId="698E6357">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p>
          <w:p w14:paraId="57F2D0A5">
            <w:pPr>
              <w:spacing w:line="264" w:lineRule="auto"/>
              <w:rPr>
                <w:rFonts w:hint="eastAsia"/>
                <w:color w:val="auto"/>
                <w:sz w:val="21"/>
                <w:szCs w:val="21"/>
                <w:highlight w:val="none"/>
                <w:lang w:val="en-US" w:bidi="ar-SA"/>
              </w:rPr>
            </w:pPr>
            <w:r>
              <w:rPr>
                <w:rFonts w:hint="eastAsia"/>
                <w:color w:val="auto"/>
                <w:sz w:val="21"/>
                <w:szCs w:val="21"/>
                <w:highlight w:val="none"/>
                <w:lang w:val="en-US"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573" w:type="dxa"/>
            <w:noWrap w:val="0"/>
            <w:vAlign w:val="center"/>
          </w:tcPr>
          <w:p w14:paraId="5D756E19">
            <w:pPr>
              <w:spacing w:before="68" w:line="264" w:lineRule="auto"/>
              <w:jc w:val="center"/>
              <w:rPr>
                <w:rFonts w:hint="default" w:eastAsia="宋体"/>
                <w:color w:val="auto"/>
                <w:spacing w:val="-4"/>
                <w:sz w:val="21"/>
                <w:szCs w:val="21"/>
                <w:highlight w:val="none"/>
                <w:lang w:val="en-US" w:eastAsia="zh-CN" w:bidi="ar-SA"/>
              </w:rPr>
            </w:pPr>
            <w:r>
              <w:rPr>
                <w:rFonts w:hint="eastAsia"/>
                <w:color w:val="auto"/>
                <w:sz w:val="21"/>
                <w:szCs w:val="21"/>
                <w:highlight w:val="none"/>
                <w:lang w:val="en-US" w:eastAsia="zh-CN" w:bidi="ar-SA"/>
              </w:rPr>
              <w:t>30</w:t>
            </w:r>
          </w:p>
        </w:tc>
        <w:tc>
          <w:tcPr>
            <w:tcW w:w="861" w:type="dxa"/>
            <w:noWrap w:val="0"/>
            <w:vAlign w:val="center"/>
          </w:tcPr>
          <w:p w14:paraId="17705FE2">
            <w:pPr>
              <w:spacing w:before="68" w:line="264" w:lineRule="auto"/>
              <w:jc w:val="center"/>
              <w:rPr>
                <w:rFonts w:hint="eastAsia"/>
                <w:color w:val="auto"/>
                <w:spacing w:val="-4"/>
                <w:sz w:val="21"/>
                <w:szCs w:val="21"/>
                <w:highlight w:val="none"/>
                <w:lang w:val="en-US" w:bidi="ar-SA"/>
              </w:rPr>
            </w:pPr>
            <w:r>
              <w:rPr>
                <w:rFonts w:hint="eastAsia"/>
                <w:color w:val="auto"/>
                <w:spacing w:val="-4"/>
                <w:sz w:val="21"/>
                <w:szCs w:val="21"/>
                <w:highlight w:val="none"/>
                <w:lang w:val="en-US" w:bidi="ar-SA"/>
              </w:rPr>
              <w:t>价格分</w:t>
            </w:r>
          </w:p>
        </w:tc>
      </w:tr>
      <w:tr w14:paraId="4EA00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noWrap w:val="0"/>
            <w:vAlign w:val="top"/>
          </w:tcPr>
          <w:p w14:paraId="230550ED">
            <w:pPr>
              <w:spacing w:before="123" w:line="264" w:lineRule="auto"/>
              <w:ind w:left="114"/>
              <w:jc w:val="both"/>
              <w:rPr>
                <w:rFonts w:hint="eastAsia"/>
                <w:color w:val="auto"/>
                <w:sz w:val="21"/>
                <w:szCs w:val="21"/>
                <w:highlight w:val="none"/>
                <w:lang w:val="en-US" w:bidi="ar-SA"/>
              </w:rPr>
            </w:pPr>
            <w:r>
              <w:rPr>
                <w:rFonts w:hint="eastAsia"/>
                <w:b/>
                <w:bCs/>
                <w:color w:val="auto"/>
                <w:spacing w:val="-3"/>
                <w:sz w:val="21"/>
                <w:szCs w:val="21"/>
                <w:highlight w:val="none"/>
                <w:lang w:val="en-US" w:bidi="ar-SA"/>
              </w:rPr>
              <w:t>2.服务</w:t>
            </w:r>
          </w:p>
        </w:tc>
      </w:tr>
      <w:tr w14:paraId="1D2E8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98" w:type="dxa"/>
            <w:noWrap w:val="0"/>
            <w:vAlign w:val="center"/>
          </w:tcPr>
          <w:p w14:paraId="35C67576">
            <w:pPr>
              <w:spacing w:before="68" w:line="264" w:lineRule="auto"/>
              <w:jc w:val="center"/>
              <w:rPr>
                <w:rFonts w:hint="eastAsia"/>
                <w:color w:val="auto"/>
                <w:spacing w:val="-2"/>
                <w:sz w:val="21"/>
                <w:szCs w:val="21"/>
                <w:highlight w:val="none"/>
                <w:lang w:val="en-US" w:bidi="ar-SA"/>
              </w:rPr>
            </w:pPr>
            <w:r>
              <w:rPr>
                <w:color w:val="auto"/>
                <w:spacing w:val="-2"/>
                <w:sz w:val="21"/>
                <w:szCs w:val="21"/>
                <w:highlight w:val="none"/>
                <w:lang w:val="en-US" w:bidi="ar-SA"/>
              </w:rPr>
              <w:t>2.1</w:t>
            </w:r>
          </w:p>
        </w:tc>
        <w:tc>
          <w:tcPr>
            <w:tcW w:w="1041" w:type="dxa"/>
            <w:noWrap w:val="0"/>
            <w:vAlign w:val="center"/>
          </w:tcPr>
          <w:p w14:paraId="5D9EC991">
            <w:pPr>
              <w:spacing w:before="68" w:line="264" w:lineRule="auto"/>
              <w:ind w:right="108"/>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项目实施方案</w:t>
            </w:r>
          </w:p>
        </w:tc>
        <w:tc>
          <w:tcPr>
            <w:tcW w:w="6684" w:type="dxa"/>
            <w:noWrap w:val="0"/>
            <w:vAlign w:val="center"/>
          </w:tcPr>
          <w:p w14:paraId="22B253D6">
            <w:pPr>
              <w:pStyle w:val="242"/>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评委根据供应商提供的项目实施方案进行综合评分，包括但不限于针对垃圾的运输、处置流程、每日清运次数、每日清运时间、规范作业、垃圾量台账记录、相关卫生消杀工作等。</w:t>
            </w:r>
          </w:p>
          <w:p w14:paraId="14D031CC">
            <w:pPr>
              <w:pStyle w:val="242"/>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（1）各项方案表述清晰全面，作业时间安排及作业流程设置科学合理、具有经济性，完全满足本项目任务要求的得8分；</w:t>
            </w:r>
          </w:p>
          <w:p w14:paraId="3B5838C4">
            <w:pPr>
              <w:pStyle w:val="242"/>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（2）各项方案较为</w:t>
            </w:r>
            <w:r>
              <w:rPr>
                <w:rFonts w:hint="eastAsia"/>
                <w:color w:val="auto"/>
                <w:spacing w:val="1"/>
                <w:sz w:val="21"/>
                <w:szCs w:val="21"/>
                <w:highlight w:val="none"/>
                <w:lang w:val="en-US" w:eastAsia="zh-CN" w:bidi="ar-SA"/>
              </w:rPr>
              <w:t>全面，作业时间安排及作业流程设置较为科学合理、具有经济性，能够</w:t>
            </w:r>
            <w:r>
              <w:rPr>
                <w:rFonts w:hint="eastAsia"/>
                <w:color w:val="auto"/>
                <w:spacing w:val="1"/>
                <w:sz w:val="21"/>
                <w:szCs w:val="21"/>
                <w:highlight w:val="none"/>
                <w:lang w:val="en-US" w:eastAsia="zh-CN" w:bidi="ar-SA"/>
              </w:rPr>
              <w:t>满足本项目任务要求的得6分；</w:t>
            </w:r>
          </w:p>
          <w:p w14:paraId="27061DDA">
            <w:pPr>
              <w:pStyle w:val="242"/>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（3）各项方案简单，作业时间安排及作业流程设置针对性较差</w:t>
            </w:r>
            <w:r>
              <w:rPr>
                <w:rFonts w:hint="eastAsia"/>
                <w:color w:val="auto"/>
                <w:spacing w:val="1"/>
                <w:sz w:val="21"/>
                <w:szCs w:val="21"/>
                <w:highlight w:val="none"/>
                <w:lang w:val="en-US" w:eastAsia="zh-CN" w:bidi="ar-SA"/>
              </w:rPr>
              <w:t>，部分满足本项目任务要求的得4分；</w:t>
            </w:r>
          </w:p>
          <w:p w14:paraId="41D0B651">
            <w:pPr>
              <w:pStyle w:val="242"/>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（4）未提供不得分。</w:t>
            </w:r>
          </w:p>
        </w:tc>
        <w:tc>
          <w:tcPr>
            <w:tcW w:w="573" w:type="dxa"/>
            <w:noWrap w:val="0"/>
            <w:vAlign w:val="center"/>
          </w:tcPr>
          <w:p w14:paraId="2758A4A1">
            <w:pPr>
              <w:spacing w:before="68" w:line="264" w:lineRule="auto"/>
              <w:jc w:val="center"/>
              <w:rPr>
                <w:rFonts w:hint="default" w:eastAsia="宋体"/>
                <w:color w:val="auto"/>
                <w:sz w:val="21"/>
                <w:szCs w:val="21"/>
                <w:highlight w:val="none"/>
                <w:lang w:val="en-US" w:eastAsia="zh-CN" w:bidi="ar-SA"/>
              </w:rPr>
            </w:pPr>
            <w:r>
              <w:rPr>
                <w:rFonts w:hint="eastAsia"/>
                <w:color w:val="auto"/>
                <w:sz w:val="21"/>
                <w:szCs w:val="21"/>
                <w:highlight w:val="none"/>
                <w:lang w:val="en-US" w:eastAsia="zh-CN" w:bidi="ar-SA"/>
              </w:rPr>
              <w:t>8</w:t>
            </w:r>
          </w:p>
        </w:tc>
        <w:tc>
          <w:tcPr>
            <w:tcW w:w="861" w:type="dxa"/>
            <w:noWrap w:val="0"/>
            <w:vAlign w:val="center"/>
          </w:tcPr>
          <w:p w14:paraId="7323D9EF">
            <w:pPr>
              <w:spacing w:before="68" w:line="264" w:lineRule="auto"/>
              <w:jc w:val="center"/>
              <w:rPr>
                <w:rFonts w:hint="eastAsia"/>
                <w:color w:val="auto"/>
                <w:sz w:val="21"/>
                <w:szCs w:val="21"/>
                <w:highlight w:val="none"/>
                <w:lang w:val="en-US" w:bidi="ar-SA"/>
              </w:rPr>
            </w:pPr>
            <w:r>
              <w:rPr>
                <w:color w:val="auto"/>
                <w:spacing w:val="-6"/>
                <w:sz w:val="21"/>
                <w:szCs w:val="21"/>
                <w:highlight w:val="none"/>
                <w:lang w:val="en-US" w:bidi="ar-SA"/>
              </w:rPr>
              <w:t>主</w:t>
            </w:r>
            <w:r>
              <w:rPr>
                <w:color w:val="auto"/>
                <w:spacing w:val="-4"/>
                <w:sz w:val="21"/>
                <w:szCs w:val="21"/>
                <w:highlight w:val="none"/>
                <w:lang w:val="en-US" w:bidi="ar-SA"/>
              </w:rPr>
              <w:t>观</w:t>
            </w:r>
            <w:r>
              <w:rPr>
                <w:rFonts w:hint="eastAsia"/>
                <w:color w:val="auto"/>
                <w:spacing w:val="-4"/>
                <w:sz w:val="21"/>
                <w:szCs w:val="21"/>
                <w:highlight w:val="none"/>
                <w:lang w:val="en-US" w:bidi="ar-SA"/>
              </w:rPr>
              <w:t>分</w:t>
            </w:r>
          </w:p>
        </w:tc>
      </w:tr>
      <w:tr w14:paraId="75A54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jc w:val="center"/>
        </w:trPr>
        <w:tc>
          <w:tcPr>
            <w:tcW w:w="598" w:type="dxa"/>
            <w:noWrap w:val="0"/>
            <w:vAlign w:val="center"/>
          </w:tcPr>
          <w:p w14:paraId="5BE35436">
            <w:pPr>
              <w:spacing w:before="68"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2</w:t>
            </w:r>
            <w:r>
              <w:rPr>
                <w:color w:val="auto"/>
                <w:spacing w:val="-2"/>
                <w:sz w:val="21"/>
                <w:szCs w:val="21"/>
                <w:highlight w:val="none"/>
                <w:lang w:val="en-US" w:bidi="ar-SA"/>
              </w:rPr>
              <w:t>.2</w:t>
            </w:r>
          </w:p>
        </w:tc>
        <w:tc>
          <w:tcPr>
            <w:tcW w:w="1041" w:type="dxa"/>
            <w:noWrap w:val="0"/>
            <w:vAlign w:val="center"/>
          </w:tcPr>
          <w:p w14:paraId="41BDA8D7">
            <w:pPr>
              <w:spacing w:before="260"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人员管理方案</w:t>
            </w:r>
          </w:p>
        </w:tc>
        <w:tc>
          <w:tcPr>
            <w:tcW w:w="6684" w:type="dxa"/>
            <w:noWrap w:val="0"/>
            <w:vAlign w:val="center"/>
          </w:tcPr>
          <w:p w14:paraId="501A0779">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评委根据供应商提供的人员管理方案进行综合评分，包括但不限于员工管理制度、人员培训方式、培训内容、岗位职责、考核办法等。</w:t>
            </w:r>
          </w:p>
          <w:p w14:paraId="6EA4255E">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（1）方案特别详细，管理制度全面，有针对性培训计划，完全满足采购人实际项目需求的</w:t>
            </w:r>
            <w:r>
              <w:rPr>
                <w:rFonts w:hint="eastAsia"/>
                <w:color w:val="auto"/>
                <w:spacing w:val="1"/>
                <w:sz w:val="21"/>
                <w:szCs w:val="21"/>
                <w:highlight w:val="none"/>
                <w:lang w:val="en-US" w:bidi="ar-SA"/>
              </w:rPr>
              <w:t>得</w:t>
            </w:r>
            <w:r>
              <w:rPr>
                <w:rFonts w:hint="eastAsia"/>
                <w:color w:val="auto"/>
                <w:spacing w:val="1"/>
                <w:sz w:val="21"/>
                <w:szCs w:val="21"/>
                <w:highlight w:val="none"/>
                <w:lang w:val="en-US" w:eastAsia="zh-CN" w:bidi="ar-SA"/>
              </w:rPr>
              <w:t>8</w:t>
            </w:r>
            <w:r>
              <w:rPr>
                <w:rFonts w:hint="eastAsia"/>
                <w:color w:val="auto"/>
                <w:spacing w:val="1"/>
                <w:sz w:val="21"/>
                <w:szCs w:val="21"/>
                <w:highlight w:val="none"/>
                <w:lang w:val="en-US" w:bidi="ar-SA"/>
              </w:rPr>
              <w:t>分；</w:t>
            </w:r>
          </w:p>
          <w:p w14:paraId="230701B1">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（2）方案比较详细，管理制度较为全面，能够</w:t>
            </w:r>
            <w:r>
              <w:rPr>
                <w:rFonts w:hint="eastAsia"/>
                <w:color w:val="auto"/>
                <w:spacing w:val="1"/>
                <w:sz w:val="21"/>
                <w:szCs w:val="21"/>
                <w:highlight w:val="none"/>
                <w:lang w:val="en-US" w:eastAsia="zh-CN" w:bidi="ar-SA"/>
              </w:rPr>
              <w:t>贴合采购人实际项目需求的</w:t>
            </w:r>
            <w:r>
              <w:rPr>
                <w:rFonts w:hint="eastAsia"/>
                <w:color w:val="auto"/>
                <w:spacing w:val="1"/>
                <w:sz w:val="21"/>
                <w:szCs w:val="21"/>
                <w:highlight w:val="none"/>
                <w:lang w:val="en-US" w:bidi="ar-SA"/>
              </w:rPr>
              <w:t>得</w:t>
            </w:r>
            <w:r>
              <w:rPr>
                <w:rFonts w:hint="eastAsia"/>
                <w:color w:val="auto"/>
                <w:spacing w:val="1"/>
                <w:sz w:val="21"/>
                <w:szCs w:val="21"/>
                <w:highlight w:val="none"/>
                <w:lang w:val="en-US" w:eastAsia="zh-CN" w:bidi="ar-SA"/>
              </w:rPr>
              <w:t>6</w:t>
            </w:r>
            <w:r>
              <w:rPr>
                <w:rFonts w:hint="eastAsia"/>
                <w:color w:val="auto"/>
                <w:spacing w:val="1"/>
                <w:sz w:val="21"/>
                <w:szCs w:val="21"/>
                <w:highlight w:val="none"/>
                <w:lang w:val="en-US" w:bidi="ar-SA"/>
              </w:rPr>
              <w:t>分；</w:t>
            </w:r>
          </w:p>
          <w:p w14:paraId="50AFDE1E">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（3）方案粗略、管理制度欠缺，不具备针对性，部分达到采购人实际项目需求的</w:t>
            </w:r>
            <w:r>
              <w:rPr>
                <w:rFonts w:hint="eastAsia"/>
                <w:color w:val="auto"/>
                <w:spacing w:val="1"/>
                <w:sz w:val="21"/>
                <w:szCs w:val="21"/>
                <w:highlight w:val="none"/>
                <w:lang w:val="en-US" w:bidi="ar-SA"/>
              </w:rPr>
              <w:t>得</w:t>
            </w:r>
            <w:r>
              <w:rPr>
                <w:rFonts w:hint="eastAsia"/>
                <w:color w:val="auto"/>
                <w:spacing w:val="1"/>
                <w:sz w:val="21"/>
                <w:szCs w:val="21"/>
                <w:highlight w:val="none"/>
                <w:lang w:val="en-US" w:eastAsia="zh-CN" w:bidi="ar-SA"/>
              </w:rPr>
              <w:t>4</w:t>
            </w:r>
            <w:r>
              <w:rPr>
                <w:rFonts w:hint="eastAsia"/>
                <w:color w:val="auto"/>
                <w:spacing w:val="1"/>
                <w:sz w:val="21"/>
                <w:szCs w:val="21"/>
                <w:highlight w:val="none"/>
                <w:lang w:val="en-US" w:bidi="ar-SA"/>
              </w:rPr>
              <w:t>分；</w:t>
            </w:r>
          </w:p>
          <w:p w14:paraId="2E1CC9ED">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（4）</w:t>
            </w:r>
            <w:r>
              <w:rPr>
                <w:rFonts w:hint="eastAsia"/>
                <w:color w:val="auto"/>
                <w:spacing w:val="1"/>
                <w:sz w:val="21"/>
                <w:szCs w:val="21"/>
                <w:highlight w:val="none"/>
                <w:lang w:val="en-US" w:bidi="ar-SA"/>
              </w:rPr>
              <w:t>未提供不得分。</w:t>
            </w:r>
          </w:p>
        </w:tc>
        <w:tc>
          <w:tcPr>
            <w:tcW w:w="573" w:type="dxa"/>
            <w:noWrap w:val="0"/>
            <w:vAlign w:val="center"/>
          </w:tcPr>
          <w:p w14:paraId="77A20621">
            <w:pPr>
              <w:spacing w:before="68" w:line="264" w:lineRule="auto"/>
              <w:jc w:val="center"/>
              <w:rPr>
                <w:rFonts w:hint="default" w:eastAsia="宋体"/>
                <w:color w:val="auto"/>
                <w:sz w:val="21"/>
                <w:szCs w:val="21"/>
                <w:highlight w:val="none"/>
                <w:lang w:val="en-US" w:eastAsia="zh-CN" w:bidi="ar-SA"/>
              </w:rPr>
            </w:pPr>
            <w:r>
              <w:rPr>
                <w:rFonts w:hint="eastAsia"/>
                <w:color w:val="auto"/>
                <w:sz w:val="21"/>
                <w:szCs w:val="21"/>
                <w:highlight w:val="none"/>
                <w:lang w:val="en-US" w:eastAsia="zh-CN" w:bidi="ar-SA"/>
              </w:rPr>
              <w:t>8</w:t>
            </w:r>
          </w:p>
        </w:tc>
        <w:tc>
          <w:tcPr>
            <w:tcW w:w="861" w:type="dxa"/>
            <w:noWrap w:val="0"/>
            <w:vAlign w:val="center"/>
          </w:tcPr>
          <w:p w14:paraId="4EB9CDCB">
            <w:pPr>
              <w:spacing w:before="68" w:line="264" w:lineRule="auto"/>
              <w:jc w:val="center"/>
              <w:rPr>
                <w:rFonts w:hint="eastAsia"/>
                <w:color w:val="auto"/>
                <w:sz w:val="21"/>
                <w:szCs w:val="21"/>
                <w:highlight w:val="none"/>
                <w:lang w:val="en-US" w:bidi="ar-SA"/>
              </w:rPr>
            </w:pPr>
            <w:r>
              <w:rPr>
                <w:color w:val="auto"/>
                <w:spacing w:val="-6"/>
                <w:sz w:val="21"/>
                <w:szCs w:val="21"/>
                <w:highlight w:val="none"/>
                <w:lang w:val="en-US" w:bidi="ar-SA"/>
              </w:rPr>
              <w:t>主</w:t>
            </w:r>
            <w:r>
              <w:rPr>
                <w:color w:val="auto"/>
                <w:spacing w:val="-4"/>
                <w:sz w:val="21"/>
                <w:szCs w:val="21"/>
                <w:highlight w:val="none"/>
                <w:lang w:val="en-US" w:bidi="ar-SA"/>
              </w:rPr>
              <w:t>观</w:t>
            </w:r>
            <w:r>
              <w:rPr>
                <w:rFonts w:hint="eastAsia"/>
                <w:color w:val="auto"/>
                <w:spacing w:val="-4"/>
                <w:sz w:val="21"/>
                <w:szCs w:val="21"/>
                <w:highlight w:val="none"/>
                <w:lang w:val="en-US" w:bidi="ar-SA"/>
              </w:rPr>
              <w:t>分</w:t>
            </w:r>
          </w:p>
        </w:tc>
      </w:tr>
      <w:tr w14:paraId="62C26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jc w:val="center"/>
        </w:trPr>
        <w:tc>
          <w:tcPr>
            <w:tcW w:w="598" w:type="dxa"/>
            <w:noWrap w:val="0"/>
            <w:vAlign w:val="center"/>
          </w:tcPr>
          <w:p w14:paraId="305B7369">
            <w:pPr>
              <w:spacing w:before="68"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2</w:t>
            </w:r>
            <w:r>
              <w:rPr>
                <w:color w:val="auto"/>
                <w:spacing w:val="-2"/>
                <w:sz w:val="21"/>
                <w:szCs w:val="21"/>
                <w:highlight w:val="none"/>
                <w:lang w:val="en-US" w:bidi="ar-SA"/>
              </w:rPr>
              <w:t>.3</w:t>
            </w:r>
          </w:p>
        </w:tc>
        <w:tc>
          <w:tcPr>
            <w:tcW w:w="1041" w:type="dxa"/>
            <w:noWrap w:val="0"/>
            <w:vAlign w:val="center"/>
          </w:tcPr>
          <w:p w14:paraId="09FD54DE">
            <w:pPr>
              <w:spacing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车辆管理方案</w:t>
            </w:r>
          </w:p>
        </w:tc>
        <w:tc>
          <w:tcPr>
            <w:tcW w:w="6684" w:type="dxa"/>
            <w:noWrap w:val="0"/>
            <w:vAlign w:val="center"/>
          </w:tcPr>
          <w:p w14:paraId="017E27C0">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bidi="ar-SA"/>
              </w:rPr>
              <w:t>评委根据供应商提供的车辆管理方案进行综合评分，包括但不限于对投入本项目的车辆设备日常使用、检查、维护等。</w:t>
            </w:r>
          </w:p>
          <w:p w14:paraId="38D667DE">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（1）</w:t>
            </w:r>
            <w:r>
              <w:rPr>
                <w:rFonts w:hint="eastAsia"/>
                <w:color w:val="auto"/>
                <w:spacing w:val="1"/>
                <w:sz w:val="21"/>
                <w:szCs w:val="21"/>
                <w:highlight w:val="none"/>
                <w:lang w:val="en-US" w:bidi="ar-SA"/>
              </w:rPr>
              <w:t>方案完整准确，周到全面，合理可行，完全符合本项目车辆日常运维实际要求的得</w:t>
            </w:r>
            <w:r>
              <w:rPr>
                <w:rFonts w:hint="eastAsia"/>
                <w:color w:val="auto"/>
                <w:spacing w:val="1"/>
                <w:sz w:val="21"/>
                <w:szCs w:val="21"/>
                <w:highlight w:val="none"/>
                <w:lang w:val="en-US" w:eastAsia="zh-CN" w:bidi="ar-SA"/>
              </w:rPr>
              <w:t>8</w:t>
            </w:r>
            <w:r>
              <w:rPr>
                <w:rFonts w:hint="eastAsia"/>
                <w:color w:val="auto"/>
                <w:spacing w:val="1"/>
                <w:sz w:val="21"/>
                <w:szCs w:val="21"/>
                <w:highlight w:val="none"/>
                <w:lang w:val="en-US" w:bidi="ar-SA"/>
              </w:rPr>
              <w:t>分；</w:t>
            </w:r>
          </w:p>
          <w:p w14:paraId="58C0710B">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（2）</w:t>
            </w:r>
            <w:r>
              <w:rPr>
                <w:rFonts w:hint="eastAsia"/>
                <w:color w:val="auto"/>
                <w:spacing w:val="1"/>
                <w:sz w:val="21"/>
                <w:szCs w:val="21"/>
                <w:highlight w:val="none"/>
                <w:lang w:val="en-US" w:bidi="ar-SA"/>
              </w:rPr>
              <w:t>方案贴合项目，定位明确、具有一定针对性，考虑到本项目运维难点的得</w:t>
            </w:r>
            <w:r>
              <w:rPr>
                <w:rFonts w:hint="eastAsia"/>
                <w:color w:val="auto"/>
                <w:spacing w:val="1"/>
                <w:sz w:val="21"/>
                <w:szCs w:val="21"/>
                <w:highlight w:val="none"/>
                <w:lang w:val="en-US" w:eastAsia="zh-CN" w:bidi="ar-SA"/>
              </w:rPr>
              <w:t>6</w:t>
            </w:r>
            <w:r>
              <w:rPr>
                <w:rFonts w:hint="eastAsia"/>
                <w:color w:val="auto"/>
                <w:spacing w:val="1"/>
                <w:sz w:val="21"/>
                <w:szCs w:val="21"/>
                <w:highlight w:val="none"/>
                <w:lang w:val="en-US" w:bidi="ar-SA"/>
              </w:rPr>
              <w:t>分；</w:t>
            </w:r>
          </w:p>
          <w:p w14:paraId="3E937F77">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（3）</w:t>
            </w:r>
            <w:r>
              <w:rPr>
                <w:rFonts w:hint="eastAsia"/>
                <w:color w:val="auto"/>
                <w:spacing w:val="1"/>
                <w:sz w:val="21"/>
                <w:szCs w:val="21"/>
                <w:highlight w:val="none"/>
                <w:lang w:val="en-US" w:bidi="ar-SA"/>
              </w:rPr>
              <w:t>方案提供粗略，定位有</w:t>
            </w:r>
            <w:r>
              <w:rPr>
                <w:rFonts w:hint="eastAsia"/>
                <w:color w:val="auto"/>
                <w:spacing w:val="1"/>
                <w:sz w:val="21"/>
                <w:szCs w:val="21"/>
                <w:highlight w:val="none"/>
                <w:lang w:val="en-US" w:eastAsia="zh-CN" w:bidi="ar-SA"/>
              </w:rPr>
              <w:t>较大</w:t>
            </w:r>
            <w:r>
              <w:rPr>
                <w:rFonts w:hint="eastAsia"/>
                <w:color w:val="auto"/>
                <w:spacing w:val="1"/>
                <w:sz w:val="21"/>
                <w:szCs w:val="21"/>
                <w:highlight w:val="none"/>
                <w:lang w:val="en-US" w:bidi="ar-SA"/>
              </w:rPr>
              <w:t>偏差，部分达到采购人实际项目需求的得</w:t>
            </w:r>
            <w:r>
              <w:rPr>
                <w:rFonts w:hint="eastAsia"/>
                <w:color w:val="auto"/>
                <w:spacing w:val="1"/>
                <w:sz w:val="21"/>
                <w:szCs w:val="21"/>
                <w:highlight w:val="none"/>
                <w:lang w:val="en-US" w:eastAsia="zh-CN" w:bidi="ar-SA"/>
              </w:rPr>
              <w:t>4</w:t>
            </w:r>
            <w:r>
              <w:rPr>
                <w:rFonts w:hint="eastAsia"/>
                <w:color w:val="auto"/>
                <w:spacing w:val="1"/>
                <w:sz w:val="21"/>
                <w:szCs w:val="21"/>
                <w:highlight w:val="none"/>
                <w:lang w:val="en-US" w:bidi="ar-SA"/>
              </w:rPr>
              <w:t>分；</w:t>
            </w:r>
          </w:p>
          <w:p w14:paraId="4BEB8E43">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（4）</w:t>
            </w:r>
            <w:r>
              <w:rPr>
                <w:rFonts w:hint="eastAsia"/>
                <w:color w:val="auto"/>
                <w:spacing w:val="1"/>
                <w:sz w:val="21"/>
                <w:szCs w:val="21"/>
                <w:highlight w:val="none"/>
                <w:lang w:val="en-US" w:bidi="ar-SA"/>
              </w:rPr>
              <w:t>未提供不得分。</w:t>
            </w:r>
          </w:p>
        </w:tc>
        <w:tc>
          <w:tcPr>
            <w:tcW w:w="573" w:type="dxa"/>
            <w:noWrap w:val="0"/>
            <w:vAlign w:val="center"/>
          </w:tcPr>
          <w:p w14:paraId="222BBBFA">
            <w:pPr>
              <w:spacing w:before="68" w:line="264" w:lineRule="auto"/>
              <w:jc w:val="center"/>
              <w:rPr>
                <w:rFonts w:hint="default" w:eastAsia="宋体"/>
                <w:color w:val="auto"/>
                <w:sz w:val="21"/>
                <w:szCs w:val="21"/>
                <w:highlight w:val="none"/>
                <w:lang w:val="en-US" w:eastAsia="zh-CN" w:bidi="ar-SA"/>
              </w:rPr>
            </w:pPr>
            <w:r>
              <w:rPr>
                <w:rFonts w:hint="eastAsia"/>
                <w:color w:val="auto"/>
                <w:sz w:val="21"/>
                <w:szCs w:val="21"/>
                <w:highlight w:val="none"/>
                <w:lang w:val="en-US" w:eastAsia="zh-CN" w:bidi="ar-SA"/>
              </w:rPr>
              <w:t>8</w:t>
            </w:r>
          </w:p>
        </w:tc>
        <w:tc>
          <w:tcPr>
            <w:tcW w:w="861" w:type="dxa"/>
            <w:noWrap w:val="0"/>
            <w:vAlign w:val="center"/>
          </w:tcPr>
          <w:p w14:paraId="253BC71C">
            <w:pPr>
              <w:spacing w:before="68" w:line="264" w:lineRule="auto"/>
              <w:jc w:val="center"/>
              <w:rPr>
                <w:rFonts w:hint="eastAsia"/>
                <w:color w:val="auto"/>
                <w:sz w:val="21"/>
                <w:szCs w:val="21"/>
                <w:highlight w:val="none"/>
                <w:lang w:val="en-US" w:bidi="ar-SA"/>
              </w:rPr>
            </w:pPr>
            <w:r>
              <w:rPr>
                <w:color w:val="auto"/>
                <w:spacing w:val="-6"/>
                <w:sz w:val="21"/>
                <w:szCs w:val="21"/>
                <w:highlight w:val="none"/>
                <w:lang w:val="en-US" w:bidi="ar-SA"/>
              </w:rPr>
              <w:t>主</w:t>
            </w:r>
            <w:r>
              <w:rPr>
                <w:color w:val="auto"/>
                <w:spacing w:val="-4"/>
                <w:sz w:val="21"/>
                <w:szCs w:val="21"/>
                <w:highlight w:val="none"/>
                <w:lang w:val="en-US" w:bidi="ar-SA"/>
              </w:rPr>
              <w:t>观</w:t>
            </w:r>
            <w:r>
              <w:rPr>
                <w:rFonts w:hint="eastAsia"/>
                <w:color w:val="auto"/>
                <w:spacing w:val="-4"/>
                <w:sz w:val="21"/>
                <w:szCs w:val="21"/>
                <w:highlight w:val="none"/>
                <w:lang w:val="en-US" w:bidi="ar-SA"/>
              </w:rPr>
              <w:t>分</w:t>
            </w:r>
          </w:p>
        </w:tc>
      </w:tr>
      <w:tr w14:paraId="52C48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98" w:type="dxa"/>
            <w:noWrap w:val="0"/>
            <w:vAlign w:val="center"/>
          </w:tcPr>
          <w:p w14:paraId="04D6E459">
            <w:pPr>
              <w:spacing w:before="68"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2</w:t>
            </w:r>
            <w:r>
              <w:rPr>
                <w:color w:val="auto"/>
                <w:spacing w:val="-2"/>
                <w:sz w:val="21"/>
                <w:szCs w:val="21"/>
                <w:highlight w:val="none"/>
                <w:lang w:val="en-US" w:bidi="ar-SA"/>
              </w:rPr>
              <w:t>.4</w:t>
            </w:r>
          </w:p>
        </w:tc>
        <w:tc>
          <w:tcPr>
            <w:tcW w:w="1041" w:type="dxa"/>
            <w:noWrap w:val="0"/>
            <w:vAlign w:val="center"/>
          </w:tcPr>
          <w:p w14:paraId="32989B9C">
            <w:pPr>
              <w:spacing w:line="264" w:lineRule="auto"/>
              <w:contextualSpacing/>
              <w:jc w:val="center"/>
              <w:rPr>
                <w:rFonts w:hint="eastAsia"/>
                <w:color w:val="auto"/>
                <w:sz w:val="21"/>
                <w:szCs w:val="21"/>
                <w:highlight w:val="none"/>
                <w:lang w:val="en-US" w:bidi="ar-SA"/>
              </w:rPr>
            </w:pPr>
            <w:r>
              <w:rPr>
                <w:rFonts w:hint="eastAsia"/>
                <w:color w:val="auto"/>
                <w:sz w:val="21"/>
                <w:szCs w:val="21"/>
                <w:highlight w:val="none"/>
                <w:lang w:val="en-US" w:bidi="ar-SA"/>
              </w:rPr>
              <w:t>安全管理制度及环境保护措施</w:t>
            </w:r>
          </w:p>
        </w:tc>
        <w:tc>
          <w:tcPr>
            <w:tcW w:w="6684" w:type="dxa"/>
            <w:noWrap w:val="0"/>
            <w:vAlign w:val="center"/>
          </w:tcPr>
          <w:p w14:paraId="36C46BA8">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bidi="ar-SA"/>
              </w:rPr>
              <w:t>评委根据供应商提供的安全管理制度及环境保护措施进行综合评分，包括但不限于安全防范措施、文明作业措施、环境保护措施等。</w:t>
            </w:r>
          </w:p>
          <w:p w14:paraId="76224DA0">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（1）</w:t>
            </w:r>
            <w:r>
              <w:rPr>
                <w:rFonts w:hint="eastAsia"/>
                <w:color w:val="auto"/>
                <w:spacing w:val="1"/>
                <w:sz w:val="21"/>
                <w:szCs w:val="21"/>
                <w:highlight w:val="none"/>
                <w:lang w:val="en-US" w:bidi="ar-SA"/>
              </w:rPr>
              <w:t xml:space="preserve">方案全面，针对本项目完全贴合，考虑到本项目实际运行中存在安全问题，并提供详细的处理措施、完全满足本项目操作性的得 </w:t>
            </w:r>
            <w:r>
              <w:rPr>
                <w:rFonts w:hint="eastAsia"/>
                <w:color w:val="auto"/>
                <w:spacing w:val="1"/>
                <w:sz w:val="21"/>
                <w:szCs w:val="21"/>
                <w:highlight w:val="none"/>
                <w:lang w:val="en-US" w:eastAsia="zh-CN" w:bidi="ar-SA"/>
              </w:rPr>
              <w:t>8</w:t>
            </w:r>
            <w:r>
              <w:rPr>
                <w:rFonts w:hint="eastAsia"/>
                <w:color w:val="auto"/>
                <w:spacing w:val="1"/>
                <w:sz w:val="21"/>
                <w:szCs w:val="21"/>
                <w:highlight w:val="none"/>
                <w:lang w:val="en-US" w:bidi="ar-SA"/>
              </w:rPr>
              <w:t>分；</w:t>
            </w:r>
          </w:p>
          <w:p w14:paraId="3D61808E">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（2）</w:t>
            </w:r>
            <w:r>
              <w:rPr>
                <w:rFonts w:hint="eastAsia"/>
                <w:color w:val="auto"/>
                <w:spacing w:val="1"/>
                <w:sz w:val="21"/>
                <w:szCs w:val="21"/>
                <w:highlight w:val="none"/>
                <w:lang w:val="en-US" w:bidi="ar-SA"/>
              </w:rPr>
              <w:t>方案全面，</w:t>
            </w:r>
            <w:r>
              <w:rPr>
                <w:rFonts w:hint="eastAsia"/>
                <w:color w:val="auto"/>
                <w:spacing w:val="1"/>
                <w:sz w:val="21"/>
                <w:szCs w:val="21"/>
                <w:highlight w:val="none"/>
                <w:lang w:val="en-US" w:eastAsia="zh-CN" w:bidi="ar-SA"/>
              </w:rPr>
              <w:t>能够贴合本项目实际需求</w:t>
            </w:r>
            <w:r>
              <w:rPr>
                <w:rFonts w:hint="eastAsia"/>
                <w:color w:val="auto"/>
                <w:spacing w:val="1"/>
                <w:sz w:val="21"/>
                <w:szCs w:val="21"/>
                <w:highlight w:val="none"/>
                <w:lang w:val="en-US" w:bidi="ar-SA"/>
              </w:rPr>
              <w:t>，大致考虑到本项目实际运行中存在安全问题、并提供对应的处理措施具有一定的操作性的得</w:t>
            </w:r>
            <w:r>
              <w:rPr>
                <w:rFonts w:hint="eastAsia"/>
                <w:color w:val="auto"/>
                <w:spacing w:val="1"/>
                <w:sz w:val="21"/>
                <w:szCs w:val="21"/>
                <w:highlight w:val="none"/>
                <w:lang w:val="en-US" w:eastAsia="zh-CN" w:bidi="ar-SA"/>
              </w:rPr>
              <w:t>6</w:t>
            </w:r>
            <w:r>
              <w:rPr>
                <w:rFonts w:hint="eastAsia"/>
                <w:color w:val="auto"/>
                <w:spacing w:val="1"/>
                <w:sz w:val="21"/>
                <w:szCs w:val="21"/>
                <w:highlight w:val="none"/>
                <w:lang w:val="en-US" w:bidi="ar-SA"/>
              </w:rPr>
              <w:t>分；</w:t>
            </w:r>
          </w:p>
          <w:p w14:paraId="7655E09D">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（3）</w:t>
            </w:r>
            <w:r>
              <w:rPr>
                <w:rFonts w:hint="eastAsia"/>
                <w:color w:val="auto"/>
                <w:spacing w:val="1"/>
                <w:sz w:val="21"/>
                <w:szCs w:val="21"/>
                <w:highlight w:val="none"/>
                <w:lang w:val="en-US" w:bidi="ar-SA"/>
              </w:rPr>
              <w:t>方案简单，考虑到本项目实际运行的安全问题，部分达到采购人实际项目需求的得</w:t>
            </w:r>
            <w:r>
              <w:rPr>
                <w:rFonts w:hint="eastAsia"/>
                <w:color w:val="auto"/>
                <w:spacing w:val="1"/>
                <w:sz w:val="21"/>
                <w:szCs w:val="21"/>
                <w:highlight w:val="none"/>
                <w:lang w:val="en-US" w:eastAsia="zh-CN" w:bidi="ar-SA"/>
              </w:rPr>
              <w:t>4</w:t>
            </w:r>
            <w:r>
              <w:rPr>
                <w:rFonts w:hint="eastAsia"/>
                <w:color w:val="auto"/>
                <w:spacing w:val="1"/>
                <w:sz w:val="21"/>
                <w:szCs w:val="21"/>
                <w:highlight w:val="none"/>
                <w:lang w:val="en-US" w:bidi="ar-SA"/>
              </w:rPr>
              <w:t>分；</w:t>
            </w:r>
          </w:p>
          <w:p w14:paraId="35DD9615">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（4）</w:t>
            </w:r>
            <w:r>
              <w:rPr>
                <w:rFonts w:hint="eastAsia"/>
                <w:color w:val="auto"/>
                <w:spacing w:val="1"/>
                <w:sz w:val="21"/>
                <w:szCs w:val="21"/>
                <w:highlight w:val="none"/>
                <w:lang w:val="en-US" w:bidi="ar-SA"/>
              </w:rPr>
              <w:t>未提供不得分。</w:t>
            </w:r>
          </w:p>
        </w:tc>
        <w:tc>
          <w:tcPr>
            <w:tcW w:w="573" w:type="dxa"/>
            <w:noWrap w:val="0"/>
            <w:vAlign w:val="center"/>
          </w:tcPr>
          <w:p w14:paraId="0654F600">
            <w:pPr>
              <w:spacing w:before="68" w:line="264" w:lineRule="auto"/>
              <w:jc w:val="center"/>
              <w:rPr>
                <w:rFonts w:hint="default" w:eastAsia="宋体"/>
                <w:color w:val="auto"/>
                <w:sz w:val="21"/>
                <w:szCs w:val="21"/>
                <w:highlight w:val="none"/>
                <w:lang w:val="en-US" w:eastAsia="zh-CN" w:bidi="ar-SA"/>
              </w:rPr>
            </w:pPr>
            <w:r>
              <w:rPr>
                <w:rFonts w:hint="eastAsia"/>
                <w:color w:val="auto"/>
                <w:sz w:val="21"/>
                <w:szCs w:val="21"/>
                <w:highlight w:val="none"/>
                <w:lang w:val="en-US" w:eastAsia="zh-CN" w:bidi="ar-SA"/>
              </w:rPr>
              <w:t>8</w:t>
            </w:r>
          </w:p>
        </w:tc>
        <w:tc>
          <w:tcPr>
            <w:tcW w:w="861" w:type="dxa"/>
            <w:noWrap w:val="0"/>
            <w:vAlign w:val="center"/>
          </w:tcPr>
          <w:p w14:paraId="3FBCBD9A">
            <w:pPr>
              <w:spacing w:before="68" w:line="264" w:lineRule="auto"/>
              <w:jc w:val="center"/>
              <w:rPr>
                <w:rFonts w:hint="eastAsia"/>
                <w:color w:val="auto"/>
                <w:sz w:val="21"/>
                <w:szCs w:val="21"/>
                <w:highlight w:val="none"/>
                <w:lang w:val="en-US" w:bidi="ar-SA"/>
              </w:rPr>
            </w:pPr>
            <w:r>
              <w:rPr>
                <w:color w:val="auto"/>
                <w:spacing w:val="-6"/>
                <w:sz w:val="21"/>
                <w:szCs w:val="21"/>
                <w:highlight w:val="none"/>
                <w:lang w:val="en-US" w:bidi="ar-SA"/>
              </w:rPr>
              <w:t>主</w:t>
            </w:r>
            <w:r>
              <w:rPr>
                <w:color w:val="auto"/>
                <w:spacing w:val="-4"/>
                <w:sz w:val="21"/>
                <w:szCs w:val="21"/>
                <w:highlight w:val="none"/>
                <w:lang w:val="en-US" w:bidi="ar-SA"/>
              </w:rPr>
              <w:t>观</w:t>
            </w:r>
            <w:r>
              <w:rPr>
                <w:rFonts w:hint="eastAsia"/>
                <w:color w:val="auto"/>
                <w:spacing w:val="-4"/>
                <w:sz w:val="21"/>
                <w:szCs w:val="21"/>
                <w:highlight w:val="none"/>
                <w:lang w:val="en-US" w:bidi="ar-SA"/>
              </w:rPr>
              <w:t>分</w:t>
            </w:r>
          </w:p>
        </w:tc>
      </w:tr>
      <w:tr w14:paraId="3C36A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8" w:hRule="atLeast"/>
          <w:jc w:val="center"/>
        </w:trPr>
        <w:tc>
          <w:tcPr>
            <w:tcW w:w="598" w:type="dxa"/>
            <w:noWrap w:val="0"/>
            <w:vAlign w:val="center"/>
          </w:tcPr>
          <w:p w14:paraId="7BFC2770">
            <w:pPr>
              <w:spacing w:before="68"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2</w:t>
            </w:r>
            <w:r>
              <w:rPr>
                <w:color w:val="auto"/>
                <w:spacing w:val="-2"/>
                <w:sz w:val="21"/>
                <w:szCs w:val="21"/>
                <w:highlight w:val="none"/>
                <w:lang w:val="en-US" w:bidi="ar-SA"/>
              </w:rPr>
              <w:t>.5</w:t>
            </w:r>
          </w:p>
        </w:tc>
        <w:tc>
          <w:tcPr>
            <w:tcW w:w="1041" w:type="dxa"/>
            <w:noWrap w:val="0"/>
            <w:vAlign w:val="center"/>
          </w:tcPr>
          <w:p w14:paraId="4FD5B41E">
            <w:pPr>
              <w:spacing w:before="69" w:line="264" w:lineRule="auto"/>
              <w:jc w:val="center"/>
              <w:rPr>
                <w:rFonts w:hint="eastAsia"/>
                <w:color w:val="auto"/>
                <w:spacing w:val="-4"/>
                <w:sz w:val="21"/>
                <w:szCs w:val="21"/>
                <w:highlight w:val="none"/>
                <w:lang w:val="en-US" w:bidi="ar-SA"/>
              </w:rPr>
            </w:pPr>
            <w:r>
              <w:rPr>
                <w:rFonts w:hint="eastAsia"/>
                <w:color w:val="auto"/>
                <w:spacing w:val="-4"/>
                <w:sz w:val="21"/>
                <w:szCs w:val="21"/>
                <w:highlight w:val="none"/>
                <w:lang w:val="en-US" w:bidi="ar-SA"/>
              </w:rPr>
              <w:t>质量控制措施</w:t>
            </w:r>
          </w:p>
        </w:tc>
        <w:tc>
          <w:tcPr>
            <w:tcW w:w="6684" w:type="dxa"/>
            <w:noWrap w:val="0"/>
            <w:vAlign w:val="center"/>
          </w:tcPr>
          <w:p w14:paraId="73F1BFB1">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评委依据供应商提供的质量控制措施进行综合评分，包括但不限于清运箱体密闭、运输防抛洒滴漏、泄漏现场清理相关措施等。</w:t>
            </w:r>
          </w:p>
          <w:p w14:paraId="5DC794B7">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（1）流程清晰、内控完善，质量方案详实可行，明确箱体密闭、防抛洒、泄漏清理完整管控细则，得 8 分；</w:t>
            </w:r>
          </w:p>
          <w:p w14:paraId="0FD1BB02">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（2）流程完整、内控到位，方案合理，提及密闭运输及洒漏清理，管控细则有可操作性</w:t>
            </w:r>
            <w:r>
              <w:rPr>
                <w:rFonts w:hint="eastAsia"/>
                <w:color w:val="auto"/>
                <w:spacing w:val="1"/>
                <w:sz w:val="21"/>
                <w:szCs w:val="21"/>
                <w:highlight w:val="none"/>
                <w:lang w:val="en-US" w:eastAsia="zh-CN" w:bidi="ar-SA"/>
              </w:rPr>
              <w:t>，得 6 分；</w:t>
            </w:r>
          </w:p>
          <w:p w14:paraId="1B4A68B9">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（3）管控内容简单缺失，描述模糊，仅少量提及相关要求，无可操作性，得 4 分；</w:t>
            </w:r>
          </w:p>
          <w:p w14:paraId="6D1A4794">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（4）未提供不得分。</w:t>
            </w:r>
          </w:p>
        </w:tc>
        <w:tc>
          <w:tcPr>
            <w:tcW w:w="573" w:type="dxa"/>
            <w:noWrap w:val="0"/>
            <w:vAlign w:val="center"/>
          </w:tcPr>
          <w:p w14:paraId="430EA01D">
            <w:pPr>
              <w:spacing w:before="68" w:line="264" w:lineRule="auto"/>
              <w:jc w:val="center"/>
              <w:rPr>
                <w:rFonts w:hint="default" w:eastAsia="宋体"/>
                <w:color w:val="auto"/>
                <w:sz w:val="21"/>
                <w:szCs w:val="21"/>
                <w:highlight w:val="none"/>
                <w:lang w:val="en-US" w:eastAsia="zh-CN" w:bidi="ar-SA"/>
              </w:rPr>
            </w:pPr>
            <w:r>
              <w:rPr>
                <w:rFonts w:hint="eastAsia"/>
                <w:color w:val="auto"/>
                <w:sz w:val="21"/>
                <w:szCs w:val="21"/>
                <w:highlight w:val="none"/>
                <w:lang w:val="en-US" w:eastAsia="zh-CN" w:bidi="ar-SA"/>
              </w:rPr>
              <w:t>8</w:t>
            </w:r>
          </w:p>
        </w:tc>
        <w:tc>
          <w:tcPr>
            <w:tcW w:w="861" w:type="dxa"/>
            <w:noWrap w:val="0"/>
            <w:vAlign w:val="center"/>
          </w:tcPr>
          <w:p w14:paraId="3BE16654">
            <w:pPr>
              <w:spacing w:before="68" w:line="264" w:lineRule="auto"/>
              <w:jc w:val="center"/>
              <w:rPr>
                <w:rFonts w:hint="eastAsia"/>
                <w:color w:val="auto"/>
                <w:sz w:val="21"/>
                <w:szCs w:val="21"/>
                <w:highlight w:val="none"/>
                <w:lang w:val="en-US" w:bidi="ar-SA"/>
              </w:rPr>
            </w:pPr>
            <w:r>
              <w:rPr>
                <w:color w:val="auto"/>
                <w:spacing w:val="-6"/>
                <w:sz w:val="21"/>
                <w:szCs w:val="21"/>
                <w:highlight w:val="none"/>
                <w:lang w:val="en-US" w:bidi="ar-SA"/>
              </w:rPr>
              <w:t>主</w:t>
            </w:r>
            <w:r>
              <w:rPr>
                <w:color w:val="auto"/>
                <w:spacing w:val="-4"/>
                <w:sz w:val="21"/>
                <w:szCs w:val="21"/>
                <w:highlight w:val="none"/>
                <w:lang w:val="en-US" w:bidi="ar-SA"/>
              </w:rPr>
              <w:t>观</w:t>
            </w:r>
            <w:r>
              <w:rPr>
                <w:rFonts w:hint="eastAsia"/>
                <w:color w:val="auto"/>
                <w:spacing w:val="-4"/>
                <w:sz w:val="21"/>
                <w:szCs w:val="21"/>
                <w:highlight w:val="none"/>
                <w:lang w:val="en-US" w:bidi="ar-SA"/>
              </w:rPr>
              <w:t>分</w:t>
            </w:r>
          </w:p>
        </w:tc>
      </w:tr>
      <w:tr w14:paraId="289FC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58" w:hRule="atLeast"/>
          <w:jc w:val="center"/>
        </w:trPr>
        <w:tc>
          <w:tcPr>
            <w:tcW w:w="598" w:type="dxa"/>
            <w:noWrap w:val="0"/>
            <w:vAlign w:val="center"/>
          </w:tcPr>
          <w:p w14:paraId="7225EEEE">
            <w:pPr>
              <w:spacing w:before="68" w:line="264" w:lineRule="auto"/>
              <w:jc w:val="center"/>
              <w:rPr>
                <w:rFonts w:hint="eastAsia"/>
                <w:color w:val="auto"/>
                <w:spacing w:val="-2"/>
                <w:sz w:val="21"/>
                <w:szCs w:val="21"/>
                <w:highlight w:val="none"/>
                <w:lang w:val="en-US" w:bidi="ar-SA"/>
              </w:rPr>
            </w:pPr>
            <w:r>
              <w:rPr>
                <w:rFonts w:hint="eastAsia"/>
                <w:color w:val="auto"/>
                <w:spacing w:val="-2"/>
                <w:sz w:val="21"/>
                <w:szCs w:val="21"/>
                <w:highlight w:val="none"/>
                <w:lang w:val="en-US" w:bidi="ar-SA"/>
              </w:rPr>
              <w:t>2.6</w:t>
            </w:r>
          </w:p>
        </w:tc>
        <w:tc>
          <w:tcPr>
            <w:tcW w:w="1041" w:type="dxa"/>
            <w:noWrap w:val="0"/>
            <w:vAlign w:val="center"/>
          </w:tcPr>
          <w:p w14:paraId="590E04A9">
            <w:pPr>
              <w:spacing w:before="69" w:line="264" w:lineRule="auto"/>
              <w:jc w:val="center"/>
              <w:rPr>
                <w:rFonts w:hint="eastAsia"/>
                <w:color w:val="auto"/>
                <w:spacing w:val="-5"/>
                <w:sz w:val="21"/>
                <w:szCs w:val="21"/>
                <w:highlight w:val="none"/>
                <w:lang w:val="en-US" w:bidi="ar-SA"/>
              </w:rPr>
            </w:pPr>
            <w:r>
              <w:rPr>
                <w:rFonts w:hint="eastAsia"/>
                <w:color w:val="auto"/>
                <w:spacing w:val="-5"/>
                <w:sz w:val="21"/>
                <w:szCs w:val="21"/>
                <w:highlight w:val="none"/>
                <w:lang w:val="en-US" w:bidi="ar-SA"/>
              </w:rPr>
              <w:t>应急处理预案</w:t>
            </w:r>
          </w:p>
        </w:tc>
        <w:tc>
          <w:tcPr>
            <w:tcW w:w="6684" w:type="dxa"/>
            <w:noWrap w:val="0"/>
            <w:vAlign w:val="center"/>
          </w:tcPr>
          <w:p w14:paraId="18291B64">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评委根据供应商提供的应急处理预案进行综合评分，包括但不限于重大性、临时性、突发性事件(交通事故、法定节假日、大型活动、督查等)、自然灾害应急处理预案、信访应对保障措施(信访、投诉、举报、领导批办件等)、应急响应时间等。</w:t>
            </w:r>
          </w:p>
          <w:p w14:paraId="381B62B6">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（1）应急处理预案完备健全，有完善的应急体系，完全贴合本项目完全满足实际可操作性的得7分；</w:t>
            </w:r>
          </w:p>
          <w:p w14:paraId="34008A1B">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（2）应急处理预案完备健全，具有实际可操作性，能够贴合本项目实际需求的得5分；</w:t>
            </w:r>
          </w:p>
          <w:p w14:paraId="0E18B4AC">
            <w:pPr>
              <w:spacing w:line="264" w:lineRule="auto"/>
              <w:jc w:val="both"/>
              <w:rPr>
                <w:rFonts w:hint="eastAsia"/>
                <w:color w:val="auto"/>
                <w:spacing w:val="1"/>
                <w:sz w:val="21"/>
                <w:szCs w:val="21"/>
                <w:highlight w:val="none"/>
                <w:lang w:val="en-US" w:eastAsia="zh-CN" w:bidi="ar-SA"/>
              </w:rPr>
            </w:pPr>
            <w:r>
              <w:rPr>
                <w:rFonts w:hint="eastAsia"/>
                <w:color w:val="auto"/>
                <w:spacing w:val="1"/>
                <w:sz w:val="21"/>
                <w:szCs w:val="21"/>
                <w:highlight w:val="none"/>
                <w:lang w:val="en-US" w:eastAsia="zh-CN" w:bidi="ar-SA"/>
              </w:rPr>
              <w:t>（3）应急处理预案不完备、实际可操作性有缺失的得3分；</w:t>
            </w:r>
          </w:p>
          <w:p w14:paraId="559344EF">
            <w:pPr>
              <w:spacing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eastAsia="zh-CN" w:bidi="ar-SA"/>
              </w:rPr>
              <w:t>（4）未提供不得分。</w:t>
            </w:r>
          </w:p>
        </w:tc>
        <w:tc>
          <w:tcPr>
            <w:tcW w:w="573" w:type="dxa"/>
            <w:noWrap w:val="0"/>
            <w:vAlign w:val="center"/>
          </w:tcPr>
          <w:p w14:paraId="4E36A8DE">
            <w:pPr>
              <w:spacing w:before="68" w:line="264" w:lineRule="auto"/>
              <w:jc w:val="center"/>
              <w:rPr>
                <w:rFonts w:hint="eastAsia" w:eastAsia="宋体"/>
                <w:color w:val="auto"/>
                <w:sz w:val="21"/>
                <w:szCs w:val="21"/>
                <w:highlight w:val="none"/>
                <w:lang w:val="en-US" w:eastAsia="zh-CN" w:bidi="ar-SA"/>
              </w:rPr>
            </w:pPr>
            <w:r>
              <w:rPr>
                <w:rFonts w:hint="eastAsia"/>
                <w:color w:val="auto"/>
                <w:sz w:val="21"/>
                <w:szCs w:val="21"/>
                <w:highlight w:val="none"/>
                <w:lang w:val="en-US" w:eastAsia="zh-CN" w:bidi="ar-SA"/>
              </w:rPr>
              <w:t>7</w:t>
            </w:r>
          </w:p>
        </w:tc>
        <w:tc>
          <w:tcPr>
            <w:tcW w:w="861" w:type="dxa"/>
            <w:noWrap w:val="0"/>
            <w:vAlign w:val="center"/>
          </w:tcPr>
          <w:p w14:paraId="744FD24B">
            <w:pPr>
              <w:spacing w:before="68" w:line="264" w:lineRule="auto"/>
              <w:jc w:val="center"/>
              <w:rPr>
                <w:rFonts w:hint="eastAsia"/>
                <w:color w:val="auto"/>
                <w:spacing w:val="-6"/>
                <w:sz w:val="21"/>
                <w:szCs w:val="21"/>
                <w:highlight w:val="none"/>
                <w:lang w:val="en-US" w:bidi="ar-SA"/>
              </w:rPr>
            </w:pPr>
            <w:r>
              <w:rPr>
                <w:rFonts w:hint="eastAsia"/>
                <w:color w:val="auto"/>
                <w:spacing w:val="-6"/>
                <w:sz w:val="21"/>
                <w:szCs w:val="21"/>
                <w:highlight w:val="none"/>
                <w:lang w:val="en-US" w:bidi="ar-SA"/>
              </w:rPr>
              <w:t>主观分</w:t>
            </w:r>
          </w:p>
        </w:tc>
      </w:tr>
      <w:tr w14:paraId="6E69D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noWrap w:val="0"/>
            <w:vAlign w:val="center"/>
          </w:tcPr>
          <w:p w14:paraId="0E51DD12">
            <w:pPr>
              <w:spacing w:line="264" w:lineRule="auto"/>
              <w:jc w:val="both"/>
              <w:rPr>
                <w:rFonts w:hint="eastAsia"/>
                <w:color w:val="auto"/>
                <w:sz w:val="21"/>
                <w:szCs w:val="21"/>
                <w:highlight w:val="none"/>
                <w:lang w:val="en-US" w:bidi="ar-SA"/>
              </w:rPr>
            </w:pPr>
            <w:r>
              <w:rPr>
                <w:rFonts w:hint="eastAsia"/>
                <w:b/>
                <w:bCs/>
                <w:color w:val="auto"/>
                <w:spacing w:val="-3"/>
                <w:sz w:val="21"/>
                <w:szCs w:val="21"/>
                <w:highlight w:val="none"/>
                <w:lang w:val="en-US" w:bidi="ar-SA"/>
              </w:rPr>
              <w:t>3.业绩</w:t>
            </w:r>
          </w:p>
        </w:tc>
      </w:tr>
      <w:tr w14:paraId="5313C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98" w:type="dxa"/>
            <w:noWrap w:val="0"/>
            <w:vAlign w:val="center"/>
          </w:tcPr>
          <w:p w14:paraId="68738A42">
            <w:pPr>
              <w:spacing w:before="68" w:line="264" w:lineRule="auto"/>
              <w:jc w:val="center"/>
              <w:rPr>
                <w:rFonts w:hint="eastAsia"/>
                <w:color w:val="auto"/>
                <w:spacing w:val="-2"/>
                <w:sz w:val="21"/>
                <w:szCs w:val="21"/>
                <w:highlight w:val="none"/>
                <w:lang w:val="en-US" w:bidi="ar-SA"/>
              </w:rPr>
            </w:pPr>
            <w:r>
              <w:rPr>
                <w:color w:val="auto"/>
                <w:spacing w:val="-2"/>
                <w:sz w:val="21"/>
                <w:szCs w:val="21"/>
                <w:highlight w:val="none"/>
                <w:lang w:val="en-US" w:bidi="ar-SA"/>
              </w:rPr>
              <w:t>3.1</w:t>
            </w:r>
          </w:p>
        </w:tc>
        <w:tc>
          <w:tcPr>
            <w:tcW w:w="1041" w:type="dxa"/>
            <w:noWrap w:val="0"/>
            <w:vAlign w:val="center"/>
          </w:tcPr>
          <w:p w14:paraId="1ABA3EEF">
            <w:pPr>
              <w:spacing w:before="69" w:line="264" w:lineRule="auto"/>
              <w:jc w:val="both"/>
              <w:rPr>
                <w:rFonts w:hint="eastAsia"/>
                <w:color w:val="auto"/>
                <w:spacing w:val="-2"/>
                <w:sz w:val="21"/>
                <w:szCs w:val="21"/>
                <w:highlight w:val="none"/>
                <w:lang w:val="en-US" w:bidi="ar-SA"/>
              </w:rPr>
            </w:pPr>
            <w:r>
              <w:rPr>
                <w:rFonts w:hint="eastAsia"/>
                <w:color w:val="auto"/>
                <w:spacing w:val="-1"/>
                <w:sz w:val="21"/>
                <w:szCs w:val="21"/>
                <w:highlight w:val="none"/>
                <w:lang w:val="en-US" w:bidi="ar-SA"/>
              </w:rPr>
              <w:t>投标人业绩</w:t>
            </w:r>
          </w:p>
        </w:tc>
        <w:tc>
          <w:tcPr>
            <w:tcW w:w="6684" w:type="dxa"/>
            <w:noWrap w:val="0"/>
            <w:vAlign w:val="center"/>
          </w:tcPr>
          <w:p w14:paraId="0E8F313B">
            <w:pPr>
              <w:numPr>
                <w:ilvl w:val="0"/>
                <w:numId w:val="0"/>
              </w:numPr>
              <w:spacing w:line="264" w:lineRule="auto"/>
              <w:jc w:val="both"/>
              <w:rPr>
                <w:rFonts w:hint="eastAsia"/>
                <w:b/>
                <w:bCs/>
                <w:color w:val="auto"/>
                <w:sz w:val="21"/>
                <w:szCs w:val="21"/>
                <w:highlight w:val="none"/>
                <w:lang w:val="en-US" w:eastAsia="zh-CN" w:bidi="ar-SA"/>
              </w:rPr>
            </w:pPr>
            <w:r>
              <w:rPr>
                <w:rFonts w:hint="eastAsia"/>
                <w:color w:val="auto"/>
                <w:sz w:val="21"/>
                <w:szCs w:val="21"/>
                <w:highlight w:val="none"/>
                <w:lang w:val="en-US" w:bidi="ar-SA"/>
              </w:rPr>
              <w:t>投标人提供2021年</w:t>
            </w:r>
            <w:r>
              <w:rPr>
                <w:rFonts w:hint="eastAsia"/>
                <w:color w:val="auto"/>
                <w:sz w:val="21"/>
                <w:szCs w:val="21"/>
                <w:highlight w:val="none"/>
                <w:lang w:val="en-US" w:eastAsia="zh-CN" w:bidi="ar-SA"/>
              </w:rPr>
              <w:t>7</w:t>
            </w:r>
            <w:r>
              <w:rPr>
                <w:rFonts w:hint="eastAsia"/>
                <w:color w:val="auto"/>
                <w:sz w:val="21"/>
                <w:szCs w:val="21"/>
                <w:highlight w:val="none"/>
                <w:lang w:val="en-US" w:bidi="ar-SA"/>
              </w:rPr>
              <w:t>月1日（含）以来类似</w:t>
            </w:r>
            <w:r>
              <w:rPr>
                <w:rFonts w:hint="eastAsia"/>
                <w:color w:val="auto"/>
                <w:sz w:val="21"/>
                <w:szCs w:val="21"/>
                <w:highlight w:val="none"/>
                <w:lang w:val="en-US" w:eastAsia="zh-CN" w:bidi="ar-SA"/>
              </w:rPr>
              <w:t>垃圾运输</w:t>
            </w:r>
            <w:r>
              <w:rPr>
                <w:rFonts w:hint="eastAsia"/>
                <w:color w:val="auto"/>
                <w:sz w:val="21"/>
                <w:szCs w:val="21"/>
                <w:highlight w:val="none"/>
                <w:lang w:val="en-US" w:bidi="ar-SA"/>
              </w:rPr>
              <w:t>项目，每提供1个得</w:t>
            </w:r>
            <w:r>
              <w:rPr>
                <w:rFonts w:hint="eastAsia"/>
                <w:color w:val="auto"/>
                <w:sz w:val="21"/>
                <w:szCs w:val="21"/>
                <w:highlight w:val="none"/>
                <w:lang w:val="en-US" w:eastAsia="zh-CN" w:bidi="ar-SA"/>
              </w:rPr>
              <w:t>5</w:t>
            </w:r>
            <w:r>
              <w:rPr>
                <w:rFonts w:hint="eastAsia"/>
                <w:color w:val="auto"/>
                <w:sz w:val="21"/>
                <w:szCs w:val="21"/>
                <w:highlight w:val="none"/>
                <w:lang w:val="en-US" w:bidi="ar-SA"/>
              </w:rPr>
              <w:t>分，最多得</w:t>
            </w:r>
            <w:r>
              <w:rPr>
                <w:rFonts w:hint="eastAsia"/>
                <w:color w:val="auto"/>
                <w:sz w:val="21"/>
                <w:szCs w:val="21"/>
                <w:highlight w:val="none"/>
                <w:lang w:val="en-US" w:eastAsia="zh-CN" w:bidi="ar-SA"/>
              </w:rPr>
              <w:t>10</w:t>
            </w:r>
            <w:r>
              <w:rPr>
                <w:rFonts w:hint="eastAsia"/>
                <w:color w:val="auto"/>
                <w:sz w:val="21"/>
                <w:szCs w:val="21"/>
                <w:highlight w:val="none"/>
                <w:lang w:val="en-US" w:bidi="ar-SA"/>
              </w:rPr>
              <w:t>分</w:t>
            </w:r>
            <w:r>
              <w:rPr>
                <w:rFonts w:hint="eastAsia"/>
                <w:color w:val="auto"/>
                <w:sz w:val="21"/>
                <w:szCs w:val="21"/>
                <w:highlight w:val="none"/>
                <w:lang w:val="en-US" w:eastAsia="zh-CN" w:bidi="ar-SA"/>
              </w:rPr>
              <w:t>。</w:t>
            </w:r>
            <w:r>
              <w:rPr>
                <w:rFonts w:hint="eastAsia"/>
                <w:b w:val="0"/>
                <w:bCs w:val="0"/>
                <w:color w:val="auto"/>
                <w:sz w:val="21"/>
                <w:szCs w:val="21"/>
                <w:highlight w:val="none"/>
                <w:lang w:val="en-US" w:eastAsia="zh-CN" w:bidi="ar-SA"/>
              </w:rPr>
              <w:t>（</w:t>
            </w:r>
            <w:r>
              <w:rPr>
                <w:rFonts w:hint="eastAsia" w:eastAsia="宋体"/>
                <w:b w:val="0"/>
                <w:bCs w:val="0"/>
                <w:color w:val="auto"/>
                <w:sz w:val="21"/>
                <w:szCs w:val="21"/>
                <w:highlight w:val="none"/>
                <w:lang w:val="en-US" w:eastAsia="zh-CN" w:bidi="ar-SA"/>
              </w:rPr>
              <w:t>投标人提供业绩时需提供对应有效合同</w:t>
            </w:r>
            <w:r>
              <w:rPr>
                <w:rFonts w:hint="eastAsia"/>
                <w:b w:val="0"/>
                <w:bCs w:val="0"/>
                <w:color w:val="auto"/>
                <w:sz w:val="21"/>
                <w:szCs w:val="21"/>
                <w:highlight w:val="none"/>
                <w:lang w:val="en-US" w:eastAsia="zh-CN" w:bidi="ar-SA"/>
              </w:rPr>
              <w:t>和任意一期的发票以及税务网站发票查询截图（三者缺一不可）</w:t>
            </w:r>
            <w:r>
              <w:rPr>
                <w:rFonts w:hint="eastAsia" w:eastAsia="宋体"/>
                <w:b w:val="0"/>
                <w:bCs w:val="0"/>
                <w:color w:val="auto"/>
                <w:sz w:val="21"/>
                <w:szCs w:val="21"/>
                <w:highlight w:val="none"/>
                <w:lang w:val="en-US" w:eastAsia="zh-CN" w:bidi="ar-SA"/>
              </w:rPr>
              <w:t>，</w:t>
            </w:r>
            <w:r>
              <w:rPr>
                <w:rFonts w:hint="eastAsia"/>
                <w:b w:val="0"/>
                <w:bCs w:val="0"/>
                <w:color w:val="auto"/>
                <w:sz w:val="21"/>
                <w:szCs w:val="21"/>
                <w:highlight w:val="none"/>
                <w:lang w:val="en-US" w:eastAsia="zh-CN" w:bidi="ar-SA"/>
              </w:rPr>
              <w:t>合同页</w:t>
            </w:r>
            <w:r>
              <w:rPr>
                <w:rFonts w:hint="eastAsia" w:eastAsia="宋体"/>
                <w:b w:val="0"/>
                <w:bCs w:val="0"/>
                <w:color w:val="auto"/>
                <w:sz w:val="21"/>
                <w:szCs w:val="21"/>
                <w:highlight w:val="none"/>
                <w:lang w:val="en-US" w:eastAsia="zh-CN" w:bidi="ar-SA"/>
              </w:rPr>
              <w:t>须清晰可见相应内容，若不能反映相关信息，则还须提供业主单位出具的加盖业主单位公章的相关证明材料；时间以合同签订时间为准，合同无明确时间视为未提供材料</w:t>
            </w:r>
            <w:r>
              <w:rPr>
                <w:rFonts w:hint="eastAsia"/>
                <w:b w:val="0"/>
                <w:bCs w:val="0"/>
                <w:color w:val="auto"/>
                <w:sz w:val="21"/>
                <w:szCs w:val="21"/>
                <w:highlight w:val="none"/>
                <w:lang w:val="en-US" w:eastAsia="zh-CN" w:bidi="ar-SA"/>
              </w:rPr>
              <w:t>。）</w:t>
            </w:r>
          </w:p>
          <w:p w14:paraId="618E3F04">
            <w:pPr>
              <w:spacing w:line="240" w:lineRule="auto"/>
              <w:jc w:val="both"/>
              <w:rPr>
                <w:rFonts w:hint="eastAsia"/>
                <w:color w:val="auto"/>
                <w:sz w:val="21"/>
                <w:szCs w:val="21"/>
                <w:highlight w:val="none"/>
                <w:lang w:val="en-US" w:bidi="ar-SA"/>
              </w:rPr>
            </w:pPr>
            <w:r>
              <w:rPr>
                <w:rFonts w:hint="eastAsia"/>
                <w:b/>
                <w:bCs/>
                <w:color w:val="auto"/>
                <w:sz w:val="21"/>
                <w:szCs w:val="21"/>
                <w:highlight w:val="none"/>
                <w:lang w:val="en-US" w:eastAsia="zh-CN" w:bidi="ar-SA"/>
              </w:rPr>
              <w:t>注：以上材料均需提供扫描件加盖公章，未提供不得分。</w:t>
            </w:r>
          </w:p>
        </w:tc>
        <w:tc>
          <w:tcPr>
            <w:tcW w:w="573" w:type="dxa"/>
            <w:noWrap w:val="0"/>
            <w:vAlign w:val="center"/>
          </w:tcPr>
          <w:p w14:paraId="72D6A728">
            <w:pPr>
              <w:spacing w:line="264" w:lineRule="auto"/>
              <w:jc w:val="center"/>
              <w:rPr>
                <w:rFonts w:hint="default" w:eastAsia="宋体"/>
                <w:color w:val="auto"/>
                <w:sz w:val="21"/>
                <w:szCs w:val="21"/>
                <w:highlight w:val="none"/>
                <w:lang w:val="en-US" w:eastAsia="zh-CN" w:bidi="ar-SA"/>
              </w:rPr>
            </w:pPr>
            <w:r>
              <w:rPr>
                <w:rFonts w:hint="eastAsia"/>
                <w:color w:val="auto"/>
                <w:sz w:val="21"/>
                <w:szCs w:val="21"/>
                <w:highlight w:val="none"/>
                <w:lang w:val="en-US" w:eastAsia="zh-CN" w:bidi="ar-SA"/>
              </w:rPr>
              <w:t>10</w:t>
            </w:r>
          </w:p>
        </w:tc>
        <w:tc>
          <w:tcPr>
            <w:tcW w:w="861" w:type="dxa"/>
            <w:noWrap w:val="0"/>
            <w:vAlign w:val="center"/>
          </w:tcPr>
          <w:p w14:paraId="38A44CA0">
            <w:pPr>
              <w:spacing w:before="68" w:line="264" w:lineRule="auto"/>
              <w:jc w:val="center"/>
              <w:rPr>
                <w:rFonts w:hint="eastAsia"/>
                <w:color w:val="auto"/>
                <w:sz w:val="21"/>
                <w:szCs w:val="21"/>
                <w:highlight w:val="none"/>
                <w:lang w:val="en-US" w:bidi="ar-SA"/>
              </w:rPr>
            </w:pPr>
            <w:r>
              <w:rPr>
                <w:rFonts w:hint="eastAsia"/>
                <w:color w:val="auto"/>
                <w:spacing w:val="-6"/>
                <w:sz w:val="21"/>
                <w:szCs w:val="21"/>
                <w:highlight w:val="none"/>
                <w:lang w:val="en-US" w:bidi="ar-SA"/>
              </w:rPr>
              <w:t>客</w:t>
            </w:r>
            <w:r>
              <w:rPr>
                <w:rFonts w:hint="eastAsia"/>
                <w:color w:val="auto"/>
                <w:spacing w:val="-4"/>
                <w:sz w:val="21"/>
                <w:szCs w:val="21"/>
                <w:highlight w:val="none"/>
                <w:lang w:val="en-US" w:bidi="ar-SA"/>
              </w:rPr>
              <w:t>观分</w:t>
            </w:r>
          </w:p>
        </w:tc>
      </w:tr>
      <w:tr w14:paraId="45A7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jc w:val="center"/>
        </w:trPr>
        <w:tc>
          <w:tcPr>
            <w:tcW w:w="9757" w:type="dxa"/>
            <w:gridSpan w:val="5"/>
            <w:noWrap w:val="0"/>
            <w:vAlign w:val="top"/>
          </w:tcPr>
          <w:p w14:paraId="3265F9D8">
            <w:pPr>
              <w:spacing w:before="123" w:line="264" w:lineRule="auto"/>
              <w:jc w:val="both"/>
              <w:rPr>
                <w:rFonts w:hint="eastAsia"/>
                <w:color w:val="auto"/>
                <w:sz w:val="21"/>
                <w:szCs w:val="21"/>
                <w:highlight w:val="none"/>
                <w:lang w:val="en-US" w:bidi="ar-SA"/>
              </w:rPr>
            </w:pPr>
            <w:r>
              <w:rPr>
                <w:rFonts w:hint="eastAsia"/>
                <w:b/>
                <w:bCs/>
                <w:color w:val="auto"/>
                <w:spacing w:val="-3"/>
                <w:sz w:val="21"/>
                <w:szCs w:val="21"/>
                <w:highlight w:val="none"/>
                <w:lang w:val="en-US" w:bidi="ar-SA"/>
              </w:rPr>
              <w:t>4.履约能力</w:t>
            </w:r>
          </w:p>
        </w:tc>
      </w:tr>
      <w:tr w14:paraId="708FA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4" w:hRule="atLeast"/>
          <w:jc w:val="center"/>
        </w:trPr>
        <w:tc>
          <w:tcPr>
            <w:tcW w:w="598" w:type="dxa"/>
            <w:noWrap w:val="0"/>
            <w:vAlign w:val="center"/>
          </w:tcPr>
          <w:p w14:paraId="5F9FBF48">
            <w:pPr>
              <w:spacing w:before="68" w:line="264" w:lineRule="auto"/>
              <w:jc w:val="center"/>
              <w:rPr>
                <w:rFonts w:hint="eastAsia"/>
                <w:color w:val="auto"/>
                <w:spacing w:val="-2"/>
                <w:sz w:val="21"/>
                <w:szCs w:val="21"/>
                <w:highlight w:val="none"/>
                <w:lang w:val="en-US" w:bidi="ar-SA"/>
              </w:rPr>
            </w:pPr>
            <w:r>
              <w:rPr>
                <w:color w:val="auto"/>
                <w:spacing w:val="-2"/>
                <w:sz w:val="21"/>
                <w:szCs w:val="21"/>
                <w:highlight w:val="none"/>
                <w:lang w:val="en-US" w:bidi="ar-SA"/>
              </w:rPr>
              <w:t>4.1</w:t>
            </w:r>
          </w:p>
        </w:tc>
        <w:tc>
          <w:tcPr>
            <w:tcW w:w="1041" w:type="dxa"/>
            <w:noWrap w:val="0"/>
            <w:vAlign w:val="center"/>
          </w:tcPr>
          <w:p w14:paraId="3E493C8F">
            <w:pPr>
              <w:spacing w:before="69" w:line="264" w:lineRule="auto"/>
              <w:jc w:val="both"/>
              <w:rPr>
                <w:rFonts w:hint="eastAsia"/>
                <w:color w:val="auto"/>
                <w:spacing w:val="-1"/>
                <w:sz w:val="21"/>
                <w:szCs w:val="21"/>
                <w:highlight w:val="none"/>
                <w:lang w:val="en-US" w:bidi="ar-SA"/>
              </w:rPr>
            </w:pPr>
            <w:r>
              <w:rPr>
                <w:rFonts w:hint="eastAsia"/>
                <w:color w:val="auto"/>
                <w:spacing w:val="-1"/>
                <w:sz w:val="21"/>
                <w:szCs w:val="21"/>
                <w:highlight w:val="none"/>
                <w:lang w:val="en-US" w:bidi="ar-SA"/>
              </w:rPr>
              <w:t>履约能力</w:t>
            </w:r>
          </w:p>
        </w:tc>
        <w:tc>
          <w:tcPr>
            <w:tcW w:w="6684" w:type="dxa"/>
            <w:noWrap w:val="0"/>
            <w:vAlign w:val="center"/>
          </w:tcPr>
          <w:p w14:paraId="36EBDA09">
            <w:pPr>
              <w:pStyle w:val="201"/>
              <w:rPr>
                <w:rFonts w:hint="eastAsia"/>
                <w:color w:val="auto"/>
                <w:spacing w:val="-5"/>
                <w:sz w:val="21"/>
                <w:szCs w:val="21"/>
                <w:highlight w:val="none"/>
                <w:lang w:val="en-US"/>
              </w:rPr>
            </w:pPr>
            <w:r>
              <w:rPr>
                <w:rFonts w:hint="eastAsia"/>
                <w:color w:val="auto"/>
                <w:spacing w:val="-5"/>
                <w:sz w:val="21"/>
                <w:szCs w:val="21"/>
                <w:highlight w:val="none"/>
                <w:lang w:val="en-US" w:eastAsia="zh-CN"/>
              </w:rPr>
              <w:t>（</w:t>
            </w:r>
            <w:r>
              <w:rPr>
                <w:rFonts w:hint="eastAsia"/>
                <w:color w:val="auto"/>
                <w:spacing w:val="-5"/>
                <w:sz w:val="21"/>
                <w:szCs w:val="21"/>
                <w:highlight w:val="none"/>
                <w:lang w:val="en-US"/>
              </w:rPr>
              <w:t>1）供应商拟派</w:t>
            </w:r>
            <w:r>
              <w:rPr>
                <w:rFonts w:hint="eastAsia"/>
                <w:color w:val="auto"/>
                <w:spacing w:val="-5"/>
                <w:sz w:val="21"/>
                <w:szCs w:val="21"/>
                <w:highlight w:val="none"/>
                <w:lang w:val="en-US" w:eastAsia="zh-CN"/>
              </w:rPr>
              <w:t>有工作经验</w:t>
            </w:r>
            <w:r>
              <w:rPr>
                <w:rFonts w:hint="eastAsia"/>
                <w:color w:val="auto"/>
                <w:spacing w:val="-5"/>
                <w:sz w:val="21"/>
                <w:szCs w:val="21"/>
                <w:highlight w:val="none"/>
                <w:lang w:val="en-US"/>
              </w:rPr>
              <w:t>的项目负责人，年龄在</w:t>
            </w:r>
            <w:r>
              <w:rPr>
                <w:rFonts w:hint="eastAsia"/>
                <w:color w:val="auto"/>
                <w:spacing w:val="-5"/>
                <w:sz w:val="21"/>
                <w:szCs w:val="21"/>
                <w:highlight w:val="none"/>
                <w:lang w:val="en-US" w:eastAsia="zh-CN"/>
              </w:rPr>
              <w:t>50</w:t>
            </w:r>
            <w:r>
              <w:rPr>
                <w:rFonts w:hint="eastAsia"/>
                <w:color w:val="auto"/>
                <w:spacing w:val="-5"/>
                <w:sz w:val="21"/>
                <w:szCs w:val="21"/>
                <w:highlight w:val="none"/>
                <w:lang w:val="en-US"/>
              </w:rPr>
              <w:t>周岁（含）以下</w:t>
            </w:r>
            <w:r>
              <w:rPr>
                <w:rFonts w:hint="eastAsia"/>
                <w:color w:val="auto"/>
                <w:spacing w:val="-5"/>
                <w:sz w:val="21"/>
                <w:szCs w:val="21"/>
                <w:highlight w:val="none"/>
                <w:lang w:val="en-US" w:eastAsia="zh-CN"/>
              </w:rPr>
              <w:t>工作经验累计满五年（含）以上</w:t>
            </w:r>
            <w:r>
              <w:rPr>
                <w:rFonts w:hint="eastAsia"/>
                <w:color w:val="auto"/>
                <w:spacing w:val="-5"/>
                <w:sz w:val="21"/>
                <w:szCs w:val="21"/>
                <w:highlight w:val="none"/>
                <w:lang w:val="en-US"/>
              </w:rPr>
              <w:t>的得</w:t>
            </w:r>
            <w:r>
              <w:rPr>
                <w:rFonts w:hint="eastAsia"/>
                <w:color w:val="auto"/>
                <w:spacing w:val="-5"/>
                <w:sz w:val="21"/>
                <w:szCs w:val="21"/>
                <w:highlight w:val="none"/>
                <w:lang w:val="en-US" w:eastAsia="zh-CN"/>
              </w:rPr>
              <w:t>1</w:t>
            </w:r>
            <w:r>
              <w:rPr>
                <w:rFonts w:hint="eastAsia"/>
                <w:color w:val="auto"/>
                <w:spacing w:val="-5"/>
                <w:sz w:val="21"/>
                <w:szCs w:val="21"/>
                <w:highlight w:val="none"/>
                <w:lang w:val="en-US"/>
              </w:rPr>
              <w:t>分；</w:t>
            </w:r>
            <w:r>
              <w:rPr>
                <w:rFonts w:hint="eastAsia" w:ascii="宋体" w:hAnsi="宋体" w:eastAsia="宋体" w:cs="宋体"/>
                <w:color w:val="auto"/>
                <w:sz w:val="21"/>
                <w:szCs w:val="21"/>
                <w:highlight w:val="none"/>
                <w:lang w:val="en-US"/>
              </w:rPr>
              <w:t>提供有效</w:t>
            </w:r>
            <w:r>
              <w:rPr>
                <w:rFonts w:hint="eastAsia"/>
                <w:color w:val="auto"/>
                <w:spacing w:val="-5"/>
                <w:sz w:val="21"/>
                <w:szCs w:val="21"/>
                <w:highlight w:val="none"/>
                <w:lang w:val="en-US" w:eastAsia="zh-CN"/>
              </w:rPr>
              <w:t>身份证</w:t>
            </w:r>
            <w:r>
              <w:rPr>
                <w:rFonts w:hint="eastAsia" w:ascii="宋体" w:hAnsi="宋体" w:eastAsia="宋体" w:cs="宋体"/>
                <w:color w:val="auto"/>
                <w:sz w:val="21"/>
                <w:szCs w:val="21"/>
                <w:highlight w:val="none"/>
              </w:rPr>
              <w:t>复印件</w:t>
            </w:r>
            <w:r>
              <w:rPr>
                <w:rFonts w:hint="eastAsia" w:cs="宋体"/>
                <w:color w:val="auto"/>
                <w:sz w:val="21"/>
                <w:szCs w:val="21"/>
                <w:highlight w:val="none"/>
                <w:lang w:eastAsia="zh-CN"/>
              </w:rPr>
              <w:t>、</w:t>
            </w:r>
            <w:r>
              <w:rPr>
                <w:rFonts w:hint="eastAsia" w:cs="宋体"/>
                <w:color w:val="auto"/>
                <w:sz w:val="21"/>
                <w:szCs w:val="21"/>
                <w:highlight w:val="none"/>
                <w:lang w:val="en-US" w:eastAsia="zh-CN"/>
              </w:rPr>
              <w:t>劳动合同</w:t>
            </w:r>
            <w:r>
              <w:rPr>
                <w:rFonts w:hint="eastAsia" w:ascii="宋体" w:hAnsi="宋体" w:eastAsia="宋体" w:cs="宋体"/>
                <w:color w:val="auto"/>
                <w:sz w:val="21"/>
                <w:szCs w:val="21"/>
                <w:highlight w:val="none"/>
              </w:rPr>
              <w:t>加盖公章，</w:t>
            </w:r>
            <w:r>
              <w:rPr>
                <w:rFonts w:hint="eastAsia" w:ascii="宋体" w:hAnsi="宋体" w:eastAsia="宋体" w:cs="宋体"/>
                <w:color w:val="auto"/>
                <w:sz w:val="21"/>
                <w:szCs w:val="21"/>
                <w:highlight w:val="none"/>
                <w:lang w:val="en-US"/>
              </w:rPr>
              <w:t>未提供不得分</w:t>
            </w:r>
            <w:r>
              <w:rPr>
                <w:rFonts w:hint="eastAsia" w:ascii="宋体" w:hAnsi="宋体" w:eastAsia="宋体"/>
                <w:color w:val="auto"/>
                <w:sz w:val="21"/>
                <w:szCs w:val="21"/>
                <w:highlight w:val="none"/>
                <w:lang w:val="en-US" w:eastAsia="zh-CN"/>
              </w:rPr>
              <w:t>。</w:t>
            </w:r>
          </w:p>
          <w:p w14:paraId="5BCA3D25">
            <w:pPr>
              <w:pStyle w:val="238"/>
              <w:numPr>
                <w:ilvl w:val="0"/>
                <w:numId w:val="0"/>
              </w:numPr>
              <w:ind w:left="0" w:leftChars="0"/>
              <w:rPr>
                <w:rFonts w:hint="eastAsia" w:eastAsia="宋体"/>
                <w:color w:val="auto"/>
                <w:spacing w:val="-5"/>
                <w:sz w:val="21"/>
                <w:szCs w:val="21"/>
                <w:highlight w:val="none"/>
                <w:lang w:val="en-US" w:eastAsia="zh-CN"/>
              </w:rPr>
            </w:pPr>
            <w:r>
              <w:rPr>
                <w:rFonts w:hint="eastAsia" w:ascii="宋体" w:hAnsi="宋体" w:eastAsia="宋体" w:cs="宋体"/>
                <w:color w:val="auto"/>
                <w:sz w:val="21"/>
                <w:szCs w:val="21"/>
                <w:highlight w:val="none"/>
                <w:lang w:val="zh-CN" w:eastAsia="zh-CN" w:bidi="zh-CN"/>
              </w:rPr>
              <w:t>（2）</w:t>
            </w:r>
            <w:r>
              <w:rPr>
                <w:rFonts w:hint="eastAsia" w:ascii="宋体" w:hAnsi="宋体" w:eastAsia="宋体"/>
                <w:color w:val="auto"/>
                <w:sz w:val="21"/>
                <w:szCs w:val="21"/>
                <w:highlight w:val="none"/>
              </w:rPr>
              <w:t>供应商</w:t>
            </w:r>
            <w:r>
              <w:rPr>
                <w:rFonts w:hint="eastAsia" w:ascii="宋体" w:hAnsi="宋体" w:eastAsia="宋体" w:cs="宋体"/>
                <w:color w:val="auto"/>
                <w:sz w:val="21"/>
                <w:szCs w:val="21"/>
                <w:highlight w:val="none"/>
              </w:rPr>
              <w:t>配置</w:t>
            </w:r>
            <w:r>
              <w:rPr>
                <w:rFonts w:hint="eastAsia" w:ascii="宋体" w:hAnsi="宋体" w:eastAsia="宋体" w:cs="宋体"/>
                <w:color w:val="auto"/>
                <w:sz w:val="21"/>
                <w:szCs w:val="21"/>
                <w:highlight w:val="none"/>
                <w:lang w:val="en-US" w:eastAsia="zh-CN"/>
              </w:rPr>
              <w:t>驾驶员8名，</w:t>
            </w:r>
            <w:r>
              <w:rPr>
                <w:rFonts w:hint="eastAsia" w:ascii="宋体" w:hAnsi="宋体" w:eastAsia="宋体" w:cs="宋体"/>
                <w:color w:val="auto"/>
                <w:sz w:val="21"/>
                <w:szCs w:val="21"/>
                <w:highlight w:val="none"/>
                <w:lang w:val="en-US" w:eastAsia="zh-CN" w:bidi="zh-CN"/>
              </w:rPr>
              <w:t>得1分，在此基础上每多提供一名加1分，本项最多</w:t>
            </w:r>
            <w:r>
              <w:rPr>
                <w:rFonts w:hint="eastAsia"/>
                <w:color w:val="auto"/>
                <w:spacing w:val="-5"/>
                <w:sz w:val="21"/>
                <w:szCs w:val="21"/>
                <w:highlight w:val="none"/>
                <w:lang w:val="en-US"/>
              </w:rPr>
              <w:t>得</w:t>
            </w:r>
            <w:r>
              <w:rPr>
                <w:rFonts w:hint="eastAsia"/>
                <w:color w:val="auto"/>
                <w:spacing w:val="-5"/>
                <w:sz w:val="21"/>
                <w:szCs w:val="21"/>
                <w:highlight w:val="none"/>
                <w:lang w:val="en-US" w:eastAsia="zh-CN"/>
              </w:rPr>
              <w:t>3</w:t>
            </w:r>
            <w:r>
              <w:rPr>
                <w:rFonts w:hint="eastAsia"/>
                <w:color w:val="auto"/>
                <w:spacing w:val="-5"/>
                <w:sz w:val="21"/>
                <w:szCs w:val="21"/>
                <w:highlight w:val="none"/>
                <w:lang w:val="en-US"/>
              </w:rPr>
              <w:t>分；</w:t>
            </w:r>
            <w:r>
              <w:rPr>
                <w:rFonts w:hint="eastAsia" w:ascii="宋体" w:hAnsi="宋体" w:eastAsia="宋体" w:cs="宋体"/>
                <w:color w:val="auto"/>
                <w:sz w:val="21"/>
                <w:szCs w:val="21"/>
                <w:highlight w:val="none"/>
                <w:lang w:val="en-US"/>
              </w:rPr>
              <w:t>提供有效期内</w:t>
            </w:r>
            <w:r>
              <w:rPr>
                <w:rFonts w:hint="eastAsia" w:ascii="宋体" w:hAnsi="宋体" w:eastAsia="宋体" w:cs="宋体"/>
                <w:color w:val="auto"/>
                <w:sz w:val="21"/>
                <w:szCs w:val="21"/>
                <w:highlight w:val="none"/>
                <w:lang w:val="en-US" w:eastAsia="zh-CN"/>
              </w:rPr>
              <w:t>驾驶证</w:t>
            </w:r>
            <w:r>
              <w:rPr>
                <w:rFonts w:hint="eastAsia" w:ascii="宋体" w:hAnsi="宋体" w:eastAsia="宋体" w:cs="宋体"/>
                <w:color w:val="auto"/>
                <w:sz w:val="21"/>
                <w:szCs w:val="21"/>
                <w:highlight w:val="none"/>
              </w:rPr>
              <w:t>复印件加盖公章，</w:t>
            </w:r>
            <w:r>
              <w:rPr>
                <w:rFonts w:hint="eastAsia" w:ascii="宋体" w:hAnsi="宋体" w:eastAsia="宋体" w:cs="宋体"/>
                <w:color w:val="auto"/>
                <w:sz w:val="21"/>
                <w:szCs w:val="21"/>
                <w:highlight w:val="none"/>
                <w:lang w:val="en-US"/>
              </w:rPr>
              <w:t>提供不齐全或未提供不得分</w:t>
            </w:r>
            <w:r>
              <w:rPr>
                <w:rFonts w:hint="eastAsia" w:ascii="宋体" w:hAnsi="宋体" w:eastAsia="宋体" w:cs="宋体"/>
                <w:color w:val="auto"/>
                <w:sz w:val="21"/>
                <w:szCs w:val="21"/>
                <w:highlight w:val="none"/>
                <w:lang w:val="en-US" w:eastAsia="zh-CN"/>
              </w:rPr>
              <w:t>。</w:t>
            </w:r>
          </w:p>
          <w:p w14:paraId="5EFFFF7F">
            <w:pPr>
              <w:spacing w:line="264" w:lineRule="auto"/>
              <w:jc w:val="both"/>
              <w:rPr>
                <w:rFonts w:hint="eastAsia" w:eastAsia="宋体"/>
                <w:color w:val="auto"/>
                <w:sz w:val="21"/>
                <w:szCs w:val="21"/>
                <w:highlight w:val="none"/>
                <w:lang w:val="en-US" w:eastAsia="zh-CN" w:bidi="ar-SA"/>
              </w:rPr>
            </w:pPr>
            <w:r>
              <w:rPr>
                <w:rFonts w:hint="eastAsia"/>
                <w:color w:val="auto"/>
                <w:spacing w:val="-5"/>
                <w:sz w:val="21"/>
                <w:szCs w:val="21"/>
                <w:highlight w:val="none"/>
                <w:lang w:val="en-US"/>
              </w:rPr>
              <w:t>注：</w:t>
            </w:r>
            <w:r>
              <w:rPr>
                <w:rFonts w:hint="eastAsia" w:ascii="宋体" w:hAnsi="宋体" w:eastAsia="宋体" w:cs="宋体"/>
                <w:color w:val="auto"/>
                <w:sz w:val="21"/>
                <w:szCs w:val="21"/>
                <w:highlight w:val="none"/>
              </w:rPr>
              <w:t>人员为同一人</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不重复</w:t>
            </w:r>
            <w:r>
              <w:rPr>
                <w:rFonts w:hint="eastAsia" w:ascii="宋体" w:hAnsi="宋体" w:eastAsia="宋体" w:cs="宋体"/>
                <w:color w:val="auto"/>
                <w:sz w:val="21"/>
                <w:szCs w:val="21"/>
                <w:highlight w:val="none"/>
                <w:lang w:eastAsia="zh-CN"/>
              </w:rPr>
              <w:t>计分（含项目负责人、</w:t>
            </w:r>
            <w:r>
              <w:rPr>
                <w:rFonts w:hint="eastAsia" w:ascii="宋体" w:hAnsi="宋体" w:eastAsia="宋体" w:cs="宋体"/>
                <w:color w:val="auto"/>
                <w:sz w:val="21"/>
                <w:szCs w:val="21"/>
                <w:highlight w:val="none"/>
                <w:lang w:val="en-US" w:eastAsia="zh-CN"/>
              </w:rPr>
              <w:t>驾驶员</w:t>
            </w:r>
            <w:r>
              <w:rPr>
                <w:rFonts w:hint="eastAsia" w:ascii="宋体" w:hAnsi="宋体" w:eastAsia="宋体" w:cs="宋体"/>
                <w:color w:val="auto"/>
                <w:sz w:val="21"/>
                <w:szCs w:val="21"/>
                <w:highlight w:val="none"/>
                <w:lang w:eastAsia="zh-CN"/>
              </w:rPr>
              <w:t>），</w:t>
            </w:r>
            <w:r>
              <w:rPr>
                <w:rFonts w:hint="eastAsia"/>
                <w:color w:val="auto"/>
                <w:spacing w:val="-5"/>
                <w:sz w:val="21"/>
                <w:szCs w:val="21"/>
                <w:highlight w:val="none"/>
                <w:lang w:val="en-US"/>
              </w:rPr>
              <w:t>供应商需提供以上人员</w:t>
            </w:r>
            <w:r>
              <w:rPr>
                <w:rFonts w:hint="eastAsia"/>
                <w:color w:val="auto"/>
                <w:spacing w:val="-5"/>
                <w:sz w:val="21"/>
                <w:szCs w:val="21"/>
                <w:highlight w:val="none"/>
                <w:lang w:val="en-US" w:eastAsia="zh-CN"/>
              </w:rPr>
              <w:t>劳动合同</w:t>
            </w:r>
            <w:r>
              <w:rPr>
                <w:rFonts w:hint="eastAsia"/>
                <w:color w:val="auto"/>
                <w:spacing w:val="-5"/>
                <w:sz w:val="21"/>
                <w:szCs w:val="21"/>
                <w:highlight w:val="none"/>
                <w:lang w:val="en-US"/>
              </w:rPr>
              <w:t>及供应商为其缴纳202</w:t>
            </w:r>
            <w:r>
              <w:rPr>
                <w:rFonts w:hint="eastAsia"/>
                <w:color w:val="auto"/>
                <w:spacing w:val="-5"/>
                <w:sz w:val="21"/>
                <w:szCs w:val="21"/>
                <w:highlight w:val="none"/>
                <w:lang w:val="en-US" w:eastAsia="zh-CN"/>
              </w:rPr>
              <w:t>6</w:t>
            </w:r>
            <w:r>
              <w:rPr>
                <w:rFonts w:hint="eastAsia"/>
                <w:color w:val="auto"/>
                <w:spacing w:val="-5"/>
                <w:sz w:val="21"/>
                <w:szCs w:val="21"/>
                <w:highlight w:val="none"/>
                <w:lang w:val="en-US"/>
              </w:rPr>
              <w:t>年</w:t>
            </w:r>
            <w:r>
              <w:rPr>
                <w:rFonts w:hint="eastAsia"/>
                <w:color w:val="auto"/>
                <w:spacing w:val="-5"/>
                <w:sz w:val="21"/>
                <w:szCs w:val="21"/>
                <w:highlight w:val="none"/>
                <w:lang w:val="en-US" w:eastAsia="zh-CN"/>
              </w:rPr>
              <w:t>1</w:t>
            </w:r>
            <w:r>
              <w:rPr>
                <w:rFonts w:hint="eastAsia"/>
                <w:color w:val="auto"/>
                <w:spacing w:val="-5"/>
                <w:sz w:val="21"/>
                <w:szCs w:val="21"/>
                <w:highlight w:val="none"/>
                <w:lang w:val="en-US"/>
              </w:rPr>
              <w:t>月1日以来</w:t>
            </w:r>
            <w:r>
              <w:rPr>
                <w:rFonts w:hint="eastAsia"/>
                <w:color w:val="auto"/>
                <w:spacing w:val="-5"/>
                <w:sz w:val="21"/>
                <w:szCs w:val="21"/>
                <w:highlight w:val="none"/>
                <w:lang w:val="en-US" w:eastAsia="zh-CN"/>
              </w:rPr>
              <w:t>（</w:t>
            </w:r>
            <w:r>
              <w:rPr>
                <w:rFonts w:hint="eastAsia"/>
                <w:color w:val="auto"/>
                <w:spacing w:val="-5"/>
                <w:sz w:val="21"/>
                <w:szCs w:val="21"/>
                <w:highlight w:val="none"/>
                <w:lang w:val="en-US"/>
              </w:rPr>
              <w:t>至少一个月</w:t>
            </w:r>
            <w:r>
              <w:rPr>
                <w:rFonts w:hint="eastAsia"/>
                <w:color w:val="auto"/>
                <w:spacing w:val="-5"/>
                <w:sz w:val="21"/>
                <w:szCs w:val="21"/>
                <w:highlight w:val="none"/>
                <w:lang w:val="en-US" w:eastAsia="zh-CN"/>
              </w:rPr>
              <w:t>）</w:t>
            </w:r>
            <w:r>
              <w:rPr>
                <w:rFonts w:hint="eastAsia"/>
                <w:color w:val="auto"/>
                <w:spacing w:val="-5"/>
                <w:sz w:val="21"/>
                <w:szCs w:val="21"/>
                <w:highlight w:val="none"/>
                <w:lang w:val="en-US"/>
              </w:rPr>
              <w:t>的由劳动和社会保障部门出具的养老保险缴纳凭证加盖供应商单位公章；不提供不得分。</w:t>
            </w:r>
          </w:p>
        </w:tc>
        <w:tc>
          <w:tcPr>
            <w:tcW w:w="573" w:type="dxa"/>
            <w:noWrap w:val="0"/>
            <w:vAlign w:val="center"/>
          </w:tcPr>
          <w:p w14:paraId="676C7B2A">
            <w:pPr>
              <w:spacing w:before="68" w:line="264" w:lineRule="auto"/>
              <w:jc w:val="center"/>
              <w:rPr>
                <w:rFonts w:hint="eastAsia" w:eastAsia="宋体"/>
                <w:color w:val="auto"/>
                <w:sz w:val="21"/>
                <w:szCs w:val="21"/>
                <w:highlight w:val="none"/>
                <w:lang w:val="en-US" w:eastAsia="zh-CN" w:bidi="ar-SA"/>
              </w:rPr>
            </w:pPr>
            <w:r>
              <w:rPr>
                <w:rFonts w:hint="eastAsia"/>
                <w:color w:val="auto"/>
                <w:sz w:val="21"/>
                <w:szCs w:val="21"/>
                <w:highlight w:val="none"/>
                <w:lang w:val="en-US" w:eastAsia="zh-CN" w:bidi="ar-SA"/>
              </w:rPr>
              <w:t>4</w:t>
            </w:r>
          </w:p>
        </w:tc>
        <w:tc>
          <w:tcPr>
            <w:tcW w:w="861" w:type="dxa"/>
            <w:noWrap w:val="0"/>
            <w:vAlign w:val="center"/>
          </w:tcPr>
          <w:p w14:paraId="3488305C">
            <w:pPr>
              <w:spacing w:before="68" w:line="264" w:lineRule="auto"/>
              <w:jc w:val="center"/>
              <w:rPr>
                <w:rFonts w:hint="eastAsia"/>
                <w:color w:val="auto"/>
                <w:sz w:val="21"/>
                <w:szCs w:val="21"/>
                <w:highlight w:val="none"/>
                <w:lang w:val="en-US" w:bidi="ar-SA"/>
              </w:rPr>
            </w:pPr>
            <w:r>
              <w:rPr>
                <w:rFonts w:hint="eastAsia"/>
                <w:color w:val="auto"/>
                <w:spacing w:val="-6"/>
                <w:sz w:val="21"/>
                <w:szCs w:val="21"/>
                <w:highlight w:val="none"/>
                <w:lang w:val="en-US" w:bidi="ar-SA"/>
              </w:rPr>
              <w:t>客</w:t>
            </w:r>
            <w:r>
              <w:rPr>
                <w:color w:val="auto"/>
                <w:spacing w:val="-4"/>
                <w:sz w:val="21"/>
                <w:szCs w:val="21"/>
                <w:highlight w:val="none"/>
                <w:lang w:val="en-US" w:bidi="ar-SA"/>
              </w:rPr>
              <w:t>观</w:t>
            </w:r>
            <w:r>
              <w:rPr>
                <w:rFonts w:hint="eastAsia"/>
                <w:color w:val="auto"/>
                <w:spacing w:val="-4"/>
                <w:sz w:val="21"/>
                <w:szCs w:val="21"/>
                <w:highlight w:val="none"/>
                <w:lang w:val="en-US" w:bidi="ar-SA"/>
              </w:rPr>
              <w:t>分</w:t>
            </w:r>
          </w:p>
        </w:tc>
      </w:tr>
      <w:tr w14:paraId="56F64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98" w:type="dxa"/>
            <w:noWrap w:val="0"/>
            <w:vAlign w:val="center"/>
          </w:tcPr>
          <w:p w14:paraId="69C03A1C">
            <w:pPr>
              <w:spacing w:before="68" w:line="264" w:lineRule="auto"/>
              <w:jc w:val="center"/>
              <w:rPr>
                <w:rFonts w:hint="default" w:eastAsia="宋体"/>
                <w:color w:val="auto"/>
                <w:spacing w:val="-2"/>
                <w:sz w:val="21"/>
                <w:szCs w:val="21"/>
                <w:highlight w:val="none"/>
                <w:lang w:val="en-US" w:eastAsia="zh-CN" w:bidi="ar-SA"/>
              </w:rPr>
            </w:pPr>
            <w:r>
              <w:rPr>
                <w:rFonts w:hint="eastAsia"/>
                <w:color w:val="auto"/>
                <w:spacing w:val="-2"/>
                <w:sz w:val="21"/>
                <w:szCs w:val="21"/>
                <w:highlight w:val="none"/>
                <w:lang w:val="en-US" w:eastAsia="zh-CN" w:bidi="ar-SA"/>
              </w:rPr>
              <w:t>4.2</w:t>
            </w:r>
          </w:p>
        </w:tc>
        <w:tc>
          <w:tcPr>
            <w:tcW w:w="1041" w:type="dxa"/>
            <w:noWrap w:val="0"/>
            <w:vAlign w:val="center"/>
          </w:tcPr>
          <w:p w14:paraId="5DB78F4F">
            <w:pPr>
              <w:spacing w:before="69" w:line="264" w:lineRule="auto"/>
              <w:jc w:val="both"/>
              <w:rPr>
                <w:rFonts w:hint="default" w:eastAsia="宋体"/>
                <w:color w:val="auto"/>
                <w:spacing w:val="-1"/>
                <w:sz w:val="21"/>
                <w:szCs w:val="21"/>
                <w:highlight w:val="none"/>
                <w:lang w:val="en-US" w:eastAsia="zh-CN" w:bidi="ar-SA"/>
              </w:rPr>
            </w:pPr>
            <w:r>
              <w:rPr>
                <w:rFonts w:hint="eastAsia"/>
                <w:color w:val="auto"/>
                <w:spacing w:val="-1"/>
                <w:sz w:val="21"/>
                <w:szCs w:val="21"/>
                <w:highlight w:val="none"/>
                <w:lang w:val="en-US" w:eastAsia="zh-CN" w:bidi="ar-SA"/>
              </w:rPr>
              <w:t>专业设备配备</w:t>
            </w:r>
          </w:p>
        </w:tc>
        <w:tc>
          <w:tcPr>
            <w:tcW w:w="6684" w:type="dxa"/>
            <w:noWrap w:val="0"/>
            <w:vAlign w:val="center"/>
          </w:tcPr>
          <w:p w14:paraId="1FCCB947">
            <w:pPr>
              <w:pStyle w:val="238"/>
              <w:numPr>
                <w:ilvl w:val="0"/>
                <w:numId w:val="4"/>
              </w:numPr>
              <w:ind w:left="0" w:leftChars="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供应商提供</w:t>
            </w:r>
            <w:r>
              <w:rPr>
                <w:rFonts w:hint="eastAsia" w:ascii="宋体" w:hAnsi="宋体" w:eastAsia="宋体"/>
                <w:color w:val="auto"/>
                <w:sz w:val="21"/>
                <w:szCs w:val="21"/>
                <w:highlight w:val="none"/>
                <w:lang w:val="en-US" w:eastAsia="zh-CN"/>
              </w:rPr>
              <w:t>车厢可卸式垃圾车（勾臂车）</w:t>
            </w:r>
            <w:r>
              <w:rPr>
                <w:rFonts w:hint="eastAsia" w:ascii="宋体" w:hAnsi="宋体" w:eastAsia="宋体"/>
                <w:color w:val="auto"/>
                <w:sz w:val="21"/>
                <w:szCs w:val="21"/>
                <w:highlight w:val="none"/>
              </w:rPr>
              <w:t>总质量≥</w:t>
            </w:r>
            <w:r>
              <w:rPr>
                <w:rFonts w:hint="eastAsia" w:ascii="宋体" w:hAnsi="宋体" w:eastAsia="宋体"/>
                <w:color w:val="auto"/>
                <w:sz w:val="21"/>
                <w:szCs w:val="21"/>
                <w:highlight w:val="none"/>
                <w:lang w:val="en-US" w:eastAsia="zh-CN"/>
              </w:rPr>
              <w:t>25</w:t>
            </w:r>
            <w:r>
              <w:rPr>
                <w:rFonts w:hint="eastAsia" w:ascii="宋体" w:hAnsi="宋体" w:eastAsia="宋体"/>
                <w:color w:val="auto"/>
                <w:sz w:val="21"/>
                <w:szCs w:val="21"/>
                <w:highlight w:val="none"/>
              </w:rPr>
              <w:t>吨</w:t>
            </w:r>
            <w:r>
              <w:rPr>
                <w:rFonts w:hint="eastAsia" w:ascii="宋体" w:hAnsi="宋体" w:eastAsia="宋体"/>
                <w:color w:val="auto"/>
                <w:sz w:val="21"/>
                <w:szCs w:val="21"/>
                <w:highlight w:val="none"/>
                <w:lang w:val="en-US" w:eastAsia="zh-CN"/>
              </w:rPr>
              <w:t>的5台，自有产权的，每提供一台得1分；租赁的每提供一台得0.5分，本项最多得5分。</w:t>
            </w:r>
          </w:p>
          <w:p w14:paraId="5FD6D9DD">
            <w:pPr>
              <w:spacing w:line="264" w:lineRule="auto"/>
              <w:jc w:val="both"/>
              <w:rPr>
                <w:rFonts w:hint="eastAsia" w:eastAsia="宋体"/>
                <w:color w:val="auto"/>
                <w:highlight w:val="none"/>
                <w:lang w:val="en-US" w:eastAsia="zh-CN"/>
              </w:rPr>
            </w:pPr>
            <w:r>
              <w:rPr>
                <w:rFonts w:hint="eastAsia"/>
                <w:b/>
                <w:bCs/>
                <w:color w:val="auto"/>
                <w:sz w:val="21"/>
                <w:szCs w:val="20"/>
                <w:highlight w:val="none"/>
              </w:rPr>
              <w:t>注：</w:t>
            </w:r>
            <w:r>
              <w:rPr>
                <w:rFonts w:hint="eastAsia"/>
                <w:b/>
                <w:bCs/>
                <w:color w:val="auto"/>
                <w:sz w:val="21"/>
                <w:szCs w:val="20"/>
                <w:highlight w:val="none"/>
                <w:lang w:val="en-US"/>
              </w:rPr>
              <w:t>供应商需提供</w:t>
            </w:r>
            <w:r>
              <w:rPr>
                <w:rFonts w:hint="eastAsia"/>
                <w:b/>
                <w:bCs/>
                <w:color w:val="auto"/>
                <w:sz w:val="21"/>
                <w:szCs w:val="20"/>
                <w:highlight w:val="none"/>
                <w:lang w:val="en-US" w:eastAsia="zh-CN"/>
              </w:rPr>
              <w:t>车辆</w:t>
            </w:r>
            <w:r>
              <w:rPr>
                <w:rFonts w:hint="eastAsia"/>
                <w:b/>
                <w:bCs/>
                <w:color w:val="auto"/>
                <w:sz w:val="21"/>
                <w:szCs w:val="20"/>
                <w:highlight w:val="none"/>
                <w:lang w:val="en-US"/>
              </w:rPr>
              <w:t>配置清单</w:t>
            </w:r>
            <w:r>
              <w:rPr>
                <w:rFonts w:hint="eastAsia"/>
                <w:b/>
                <w:bCs/>
                <w:color w:val="auto"/>
                <w:sz w:val="21"/>
                <w:szCs w:val="20"/>
                <w:highlight w:val="none"/>
                <w:lang w:val="en-US" w:eastAsia="zh-CN"/>
              </w:rPr>
              <w:t>，</w:t>
            </w:r>
            <w:r>
              <w:rPr>
                <w:rFonts w:hint="eastAsia"/>
                <w:b/>
                <w:bCs/>
                <w:color w:val="auto"/>
                <w:sz w:val="21"/>
                <w:szCs w:val="20"/>
                <w:highlight w:val="none"/>
                <w:lang w:val="en-US"/>
              </w:rPr>
              <w:t>车辆如为自有产权的需提供有效期内车辆行驶证、车辆购买发票复印件并加</w:t>
            </w:r>
            <w:r>
              <w:rPr>
                <w:rFonts w:hint="eastAsia"/>
                <w:b/>
                <w:bCs/>
                <w:color w:val="auto"/>
                <w:sz w:val="21"/>
                <w:szCs w:val="20"/>
                <w:highlight w:val="none"/>
                <w:lang w:val="en-US" w:eastAsia="zh-CN"/>
              </w:rPr>
              <w:t>盖</w:t>
            </w:r>
            <w:r>
              <w:rPr>
                <w:rFonts w:hint="eastAsia"/>
                <w:b/>
                <w:bCs/>
                <w:color w:val="auto"/>
                <w:sz w:val="21"/>
                <w:szCs w:val="20"/>
                <w:highlight w:val="none"/>
                <w:lang w:val="en-US"/>
              </w:rPr>
              <w:t>供应商单位公章；如为租赁车辆需提供租赁合同、有效期内车辆行驶证、车辆发票复印件并加盖供应商单位公章</w:t>
            </w:r>
            <w:r>
              <w:rPr>
                <w:rFonts w:hint="eastAsia"/>
                <w:b/>
                <w:bCs/>
                <w:color w:val="auto"/>
                <w:sz w:val="21"/>
                <w:szCs w:val="20"/>
                <w:highlight w:val="none"/>
                <w:lang w:val="en-US" w:eastAsia="zh-CN"/>
              </w:rPr>
              <w:t>（</w:t>
            </w:r>
            <w:r>
              <w:rPr>
                <w:rFonts w:hint="eastAsia"/>
                <w:b/>
                <w:bCs/>
                <w:color w:val="auto"/>
                <w:sz w:val="21"/>
                <w:szCs w:val="20"/>
                <w:highlight w:val="none"/>
                <w:lang w:bidi="ar"/>
              </w:rPr>
              <w:t>租赁期需覆盖本项目服务期</w:t>
            </w:r>
            <w:r>
              <w:rPr>
                <w:rFonts w:hint="eastAsia"/>
                <w:b/>
                <w:bCs/>
                <w:color w:val="auto"/>
                <w:sz w:val="21"/>
                <w:szCs w:val="20"/>
                <w:highlight w:val="none"/>
                <w:lang w:eastAsia="zh-CN" w:bidi="ar"/>
              </w:rPr>
              <w:t>）</w:t>
            </w:r>
            <w:r>
              <w:rPr>
                <w:rFonts w:hint="eastAsia"/>
                <w:b/>
                <w:bCs/>
                <w:color w:val="auto"/>
                <w:sz w:val="21"/>
                <w:szCs w:val="20"/>
                <w:highlight w:val="none"/>
                <w:lang w:val="en-US" w:eastAsia="zh-CN"/>
              </w:rPr>
              <w:t>；</w:t>
            </w:r>
            <w:r>
              <w:rPr>
                <w:rFonts w:hint="eastAsia"/>
                <w:b/>
                <w:bCs/>
                <w:color w:val="auto"/>
                <w:sz w:val="21"/>
                <w:szCs w:val="20"/>
                <w:highlight w:val="none"/>
                <w:lang w:val="en-US"/>
              </w:rPr>
              <w:t>提供不齐全或未提供不得分</w:t>
            </w:r>
            <w:r>
              <w:rPr>
                <w:rFonts w:hint="eastAsia"/>
                <w:b/>
                <w:bCs/>
                <w:color w:val="auto"/>
                <w:sz w:val="21"/>
                <w:szCs w:val="20"/>
                <w:highlight w:val="none"/>
                <w:lang w:val="en-US" w:eastAsia="zh-CN"/>
              </w:rPr>
              <w:t>。</w:t>
            </w:r>
          </w:p>
          <w:p w14:paraId="143FB82D">
            <w:pPr>
              <w:pStyle w:val="238"/>
              <w:numPr>
                <w:ilvl w:val="0"/>
                <w:numId w:val="0"/>
              </w:numPr>
              <w:ind w:left="0" w:leftChars="0"/>
              <w:rPr>
                <w:rFonts w:hint="eastAsia" w:ascii="宋体" w:hAnsi="宋体" w:eastAsia="宋体"/>
                <w:color w:val="auto"/>
                <w:sz w:val="21"/>
                <w:szCs w:val="21"/>
                <w:highlight w:val="none"/>
                <w:lang w:eastAsia="zh-CN"/>
              </w:rPr>
            </w:pPr>
            <w:r>
              <w:rPr>
                <w:rFonts w:hint="eastAsia" w:ascii="宋体" w:hAnsi="宋体" w:eastAsia="宋体" w:cs="宋体"/>
                <w:color w:val="auto"/>
                <w:sz w:val="21"/>
                <w:szCs w:val="21"/>
                <w:highlight w:val="none"/>
                <w:lang w:val="zh-CN" w:eastAsia="zh-CN" w:bidi="zh-CN"/>
              </w:rPr>
              <w:t>（2）</w:t>
            </w:r>
            <w:r>
              <w:rPr>
                <w:rFonts w:hint="eastAsia" w:ascii="宋体" w:hAnsi="宋体" w:eastAsia="宋体"/>
                <w:color w:val="auto"/>
                <w:sz w:val="21"/>
                <w:szCs w:val="21"/>
                <w:highlight w:val="none"/>
              </w:rPr>
              <w:t>供应商提供</w:t>
            </w:r>
            <w:r>
              <w:rPr>
                <w:rFonts w:hint="eastAsia" w:ascii="宋体" w:hAnsi="宋体" w:eastAsia="宋体"/>
                <w:color w:val="auto"/>
                <w:sz w:val="21"/>
                <w:szCs w:val="21"/>
                <w:highlight w:val="none"/>
                <w:lang w:val="en-US" w:eastAsia="zh-CN"/>
              </w:rPr>
              <w:t>自有产权的移动式联体压缩箱8个，每提供一个得0.5分，本项最多得4分。</w:t>
            </w:r>
          </w:p>
          <w:p w14:paraId="39AA0DED">
            <w:pPr>
              <w:spacing w:line="264" w:lineRule="auto"/>
              <w:jc w:val="both"/>
              <w:rPr>
                <w:rFonts w:hint="default" w:eastAsia="宋体"/>
                <w:b/>
                <w:bCs/>
                <w:color w:val="auto"/>
                <w:sz w:val="21"/>
                <w:szCs w:val="20"/>
                <w:highlight w:val="none"/>
                <w:lang w:val="en-US" w:eastAsia="zh-CN"/>
              </w:rPr>
            </w:pPr>
            <w:r>
              <w:rPr>
                <w:rFonts w:hint="eastAsia"/>
                <w:b/>
                <w:bCs/>
                <w:color w:val="auto"/>
                <w:sz w:val="21"/>
                <w:szCs w:val="20"/>
                <w:highlight w:val="none"/>
                <w:lang w:val="en-US" w:eastAsia="zh-CN"/>
              </w:rPr>
              <w:t>注：</w:t>
            </w:r>
            <w:r>
              <w:rPr>
                <w:rFonts w:hint="eastAsia"/>
                <w:b/>
                <w:bCs/>
                <w:color w:val="auto"/>
                <w:sz w:val="21"/>
                <w:szCs w:val="20"/>
                <w:highlight w:val="none"/>
                <w:lang w:val="en-US"/>
              </w:rPr>
              <w:t>供应商需提供</w:t>
            </w:r>
            <w:r>
              <w:rPr>
                <w:rFonts w:hint="eastAsia"/>
                <w:b/>
                <w:bCs/>
                <w:color w:val="auto"/>
                <w:sz w:val="21"/>
                <w:szCs w:val="20"/>
                <w:highlight w:val="none"/>
                <w:lang w:val="en-US" w:eastAsia="zh-CN"/>
              </w:rPr>
              <w:t>箱体购置清单，</w:t>
            </w:r>
            <w:r>
              <w:rPr>
                <w:rFonts w:hint="eastAsia"/>
                <w:b/>
                <w:bCs/>
                <w:color w:val="auto"/>
                <w:sz w:val="21"/>
                <w:szCs w:val="20"/>
                <w:highlight w:val="none"/>
                <w:lang w:val="en-US"/>
              </w:rPr>
              <w:t>购买发票复印件并加</w:t>
            </w:r>
            <w:r>
              <w:rPr>
                <w:rFonts w:hint="eastAsia"/>
                <w:b/>
                <w:bCs/>
                <w:color w:val="auto"/>
                <w:sz w:val="21"/>
                <w:szCs w:val="20"/>
                <w:highlight w:val="none"/>
                <w:lang w:val="en-US" w:eastAsia="zh-CN"/>
              </w:rPr>
              <w:t>盖</w:t>
            </w:r>
            <w:r>
              <w:rPr>
                <w:rFonts w:hint="eastAsia"/>
                <w:b/>
                <w:bCs/>
                <w:color w:val="auto"/>
                <w:sz w:val="21"/>
                <w:szCs w:val="20"/>
                <w:highlight w:val="none"/>
                <w:lang w:val="en-US"/>
              </w:rPr>
              <w:t>供应商单位公章</w:t>
            </w:r>
            <w:r>
              <w:rPr>
                <w:rFonts w:hint="eastAsia"/>
                <w:b/>
                <w:bCs/>
                <w:color w:val="auto"/>
                <w:sz w:val="21"/>
                <w:szCs w:val="20"/>
                <w:highlight w:val="none"/>
                <w:lang w:val="en-US" w:eastAsia="zh-CN"/>
              </w:rPr>
              <w:t>；</w:t>
            </w:r>
            <w:r>
              <w:rPr>
                <w:rFonts w:hint="eastAsia"/>
                <w:b/>
                <w:bCs/>
                <w:color w:val="auto"/>
                <w:sz w:val="21"/>
                <w:szCs w:val="20"/>
                <w:highlight w:val="none"/>
                <w:lang w:val="en-US"/>
              </w:rPr>
              <w:t>提供不齐全或未提供不得分</w:t>
            </w:r>
            <w:r>
              <w:rPr>
                <w:rFonts w:hint="eastAsia"/>
                <w:b/>
                <w:bCs/>
                <w:color w:val="auto"/>
                <w:sz w:val="21"/>
                <w:szCs w:val="20"/>
                <w:highlight w:val="none"/>
                <w:lang w:val="en-US" w:eastAsia="zh-CN"/>
              </w:rPr>
              <w:t>。</w:t>
            </w:r>
          </w:p>
        </w:tc>
        <w:tc>
          <w:tcPr>
            <w:tcW w:w="573" w:type="dxa"/>
            <w:noWrap w:val="0"/>
            <w:vAlign w:val="center"/>
          </w:tcPr>
          <w:p w14:paraId="67618388">
            <w:pPr>
              <w:spacing w:before="68" w:line="264" w:lineRule="auto"/>
              <w:jc w:val="center"/>
              <w:rPr>
                <w:rFonts w:hint="default"/>
                <w:color w:val="auto"/>
                <w:sz w:val="21"/>
                <w:szCs w:val="21"/>
                <w:highlight w:val="none"/>
                <w:lang w:val="en-US" w:eastAsia="zh-CN" w:bidi="ar-SA"/>
              </w:rPr>
            </w:pPr>
            <w:r>
              <w:rPr>
                <w:rFonts w:hint="eastAsia"/>
                <w:color w:val="auto"/>
                <w:sz w:val="21"/>
                <w:szCs w:val="21"/>
                <w:highlight w:val="none"/>
                <w:lang w:val="en-US" w:eastAsia="zh-CN" w:bidi="ar-SA"/>
              </w:rPr>
              <w:t>9</w:t>
            </w:r>
          </w:p>
        </w:tc>
        <w:tc>
          <w:tcPr>
            <w:tcW w:w="861" w:type="dxa"/>
            <w:noWrap w:val="0"/>
            <w:vAlign w:val="center"/>
          </w:tcPr>
          <w:p w14:paraId="28AEDFC4">
            <w:pPr>
              <w:spacing w:before="68" w:line="264" w:lineRule="auto"/>
              <w:jc w:val="center"/>
              <w:rPr>
                <w:rFonts w:hint="eastAsia" w:eastAsia="宋体"/>
                <w:color w:val="auto"/>
                <w:spacing w:val="-6"/>
                <w:sz w:val="21"/>
                <w:szCs w:val="21"/>
                <w:highlight w:val="none"/>
                <w:lang w:val="en-US" w:eastAsia="zh-CN" w:bidi="ar-SA"/>
              </w:rPr>
            </w:pPr>
            <w:r>
              <w:rPr>
                <w:rFonts w:hint="eastAsia"/>
                <w:color w:val="auto"/>
                <w:spacing w:val="-6"/>
                <w:sz w:val="21"/>
                <w:szCs w:val="21"/>
                <w:highlight w:val="none"/>
                <w:lang w:val="en-US" w:eastAsia="zh-CN" w:bidi="ar-SA"/>
              </w:rPr>
              <w:t>客观分</w:t>
            </w:r>
          </w:p>
        </w:tc>
      </w:tr>
      <w:tr w14:paraId="6839F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98" w:type="dxa"/>
            <w:noWrap w:val="0"/>
            <w:vAlign w:val="center"/>
          </w:tcPr>
          <w:p w14:paraId="7D332CC2">
            <w:pPr>
              <w:spacing w:line="264" w:lineRule="auto"/>
              <w:jc w:val="center"/>
              <w:rPr>
                <w:rFonts w:hint="eastAsia"/>
                <w:color w:val="auto"/>
                <w:sz w:val="21"/>
                <w:szCs w:val="21"/>
                <w:highlight w:val="none"/>
                <w:lang w:val="en-US" w:bidi="ar-SA"/>
              </w:rPr>
            </w:pPr>
            <w:r>
              <w:rPr>
                <w:color w:val="auto"/>
                <w:spacing w:val="-3"/>
                <w:sz w:val="21"/>
                <w:szCs w:val="21"/>
                <w:highlight w:val="none"/>
                <w:lang w:val="en-US" w:bidi="ar-SA"/>
              </w:rPr>
              <w:t>合</w:t>
            </w:r>
            <w:r>
              <w:rPr>
                <w:color w:val="auto"/>
                <w:spacing w:val="-2"/>
                <w:sz w:val="21"/>
                <w:szCs w:val="21"/>
                <w:highlight w:val="none"/>
                <w:lang w:val="en-US" w:bidi="ar-SA"/>
              </w:rPr>
              <w:t>计</w:t>
            </w:r>
          </w:p>
        </w:tc>
        <w:tc>
          <w:tcPr>
            <w:tcW w:w="7725" w:type="dxa"/>
            <w:gridSpan w:val="2"/>
            <w:noWrap w:val="0"/>
            <w:vAlign w:val="center"/>
          </w:tcPr>
          <w:p w14:paraId="33E6214A">
            <w:pPr>
              <w:spacing w:before="123" w:line="264" w:lineRule="auto"/>
              <w:ind w:left="172"/>
              <w:jc w:val="center"/>
              <w:rPr>
                <w:rFonts w:hint="eastAsia"/>
                <w:color w:val="auto"/>
                <w:spacing w:val="-2"/>
                <w:sz w:val="21"/>
                <w:szCs w:val="21"/>
                <w:highlight w:val="none"/>
                <w:lang w:val="en-US" w:bidi="ar-SA"/>
              </w:rPr>
            </w:pPr>
          </w:p>
        </w:tc>
        <w:tc>
          <w:tcPr>
            <w:tcW w:w="1434" w:type="dxa"/>
            <w:gridSpan w:val="2"/>
            <w:noWrap w:val="0"/>
            <w:vAlign w:val="center"/>
          </w:tcPr>
          <w:p w14:paraId="721C26EF">
            <w:pPr>
              <w:spacing w:line="264" w:lineRule="auto"/>
              <w:jc w:val="center"/>
              <w:rPr>
                <w:rFonts w:hint="eastAsia"/>
                <w:color w:val="auto"/>
                <w:sz w:val="21"/>
                <w:szCs w:val="21"/>
                <w:highlight w:val="none"/>
                <w:lang w:val="en-US" w:bidi="ar-SA"/>
              </w:rPr>
            </w:pPr>
            <w:r>
              <w:rPr>
                <w:color w:val="auto"/>
                <w:spacing w:val="-11"/>
                <w:sz w:val="21"/>
                <w:szCs w:val="21"/>
                <w:highlight w:val="none"/>
                <w:lang w:val="en-US" w:bidi="ar-SA"/>
              </w:rPr>
              <w:t>100分</w:t>
            </w:r>
          </w:p>
        </w:tc>
      </w:tr>
    </w:tbl>
    <w:p w14:paraId="2B2BC011">
      <w:pPr>
        <w:spacing w:line="264" w:lineRule="auto"/>
        <w:jc w:val="both"/>
        <w:rPr>
          <w:rFonts w:hint="eastAsia"/>
          <w:color w:val="auto"/>
          <w:spacing w:val="-2"/>
          <w:highlight w:val="none"/>
        </w:rPr>
      </w:pPr>
      <w:r>
        <w:rPr>
          <w:rFonts w:hint="eastAsia" w:ascii="宋体" w:hAnsi="宋体" w:eastAsia="宋体" w:cs="宋体"/>
          <w:b/>
          <w:bCs/>
          <w:color w:val="auto"/>
          <w:spacing w:val="-3"/>
          <w:sz w:val="21"/>
          <w:szCs w:val="21"/>
          <w:highlight w:val="none"/>
          <w:lang w:val="en-US" w:eastAsia="zh-CN" w:bidi="ar-SA"/>
        </w:rPr>
        <w:t>说明：</w:t>
      </w:r>
      <w:r>
        <w:rPr>
          <w:rFonts w:hint="eastAsia"/>
          <w:color w:val="auto"/>
          <w:spacing w:val="-2"/>
          <w:highlight w:val="none"/>
        </w:rPr>
        <w:t>1.对国家认定的节能产品和环保产品分别给予投标价的 5%、5%价格扣除，用扣除后的价格参与评审（特别说明：节能、环保产品必须纳入“中国政府采购网 http://www.ccgp.gov.cn”等官方网站“节能、环保产品查询系统”，且以提供的证书复印件为准）。</w:t>
      </w:r>
    </w:p>
    <w:p w14:paraId="6E58E9DB">
      <w:pPr>
        <w:widowControl/>
        <w:spacing w:line="240" w:lineRule="auto"/>
        <w:rPr>
          <w:rFonts w:hint="eastAsia"/>
          <w:color w:val="auto"/>
          <w:spacing w:val="-2"/>
          <w:highlight w:val="none"/>
        </w:rPr>
      </w:pPr>
      <w:r>
        <w:rPr>
          <w:rFonts w:hint="eastAsia"/>
          <w:color w:val="auto"/>
          <w:spacing w:val="-2"/>
          <w:highlight w:val="none"/>
        </w:rPr>
        <w:t>2.对小微企业生产的产品给予投标价的 20%价格扣除，用扣除后的价格参与评审。</w:t>
      </w:r>
    </w:p>
    <w:p w14:paraId="6E1B5EF2">
      <w:pPr>
        <w:widowControl/>
        <w:spacing w:line="240" w:lineRule="auto"/>
        <w:rPr>
          <w:rFonts w:hint="eastAsia"/>
          <w:color w:val="auto"/>
          <w:spacing w:val="-2"/>
          <w:highlight w:val="none"/>
        </w:rPr>
      </w:pPr>
      <w:r>
        <w:rPr>
          <w:rFonts w:hint="eastAsia"/>
          <w:color w:val="auto"/>
          <w:spacing w:val="-2"/>
          <w:highlight w:val="none"/>
        </w:rPr>
        <w:t>3.大中型企业和其他自然人、法人或者其他组织与小型、微型企业组成联合体共同参加投标，如果联合协议中约定，小型、微型企业的协议合同金额占到联合体协议合同总金额 30%以上的，给予联合体 6%的价格扣除。联合体各方均为中小型、微型企业的，联合体视同为小型、微型企业享受 20%价格扣除，用扣除后的价格参与评审。</w:t>
      </w:r>
    </w:p>
    <w:p w14:paraId="76F9BC44">
      <w:pPr>
        <w:widowControl/>
        <w:spacing w:line="240" w:lineRule="auto"/>
        <w:rPr>
          <w:rFonts w:hint="eastAsia"/>
          <w:color w:val="auto"/>
          <w:spacing w:val="-2"/>
          <w:highlight w:val="none"/>
        </w:rPr>
      </w:pPr>
      <w:r>
        <w:rPr>
          <w:rFonts w:hint="eastAsia"/>
          <w:color w:val="auto"/>
          <w:spacing w:val="-2"/>
          <w:highlight w:val="none"/>
        </w:rPr>
        <w:t>小企业（含小型、微型企业）应当同时符合以下条件：</w:t>
      </w:r>
    </w:p>
    <w:p w14:paraId="2445BA45">
      <w:pPr>
        <w:widowControl/>
        <w:spacing w:line="240" w:lineRule="auto"/>
        <w:rPr>
          <w:rFonts w:hint="eastAsia"/>
          <w:color w:val="auto"/>
          <w:spacing w:val="-2"/>
          <w:highlight w:val="none"/>
        </w:rPr>
      </w:pPr>
      <w:r>
        <w:rPr>
          <w:rFonts w:hint="eastAsia"/>
          <w:color w:val="auto"/>
          <w:spacing w:val="-2"/>
          <w:highlight w:val="none"/>
        </w:rPr>
        <w:t>（1）供应商为小企业，且符合中小企业划分标准；</w:t>
      </w:r>
    </w:p>
    <w:p w14:paraId="2B514DCC">
      <w:pPr>
        <w:widowControl/>
        <w:spacing w:line="240" w:lineRule="auto"/>
        <w:rPr>
          <w:rFonts w:hint="eastAsia"/>
          <w:color w:val="auto"/>
          <w:spacing w:val="-2"/>
          <w:highlight w:val="none"/>
        </w:rPr>
      </w:pPr>
      <w:r>
        <w:rPr>
          <w:rFonts w:hint="eastAsia"/>
          <w:color w:val="auto"/>
          <w:spacing w:val="-2"/>
          <w:highlight w:val="none"/>
        </w:rPr>
        <w:t>（2）提供本企业制造的货物、承担的工程或者服务，或者提供其他小企业制造的货物。如果提供的货物为大中型企业注册商标的货物，视同大中型企业。</w:t>
      </w:r>
    </w:p>
    <w:p w14:paraId="7B8AFE62">
      <w:pPr>
        <w:widowControl/>
        <w:spacing w:line="240" w:lineRule="auto"/>
        <w:rPr>
          <w:rFonts w:hint="eastAsia"/>
          <w:color w:val="auto"/>
          <w:spacing w:val="-2"/>
          <w:highlight w:val="none"/>
        </w:rPr>
      </w:pPr>
      <w:r>
        <w:rPr>
          <w:rFonts w:hint="eastAsia"/>
          <w:color w:val="auto"/>
          <w:spacing w:val="-2"/>
          <w:highlight w:val="none"/>
        </w:rPr>
        <w:t>4.所有认证、证明和业绩均以有效的证明文件的复印件为依据，原件备查。</w:t>
      </w:r>
    </w:p>
    <w:p w14:paraId="5820BCA3">
      <w:pPr>
        <w:widowControl/>
        <w:spacing w:line="240" w:lineRule="auto"/>
        <w:rPr>
          <w:rFonts w:hint="eastAsia"/>
          <w:color w:val="auto"/>
          <w:spacing w:val="-2"/>
          <w:highlight w:val="none"/>
        </w:rPr>
      </w:pPr>
      <w:r>
        <w:rPr>
          <w:rFonts w:hint="eastAsia"/>
          <w:color w:val="auto"/>
          <w:spacing w:val="-2"/>
          <w:highlight w:val="none"/>
        </w:rPr>
        <w:t>5.若投标人提供虚假资料，一经查实作废标处理并没收投标保证金。</w:t>
      </w:r>
    </w:p>
    <w:p w14:paraId="7111EAD9">
      <w:pPr>
        <w:widowControl/>
        <w:spacing w:line="240" w:lineRule="auto"/>
        <w:rPr>
          <w:rFonts w:hint="eastAsia"/>
          <w:b/>
          <w:bCs/>
          <w:color w:val="auto"/>
          <w:szCs w:val="21"/>
          <w:highlight w:val="none"/>
        </w:rPr>
        <w:sectPr>
          <w:footerReference r:id="rId5" w:type="default"/>
          <w:pgSz w:w="11906" w:h="16838"/>
          <w:pgMar w:top="1701" w:right="1134" w:bottom="1701" w:left="1134" w:header="851" w:footer="624" w:gutter="0"/>
          <w:pgNumType w:start="10"/>
          <w:cols w:space="720" w:num="1"/>
          <w:docGrid w:linePitch="360" w:charSpace="0"/>
        </w:sectPr>
      </w:pPr>
      <w:r>
        <w:rPr>
          <w:rFonts w:hint="eastAsia"/>
          <w:color w:val="auto"/>
          <w:spacing w:val="-2"/>
          <w:highlight w:val="none"/>
        </w:rPr>
        <w:t>6.评审小组不保证有效报价最低的供应商中标。</w:t>
      </w:r>
    </w:p>
    <w:p w14:paraId="13FCAF74">
      <w:pPr>
        <w:pStyle w:val="2"/>
        <w:spacing w:before="0" w:line="360" w:lineRule="auto"/>
        <w:ind w:left="0"/>
        <w:rPr>
          <w:rFonts w:hint="eastAsia" w:ascii="仿宋" w:hAnsi="仿宋" w:eastAsia="仿宋" w:cs="仿宋"/>
          <w:color w:val="auto"/>
          <w:highlight w:val="none"/>
        </w:rPr>
      </w:pPr>
      <w:bookmarkStart w:id="37" w:name="_Toc7504"/>
      <w:r>
        <w:rPr>
          <w:rFonts w:hint="eastAsia" w:ascii="仿宋" w:hAnsi="仿宋" w:eastAsia="仿宋" w:cs="仿宋"/>
          <w:color w:val="auto"/>
          <w:highlight w:val="none"/>
        </w:rPr>
        <w:t xml:space="preserve">第四章  </w:t>
      </w:r>
      <w:bookmarkStart w:id="38" w:name="_Toc290546932"/>
      <w:r>
        <w:rPr>
          <w:rFonts w:hint="eastAsia" w:ascii="仿宋" w:hAnsi="仿宋" w:eastAsia="仿宋" w:cs="仿宋"/>
          <w:color w:val="auto"/>
          <w:highlight w:val="none"/>
        </w:rPr>
        <w:t>采购项目的技术规格、要求和数量等</w:t>
      </w:r>
      <w:bookmarkEnd w:id="36"/>
      <w:bookmarkEnd w:id="37"/>
    </w:p>
    <w:p w14:paraId="408C4ACF">
      <w:pPr>
        <w:spacing w:line="240" w:lineRule="auto"/>
        <w:rPr>
          <w:rFonts w:hint="eastAsia"/>
          <w:b/>
          <w:color w:val="auto"/>
          <w:sz w:val="24"/>
          <w:highlight w:val="none"/>
        </w:rPr>
      </w:pPr>
      <w:bookmarkStart w:id="39" w:name="_Hlk144454774"/>
      <w:r>
        <w:rPr>
          <w:rFonts w:hint="eastAsia"/>
          <w:b/>
          <w:color w:val="auto"/>
          <w:sz w:val="24"/>
          <w:highlight w:val="none"/>
        </w:rPr>
        <w:t>一、采购要求</w:t>
      </w:r>
    </w:p>
    <w:p w14:paraId="1E608D23">
      <w:pPr>
        <w:spacing w:line="240" w:lineRule="auto"/>
        <w:ind w:firstLine="241" w:firstLineChars="100"/>
        <w:rPr>
          <w:rFonts w:hint="eastAsia" w:eastAsia="宋体"/>
          <w:b/>
          <w:color w:val="auto"/>
          <w:sz w:val="24"/>
          <w:highlight w:val="none"/>
          <w:lang w:eastAsia="zh-CN"/>
        </w:rPr>
      </w:pPr>
      <w:r>
        <w:rPr>
          <w:rFonts w:hint="eastAsia"/>
          <w:b/>
          <w:color w:val="auto"/>
          <w:sz w:val="24"/>
          <w:highlight w:val="none"/>
          <w:lang w:eastAsia="zh-CN"/>
        </w:rPr>
        <w:t>1.</w:t>
      </w:r>
      <w:r>
        <w:rPr>
          <w:rFonts w:hint="eastAsia"/>
          <w:b/>
          <w:color w:val="auto"/>
          <w:sz w:val="24"/>
          <w:highlight w:val="none"/>
        </w:rPr>
        <w:t>项目名称</w:t>
      </w:r>
      <w:r>
        <w:rPr>
          <w:rFonts w:hint="eastAsia"/>
          <w:b/>
          <w:color w:val="auto"/>
          <w:sz w:val="24"/>
          <w:highlight w:val="none"/>
          <w:lang w:eastAsia="zh-CN"/>
        </w:rPr>
        <w:t>：</w:t>
      </w:r>
      <w:r>
        <w:rPr>
          <w:rFonts w:hint="eastAsia" w:ascii="仿宋" w:hAnsi="仿宋" w:eastAsia="仿宋" w:cs="仿宋"/>
          <w:b w:val="0"/>
          <w:bCs/>
          <w:color w:val="auto"/>
          <w:sz w:val="24"/>
          <w:highlight w:val="none"/>
          <w:lang w:eastAsia="zh-CN"/>
        </w:rPr>
        <w:t>禄口街道2026-2029年度压缩垃圾清运服务</w:t>
      </w:r>
    </w:p>
    <w:p w14:paraId="77BAD279">
      <w:pPr>
        <w:spacing w:line="240" w:lineRule="auto"/>
        <w:ind w:firstLine="241" w:firstLineChars="100"/>
        <w:rPr>
          <w:rFonts w:hint="eastAsia"/>
          <w:color w:val="auto"/>
          <w:sz w:val="24"/>
          <w:highlight w:val="none"/>
        </w:rPr>
      </w:pPr>
      <w:r>
        <w:rPr>
          <w:rFonts w:hint="eastAsia"/>
          <w:b/>
          <w:color w:val="auto"/>
          <w:sz w:val="24"/>
          <w:highlight w:val="none"/>
          <w:lang w:eastAsia="zh-CN"/>
        </w:rPr>
        <w:t>2.</w:t>
      </w:r>
      <w:r>
        <w:rPr>
          <w:rFonts w:hint="eastAsia"/>
          <w:b/>
          <w:color w:val="auto"/>
          <w:sz w:val="24"/>
          <w:highlight w:val="none"/>
        </w:rPr>
        <w:t>服务期要求</w:t>
      </w:r>
      <w:r>
        <w:rPr>
          <w:rFonts w:hint="eastAsia"/>
          <w:color w:val="auto"/>
          <w:sz w:val="24"/>
          <w:highlight w:val="none"/>
        </w:rPr>
        <w:t>：</w:t>
      </w:r>
      <w:bookmarkEnd w:id="38"/>
      <w:bookmarkEnd w:id="39"/>
      <w:r>
        <w:rPr>
          <w:rFonts w:hint="eastAsia" w:ascii="仿宋" w:hAnsi="仿宋" w:eastAsia="仿宋" w:cs="仿宋"/>
          <w:b w:val="0"/>
          <w:bCs/>
          <w:color w:val="auto"/>
          <w:sz w:val="24"/>
          <w:highlight w:val="none"/>
          <w:lang w:val="en-US" w:eastAsia="zh-CN"/>
        </w:rPr>
        <w:t>三年</w:t>
      </w:r>
      <w:r>
        <w:rPr>
          <w:rFonts w:hint="eastAsia" w:ascii="仿宋" w:hAnsi="仿宋" w:eastAsia="仿宋" w:cs="仿宋"/>
          <w:color w:val="auto"/>
          <w:sz w:val="24"/>
          <w:szCs w:val="24"/>
          <w:highlight w:val="none"/>
          <w:lang w:val="en-US" w:eastAsia="zh-CN"/>
        </w:rPr>
        <w:t>（合同一年一签）</w:t>
      </w:r>
    </w:p>
    <w:p w14:paraId="14EC3941">
      <w:pPr>
        <w:ind w:firstLine="241" w:firstLineChars="100"/>
        <w:rPr>
          <w:rFonts w:hint="eastAsia" w:ascii="仿宋" w:hAnsi="仿宋" w:eastAsia="仿宋" w:cs="仿宋"/>
          <w:color w:val="auto"/>
          <w:sz w:val="24"/>
          <w:szCs w:val="24"/>
          <w:highlight w:val="none"/>
          <w:lang w:val="en-US" w:eastAsia="zh-CN"/>
        </w:rPr>
      </w:pPr>
      <w:bookmarkStart w:id="40" w:name="_Toc17248"/>
      <w:r>
        <w:rPr>
          <w:rFonts w:hint="eastAsia" w:ascii="仿宋" w:hAnsi="仿宋" w:eastAsia="仿宋" w:cs="仿宋"/>
          <w:b/>
          <w:bCs/>
          <w:color w:val="auto"/>
          <w:sz w:val="24"/>
          <w:szCs w:val="24"/>
          <w:highlight w:val="none"/>
          <w:lang w:eastAsia="zh-CN"/>
        </w:rPr>
        <w:t>3.服务内容：</w:t>
      </w:r>
      <w:r>
        <w:rPr>
          <w:rFonts w:hint="eastAsia" w:ascii="仿宋" w:hAnsi="仿宋" w:eastAsia="仿宋" w:cs="仿宋"/>
          <w:color w:val="auto"/>
          <w:sz w:val="24"/>
          <w:szCs w:val="24"/>
          <w:highlight w:val="none"/>
          <w:lang w:val="en-US" w:eastAsia="zh-CN"/>
        </w:rPr>
        <w:t>根据南京市江宁区城管局生活垃圾调运相关要求，提升垃圾运输效率，配备外运设备，每日完成生活垃圾日清量169吨的清运工作，从禄口、铜山垃圾中转站运送至指定地点进行规范处理，垃圾运距分别为38公里、47公里，确保垃圾日产日清。</w:t>
      </w:r>
    </w:p>
    <w:p w14:paraId="2187AAF1">
      <w:pPr>
        <w:ind w:firstLine="241" w:firstLineChars="1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4.采购概况：</w:t>
      </w:r>
      <w:r>
        <w:rPr>
          <w:rFonts w:hint="eastAsia" w:ascii="仿宋" w:hAnsi="仿宋" w:eastAsia="仿宋" w:cs="仿宋"/>
          <w:color w:val="auto"/>
          <w:sz w:val="24"/>
          <w:szCs w:val="24"/>
          <w:highlight w:val="none"/>
          <w:lang w:eastAsia="zh-CN"/>
        </w:rPr>
        <w:t>本项目为</w:t>
      </w:r>
      <w:r>
        <w:rPr>
          <w:rFonts w:hint="eastAsia" w:ascii="仿宋" w:hAnsi="仿宋" w:eastAsia="仿宋" w:cs="仿宋"/>
          <w:color w:val="auto"/>
          <w:sz w:val="24"/>
          <w:szCs w:val="24"/>
          <w:highlight w:val="none"/>
          <w:lang w:val="en-US" w:eastAsia="zh-CN"/>
        </w:rPr>
        <w:t>禄口、铜山</w:t>
      </w:r>
      <w:r>
        <w:rPr>
          <w:rFonts w:hint="eastAsia" w:ascii="仿宋" w:hAnsi="仿宋" w:eastAsia="仿宋" w:cs="仿宋"/>
          <w:color w:val="auto"/>
          <w:sz w:val="24"/>
          <w:szCs w:val="24"/>
          <w:highlight w:val="none"/>
          <w:lang w:eastAsia="zh-CN"/>
        </w:rPr>
        <w:t>垃圾中转站生活垃圾外运，实施地点为</w:t>
      </w:r>
      <w:r>
        <w:rPr>
          <w:rFonts w:hint="eastAsia" w:ascii="仿宋" w:hAnsi="仿宋" w:eastAsia="仿宋" w:cs="仿宋"/>
          <w:color w:val="auto"/>
          <w:sz w:val="24"/>
          <w:szCs w:val="24"/>
          <w:highlight w:val="none"/>
          <w:lang w:val="en-US" w:eastAsia="zh-CN"/>
        </w:rPr>
        <w:t>禄口</w:t>
      </w:r>
      <w:r>
        <w:rPr>
          <w:rFonts w:hint="eastAsia" w:ascii="仿宋" w:hAnsi="仿宋" w:eastAsia="仿宋" w:cs="仿宋"/>
          <w:color w:val="auto"/>
          <w:sz w:val="24"/>
          <w:szCs w:val="24"/>
          <w:highlight w:val="none"/>
          <w:lang w:eastAsia="zh-CN"/>
        </w:rPr>
        <w:t>街道，因</w:t>
      </w:r>
      <w:r>
        <w:rPr>
          <w:rFonts w:hint="eastAsia" w:ascii="仿宋" w:hAnsi="仿宋" w:eastAsia="仿宋" w:cs="仿宋"/>
          <w:color w:val="auto"/>
          <w:sz w:val="24"/>
          <w:szCs w:val="24"/>
          <w:highlight w:val="none"/>
          <w:lang w:val="en-US" w:eastAsia="zh-CN"/>
        </w:rPr>
        <w:t>禄口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铜山</w:t>
      </w:r>
      <w:r>
        <w:rPr>
          <w:rFonts w:hint="eastAsia" w:ascii="仿宋" w:hAnsi="仿宋" w:eastAsia="仿宋" w:cs="仿宋"/>
          <w:color w:val="auto"/>
          <w:sz w:val="24"/>
          <w:szCs w:val="24"/>
          <w:highlight w:val="none"/>
          <w:lang w:eastAsia="zh-CN"/>
        </w:rPr>
        <w:t>垃圾中转站垃圾运力不足、外运滞后，根据南京市江宁区城管局生活垃圾调运相关要求，提升垃圾运输效率，配备外运设备，确保垃圾日产日清。</w:t>
      </w:r>
    </w:p>
    <w:p w14:paraId="4D7EA7E7">
      <w:pPr>
        <w:ind w:firstLine="241" w:firstLineChars="1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二、技术服务要求</w:t>
      </w:r>
    </w:p>
    <w:p w14:paraId="6296CCA6">
      <w:pPr>
        <w:ind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eastAsia="zh-CN"/>
        </w:rPr>
        <w:t>1、服务要求</w:t>
      </w:r>
    </w:p>
    <w:p w14:paraId="1EB26C4A">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每日完成生活垃圾的清运工作（生活垃圾约</w:t>
      </w:r>
      <w:r>
        <w:rPr>
          <w:rFonts w:hint="eastAsia" w:ascii="仿宋" w:hAnsi="仿宋" w:eastAsia="仿宋" w:cs="仿宋"/>
          <w:color w:val="auto"/>
          <w:sz w:val="24"/>
          <w:szCs w:val="24"/>
          <w:highlight w:val="none"/>
          <w:lang w:val="en-US" w:eastAsia="zh-CN"/>
        </w:rPr>
        <w:t>169吨/天</w:t>
      </w:r>
      <w:r>
        <w:rPr>
          <w:rFonts w:hint="eastAsia" w:ascii="仿宋" w:hAnsi="仿宋" w:eastAsia="仿宋" w:cs="仿宋"/>
          <w:color w:val="auto"/>
          <w:sz w:val="24"/>
          <w:szCs w:val="24"/>
          <w:highlight w:val="none"/>
          <w:lang w:eastAsia="zh-CN"/>
        </w:rPr>
        <w:t>），做到垃圾日产日清，委托清运的垃圾必须运送至指定地点进行规范处理（从</w:t>
      </w:r>
      <w:r>
        <w:rPr>
          <w:rFonts w:hint="eastAsia" w:ascii="仿宋" w:hAnsi="仿宋" w:eastAsia="仿宋" w:cs="仿宋"/>
          <w:color w:val="auto"/>
          <w:sz w:val="24"/>
          <w:szCs w:val="24"/>
          <w:highlight w:val="none"/>
          <w:lang w:val="en-US" w:eastAsia="zh-CN"/>
        </w:rPr>
        <w:t>禄口、铜山</w:t>
      </w:r>
      <w:r>
        <w:rPr>
          <w:rFonts w:hint="eastAsia" w:ascii="仿宋" w:hAnsi="仿宋" w:eastAsia="仿宋" w:cs="仿宋"/>
          <w:color w:val="auto"/>
          <w:sz w:val="24"/>
          <w:szCs w:val="24"/>
          <w:highlight w:val="none"/>
          <w:lang w:eastAsia="zh-CN"/>
        </w:rPr>
        <w:t>垃圾中转站运送至光大环保能源（南京）有限公司处理，路程</w:t>
      </w:r>
      <w:r>
        <w:rPr>
          <w:rFonts w:hint="eastAsia" w:ascii="仿宋" w:hAnsi="仿宋" w:eastAsia="仿宋" w:cs="仿宋"/>
          <w:color w:val="auto"/>
          <w:sz w:val="24"/>
          <w:szCs w:val="24"/>
          <w:highlight w:val="none"/>
          <w:lang w:val="en-US" w:eastAsia="zh-CN"/>
        </w:rPr>
        <w:t>分别为38公里、47公里</w:t>
      </w:r>
      <w:r>
        <w:rPr>
          <w:rFonts w:hint="eastAsia" w:ascii="仿宋" w:hAnsi="仿宋" w:eastAsia="仿宋" w:cs="仿宋"/>
          <w:color w:val="auto"/>
          <w:sz w:val="24"/>
          <w:szCs w:val="24"/>
          <w:highlight w:val="none"/>
          <w:lang w:eastAsia="zh-CN"/>
        </w:rPr>
        <w:t>，不得未经处理随意倾倒。</w:t>
      </w:r>
    </w:p>
    <w:p w14:paraId="746141B5">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）清运过程中应采取有效措施保持箱体密闭，防止在运输途中抛洒滴漏，若发生抛洒滴漏现象，须及时将现场清理干净。</w:t>
      </w:r>
    </w:p>
    <w:p w14:paraId="47C47532">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）清运后不得有“漏渣、落渣”现象，清运完毕后需将垃圾压缩箱归至指定位置。</w:t>
      </w:r>
    </w:p>
    <w:p w14:paraId="2F640B0C">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）垃圾清运工作时应做到安全、有序，自觉遵守各项安全管理规章制度，严禁违规操作。</w:t>
      </w:r>
    </w:p>
    <w:p w14:paraId="080B2094">
      <w:pPr>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、安全管理</w:t>
      </w:r>
    </w:p>
    <w:p w14:paraId="3EB2831A">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）驾驶员工作期间严禁饮酒驾驶、疲劳驾驶（</w:t>
      </w:r>
      <w:r>
        <w:rPr>
          <w:rFonts w:hint="eastAsia" w:ascii="仿宋" w:hAnsi="仿宋" w:eastAsia="仿宋" w:cs="仿宋"/>
          <w:color w:val="auto"/>
          <w:sz w:val="24"/>
          <w:szCs w:val="24"/>
          <w:highlight w:val="none"/>
          <w:lang w:val="en-US" w:eastAsia="zh-CN"/>
        </w:rPr>
        <w:t>服用类似感冒药等助眠药物的</w:t>
      </w:r>
      <w:r>
        <w:rPr>
          <w:rFonts w:hint="eastAsia" w:ascii="仿宋" w:hAnsi="仿宋" w:eastAsia="仿宋" w:cs="仿宋"/>
          <w:color w:val="auto"/>
          <w:sz w:val="24"/>
          <w:szCs w:val="24"/>
          <w:highlight w:val="none"/>
          <w:lang w:eastAsia="zh-CN"/>
        </w:rPr>
        <w:t>严禁上车操作），</w:t>
      </w:r>
      <w:r>
        <w:rPr>
          <w:rFonts w:hint="eastAsia" w:ascii="仿宋" w:hAnsi="仿宋" w:eastAsia="仿宋" w:cs="仿宋"/>
          <w:color w:val="auto"/>
          <w:sz w:val="24"/>
          <w:szCs w:val="24"/>
          <w:highlight w:val="none"/>
          <w:lang w:val="en-US" w:eastAsia="zh-CN"/>
        </w:rPr>
        <w:t>不得驾车时玩手机，抽烟，开斗气车等危险驾驶行为。遵守《中华人民共和国道路交通安全法》，环卫作业特殊条款（如作业车辆限速、警示标志设置要求等）</w:t>
      </w:r>
      <w:r>
        <w:rPr>
          <w:rFonts w:hint="eastAsia" w:ascii="仿宋" w:hAnsi="仿宋" w:eastAsia="仿宋" w:cs="仿宋"/>
          <w:color w:val="auto"/>
          <w:sz w:val="24"/>
          <w:szCs w:val="24"/>
          <w:highlight w:val="none"/>
          <w:lang w:eastAsia="zh-CN"/>
        </w:rPr>
        <w:t>，规范车辆设备操作，做好车辆年检、维修保养。</w:t>
      </w:r>
    </w:p>
    <w:p w14:paraId="7F663116">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）如遇冰冻天气，做好安全驾驶，人员培训，对车辆加装防滑链等设施，对车身积雪进行清理，确保安全行车。</w:t>
      </w:r>
    </w:p>
    <w:p w14:paraId="453EA45A">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）如遇交通事故，第一时间联系交警队，并向街道清管所上报，严格按照交通法进行处理。</w:t>
      </w:r>
    </w:p>
    <w:p w14:paraId="6FF9A789">
      <w:pPr>
        <w:keepNext w:val="0"/>
        <w:keepLines w:val="0"/>
        <w:pageBreakBefore w:val="0"/>
        <w:widowControl w:val="0"/>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）管理人员需密切保持与公司和街道清管所的沟通，每月需对驾驶员和操作工人进行安全生产培训并做好记录。</w:t>
      </w:r>
    </w:p>
    <w:p w14:paraId="5E88E504">
      <w:pPr>
        <w:keepNext w:val="0"/>
        <w:keepLines w:val="0"/>
        <w:pageBreakBefore w:val="0"/>
        <w:widowControl w:val="0"/>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）在作业过程中发生的一切交通事故、安全生产事故均由服务方自行承担。</w:t>
      </w:r>
    </w:p>
    <w:p w14:paraId="2E449E96">
      <w:pPr>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、其他要求</w:t>
      </w:r>
    </w:p>
    <w:p w14:paraId="674BB368">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（1）做好车辆日常管理，不得在车内摆放贵重物品，车辆作业完毕后关闭发动机、大灯，钥匙不得滞留在车上；</w:t>
      </w:r>
    </w:p>
    <w:p w14:paraId="323AAC11">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）所有作业车辆需保持车容车貌整洁，每日对垃圾压缩车及箱体进行清洗消杀，车辆标识缺失损坏的需及时进行更换。严禁车辆少油作业，造成车辆故障或耽误工作效率。</w:t>
      </w:r>
    </w:p>
    <w:p w14:paraId="37FCB321">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）项目实施全周期内，供应商须配置自有产权的移动式联体压缩箱8个、确保满足本项目清运处置需求，服务周期结束产权归属街道。</w:t>
      </w:r>
    </w:p>
    <w:p w14:paraId="145A181F">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乙方必须服从甲方指挥管理，甲方安排督查人员对乙方承包范围内的工作进行督查考核，考核检查项目采取扣分制，凡是检查考核不符合标准或问题处理不及时，将每月检查结果进行汇总，以付款周期为准，平均分在9</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分及以上的为优、平均分在80—</w:t>
      </w:r>
      <w:r>
        <w:rPr>
          <w:rFonts w:hint="eastAsia" w:ascii="仿宋" w:hAnsi="仿宋" w:eastAsia="仿宋" w:cs="仿宋"/>
          <w:color w:val="auto"/>
          <w:sz w:val="24"/>
          <w:szCs w:val="24"/>
          <w:highlight w:val="none"/>
          <w:lang w:val="en-US" w:eastAsia="zh-CN"/>
        </w:rPr>
        <w:t>89</w:t>
      </w:r>
      <w:r>
        <w:rPr>
          <w:rFonts w:hint="eastAsia" w:ascii="仿宋" w:hAnsi="仿宋" w:eastAsia="仿宋" w:cs="仿宋"/>
          <w:color w:val="auto"/>
          <w:sz w:val="24"/>
          <w:szCs w:val="24"/>
          <w:highlight w:val="none"/>
          <w:lang w:eastAsia="zh-CN"/>
        </w:rPr>
        <w:t>分的为良好、平均分在</w:t>
      </w:r>
      <w:r>
        <w:rPr>
          <w:rFonts w:hint="eastAsia" w:ascii="仿宋" w:hAnsi="仿宋" w:eastAsia="仿宋" w:cs="仿宋"/>
          <w:color w:val="auto"/>
          <w:sz w:val="24"/>
          <w:szCs w:val="24"/>
          <w:highlight w:val="none"/>
          <w:lang w:val="en-US" w:eastAsia="zh-CN"/>
        </w:rPr>
        <w:t>70—79</w:t>
      </w:r>
      <w:r>
        <w:rPr>
          <w:rFonts w:hint="eastAsia" w:ascii="仿宋" w:hAnsi="仿宋" w:eastAsia="仿宋" w:cs="仿宋"/>
          <w:color w:val="auto"/>
          <w:sz w:val="24"/>
          <w:szCs w:val="24"/>
          <w:highlight w:val="none"/>
          <w:lang w:eastAsia="zh-CN"/>
        </w:rPr>
        <w:t>分的为</w:t>
      </w:r>
      <w:r>
        <w:rPr>
          <w:rFonts w:hint="eastAsia" w:ascii="仿宋" w:hAnsi="仿宋" w:eastAsia="仿宋" w:cs="仿宋"/>
          <w:color w:val="auto"/>
          <w:sz w:val="24"/>
          <w:szCs w:val="24"/>
          <w:highlight w:val="none"/>
          <w:lang w:val="en-US" w:eastAsia="zh-CN"/>
        </w:rPr>
        <w:t>中、平均分在70分以下为差，</w:t>
      </w:r>
      <w:r>
        <w:rPr>
          <w:rFonts w:hint="eastAsia" w:ascii="仿宋" w:hAnsi="仿宋" w:eastAsia="仿宋" w:cs="仿宋"/>
          <w:color w:val="auto"/>
          <w:sz w:val="24"/>
          <w:szCs w:val="24"/>
          <w:highlight w:val="none"/>
          <w:lang w:eastAsia="zh-CN"/>
        </w:rPr>
        <w:t>优按100%进行付款，良好按</w:t>
      </w:r>
      <w:r>
        <w:rPr>
          <w:rFonts w:hint="eastAsia" w:ascii="仿宋" w:hAnsi="仿宋" w:eastAsia="仿宋" w:cs="仿宋"/>
          <w:color w:val="auto"/>
          <w:sz w:val="24"/>
          <w:szCs w:val="24"/>
          <w:highlight w:val="none"/>
          <w:lang w:val="en-US" w:eastAsia="zh-CN"/>
        </w:rPr>
        <w:t>98</w:t>
      </w:r>
      <w:r>
        <w:rPr>
          <w:rFonts w:hint="eastAsia" w:ascii="仿宋" w:hAnsi="仿宋" w:eastAsia="仿宋" w:cs="仿宋"/>
          <w:color w:val="auto"/>
          <w:sz w:val="24"/>
          <w:szCs w:val="24"/>
          <w:highlight w:val="none"/>
          <w:lang w:eastAsia="zh-CN"/>
        </w:rPr>
        <w:t>%进行付款，</w:t>
      </w:r>
      <w:r>
        <w:rPr>
          <w:rFonts w:hint="eastAsia" w:ascii="仿宋" w:hAnsi="仿宋" w:eastAsia="仿宋" w:cs="仿宋"/>
          <w:color w:val="auto"/>
          <w:sz w:val="24"/>
          <w:szCs w:val="24"/>
          <w:highlight w:val="none"/>
          <w:lang w:val="en-US" w:eastAsia="zh-CN"/>
        </w:rPr>
        <w:t>中按95%进行付款，</w:t>
      </w:r>
      <w:r>
        <w:rPr>
          <w:rFonts w:hint="eastAsia" w:ascii="仿宋" w:hAnsi="仿宋" w:eastAsia="仿宋" w:cs="仿宋"/>
          <w:color w:val="auto"/>
          <w:sz w:val="24"/>
          <w:szCs w:val="24"/>
          <w:highlight w:val="none"/>
          <w:lang w:eastAsia="zh-CN"/>
        </w:rPr>
        <w:t>差按照</w:t>
      </w:r>
      <w:r>
        <w:rPr>
          <w:rFonts w:hint="eastAsia" w:ascii="仿宋" w:hAnsi="仿宋" w:eastAsia="仿宋" w:cs="仿宋"/>
          <w:color w:val="auto"/>
          <w:sz w:val="24"/>
          <w:szCs w:val="24"/>
          <w:highlight w:val="none"/>
          <w:lang w:val="en-US" w:eastAsia="zh-CN"/>
        </w:rPr>
        <w:t>90</w:t>
      </w:r>
      <w:r>
        <w:rPr>
          <w:rFonts w:hint="eastAsia" w:ascii="仿宋" w:hAnsi="仿宋" w:eastAsia="仿宋" w:cs="仿宋"/>
          <w:color w:val="auto"/>
          <w:sz w:val="24"/>
          <w:szCs w:val="24"/>
          <w:highlight w:val="none"/>
          <w:lang w:eastAsia="zh-CN"/>
        </w:rPr>
        <w:t>%进行付款，如连续3个月考评分低于70分，可考虑对该项目进行重新评估。</w:t>
      </w:r>
    </w:p>
    <w:p w14:paraId="58808305">
      <w:pPr>
        <w:pStyle w:val="3"/>
        <w:spacing w:before="0" w:after="0" w:line="360" w:lineRule="auto"/>
        <w:ind w:firstLine="240" w:firstLineChars="100"/>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考核标准</w:t>
      </w:r>
    </w:p>
    <w:tbl>
      <w:tblPr>
        <w:tblStyle w:val="39"/>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2451"/>
        <w:gridCol w:w="4272"/>
        <w:gridCol w:w="744"/>
        <w:gridCol w:w="691"/>
      </w:tblGrid>
      <w:tr w14:paraId="22B9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23" w:type="dxa"/>
            <w:noWrap w:val="0"/>
            <w:vAlign w:val="center"/>
          </w:tcPr>
          <w:p w14:paraId="2EA76DF7">
            <w:pPr>
              <w:spacing w:line="280" w:lineRule="exact"/>
              <w:jc w:val="center"/>
              <w:rPr>
                <w:b/>
                <w:bCs/>
                <w:color w:val="auto"/>
                <w:szCs w:val="21"/>
                <w:highlight w:val="none"/>
              </w:rPr>
            </w:pPr>
            <w:r>
              <w:rPr>
                <w:rFonts w:hint="eastAsia"/>
                <w:b/>
                <w:bCs/>
                <w:color w:val="auto"/>
                <w:szCs w:val="21"/>
                <w:highlight w:val="none"/>
              </w:rPr>
              <w:t>服务项目</w:t>
            </w:r>
          </w:p>
        </w:tc>
        <w:tc>
          <w:tcPr>
            <w:tcW w:w="2451" w:type="dxa"/>
            <w:noWrap w:val="0"/>
            <w:vAlign w:val="center"/>
          </w:tcPr>
          <w:p w14:paraId="72DE0A85">
            <w:pPr>
              <w:spacing w:line="280" w:lineRule="exact"/>
              <w:jc w:val="center"/>
              <w:rPr>
                <w:b/>
                <w:bCs/>
                <w:color w:val="auto"/>
                <w:szCs w:val="21"/>
                <w:highlight w:val="none"/>
              </w:rPr>
            </w:pPr>
            <w:r>
              <w:rPr>
                <w:rFonts w:hint="eastAsia"/>
                <w:b/>
                <w:bCs/>
                <w:color w:val="auto"/>
                <w:szCs w:val="21"/>
                <w:highlight w:val="none"/>
              </w:rPr>
              <w:t>应达到的要求</w:t>
            </w:r>
          </w:p>
        </w:tc>
        <w:tc>
          <w:tcPr>
            <w:tcW w:w="4272" w:type="dxa"/>
            <w:noWrap w:val="0"/>
            <w:vAlign w:val="center"/>
          </w:tcPr>
          <w:p w14:paraId="1B904993">
            <w:pPr>
              <w:spacing w:line="280" w:lineRule="exact"/>
              <w:jc w:val="center"/>
              <w:rPr>
                <w:b/>
                <w:bCs/>
                <w:color w:val="auto"/>
                <w:szCs w:val="21"/>
                <w:highlight w:val="none"/>
              </w:rPr>
            </w:pPr>
            <w:r>
              <w:rPr>
                <w:rFonts w:hint="eastAsia"/>
                <w:b/>
                <w:bCs/>
                <w:color w:val="auto"/>
                <w:szCs w:val="21"/>
                <w:highlight w:val="none"/>
              </w:rPr>
              <w:t>考核标准</w:t>
            </w:r>
          </w:p>
        </w:tc>
        <w:tc>
          <w:tcPr>
            <w:tcW w:w="744" w:type="dxa"/>
            <w:noWrap w:val="0"/>
            <w:vAlign w:val="center"/>
          </w:tcPr>
          <w:p w14:paraId="5F29067D">
            <w:pPr>
              <w:spacing w:line="280" w:lineRule="exact"/>
              <w:jc w:val="center"/>
              <w:rPr>
                <w:b/>
                <w:bCs/>
                <w:color w:val="auto"/>
                <w:szCs w:val="21"/>
                <w:highlight w:val="none"/>
              </w:rPr>
            </w:pPr>
            <w:r>
              <w:rPr>
                <w:rFonts w:hint="eastAsia"/>
                <w:b/>
                <w:bCs/>
                <w:color w:val="auto"/>
                <w:szCs w:val="21"/>
                <w:highlight w:val="none"/>
              </w:rPr>
              <w:t>本月得分</w:t>
            </w:r>
          </w:p>
        </w:tc>
        <w:tc>
          <w:tcPr>
            <w:tcW w:w="691" w:type="dxa"/>
            <w:noWrap w:val="0"/>
            <w:vAlign w:val="center"/>
          </w:tcPr>
          <w:p w14:paraId="12FCA2F7">
            <w:pPr>
              <w:spacing w:line="280" w:lineRule="exact"/>
              <w:jc w:val="center"/>
              <w:rPr>
                <w:b/>
                <w:bCs/>
                <w:color w:val="auto"/>
                <w:szCs w:val="21"/>
                <w:highlight w:val="none"/>
              </w:rPr>
            </w:pPr>
            <w:r>
              <w:rPr>
                <w:rFonts w:hint="eastAsia"/>
                <w:b/>
                <w:bCs/>
                <w:color w:val="auto"/>
                <w:szCs w:val="21"/>
                <w:highlight w:val="none"/>
              </w:rPr>
              <w:t>扣分原因</w:t>
            </w:r>
          </w:p>
        </w:tc>
      </w:tr>
      <w:tr w14:paraId="0136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1323" w:type="dxa"/>
            <w:vMerge w:val="restart"/>
            <w:noWrap w:val="0"/>
            <w:vAlign w:val="center"/>
          </w:tcPr>
          <w:p w14:paraId="3E945CC5">
            <w:pPr>
              <w:spacing w:line="360" w:lineRule="auto"/>
              <w:jc w:val="center"/>
              <w:rPr>
                <w:b/>
                <w:bCs/>
                <w:color w:val="auto"/>
                <w:szCs w:val="21"/>
                <w:highlight w:val="none"/>
              </w:rPr>
            </w:pPr>
            <w:r>
              <w:rPr>
                <w:rFonts w:hint="eastAsia"/>
                <w:b/>
                <w:bCs/>
                <w:color w:val="auto"/>
                <w:szCs w:val="21"/>
                <w:highlight w:val="none"/>
              </w:rPr>
              <w:t>组织管理</w:t>
            </w:r>
          </w:p>
          <w:p w14:paraId="077034CC">
            <w:pPr>
              <w:spacing w:line="360" w:lineRule="auto"/>
              <w:jc w:val="center"/>
              <w:rPr>
                <w:b/>
                <w:bCs/>
                <w:color w:val="auto"/>
                <w:szCs w:val="21"/>
                <w:highlight w:val="none"/>
              </w:rPr>
            </w:pPr>
            <w:r>
              <w:rPr>
                <w:rFonts w:hint="eastAsia"/>
                <w:b/>
                <w:bCs/>
                <w:color w:val="auto"/>
                <w:szCs w:val="21"/>
                <w:highlight w:val="none"/>
              </w:rPr>
              <w:t>（30分）</w:t>
            </w:r>
          </w:p>
        </w:tc>
        <w:tc>
          <w:tcPr>
            <w:tcW w:w="2451" w:type="dxa"/>
            <w:noWrap w:val="0"/>
            <w:vAlign w:val="center"/>
          </w:tcPr>
          <w:p w14:paraId="3E527646">
            <w:pPr>
              <w:spacing w:line="360" w:lineRule="auto"/>
              <w:jc w:val="center"/>
              <w:rPr>
                <w:color w:val="auto"/>
                <w:szCs w:val="21"/>
                <w:highlight w:val="none"/>
              </w:rPr>
            </w:pPr>
            <w:r>
              <w:rPr>
                <w:rFonts w:hint="eastAsia"/>
                <w:color w:val="auto"/>
                <w:szCs w:val="21"/>
                <w:highlight w:val="none"/>
              </w:rPr>
              <w:t>积极配合工作要求，并按要求进行整改</w:t>
            </w:r>
          </w:p>
        </w:tc>
        <w:tc>
          <w:tcPr>
            <w:tcW w:w="4272" w:type="dxa"/>
            <w:noWrap w:val="0"/>
            <w:vAlign w:val="center"/>
          </w:tcPr>
          <w:p w14:paraId="3D406558">
            <w:pPr>
              <w:spacing w:line="360" w:lineRule="auto"/>
              <w:jc w:val="both"/>
              <w:rPr>
                <w:color w:val="auto"/>
                <w:szCs w:val="21"/>
                <w:highlight w:val="none"/>
              </w:rPr>
            </w:pPr>
            <w:r>
              <w:rPr>
                <w:rFonts w:hint="eastAsia"/>
                <w:color w:val="auto"/>
                <w:szCs w:val="21"/>
                <w:highlight w:val="none"/>
              </w:rPr>
              <w:t>1、不积极配合</w:t>
            </w:r>
            <w:r>
              <w:rPr>
                <w:rFonts w:hint="eastAsia"/>
                <w:color w:val="auto"/>
                <w:szCs w:val="21"/>
                <w:highlight w:val="none"/>
                <w:lang w:val="en-US" w:eastAsia="zh-CN"/>
              </w:rPr>
              <w:t>甲</w:t>
            </w:r>
            <w:r>
              <w:rPr>
                <w:rFonts w:hint="eastAsia"/>
                <w:color w:val="auto"/>
                <w:szCs w:val="21"/>
                <w:highlight w:val="none"/>
              </w:rPr>
              <w:t>方</w:t>
            </w:r>
            <w:r>
              <w:rPr>
                <w:rFonts w:hint="eastAsia"/>
                <w:color w:val="auto"/>
                <w:szCs w:val="21"/>
                <w:highlight w:val="none"/>
              </w:rPr>
              <w:t>工作，消极对待或不理睬的每次扣</w:t>
            </w:r>
            <w:r>
              <w:rPr>
                <w:rFonts w:hint="eastAsia"/>
                <w:color w:val="auto"/>
                <w:szCs w:val="21"/>
                <w:highlight w:val="none"/>
                <w:lang w:val="en-US"/>
              </w:rPr>
              <w:t>5</w:t>
            </w:r>
            <w:r>
              <w:rPr>
                <w:rFonts w:hint="eastAsia"/>
                <w:color w:val="auto"/>
                <w:szCs w:val="21"/>
                <w:highlight w:val="none"/>
              </w:rPr>
              <w:t>分；</w:t>
            </w:r>
          </w:p>
          <w:p w14:paraId="7C69495B">
            <w:pPr>
              <w:spacing w:line="360" w:lineRule="auto"/>
              <w:jc w:val="both"/>
              <w:rPr>
                <w:color w:val="auto"/>
                <w:szCs w:val="21"/>
                <w:highlight w:val="none"/>
              </w:rPr>
            </w:pPr>
            <w:r>
              <w:rPr>
                <w:rFonts w:hint="eastAsia"/>
                <w:color w:val="auto"/>
                <w:szCs w:val="21"/>
                <w:highlight w:val="none"/>
              </w:rPr>
              <w:t>2、无理由不按要求进行整改或不在规定时间内进行整改的每次扣</w:t>
            </w:r>
            <w:r>
              <w:rPr>
                <w:rFonts w:hint="eastAsia"/>
                <w:color w:val="auto"/>
                <w:szCs w:val="21"/>
                <w:highlight w:val="none"/>
                <w:lang w:val="en-US"/>
              </w:rPr>
              <w:t>5</w:t>
            </w:r>
            <w:r>
              <w:rPr>
                <w:rFonts w:hint="eastAsia"/>
                <w:color w:val="auto"/>
                <w:szCs w:val="21"/>
                <w:highlight w:val="none"/>
              </w:rPr>
              <w:t>分。</w:t>
            </w:r>
          </w:p>
        </w:tc>
        <w:tc>
          <w:tcPr>
            <w:tcW w:w="744" w:type="dxa"/>
            <w:vMerge w:val="restart"/>
            <w:noWrap w:val="0"/>
            <w:vAlign w:val="center"/>
          </w:tcPr>
          <w:p w14:paraId="621620F7">
            <w:pPr>
              <w:spacing w:line="280" w:lineRule="exact"/>
              <w:jc w:val="center"/>
              <w:rPr>
                <w:color w:val="auto"/>
                <w:szCs w:val="21"/>
                <w:highlight w:val="none"/>
              </w:rPr>
            </w:pPr>
          </w:p>
        </w:tc>
        <w:tc>
          <w:tcPr>
            <w:tcW w:w="691" w:type="dxa"/>
            <w:vMerge w:val="restart"/>
            <w:noWrap w:val="0"/>
            <w:vAlign w:val="center"/>
          </w:tcPr>
          <w:p w14:paraId="39BF2811">
            <w:pPr>
              <w:spacing w:line="280" w:lineRule="exact"/>
              <w:jc w:val="center"/>
              <w:rPr>
                <w:color w:val="auto"/>
                <w:szCs w:val="21"/>
                <w:highlight w:val="none"/>
              </w:rPr>
            </w:pPr>
          </w:p>
        </w:tc>
      </w:tr>
      <w:tr w14:paraId="7AF3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323" w:type="dxa"/>
            <w:vMerge w:val="continue"/>
            <w:noWrap w:val="0"/>
            <w:vAlign w:val="center"/>
          </w:tcPr>
          <w:p w14:paraId="395AFF44">
            <w:pPr>
              <w:spacing w:line="360" w:lineRule="auto"/>
              <w:jc w:val="center"/>
              <w:rPr>
                <w:b/>
                <w:bCs/>
                <w:color w:val="auto"/>
                <w:szCs w:val="21"/>
                <w:highlight w:val="none"/>
              </w:rPr>
            </w:pPr>
          </w:p>
        </w:tc>
        <w:tc>
          <w:tcPr>
            <w:tcW w:w="2451" w:type="dxa"/>
            <w:noWrap w:val="0"/>
            <w:vAlign w:val="center"/>
          </w:tcPr>
          <w:p w14:paraId="5058A00A">
            <w:pPr>
              <w:spacing w:line="360" w:lineRule="auto"/>
              <w:jc w:val="center"/>
              <w:rPr>
                <w:color w:val="auto"/>
                <w:szCs w:val="21"/>
                <w:highlight w:val="none"/>
              </w:rPr>
            </w:pPr>
            <w:r>
              <w:rPr>
                <w:rFonts w:hint="eastAsia"/>
                <w:color w:val="auto"/>
                <w:szCs w:val="21"/>
                <w:highlight w:val="none"/>
              </w:rPr>
              <w:t>精心组织，合理安排，人员按协议全部到位，且人员相对固定，设备到位且正常使用</w:t>
            </w:r>
          </w:p>
        </w:tc>
        <w:tc>
          <w:tcPr>
            <w:tcW w:w="4272" w:type="dxa"/>
            <w:noWrap w:val="0"/>
            <w:vAlign w:val="center"/>
          </w:tcPr>
          <w:p w14:paraId="18539CAD">
            <w:pPr>
              <w:spacing w:line="360" w:lineRule="auto"/>
              <w:jc w:val="both"/>
              <w:rPr>
                <w:color w:val="auto"/>
                <w:szCs w:val="21"/>
                <w:highlight w:val="none"/>
              </w:rPr>
            </w:pPr>
            <w:r>
              <w:rPr>
                <w:rFonts w:hint="eastAsia"/>
                <w:color w:val="auto"/>
                <w:szCs w:val="21"/>
                <w:highlight w:val="none"/>
              </w:rPr>
              <w:t>1、管理混乱，人员未到岗，连续3天无明显改善的每次扣</w:t>
            </w:r>
            <w:r>
              <w:rPr>
                <w:rFonts w:hint="eastAsia"/>
                <w:color w:val="auto"/>
                <w:szCs w:val="21"/>
                <w:highlight w:val="none"/>
                <w:lang w:val="en-US"/>
              </w:rPr>
              <w:t>5</w:t>
            </w:r>
            <w:r>
              <w:rPr>
                <w:rFonts w:hint="eastAsia"/>
                <w:color w:val="auto"/>
                <w:szCs w:val="21"/>
                <w:highlight w:val="none"/>
              </w:rPr>
              <w:t>分；</w:t>
            </w:r>
          </w:p>
          <w:p w14:paraId="69E1F6B0">
            <w:pPr>
              <w:spacing w:line="360" w:lineRule="auto"/>
              <w:jc w:val="both"/>
              <w:rPr>
                <w:color w:val="auto"/>
                <w:szCs w:val="21"/>
                <w:highlight w:val="none"/>
              </w:rPr>
            </w:pPr>
            <w:r>
              <w:rPr>
                <w:rFonts w:hint="eastAsia"/>
                <w:color w:val="auto"/>
                <w:szCs w:val="21"/>
                <w:highlight w:val="none"/>
              </w:rPr>
              <w:t>2、人员缺编，每天少1人扣2分，以此类推；</w:t>
            </w:r>
          </w:p>
          <w:p w14:paraId="3254270C">
            <w:pPr>
              <w:spacing w:line="360" w:lineRule="auto"/>
              <w:jc w:val="both"/>
              <w:rPr>
                <w:color w:val="auto"/>
                <w:szCs w:val="21"/>
                <w:highlight w:val="none"/>
              </w:rPr>
            </w:pPr>
            <w:r>
              <w:rPr>
                <w:rFonts w:hint="eastAsia"/>
                <w:color w:val="auto"/>
                <w:szCs w:val="21"/>
                <w:highlight w:val="none"/>
              </w:rPr>
              <w:t>3、设备不足或不能正常使用，每发现1次扣5分；</w:t>
            </w:r>
          </w:p>
        </w:tc>
        <w:tc>
          <w:tcPr>
            <w:tcW w:w="744" w:type="dxa"/>
            <w:vMerge w:val="continue"/>
            <w:noWrap w:val="0"/>
            <w:vAlign w:val="center"/>
          </w:tcPr>
          <w:p w14:paraId="592E7395">
            <w:pPr>
              <w:spacing w:line="280" w:lineRule="exact"/>
              <w:jc w:val="center"/>
              <w:rPr>
                <w:color w:val="auto"/>
                <w:szCs w:val="21"/>
                <w:highlight w:val="none"/>
              </w:rPr>
            </w:pPr>
          </w:p>
        </w:tc>
        <w:tc>
          <w:tcPr>
            <w:tcW w:w="691" w:type="dxa"/>
            <w:vMerge w:val="continue"/>
            <w:noWrap w:val="0"/>
            <w:vAlign w:val="center"/>
          </w:tcPr>
          <w:p w14:paraId="4E96952A">
            <w:pPr>
              <w:spacing w:line="280" w:lineRule="exact"/>
              <w:jc w:val="center"/>
              <w:rPr>
                <w:color w:val="auto"/>
                <w:szCs w:val="21"/>
                <w:highlight w:val="none"/>
              </w:rPr>
            </w:pPr>
          </w:p>
        </w:tc>
      </w:tr>
      <w:tr w14:paraId="0574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323" w:type="dxa"/>
            <w:vMerge w:val="continue"/>
            <w:noWrap w:val="0"/>
            <w:vAlign w:val="center"/>
          </w:tcPr>
          <w:p w14:paraId="7C77868E">
            <w:pPr>
              <w:spacing w:line="360" w:lineRule="auto"/>
              <w:jc w:val="center"/>
              <w:rPr>
                <w:b/>
                <w:bCs/>
                <w:color w:val="auto"/>
                <w:szCs w:val="21"/>
                <w:highlight w:val="none"/>
              </w:rPr>
            </w:pPr>
          </w:p>
        </w:tc>
        <w:tc>
          <w:tcPr>
            <w:tcW w:w="2451" w:type="dxa"/>
            <w:noWrap w:val="0"/>
            <w:vAlign w:val="center"/>
          </w:tcPr>
          <w:p w14:paraId="16A65A46">
            <w:pPr>
              <w:spacing w:line="360" w:lineRule="auto"/>
              <w:jc w:val="center"/>
              <w:rPr>
                <w:color w:val="auto"/>
                <w:szCs w:val="21"/>
                <w:highlight w:val="none"/>
              </w:rPr>
            </w:pPr>
            <w:r>
              <w:rPr>
                <w:rFonts w:hint="eastAsia"/>
                <w:color w:val="auto"/>
                <w:szCs w:val="21"/>
                <w:highlight w:val="none"/>
              </w:rPr>
              <w:t>对甲方一些特殊事件需乙方调整人员进行配合的，乙方应积极配合</w:t>
            </w:r>
          </w:p>
        </w:tc>
        <w:tc>
          <w:tcPr>
            <w:tcW w:w="4272" w:type="dxa"/>
            <w:noWrap w:val="0"/>
            <w:vAlign w:val="center"/>
          </w:tcPr>
          <w:p w14:paraId="17DE9F86">
            <w:pPr>
              <w:spacing w:line="360" w:lineRule="auto"/>
              <w:jc w:val="both"/>
              <w:rPr>
                <w:color w:val="auto"/>
                <w:szCs w:val="21"/>
                <w:highlight w:val="none"/>
              </w:rPr>
            </w:pPr>
            <w:r>
              <w:rPr>
                <w:rFonts w:hint="eastAsia"/>
                <w:color w:val="auto"/>
                <w:szCs w:val="21"/>
                <w:highlight w:val="none"/>
              </w:rPr>
              <w:t>1、不配合的每次扣5分；</w:t>
            </w:r>
          </w:p>
          <w:p w14:paraId="7D948805">
            <w:pPr>
              <w:spacing w:line="360" w:lineRule="auto"/>
              <w:jc w:val="both"/>
              <w:rPr>
                <w:color w:val="auto"/>
                <w:szCs w:val="21"/>
                <w:highlight w:val="none"/>
              </w:rPr>
            </w:pPr>
            <w:r>
              <w:rPr>
                <w:rFonts w:hint="eastAsia"/>
                <w:color w:val="auto"/>
                <w:szCs w:val="21"/>
                <w:highlight w:val="none"/>
              </w:rPr>
              <w:t>2、配合不到位的每次扣5分。</w:t>
            </w:r>
          </w:p>
        </w:tc>
        <w:tc>
          <w:tcPr>
            <w:tcW w:w="744" w:type="dxa"/>
            <w:vMerge w:val="continue"/>
            <w:noWrap w:val="0"/>
            <w:vAlign w:val="center"/>
          </w:tcPr>
          <w:p w14:paraId="22EBBC7E">
            <w:pPr>
              <w:spacing w:line="280" w:lineRule="exact"/>
              <w:jc w:val="center"/>
              <w:rPr>
                <w:color w:val="auto"/>
                <w:szCs w:val="21"/>
                <w:highlight w:val="none"/>
              </w:rPr>
            </w:pPr>
          </w:p>
        </w:tc>
        <w:tc>
          <w:tcPr>
            <w:tcW w:w="691" w:type="dxa"/>
            <w:vMerge w:val="continue"/>
            <w:noWrap w:val="0"/>
            <w:vAlign w:val="center"/>
          </w:tcPr>
          <w:p w14:paraId="2EB1EF5F">
            <w:pPr>
              <w:spacing w:line="280" w:lineRule="exact"/>
              <w:jc w:val="center"/>
              <w:rPr>
                <w:color w:val="auto"/>
                <w:szCs w:val="21"/>
                <w:highlight w:val="none"/>
              </w:rPr>
            </w:pPr>
          </w:p>
        </w:tc>
      </w:tr>
      <w:tr w14:paraId="036AF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1323" w:type="dxa"/>
            <w:vMerge w:val="restart"/>
            <w:noWrap w:val="0"/>
            <w:vAlign w:val="center"/>
          </w:tcPr>
          <w:p w14:paraId="2B78AB92">
            <w:pPr>
              <w:spacing w:line="360" w:lineRule="auto"/>
              <w:jc w:val="center"/>
              <w:rPr>
                <w:b/>
                <w:bCs/>
                <w:color w:val="auto"/>
                <w:szCs w:val="21"/>
                <w:highlight w:val="none"/>
              </w:rPr>
            </w:pPr>
            <w:r>
              <w:rPr>
                <w:rFonts w:hint="eastAsia"/>
                <w:b/>
                <w:bCs/>
                <w:color w:val="auto"/>
                <w:szCs w:val="21"/>
                <w:highlight w:val="none"/>
              </w:rPr>
              <w:t>车辆管理（30分）</w:t>
            </w:r>
          </w:p>
        </w:tc>
        <w:tc>
          <w:tcPr>
            <w:tcW w:w="2451" w:type="dxa"/>
            <w:noWrap w:val="0"/>
            <w:vAlign w:val="center"/>
          </w:tcPr>
          <w:p w14:paraId="60970ACD">
            <w:pPr>
              <w:spacing w:line="360" w:lineRule="auto"/>
              <w:jc w:val="center"/>
              <w:rPr>
                <w:color w:val="auto"/>
                <w:szCs w:val="21"/>
                <w:highlight w:val="none"/>
              </w:rPr>
            </w:pPr>
            <w:r>
              <w:rPr>
                <w:rFonts w:hint="eastAsia"/>
                <w:color w:val="auto"/>
                <w:szCs w:val="21"/>
                <w:highlight w:val="none"/>
              </w:rPr>
              <w:t>按规定线路行驶，垃圾日产日清</w:t>
            </w:r>
          </w:p>
        </w:tc>
        <w:tc>
          <w:tcPr>
            <w:tcW w:w="4272" w:type="dxa"/>
            <w:noWrap w:val="0"/>
            <w:vAlign w:val="center"/>
          </w:tcPr>
          <w:p w14:paraId="10D49E02">
            <w:pPr>
              <w:spacing w:line="360" w:lineRule="auto"/>
              <w:jc w:val="both"/>
              <w:rPr>
                <w:color w:val="auto"/>
                <w:szCs w:val="21"/>
                <w:highlight w:val="none"/>
              </w:rPr>
            </w:pPr>
            <w:r>
              <w:rPr>
                <w:rFonts w:hint="eastAsia"/>
                <w:color w:val="auto"/>
                <w:szCs w:val="21"/>
                <w:highlight w:val="none"/>
              </w:rPr>
              <w:t>1、未按规定时间线路行驶的每次扣1分；</w:t>
            </w:r>
          </w:p>
          <w:p w14:paraId="31116592">
            <w:pPr>
              <w:spacing w:line="360" w:lineRule="auto"/>
              <w:jc w:val="both"/>
              <w:rPr>
                <w:color w:val="auto"/>
                <w:szCs w:val="21"/>
                <w:highlight w:val="none"/>
              </w:rPr>
            </w:pPr>
            <w:r>
              <w:rPr>
                <w:rFonts w:hint="eastAsia"/>
                <w:color w:val="auto"/>
                <w:szCs w:val="21"/>
                <w:highlight w:val="none"/>
              </w:rPr>
              <w:t>2、垃圾积压，未清运完成的，每次扣</w:t>
            </w:r>
            <w:r>
              <w:rPr>
                <w:rFonts w:hint="eastAsia"/>
                <w:color w:val="auto"/>
                <w:szCs w:val="21"/>
                <w:highlight w:val="none"/>
                <w:lang w:val="en-US"/>
              </w:rPr>
              <w:t>5</w:t>
            </w:r>
            <w:r>
              <w:rPr>
                <w:rFonts w:hint="eastAsia"/>
                <w:color w:val="auto"/>
                <w:szCs w:val="21"/>
                <w:highlight w:val="none"/>
              </w:rPr>
              <w:t>分；</w:t>
            </w:r>
          </w:p>
        </w:tc>
        <w:tc>
          <w:tcPr>
            <w:tcW w:w="744" w:type="dxa"/>
            <w:vMerge w:val="restart"/>
            <w:noWrap w:val="0"/>
            <w:vAlign w:val="center"/>
          </w:tcPr>
          <w:p w14:paraId="77C0B9B1">
            <w:pPr>
              <w:spacing w:line="280" w:lineRule="exact"/>
              <w:jc w:val="center"/>
              <w:rPr>
                <w:color w:val="auto"/>
                <w:szCs w:val="21"/>
                <w:highlight w:val="none"/>
              </w:rPr>
            </w:pPr>
          </w:p>
        </w:tc>
        <w:tc>
          <w:tcPr>
            <w:tcW w:w="691" w:type="dxa"/>
            <w:vMerge w:val="restart"/>
            <w:noWrap w:val="0"/>
            <w:vAlign w:val="center"/>
          </w:tcPr>
          <w:p w14:paraId="4E02380C">
            <w:pPr>
              <w:spacing w:line="280" w:lineRule="exact"/>
              <w:jc w:val="center"/>
              <w:rPr>
                <w:color w:val="auto"/>
                <w:szCs w:val="21"/>
                <w:highlight w:val="none"/>
              </w:rPr>
            </w:pPr>
          </w:p>
        </w:tc>
      </w:tr>
      <w:tr w14:paraId="56BA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23" w:type="dxa"/>
            <w:vMerge w:val="continue"/>
            <w:noWrap w:val="0"/>
            <w:vAlign w:val="center"/>
          </w:tcPr>
          <w:p w14:paraId="0122E99D">
            <w:pPr>
              <w:spacing w:line="360" w:lineRule="auto"/>
              <w:jc w:val="center"/>
              <w:rPr>
                <w:b/>
                <w:bCs/>
                <w:color w:val="auto"/>
                <w:szCs w:val="21"/>
                <w:highlight w:val="none"/>
              </w:rPr>
            </w:pPr>
          </w:p>
        </w:tc>
        <w:tc>
          <w:tcPr>
            <w:tcW w:w="2451" w:type="dxa"/>
            <w:noWrap w:val="0"/>
            <w:vAlign w:val="center"/>
          </w:tcPr>
          <w:p w14:paraId="376730B4">
            <w:pPr>
              <w:spacing w:line="360" w:lineRule="auto"/>
              <w:jc w:val="center"/>
              <w:rPr>
                <w:color w:val="auto"/>
                <w:szCs w:val="21"/>
                <w:highlight w:val="none"/>
              </w:rPr>
            </w:pPr>
            <w:r>
              <w:rPr>
                <w:rFonts w:hint="eastAsia"/>
                <w:color w:val="auto"/>
                <w:szCs w:val="21"/>
                <w:highlight w:val="none"/>
              </w:rPr>
              <w:t>车辆按时完成年检、保养</w:t>
            </w:r>
          </w:p>
        </w:tc>
        <w:tc>
          <w:tcPr>
            <w:tcW w:w="4272" w:type="dxa"/>
            <w:noWrap w:val="0"/>
            <w:vAlign w:val="center"/>
          </w:tcPr>
          <w:p w14:paraId="23B1A056">
            <w:pPr>
              <w:numPr>
                <w:ilvl w:val="0"/>
                <w:numId w:val="5"/>
              </w:numPr>
              <w:autoSpaceDE/>
              <w:autoSpaceDN/>
              <w:spacing w:line="360" w:lineRule="auto"/>
              <w:jc w:val="both"/>
              <w:rPr>
                <w:color w:val="auto"/>
                <w:szCs w:val="21"/>
                <w:highlight w:val="none"/>
                <w:lang w:val="en-US"/>
              </w:rPr>
            </w:pPr>
            <w:r>
              <w:rPr>
                <w:rFonts w:hint="eastAsia"/>
                <w:color w:val="auto"/>
                <w:szCs w:val="21"/>
                <w:highlight w:val="none"/>
                <w:lang w:val="en-US"/>
              </w:rPr>
              <w:t>车辆未按时年检的，每发现一次扣1分</w:t>
            </w:r>
            <w:r>
              <w:rPr>
                <w:rFonts w:hint="eastAsia"/>
                <w:color w:val="auto"/>
                <w:szCs w:val="21"/>
                <w:highlight w:val="none"/>
                <w:lang w:val="en-US" w:eastAsia="zh-CN"/>
              </w:rPr>
              <w:t>；</w:t>
            </w:r>
          </w:p>
          <w:p w14:paraId="347E1708">
            <w:pPr>
              <w:numPr>
                <w:ilvl w:val="0"/>
                <w:numId w:val="5"/>
              </w:numPr>
              <w:autoSpaceDE/>
              <w:autoSpaceDN/>
              <w:spacing w:line="360" w:lineRule="auto"/>
              <w:jc w:val="both"/>
              <w:rPr>
                <w:color w:val="auto"/>
                <w:szCs w:val="21"/>
                <w:highlight w:val="none"/>
              </w:rPr>
            </w:pPr>
            <w:r>
              <w:rPr>
                <w:rFonts w:hint="eastAsia"/>
                <w:color w:val="auto"/>
                <w:szCs w:val="21"/>
                <w:highlight w:val="none"/>
              </w:rPr>
              <w:t>车辆未按时保养的，每发现一次扣</w:t>
            </w:r>
            <w:r>
              <w:rPr>
                <w:rFonts w:hint="eastAsia"/>
                <w:color w:val="auto"/>
                <w:szCs w:val="21"/>
                <w:highlight w:val="none"/>
                <w:lang w:val="en-US"/>
              </w:rPr>
              <w:t xml:space="preserve">1分。 </w:t>
            </w:r>
          </w:p>
        </w:tc>
        <w:tc>
          <w:tcPr>
            <w:tcW w:w="744" w:type="dxa"/>
            <w:vMerge w:val="continue"/>
            <w:noWrap w:val="0"/>
            <w:vAlign w:val="center"/>
          </w:tcPr>
          <w:p w14:paraId="7D762018">
            <w:pPr>
              <w:spacing w:line="280" w:lineRule="exact"/>
              <w:jc w:val="center"/>
              <w:rPr>
                <w:color w:val="auto"/>
                <w:szCs w:val="21"/>
                <w:highlight w:val="none"/>
              </w:rPr>
            </w:pPr>
          </w:p>
        </w:tc>
        <w:tc>
          <w:tcPr>
            <w:tcW w:w="691" w:type="dxa"/>
            <w:vMerge w:val="continue"/>
            <w:noWrap w:val="0"/>
            <w:vAlign w:val="center"/>
          </w:tcPr>
          <w:p w14:paraId="27A9158F">
            <w:pPr>
              <w:spacing w:line="280" w:lineRule="exact"/>
              <w:jc w:val="center"/>
              <w:rPr>
                <w:color w:val="auto"/>
                <w:szCs w:val="21"/>
                <w:highlight w:val="none"/>
              </w:rPr>
            </w:pPr>
          </w:p>
        </w:tc>
      </w:tr>
      <w:tr w14:paraId="68A6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1323" w:type="dxa"/>
            <w:vMerge w:val="continue"/>
            <w:noWrap w:val="0"/>
            <w:vAlign w:val="center"/>
          </w:tcPr>
          <w:p w14:paraId="275855BD">
            <w:pPr>
              <w:spacing w:line="360" w:lineRule="auto"/>
              <w:jc w:val="center"/>
              <w:rPr>
                <w:b/>
                <w:bCs/>
                <w:color w:val="auto"/>
                <w:szCs w:val="21"/>
                <w:highlight w:val="none"/>
              </w:rPr>
            </w:pPr>
          </w:p>
        </w:tc>
        <w:tc>
          <w:tcPr>
            <w:tcW w:w="2451" w:type="dxa"/>
            <w:noWrap w:val="0"/>
            <w:vAlign w:val="center"/>
          </w:tcPr>
          <w:p w14:paraId="5143751A">
            <w:pPr>
              <w:spacing w:line="360" w:lineRule="auto"/>
              <w:jc w:val="center"/>
              <w:rPr>
                <w:color w:val="auto"/>
                <w:szCs w:val="21"/>
                <w:highlight w:val="none"/>
                <w:lang w:val="en-US"/>
              </w:rPr>
            </w:pPr>
            <w:r>
              <w:rPr>
                <w:rFonts w:hint="eastAsia"/>
                <w:color w:val="auto"/>
                <w:szCs w:val="21"/>
                <w:highlight w:val="none"/>
              </w:rPr>
              <w:t>车身标贴完整，车容车貌干净整洁</w:t>
            </w:r>
          </w:p>
        </w:tc>
        <w:tc>
          <w:tcPr>
            <w:tcW w:w="4272" w:type="dxa"/>
            <w:noWrap w:val="0"/>
            <w:vAlign w:val="center"/>
          </w:tcPr>
          <w:p w14:paraId="5A81865A">
            <w:pPr>
              <w:numPr>
                <w:ilvl w:val="0"/>
                <w:numId w:val="6"/>
              </w:numPr>
              <w:autoSpaceDE/>
              <w:autoSpaceDN/>
              <w:spacing w:line="360" w:lineRule="auto"/>
              <w:jc w:val="both"/>
              <w:rPr>
                <w:color w:val="auto"/>
                <w:szCs w:val="21"/>
                <w:highlight w:val="none"/>
                <w:lang w:val="en-US"/>
              </w:rPr>
            </w:pPr>
            <w:r>
              <w:rPr>
                <w:rFonts w:hint="eastAsia"/>
                <w:color w:val="auto"/>
                <w:szCs w:val="21"/>
                <w:highlight w:val="none"/>
                <w:lang w:val="en-US"/>
              </w:rPr>
              <w:t>车身标贴损坏、不完整的，每</w:t>
            </w:r>
            <w:r>
              <w:rPr>
                <w:rFonts w:hint="eastAsia"/>
                <w:color w:val="auto"/>
                <w:szCs w:val="21"/>
                <w:highlight w:val="none"/>
                <w:lang w:val="en-US"/>
              </w:rPr>
              <w:t>发</w:t>
            </w:r>
            <w:r>
              <w:rPr>
                <w:rFonts w:hint="eastAsia"/>
                <w:color w:val="auto"/>
                <w:szCs w:val="21"/>
                <w:highlight w:val="none"/>
                <w:lang w:val="en-US" w:eastAsia="zh-CN"/>
              </w:rPr>
              <w:t>现</w:t>
            </w:r>
            <w:r>
              <w:rPr>
                <w:rFonts w:hint="eastAsia"/>
                <w:color w:val="auto"/>
                <w:szCs w:val="21"/>
                <w:highlight w:val="none"/>
                <w:lang w:val="en-US"/>
              </w:rPr>
              <w:t>一次扣1分；</w:t>
            </w:r>
          </w:p>
          <w:p w14:paraId="0D65D8BB">
            <w:pPr>
              <w:numPr>
                <w:ilvl w:val="0"/>
                <w:numId w:val="6"/>
              </w:numPr>
              <w:autoSpaceDE/>
              <w:autoSpaceDN/>
              <w:spacing w:line="360" w:lineRule="auto"/>
              <w:jc w:val="both"/>
              <w:rPr>
                <w:color w:val="auto"/>
                <w:szCs w:val="21"/>
                <w:highlight w:val="none"/>
                <w:lang w:val="en-US"/>
              </w:rPr>
            </w:pPr>
            <w:r>
              <w:rPr>
                <w:rFonts w:hint="eastAsia"/>
                <w:color w:val="auto"/>
                <w:szCs w:val="21"/>
                <w:highlight w:val="none"/>
                <w:lang w:val="en-US"/>
              </w:rPr>
              <w:t>车身整体脏乱、不洁，</w:t>
            </w:r>
            <w:r>
              <w:rPr>
                <w:rFonts w:hint="eastAsia"/>
                <w:color w:val="auto"/>
                <w:szCs w:val="21"/>
                <w:highlight w:val="none"/>
                <w:lang w:val="en-US" w:eastAsia="zh-CN"/>
              </w:rPr>
              <w:t>每</w:t>
            </w:r>
            <w:r>
              <w:rPr>
                <w:rFonts w:hint="eastAsia"/>
                <w:color w:val="auto"/>
                <w:szCs w:val="21"/>
                <w:highlight w:val="none"/>
                <w:lang w:val="en-US"/>
              </w:rPr>
              <w:t>发现一次扣1分。</w:t>
            </w:r>
          </w:p>
        </w:tc>
        <w:tc>
          <w:tcPr>
            <w:tcW w:w="744" w:type="dxa"/>
            <w:vMerge w:val="continue"/>
            <w:noWrap w:val="0"/>
            <w:vAlign w:val="center"/>
          </w:tcPr>
          <w:p w14:paraId="36F7C497">
            <w:pPr>
              <w:spacing w:line="280" w:lineRule="exact"/>
              <w:jc w:val="center"/>
              <w:rPr>
                <w:color w:val="auto"/>
                <w:szCs w:val="21"/>
                <w:highlight w:val="none"/>
              </w:rPr>
            </w:pPr>
          </w:p>
        </w:tc>
        <w:tc>
          <w:tcPr>
            <w:tcW w:w="691" w:type="dxa"/>
            <w:vMerge w:val="continue"/>
            <w:noWrap w:val="0"/>
            <w:vAlign w:val="center"/>
          </w:tcPr>
          <w:p w14:paraId="1E1116F0">
            <w:pPr>
              <w:spacing w:line="280" w:lineRule="exact"/>
              <w:jc w:val="center"/>
              <w:rPr>
                <w:color w:val="auto"/>
                <w:szCs w:val="21"/>
                <w:highlight w:val="none"/>
              </w:rPr>
            </w:pPr>
          </w:p>
        </w:tc>
      </w:tr>
      <w:tr w14:paraId="552E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1323" w:type="dxa"/>
            <w:vMerge w:val="restart"/>
            <w:noWrap w:val="0"/>
            <w:vAlign w:val="center"/>
          </w:tcPr>
          <w:p w14:paraId="15AA876B">
            <w:pPr>
              <w:spacing w:line="360" w:lineRule="auto"/>
              <w:jc w:val="center"/>
              <w:rPr>
                <w:b/>
                <w:bCs/>
                <w:color w:val="auto"/>
                <w:szCs w:val="21"/>
                <w:highlight w:val="none"/>
              </w:rPr>
            </w:pPr>
            <w:r>
              <w:rPr>
                <w:rFonts w:hint="eastAsia"/>
                <w:b/>
                <w:bCs/>
                <w:color w:val="auto"/>
                <w:szCs w:val="21"/>
                <w:highlight w:val="none"/>
              </w:rPr>
              <w:t>安全生产（20分）</w:t>
            </w:r>
          </w:p>
        </w:tc>
        <w:tc>
          <w:tcPr>
            <w:tcW w:w="2451" w:type="dxa"/>
            <w:noWrap w:val="0"/>
            <w:vAlign w:val="center"/>
          </w:tcPr>
          <w:p w14:paraId="5EA60481">
            <w:pPr>
              <w:spacing w:line="360" w:lineRule="auto"/>
              <w:jc w:val="center"/>
              <w:rPr>
                <w:color w:val="auto"/>
                <w:szCs w:val="21"/>
                <w:highlight w:val="none"/>
              </w:rPr>
            </w:pPr>
            <w:r>
              <w:rPr>
                <w:rFonts w:hint="eastAsia"/>
                <w:color w:val="auto"/>
                <w:szCs w:val="21"/>
                <w:highlight w:val="none"/>
              </w:rPr>
              <w:t>驾驶员安全驾驶，严格按照交通道路信号灯行驶</w:t>
            </w:r>
          </w:p>
        </w:tc>
        <w:tc>
          <w:tcPr>
            <w:tcW w:w="4272" w:type="dxa"/>
            <w:noWrap w:val="0"/>
            <w:vAlign w:val="center"/>
          </w:tcPr>
          <w:p w14:paraId="5BF09D05">
            <w:pPr>
              <w:numPr>
                <w:ilvl w:val="0"/>
                <w:numId w:val="7"/>
              </w:numPr>
              <w:autoSpaceDE/>
              <w:autoSpaceDN/>
              <w:spacing w:line="360" w:lineRule="auto"/>
              <w:jc w:val="both"/>
              <w:rPr>
                <w:color w:val="auto"/>
                <w:szCs w:val="21"/>
                <w:highlight w:val="none"/>
              </w:rPr>
            </w:pPr>
            <w:r>
              <w:rPr>
                <w:rFonts w:hint="eastAsia"/>
                <w:color w:val="auto"/>
                <w:szCs w:val="21"/>
                <w:highlight w:val="none"/>
              </w:rPr>
              <w:t>发现驾驶员未按照信号灯行驶，</w:t>
            </w:r>
            <w:r>
              <w:rPr>
                <w:rFonts w:hint="eastAsia"/>
                <w:color w:val="auto"/>
                <w:szCs w:val="21"/>
                <w:highlight w:val="none"/>
                <w:lang w:val="en-US" w:eastAsia="zh-CN"/>
              </w:rPr>
              <w:t>每</w:t>
            </w:r>
            <w:r>
              <w:rPr>
                <w:rFonts w:hint="eastAsia"/>
                <w:color w:val="auto"/>
                <w:szCs w:val="21"/>
                <w:highlight w:val="none"/>
              </w:rPr>
              <w:t>发现一次扣</w:t>
            </w:r>
            <w:r>
              <w:rPr>
                <w:rFonts w:hint="eastAsia"/>
                <w:color w:val="auto"/>
                <w:szCs w:val="21"/>
                <w:highlight w:val="none"/>
                <w:lang w:val="en-US"/>
              </w:rPr>
              <w:t>1分</w:t>
            </w:r>
            <w:r>
              <w:rPr>
                <w:rFonts w:hint="eastAsia"/>
                <w:color w:val="auto"/>
                <w:szCs w:val="21"/>
                <w:highlight w:val="none"/>
                <w:lang w:eastAsia="zh-CN"/>
              </w:rPr>
              <w:t>；</w:t>
            </w:r>
          </w:p>
          <w:p w14:paraId="3F782BB1">
            <w:pPr>
              <w:numPr>
                <w:ilvl w:val="0"/>
                <w:numId w:val="7"/>
              </w:numPr>
              <w:autoSpaceDE/>
              <w:autoSpaceDN/>
              <w:spacing w:line="360" w:lineRule="auto"/>
              <w:jc w:val="both"/>
              <w:rPr>
                <w:color w:val="auto"/>
                <w:szCs w:val="21"/>
                <w:highlight w:val="none"/>
              </w:rPr>
            </w:pPr>
            <w:r>
              <w:rPr>
                <w:rFonts w:hint="eastAsia"/>
                <w:color w:val="auto"/>
                <w:szCs w:val="21"/>
                <w:highlight w:val="none"/>
              </w:rPr>
              <w:t>驾驶员饮酒驾驶，每发现一次扣</w:t>
            </w:r>
            <w:r>
              <w:rPr>
                <w:rFonts w:hint="eastAsia"/>
                <w:color w:val="auto"/>
                <w:szCs w:val="21"/>
                <w:highlight w:val="none"/>
                <w:lang w:val="en-US"/>
              </w:rPr>
              <w:t>5分，并对驾驶员进行开除处理。</w:t>
            </w:r>
          </w:p>
        </w:tc>
        <w:tc>
          <w:tcPr>
            <w:tcW w:w="744" w:type="dxa"/>
            <w:vMerge w:val="restart"/>
            <w:noWrap w:val="0"/>
            <w:vAlign w:val="center"/>
          </w:tcPr>
          <w:p w14:paraId="48391C0C">
            <w:pPr>
              <w:spacing w:line="280" w:lineRule="exact"/>
              <w:jc w:val="center"/>
              <w:rPr>
                <w:color w:val="auto"/>
                <w:szCs w:val="21"/>
                <w:highlight w:val="none"/>
              </w:rPr>
            </w:pPr>
          </w:p>
        </w:tc>
        <w:tc>
          <w:tcPr>
            <w:tcW w:w="691" w:type="dxa"/>
            <w:vMerge w:val="restart"/>
            <w:noWrap w:val="0"/>
            <w:vAlign w:val="center"/>
          </w:tcPr>
          <w:p w14:paraId="68B7DA19">
            <w:pPr>
              <w:spacing w:line="280" w:lineRule="exact"/>
              <w:jc w:val="center"/>
              <w:rPr>
                <w:color w:val="auto"/>
                <w:szCs w:val="21"/>
                <w:highlight w:val="none"/>
              </w:rPr>
            </w:pPr>
          </w:p>
        </w:tc>
      </w:tr>
      <w:tr w14:paraId="45823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323" w:type="dxa"/>
            <w:vMerge w:val="continue"/>
            <w:noWrap w:val="0"/>
            <w:vAlign w:val="center"/>
          </w:tcPr>
          <w:p w14:paraId="4C24DCBC">
            <w:pPr>
              <w:spacing w:line="360" w:lineRule="auto"/>
              <w:jc w:val="center"/>
              <w:rPr>
                <w:b/>
                <w:bCs/>
                <w:color w:val="auto"/>
                <w:szCs w:val="21"/>
                <w:highlight w:val="none"/>
              </w:rPr>
            </w:pPr>
          </w:p>
        </w:tc>
        <w:tc>
          <w:tcPr>
            <w:tcW w:w="2451" w:type="dxa"/>
            <w:noWrap w:val="0"/>
            <w:vAlign w:val="center"/>
          </w:tcPr>
          <w:p w14:paraId="1EA06771">
            <w:pPr>
              <w:spacing w:line="360" w:lineRule="auto"/>
              <w:jc w:val="center"/>
              <w:rPr>
                <w:color w:val="auto"/>
                <w:szCs w:val="21"/>
                <w:highlight w:val="none"/>
              </w:rPr>
            </w:pPr>
            <w:r>
              <w:rPr>
                <w:rFonts w:hint="eastAsia"/>
                <w:color w:val="auto"/>
                <w:szCs w:val="21"/>
                <w:highlight w:val="none"/>
              </w:rPr>
              <w:t>规范安全作业标准，在显眼位置张贴安全风险提示卡</w:t>
            </w:r>
          </w:p>
        </w:tc>
        <w:tc>
          <w:tcPr>
            <w:tcW w:w="4272" w:type="dxa"/>
            <w:noWrap w:val="0"/>
            <w:vAlign w:val="center"/>
          </w:tcPr>
          <w:p w14:paraId="09F8731A">
            <w:pPr>
              <w:numPr>
                <w:ilvl w:val="0"/>
                <w:numId w:val="8"/>
              </w:numPr>
              <w:autoSpaceDE/>
              <w:autoSpaceDN/>
              <w:spacing w:line="360" w:lineRule="auto"/>
              <w:jc w:val="both"/>
              <w:rPr>
                <w:color w:val="auto"/>
                <w:szCs w:val="21"/>
                <w:highlight w:val="none"/>
                <w:lang w:val="en-US"/>
              </w:rPr>
            </w:pPr>
            <w:r>
              <w:rPr>
                <w:rFonts w:hint="eastAsia"/>
                <w:color w:val="auto"/>
                <w:szCs w:val="21"/>
                <w:highlight w:val="none"/>
                <w:lang w:val="en-US"/>
              </w:rPr>
              <w:t>未定期开展安全培训的，每次扣5分</w:t>
            </w:r>
            <w:r>
              <w:rPr>
                <w:rFonts w:hint="eastAsia"/>
                <w:color w:val="auto"/>
                <w:szCs w:val="21"/>
                <w:highlight w:val="none"/>
                <w:lang w:val="en-US" w:eastAsia="zh-CN"/>
              </w:rPr>
              <w:t>；</w:t>
            </w:r>
          </w:p>
          <w:p w14:paraId="09D882FF">
            <w:pPr>
              <w:numPr>
                <w:ilvl w:val="0"/>
                <w:numId w:val="8"/>
              </w:numPr>
              <w:autoSpaceDE/>
              <w:autoSpaceDN/>
              <w:spacing w:line="360" w:lineRule="auto"/>
              <w:jc w:val="both"/>
              <w:rPr>
                <w:color w:val="auto"/>
                <w:szCs w:val="21"/>
                <w:highlight w:val="none"/>
                <w:lang w:val="en-US"/>
              </w:rPr>
            </w:pPr>
            <w:r>
              <w:rPr>
                <w:rFonts w:hint="eastAsia"/>
                <w:color w:val="auto"/>
                <w:szCs w:val="21"/>
                <w:highlight w:val="none"/>
                <w:lang w:val="en-US"/>
              </w:rPr>
              <w:t>未在作业区域内张贴风险告知卡，每发现一次扣1分。</w:t>
            </w:r>
          </w:p>
        </w:tc>
        <w:tc>
          <w:tcPr>
            <w:tcW w:w="744" w:type="dxa"/>
            <w:vMerge w:val="continue"/>
            <w:noWrap w:val="0"/>
            <w:vAlign w:val="center"/>
          </w:tcPr>
          <w:p w14:paraId="21008E4B">
            <w:pPr>
              <w:spacing w:line="280" w:lineRule="exact"/>
              <w:jc w:val="center"/>
              <w:rPr>
                <w:color w:val="auto"/>
                <w:szCs w:val="21"/>
                <w:highlight w:val="none"/>
              </w:rPr>
            </w:pPr>
          </w:p>
        </w:tc>
        <w:tc>
          <w:tcPr>
            <w:tcW w:w="691" w:type="dxa"/>
            <w:vMerge w:val="continue"/>
            <w:noWrap w:val="0"/>
            <w:vAlign w:val="center"/>
          </w:tcPr>
          <w:p w14:paraId="0F28D5F7">
            <w:pPr>
              <w:spacing w:line="280" w:lineRule="exact"/>
              <w:jc w:val="center"/>
              <w:rPr>
                <w:color w:val="auto"/>
                <w:szCs w:val="21"/>
                <w:highlight w:val="none"/>
              </w:rPr>
            </w:pPr>
          </w:p>
        </w:tc>
      </w:tr>
      <w:tr w14:paraId="21EA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1323" w:type="dxa"/>
            <w:vMerge w:val="restart"/>
            <w:noWrap w:val="0"/>
            <w:vAlign w:val="center"/>
          </w:tcPr>
          <w:p w14:paraId="6ED97502">
            <w:pPr>
              <w:spacing w:line="360" w:lineRule="auto"/>
              <w:jc w:val="center"/>
              <w:rPr>
                <w:b/>
                <w:bCs/>
                <w:color w:val="auto"/>
                <w:szCs w:val="21"/>
                <w:highlight w:val="none"/>
              </w:rPr>
            </w:pPr>
            <w:r>
              <w:rPr>
                <w:rFonts w:hint="eastAsia"/>
                <w:b/>
                <w:bCs/>
                <w:color w:val="auto"/>
                <w:szCs w:val="21"/>
                <w:highlight w:val="none"/>
              </w:rPr>
              <w:t>工作要求（20</w:t>
            </w:r>
            <w:r>
              <w:rPr>
                <w:rFonts w:hint="eastAsia"/>
                <w:b/>
                <w:bCs/>
                <w:color w:val="auto"/>
                <w:szCs w:val="21"/>
                <w:highlight w:val="none"/>
                <w:lang w:val="en-US" w:eastAsia="zh-CN"/>
              </w:rPr>
              <w:t>分</w:t>
            </w:r>
            <w:r>
              <w:rPr>
                <w:rFonts w:hint="eastAsia"/>
                <w:b/>
                <w:bCs/>
                <w:color w:val="auto"/>
                <w:szCs w:val="21"/>
                <w:highlight w:val="none"/>
              </w:rPr>
              <w:t>）</w:t>
            </w:r>
          </w:p>
        </w:tc>
        <w:tc>
          <w:tcPr>
            <w:tcW w:w="2451" w:type="dxa"/>
            <w:noWrap w:val="0"/>
            <w:vAlign w:val="center"/>
          </w:tcPr>
          <w:p w14:paraId="11E11C75">
            <w:pPr>
              <w:spacing w:line="360" w:lineRule="auto"/>
              <w:jc w:val="center"/>
              <w:rPr>
                <w:color w:val="auto"/>
                <w:szCs w:val="21"/>
                <w:highlight w:val="none"/>
                <w:lang w:val="en-US"/>
              </w:rPr>
            </w:pPr>
            <w:r>
              <w:rPr>
                <w:rFonts w:hint="eastAsia"/>
                <w:color w:val="auto"/>
                <w:szCs w:val="21"/>
                <w:highlight w:val="none"/>
              </w:rPr>
              <w:t>按规定时间清运垃圾，确保垃圾日产日清</w:t>
            </w:r>
          </w:p>
        </w:tc>
        <w:tc>
          <w:tcPr>
            <w:tcW w:w="4272" w:type="dxa"/>
            <w:noWrap w:val="0"/>
            <w:vAlign w:val="center"/>
          </w:tcPr>
          <w:p w14:paraId="3A415EDB">
            <w:pPr>
              <w:spacing w:line="360" w:lineRule="auto"/>
              <w:rPr>
                <w:color w:val="auto"/>
                <w:szCs w:val="21"/>
                <w:highlight w:val="none"/>
              </w:rPr>
            </w:pPr>
            <w:r>
              <w:rPr>
                <w:rFonts w:hint="eastAsia"/>
                <w:color w:val="auto"/>
                <w:szCs w:val="21"/>
                <w:highlight w:val="none"/>
              </w:rPr>
              <w:t>1、垃圾未及时转运的每次扣5分；</w:t>
            </w:r>
          </w:p>
          <w:p w14:paraId="3301EFA9">
            <w:pPr>
              <w:spacing w:line="360" w:lineRule="auto"/>
              <w:rPr>
                <w:color w:val="auto"/>
                <w:szCs w:val="21"/>
                <w:highlight w:val="none"/>
              </w:rPr>
            </w:pPr>
            <w:r>
              <w:rPr>
                <w:rFonts w:hint="eastAsia"/>
                <w:color w:val="auto"/>
                <w:szCs w:val="21"/>
                <w:highlight w:val="none"/>
              </w:rPr>
              <w:t>2、垃圾作业区域周边卫生不符合要求的每次扣2分。</w:t>
            </w:r>
          </w:p>
        </w:tc>
        <w:tc>
          <w:tcPr>
            <w:tcW w:w="744" w:type="dxa"/>
            <w:vMerge w:val="restart"/>
            <w:noWrap w:val="0"/>
            <w:vAlign w:val="center"/>
          </w:tcPr>
          <w:p w14:paraId="7802D005">
            <w:pPr>
              <w:spacing w:line="280" w:lineRule="exact"/>
              <w:jc w:val="center"/>
              <w:rPr>
                <w:color w:val="auto"/>
                <w:szCs w:val="21"/>
                <w:highlight w:val="none"/>
              </w:rPr>
            </w:pPr>
          </w:p>
        </w:tc>
        <w:tc>
          <w:tcPr>
            <w:tcW w:w="691" w:type="dxa"/>
            <w:vMerge w:val="restart"/>
            <w:noWrap w:val="0"/>
            <w:vAlign w:val="center"/>
          </w:tcPr>
          <w:p w14:paraId="00FEF977">
            <w:pPr>
              <w:spacing w:line="280" w:lineRule="exact"/>
              <w:jc w:val="center"/>
              <w:rPr>
                <w:color w:val="auto"/>
                <w:szCs w:val="21"/>
                <w:highlight w:val="none"/>
              </w:rPr>
            </w:pPr>
          </w:p>
        </w:tc>
      </w:tr>
      <w:tr w14:paraId="3F379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1323" w:type="dxa"/>
            <w:vMerge w:val="continue"/>
            <w:noWrap w:val="0"/>
            <w:vAlign w:val="center"/>
          </w:tcPr>
          <w:p w14:paraId="14477AD4">
            <w:pPr>
              <w:spacing w:line="360" w:lineRule="auto"/>
              <w:jc w:val="center"/>
              <w:rPr>
                <w:color w:val="auto"/>
                <w:szCs w:val="21"/>
                <w:highlight w:val="none"/>
              </w:rPr>
            </w:pPr>
          </w:p>
        </w:tc>
        <w:tc>
          <w:tcPr>
            <w:tcW w:w="2451" w:type="dxa"/>
            <w:noWrap w:val="0"/>
            <w:vAlign w:val="center"/>
          </w:tcPr>
          <w:p w14:paraId="21A6B459">
            <w:pPr>
              <w:spacing w:line="360" w:lineRule="auto"/>
              <w:jc w:val="center"/>
              <w:rPr>
                <w:color w:val="auto"/>
                <w:kern w:val="2"/>
                <w:sz w:val="21"/>
                <w:szCs w:val="21"/>
                <w:highlight w:val="none"/>
                <w:lang w:val="en-US" w:bidi="ar-SA"/>
              </w:rPr>
            </w:pPr>
            <w:r>
              <w:rPr>
                <w:rFonts w:hint="eastAsia"/>
                <w:color w:val="auto"/>
                <w:szCs w:val="21"/>
                <w:highlight w:val="none"/>
                <w:lang w:val="en-US"/>
              </w:rPr>
              <w:t>及时处理“12345”、信访等舆情</w:t>
            </w:r>
          </w:p>
        </w:tc>
        <w:tc>
          <w:tcPr>
            <w:tcW w:w="4272" w:type="dxa"/>
            <w:noWrap w:val="0"/>
            <w:vAlign w:val="center"/>
          </w:tcPr>
          <w:p w14:paraId="4676DEB1">
            <w:pPr>
              <w:spacing w:line="360" w:lineRule="auto"/>
              <w:rPr>
                <w:color w:val="auto"/>
                <w:szCs w:val="21"/>
                <w:highlight w:val="none"/>
              </w:rPr>
            </w:pPr>
            <w:r>
              <w:rPr>
                <w:rFonts w:hint="eastAsia"/>
                <w:color w:val="auto"/>
                <w:szCs w:val="21"/>
                <w:highlight w:val="none"/>
              </w:rPr>
              <w:t>1、发生一次舆情未及时处理或懈怠处理的，每次扣</w:t>
            </w:r>
            <w:r>
              <w:rPr>
                <w:rFonts w:hint="eastAsia"/>
                <w:color w:val="auto"/>
                <w:szCs w:val="21"/>
                <w:highlight w:val="none"/>
                <w:lang w:val="en-US"/>
              </w:rPr>
              <w:t>5分</w:t>
            </w:r>
            <w:r>
              <w:rPr>
                <w:rFonts w:hint="eastAsia"/>
                <w:color w:val="auto"/>
                <w:szCs w:val="21"/>
                <w:highlight w:val="none"/>
              </w:rPr>
              <w:t>；</w:t>
            </w:r>
          </w:p>
          <w:p w14:paraId="4753FAEA">
            <w:pPr>
              <w:spacing w:line="360" w:lineRule="auto"/>
              <w:rPr>
                <w:color w:val="auto"/>
                <w:kern w:val="2"/>
                <w:sz w:val="21"/>
                <w:szCs w:val="21"/>
                <w:highlight w:val="none"/>
                <w:lang w:val="en-US" w:bidi="ar-SA"/>
              </w:rPr>
            </w:pPr>
            <w:r>
              <w:rPr>
                <w:rFonts w:hint="eastAsia"/>
                <w:color w:val="auto"/>
                <w:szCs w:val="21"/>
                <w:highlight w:val="none"/>
              </w:rPr>
              <w:t>2、对不能处理的特殊化问题，未及时汇报，每次扣</w:t>
            </w:r>
            <w:r>
              <w:rPr>
                <w:rFonts w:hint="eastAsia"/>
                <w:color w:val="auto"/>
                <w:szCs w:val="21"/>
                <w:highlight w:val="none"/>
                <w:lang w:val="en-US"/>
              </w:rPr>
              <w:t>10分。</w:t>
            </w:r>
          </w:p>
        </w:tc>
        <w:tc>
          <w:tcPr>
            <w:tcW w:w="744" w:type="dxa"/>
            <w:vMerge w:val="continue"/>
            <w:noWrap w:val="0"/>
            <w:vAlign w:val="center"/>
          </w:tcPr>
          <w:p w14:paraId="298BC3E7">
            <w:pPr>
              <w:spacing w:line="280" w:lineRule="exact"/>
              <w:jc w:val="center"/>
              <w:rPr>
                <w:color w:val="auto"/>
                <w:szCs w:val="21"/>
                <w:highlight w:val="none"/>
              </w:rPr>
            </w:pPr>
          </w:p>
        </w:tc>
        <w:tc>
          <w:tcPr>
            <w:tcW w:w="691" w:type="dxa"/>
            <w:vMerge w:val="continue"/>
            <w:noWrap w:val="0"/>
            <w:vAlign w:val="center"/>
          </w:tcPr>
          <w:p w14:paraId="3D2F413D">
            <w:pPr>
              <w:spacing w:line="280" w:lineRule="exact"/>
              <w:jc w:val="center"/>
              <w:rPr>
                <w:color w:val="auto"/>
                <w:szCs w:val="21"/>
                <w:highlight w:val="none"/>
              </w:rPr>
            </w:pPr>
          </w:p>
        </w:tc>
      </w:tr>
      <w:tr w14:paraId="101F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3774" w:type="dxa"/>
            <w:gridSpan w:val="2"/>
            <w:noWrap w:val="0"/>
            <w:vAlign w:val="center"/>
          </w:tcPr>
          <w:p w14:paraId="179CA93C">
            <w:pPr>
              <w:spacing w:line="360" w:lineRule="auto"/>
              <w:jc w:val="center"/>
              <w:rPr>
                <w:rFonts w:hint="default"/>
                <w:color w:val="auto"/>
                <w:szCs w:val="21"/>
                <w:highlight w:val="none"/>
                <w:lang w:val="en-US"/>
              </w:rPr>
            </w:pPr>
            <w:r>
              <w:rPr>
                <w:rFonts w:hint="eastAsia"/>
                <w:b/>
                <w:bCs/>
                <w:color w:val="auto"/>
                <w:szCs w:val="21"/>
                <w:highlight w:val="none"/>
                <w:lang w:val="en-US" w:eastAsia="zh-CN"/>
              </w:rPr>
              <w:t>总分（100分）</w:t>
            </w:r>
          </w:p>
        </w:tc>
        <w:tc>
          <w:tcPr>
            <w:tcW w:w="5707" w:type="dxa"/>
            <w:gridSpan w:val="3"/>
            <w:noWrap w:val="0"/>
            <w:vAlign w:val="center"/>
          </w:tcPr>
          <w:p w14:paraId="556A6CA9">
            <w:pPr>
              <w:spacing w:line="280" w:lineRule="exact"/>
              <w:jc w:val="center"/>
              <w:rPr>
                <w:color w:val="auto"/>
                <w:szCs w:val="21"/>
                <w:highlight w:val="none"/>
              </w:rPr>
            </w:pPr>
          </w:p>
        </w:tc>
      </w:tr>
    </w:tbl>
    <w:p w14:paraId="63F6D751">
      <w:pPr>
        <w:keepNext w:val="0"/>
        <w:keepLines w:val="0"/>
        <w:pageBreakBefore w:val="0"/>
        <w:widowControl w:val="0"/>
        <w:kinsoku/>
        <w:wordWrap/>
        <w:overflowPunct/>
        <w:topLinePunct w:val="0"/>
        <w:autoSpaceDE/>
        <w:autoSpaceDN/>
        <w:bidi w:val="0"/>
        <w:adjustRightInd/>
        <w:snapToGrid/>
        <w:spacing w:after="0" w:line="360" w:lineRule="auto"/>
        <w:ind w:right="0"/>
        <w:textAlignment w:val="auto"/>
        <w:rPr>
          <w:rFonts w:hint="eastAsia" w:ascii="仿宋" w:hAnsi="仿宋" w:eastAsia="仿宋" w:cs="仿宋"/>
          <w:b/>
          <w:color w:val="auto"/>
          <w:sz w:val="24"/>
          <w:highlight w:val="none"/>
          <w:lang w:val="en-US" w:eastAsia="zh-CN"/>
        </w:rPr>
      </w:pPr>
    </w:p>
    <w:p w14:paraId="57C6776C">
      <w:pPr>
        <w:keepNext w:val="0"/>
        <w:keepLines w:val="0"/>
        <w:pageBreakBefore w:val="0"/>
        <w:widowControl w:val="0"/>
        <w:numPr>
          <w:ilvl w:val="0"/>
          <w:numId w:val="9"/>
        </w:numPr>
        <w:kinsoku/>
        <w:wordWrap/>
        <w:overflowPunct/>
        <w:topLinePunct w:val="0"/>
        <w:autoSpaceDE/>
        <w:autoSpaceDN/>
        <w:bidi w:val="0"/>
        <w:adjustRightInd/>
        <w:snapToGrid/>
        <w:spacing w:after="0" w:line="360" w:lineRule="auto"/>
        <w:ind w:right="0"/>
        <w:textAlignment w:val="auto"/>
        <w:rPr>
          <w:rFonts w:hint="default"/>
          <w:color w:val="auto"/>
          <w:highlight w:val="none"/>
          <w:lang w:val="en-US" w:eastAsia="zh-CN"/>
        </w:rPr>
      </w:pPr>
      <w:r>
        <w:rPr>
          <w:rFonts w:hint="default" w:ascii="仿宋" w:hAnsi="仿宋" w:eastAsia="仿宋" w:cs="仿宋"/>
          <w:b/>
          <w:bCs/>
          <w:color w:val="auto"/>
          <w:sz w:val="24"/>
          <w:szCs w:val="24"/>
          <w:highlight w:val="none"/>
          <w:lang w:val="en-US" w:eastAsia="zh-CN"/>
        </w:rPr>
        <w:t>报价要求</w:t>
      </w:r>
      <w:r>
        <w:rPr>
          <w:rFonts w:hint="eastAsia" w:ascii="仿宋" w:hAnsi="仿宋" w:eastAsia="仿宋" w:cs="仿宋"/>
          <w:b/>
          <w:bCs/>
          <w:color w:val="auto"/>
          <w:sz w:val="24"/>
          <w:szCs w:val="24"/>
          <w:highlight w:val="none"/>
          <w:lang w:val="en-US" w:eastAsia="zh-CN"/>
        </w:rPr>
        <w:t>：</w:t>
      </w:r>
    </w:p>
    <w:p w14:paraId="72FF8AA6">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default" w:ascii="仿宋" w:hAnsi="仿宋" w:eastAsia="仿宋" w:cs="仿宋"/>
          <w:color w:val="auto"/>
          <w:sz w:val="24"/>
          <w:szCs w:val="24"/>
          <w:highlight w:val="none"/>
          <w:lang w:val="en-US" w:eastAsia="zh-CN"/>
        </w:rPr>
        <w:t>报价包含完成本项目发生的所有含税费用、包含燃油、维修保养、车辆保险、车辆耗损、人员工资、社保、公积金、法定节日加班，以及供应商认为需要的其他费用等。</w:t>
      </w:r>
    </w:p>
    <w:p w14:paraId="5076FA30">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对于甲方在招标文件中所要求的及乙方在投标文件和合同中所承诺提供的服务，乙方应无条件提供，乙方在签订合同时已充分考虑了合同履行期间的所有风险，在项目</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lang w:eastAsia="zh-CN"/>
        </w:rPr>
        <w:t>过程中及项目</w:t>
      </w:r>
      <w:r>
        <w:rPr>
          <w:rFonts w:hint="eastAsia" w:ascii="仿宋" w:hAnsi="仿宋" w:eastAsia="仿宋" w:cs="仿宋"/>
          <w:color w:val="auto"/>
          <w:sz w:val="24"/>
          <w:szCs w:val="24"/>
          <w:highlight w:val="none"/>
          <w:lang w:val="en-US" w:eastAsia="zh-CN"/>
        </w:rPr>
        <w:t>服务期满</w:t>
      </w:r>
      <w:r>
        <w:rPr>
          <w:rFonts w:hint="eastAsia" w:ascii="仿宋" w:hAnsi="仿宋" w:eastAsia="仿宋" w:cs="仿宋"/>
          <w:color w:val="auto"/>
          <w:sz w:val="24"/>
          <w:szCs w:val="24"/>
          <w:highlight w:val="none"/>
          <w:lang w:eastAsia="zh-CN"/>
        </w:rPr>
        <w:t>后，乙方承诺不以任何理由向甲方提出增加费用的要求。</w:t>
      </w:r>
    </w:p>
    <w:p w14:paraId="7F68F540">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投标人所投本项目中的服务等各项技术标准应当符合国家（强制性）标准、各项规范要求；国家没有相应标准、规范的，可使用行业标准、规定；非标设备按采购文件约定的技术要求和规范。</w:t>
      </w:r>
    </w:p>
    <w:p w14:paraId="1D8511C9">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中标人对服务缺陷不予更正，招标人有权另请其他单位更正，所发生的费用由中标人支付。</w:t>
      </w:r>
    </w:p>
    <w:p w14:paraId="150806B1">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若中标人在服务管理期间，违反下列规定将被解除服务合同，并扣除相应服务费。</w:t>
      </w:r>
    </w:p>
    <w:p w14:paraId="6FF57064">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（1）本项目严禁将承包的服务转包他人；</w:t>
      </w:r>
    </w:p>
    <w:p w14:paraId="35E5A018">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（2）出现安全生产责任事故。</w:t>
      </w:r>
    </w:p>
    <w:p w14:paraId="453B849F">
      <w:pPr>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、凡涉及采购文件的补充说明和修改，均以书面文件通知为准。</w:t>
      </w:r>
    </w:p>
    <w:p w14:paraId="66FD84FA">
      <w:pPr>
        <w:ind w:firstLine="240" w:firstLineChars="1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、采购人、代理机构对本次采购结果不作任何解释。</w:t>
      </w:r>
    </w:p>
    <w:p w14:paraId="4F1C08FD">
      <w:pPr>
        <w:keepNext w:val="0"/>
        <w:keepLines w:val="0"/>
        <w:pageBreakBefore w:val="0"/>
        <w:widowControl w:val="0"/>
        <w:kinsoku/>
        <w:wordWrap/>
        <w:overflowPunct/>
        <w:topLinePunct w:val="0"/>
        <w:autoSpaceDE/>
        <w:autoSpaceDN/>
        <w:bidi w:val="0"/>
        <w:adjustRightInd/>
        <w:snapToGrid/>
        <w:spacing w:after="0" w:line="360" w:lineRule="auto"/>
        <w:ind w:right="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、验收标准：</w:t>
      </w:r>
      <w:r>
        <w:rPr>
          <w:rFonts w:hint="eastAsia" w:ascii="仿宋" w:hAnsi="仿宋" w:eastAsia="仿宋" w:cs="仿宋"/>
          <w:color w:val="auto"/>
          <w:sz w:val="24"/>
          <w:szCs w:val="24"/>
          <w:highlight w:val="none"/>
        </w:rPr>
        <w:t>应满足相关行业规范及采购人要求。</w:t>
      </w:r>
    </w:p>
    <w:p w14:paraId="0A0AA45C">
      <w:pPr>
        <w:keepNext w:val="0"/>
        <w:keepLines w:val="0"/>
        <w:pageBreakBefore w:val="0"/>
        <w:widowControl w:val="0"/>
        <w:kinsoku/>
        <w:wordWrap/>
        <w:overflowPunct/>
        <w:topLinePunct w:val="0"/>
        <w:autoSpaceDE/>
        <w:autoSpaceDN/>
        <w:bidi w:val="0"/>
        <w:adjustRightInd/>
        <w:snapToGrid/>
        <w:spacing w:after="0" w:line="360" w:lineRule="auto"/>
        <w:ind w:right="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、售后服务：</w:t>
      </w:r>
      <w:r>
        <w:rPr>
          <w:rFonts w:hint="eastAsia" w:ascii="仿宋" w:hAnsi="仿宋" w:eastAsia="仿宋" w:cs="仿宋"/>
          <w:color w:val="auto"/>
          <w:sz w:val="24"/>
          <w:szCs w:val="24"/>
          <w:highlight w:val="none"/>
        </w:rPr>
        <w:t>项目结束前，需听从采购方负责人要求，直至项目结束。</w:t>
      </w:r>
    </w:p>
    <w:p w14:paraId="49978D07">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Chars="0" w:right="0" w:rightChars="0"/>
        <w:jc w:val="both"/>
        <w:textAlignment w:val="auto"/>
        <w:rPr>
          <w:rFonts w:hint="default" w:ascii="仿宋" w:hAnsi="仿宋" w:eastAsia="仿宋" w:cs="仿宋"/>
          <w:b/>
          <w:bCs w:val="0"/>
          <w:color w:val="auto"/>
          <w:sz w:val="24"/>
          <w:szCs w:val="22"/>
          <w:highlight w:val="none"/>
          <w:lang w:val="en-US" w:eastAsia="zh-CN" w:bidi="zh-CN"/>
        </w:rPr>
      </w:pPr>
      <w:r>
        <w:rPr>
          <w:rFonts w:hint="eastAsia" w:ascii="仿宋" w:hAnsi="仿宋" w:eastAsia="仿宋" w:cs="仿宋"/>
          <w:b/>
          <w:bCs w:val="0"/>
          <w:color w:val="auto"/>
          <w:sz w:val="24"/>
          <w:szCs w:val="22"/>
          <w:highlight w:val="none"/>
          <w:lang w:val="en-US" w:eastAsia="zh-CN" w:bidi="zh-CN"/>
        </w:rPr>
        <w:t>六、报价清单:</w:t>
      </w:r>
    </w:p>
    <w:tbl>
      <w:tblPr>
        <w:tblStyle w:val="39"/>
        <w:tblW w:w="10154" w:type="dxa"/>
        <w:tblInd w:w="-2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9"/>
        <w:gridCol w:w="894"/>
        <w:gridCol w:w="5266"/>
        <w:gridCol w:w="879"/>
        <w:gridCol w:w="1088"/>
        <w:gridCol w:w="1168"/>
      </w:tblGrid>
      <w:tr w14:paraId="3DEE0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trPr>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0788D">
            <w:pPr>
              <w:keepNext w:val="0"/>
              <w:keepLines w:val="0"/>
              <w:widowControl/>
              <w:suppressLineNumbers w:val="0"/>
              <w:jc w:val="center"/>
              <w:textAlignment w:val="center"/>
              <w:rPr>
                <w:rFonts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序号</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6401">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服务名称</w:t>
            </w:r>
          </w:p>
        </w:tc>
        <w:tc>
          <w:tcPr>
            <w:tcW w:w="5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C6C5">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服务要求</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2BAE">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数量</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AF8E">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单位</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F2BC">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服务天数</w:t>
            </w:r>
          </w:p>
        </w:tc>
      </w:tr>
      <w:tr w14:paraId="24F2E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8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963728">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8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4F426">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垃圾清运</w:t>
            </w:r>
          </w:p>
        </w:tc>
        <w:tc>
          <w:tcPr>
            <w:tcW w:w="5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A188C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1.每日完成生活垃圾的清运工作，从禄口、铜山垃圾中转站运送至光大环保能源（南京）有限公司处理，运距分别为38公里、47公里。</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4E9281">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169</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5DD4D">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吨/天</w:t>
            </w: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A3F32">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365</w:t>
            </w:r>
          </w:p>
        </w:tc>
      </w:tr>
      <w:tr w14:paraId="4EBA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AF3D9">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0C731">
            <w:pPr>
              <w:jc w:val="center"/>
              <w:rPr>
                <w:rFonts w:hint="eastAsia" w:ascii="仿宋" w:hAnsi="仿宋" w:eastAsia="仿宋" w:cs="仿宋"/>
                <w:i w:val="0"/>
                <w:iCs w:val="0"/>
                <w:color w:val="auto"/>
                <w:sz w:val="22"/>
                <w:szCs w:val="22"/>
                <w:highlight w:val="none"/>
                <w:u w:val="none"/>
              </w:rPr>
            </w:pPr>
          </w:p>
        </w:tc>
        <w:tc>
          <w:tcPr>
            <w:tcW w:w="5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3B63E">
            <w:pPr>
              <w:rPr>
                <w:rFonts w:hint="eastAsia" w:ascii="仿宋" w:hAnsi="仿宋" w:eastAsia="仿宋" w:cs="仿宋"/>
                <w:i w:val="0"/>
                <w:iCs w:val="0"/>
                <w:color w:val="auto"/>
                <w:sz w:val="22"/>
                <w:szCs w:val="22"/>
                <w:highlight w:val="none"/>
                <w:u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748BE">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7C4D1">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57D68">
            <w:pPr>
              <w:jc w:val="center"/>
              <w:rPr>
                <w:rFonts w:hint="eastAsia" w:ascii="仿宋" w:hAnsi="仿宋" w:eastAsia="仿宋" w:cs="仿宋"/>
                <w:i w:val="0"/>
                <w:iCs w:val="0"/>
                <w:color w:val="auto"/>
                <w:sz w:val="22"/>
                <w:szCs w:val="22"/>
                <w:highlight w:val="none"/>
                <w:u w:val="none"/>
              </w:rPr>
            </w:pPr>
          </w:p>
        </w:tc>
      </w:tr>
      <w:tr w14:paraId="59916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330ED">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32101">
            <w:pPr>
              <w:jc w:val="center"/>
              <w:rPr>
                <w:rFonts w:hint="eastAsia" w:ascii="仿宋" w:hAnsi="仿宋" w:eastAsia="仿宋" w:cs="仿宋"/>
                <w:i w:val="0"/>
                <w:iCs w:val="0"/>
                <w:color w:val="auto"/>
                <w:sz w:val="22"/>
                <w:szCs w:val="22"/>
                <w:highlight w:val="none"/>
                <w:u w:val="none"/>
              </w:rPr>
            </w:pPr>
          </w:p>
        </w:tc>
        <w:tc>
          <w:tcPr>
            <w:tcW w:w="5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023D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2.做到垃圾日产日清，委托清运的垃圾必须运送至指定地点进行规范处理，不得未经处理随意倾倒。</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7BE05">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B8EAF">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D4735">
            <w:pPr>
              <w:jc w:val="center"/>
              <w:rPr>
                <w:rFonts w:hint="eastAsia" w:ascii="仿宋" w:hAnsi="仿宋" w:eastAsia="仿宋" w:cs="仿宋"/>
                <w:i w:val="0"/>
                <w:iCs w:val="0"/>
                <w:color w:val="auto"/>
                <w:sz w:val="22"/>
                <w:szCs w:val="22"/>
                <w:highlight w:val="none"/>
                <w:u w:val="none"/>
              </w:rPr>
            </w:pPr>
          </w:p>
        </w:tc>
      </w:tr>
      <w:tr w14:paraId="12A1C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54C4D">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C1CF9">
            <w:pPr>
              <w:jc w:val="center"/>
              <w:rPr>
                <w:rFonts w:hint="eastAsia" w:ascii="仿宋" w:hAnsi="仿宋" w:eastAsia="仿宋" w:cs="仿宋"/>
                <w:i w:val="0"/>
                <w:iCs w:val="0"/>
                <w:color w:val="auto"/>
                <w:sz w:val="22"/>
                <w:szCs w:val="22"/>
                <w:highlight w:val="none"/>
                <w:u w:val="none"/>
              </w:rPr>
            </w:pPr>
          </w:p>
        </w:tc>
        <w:tc>
          <w:tcPr>
            <w:tcW w:w="5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9D21F">
            <w:pPr>
              <w:rPr>
                <w:rFonts w:hint="eastAsia" w:ascii="仿宋" w:hAnsi="仿宋" w:eastAsia="仿宋" w:cs="仿宋"/>
                <w:i w:val="0"/>
                <w:iCs w:val="0"/>
                <w:color w:val="auto"/>
                <w:sz w:val="22"/>
                <w:szCs w:val="22"/>
                <w:highlight w:val="none"/>
                <w:u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4B6AA">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7029B">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F0050">
            <w:pPr>
              <w:jc w:val="center"/>
              <w:rPr>
                <w:rFonts w:hint="eastAsia" w:ascii="仿宋" w:hAnsi="仿宋" w:eastAsia="仿宋" w:cs="仿宋"/>
                <w:i w:val="0"/>
                <w:iCs w:val="0"/>
                <w:color w:val="auto"/>
                <w:sz w:val="22"/>
                <w:szCs w:val="22"/>
                <w:highlight w:val="none"/>
                <w:u w:val="none"/>
              </w:rPr>
            </w:pPr>
          </w:p>
        </w:tc>
      </w:tr>
      <w:tr w14:paraId="6CA8F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43E5D">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1B21F">
            <w:pPr>
              <w:jc w:val="center"/>
              <w:rPr>
                <w:rFonts w:hint="eastAsia" w:ascii="仿宋" w:hAnsi="仿宋" w:eastAsia="仿宋" w:cs="仿宋"/>
                <w:i w:val="0"/>
                <w:iCs w:val="0"/>
                <w:color w:val="auto"/>
                <w:sz w:val="22"/>
                <w:szCs w:val="22"/>
                <w:highlight w:val="none"/>
                <w:u w:val="none"/>
              </w:rPr>
            </w:pPr>
          </w:p>
        </w:tc>
        <w:tc>
          <w:tcPr>
            <w:tcW w:w="5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1D2C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3.清运过程中应采取有效措施保持箱体密闭，防止在运输途中抛洒滴漏，若发生抛洒滴漏现象，须及时将现场清理干净。</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9D79B">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43A79">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FB434">
            <w:pPr>
              <w:jc w:val="center"/>
              <w:rPr>
                <w:rFonts w:hint="eastAsia" w:ascii="仿宋" w:hAnsi="仿宋" w:eastAsia="仿宋" w:cs="仿宋"/>
                <w:i w:val="0"/>
                <w:iCs w:val="0"/>
                <w:color w:val="auto"/>
                <w:sz w:val="22"/>
                <w:szCs w:val="22"/>
                <w:highlight w:val="none"/>
                <w:u w:val="none"/>
              </w:rPr>
            </w:pPr>
          </w:p>
        </w:tc>
      </w:tr>
      <w:tr w14:paraId="3E476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3D856">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E2103">
            <w:pPr>
              <w:jc w:val="center"/>
              <w:rPr>
                <w:rFonts w:hint="eastAsia" w:ascii="仿宋" w:hAnsi="仿宋" w:eastAsia="仿宋" w:cs="仿宋"/>
                <w:i w:val="0"/>
                <w:iCs w:val="0"/>
                <w:color w:val="auto"/>
                <w:sz w:val="22"/>
                <w:szCs w:val="22"/>
                <w:highlight w:val="none"/>
                <w:u w:val="none"/>
              </w:rPr>
            </w:pPr>
          </w:p>
        </w:tc>
        <w:tc>
          <w:tcPr>
            <w:tcW w:w="5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8C4B6">
            <w:pPr>
              <w:rPr>
                <w:rFonts w:hint="eastAsia" w:ascii="仿宋" w:hAnsi="仿宋" w:eastAsia="仿宋" w:cs="仿宋"/>
                <w:i w:val="0"/>
                <w:iCs w:val="0"/>
                <w:color w:val="auto"/>
                <w:sz w:val="22"/>
                <w:szCs w:val="22"/>
                <w:highlight w:val="none"/>
                <w:u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ECE7D">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F5D17">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821A5">
            <w:pPr>
              <w:jc w:val="center"/>
              <w:rPr>
                <w:rFonts w:hint="eastAsia" w:ascii="仿宋" w:hAnsi="仿宋" w:eastAsia="仿宋" w:cs="仿宋"/>
                <w:i w:val="0"/>
                <w:iCs w:val="0"/>
                <w:color w:val="auto"/>
                <w:sz w:val="22"/>
                <w:szCs w:val="22"/>
                <w:highlight w:val="none"/>
                <w:u w:val="none"/>
              </w:rPr>
            </w:pPr>
          </w:p>
        </w:tc>
      </w:tr>
      <w:tr w14:paraId="1535A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4"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061A7">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5B215">
            <w:pPr>
              <w:jc w:val="center"/>
              <w:rPr>
                <w:rFonts w:hint="eastAsia" w:ascii="仿宋" w:hAnsi="仿宋" w:eastAsia="仿宋" w:cs="仿宋"/>
                <w:i w:val="0"/>
                <w:iCs w:val="0"/>
                <w:color w:val="auto"/>
                <w:sz w:val="22"/>
                <w:szCs w:val="22"/>
                <w:highlight w:val="none"/>
                <w:u w:val="none"/>
              </w:rPr>
            </w:pPr>
          </w:p>
        </w:tc>
        <w:tc>
          <w:tcPr>
            <w:tcW w:w="5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5D9F3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配备相关服务人员，实行两班倒工作制，24小时待命。工作期间严禁饮酒驾驶、疲劳驾驶（服用类似感冒药等助眠药物的严禁上车操作），不得驾车时玩手机，抽烟，开斗气车等危险驾驶行为。遵守《中华人民共和国道路交通安全法》，环卫作业特殊条款（如作业车辆限速、警示标志设置要求等），规范车辆设备操作，做好车辆年检、维修保养。</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BA0B9">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7A17B">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78E0C">
            <w:pPr>
              <w:jc w:val="center"/>
              <w:rPr>
                <w:rFonts w:hint="eastAsia" w:ascii="仿宋" w:hAnsi="仿宋" w:eastAsia="仿宋" w:cs="仿宋"/>
                <w:i w:val="0"/>
                <w:iCs w:val="0"/>
                <w:color w:val="auto"/>
                <w:sz w:val="22"/>
                <w:szCs w:val="22"/>
                <w:highlight w:val="none"/>
                <w:u w:val="none"/>
              </w:rPr>
            </w:pPr>
          </w:p>
        </w:tc>
      </w:tr>
      <w:tr w14:paraId="3A225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2"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55092">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A8849">
            <w:pPr>
              <w:jc w:val="center"/>
              <w:rPr>
                <w:rFonts w:hint="eastAsia" w:ascii="仿宋" w:hAnsi="仿宋" w:eastAsia="仿宋" w:cs="仿宋"/>
                <w:i w:val="0"/>
                <w:iCs w:val="0"/>
                <w:color w:val="auto"/>
                <w:sz w:val="22"/>
                <w:szCs w:val="22"/>
                <w:highlight w:val="none"/>
                <w:u w:val="none"/>
              </w:rPr>
            </w:pPr>
          </w:p>
        </w:tc>
        <w:tc>
          <w:tcPr>
            <w:tcW w:w="5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E53DD">
            <w:pPr>
              <w:rPr>
                <w:rFonts w:hint="eastAsia" w:ascii="仿宋" w:hAnsi="仿宋" w:eastAsia="仿宋" w:cs="仿宋"/>
                <w:i w:val="0"/>
                <w:iCs w:val="0"/>
                <w:color w:val="auto"/>
                <w:sz w:val="22"/>
                <w:szCs w:val="22"/>
                <w:highlight w:val="none"/>
                <w:u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31826">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1C091">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E4EA5">
            <w:pPr>
              <w:jc w:val="center"/>
              <w:rPr>
                <w:rFonts w:hint="eastAsia" w:ascii="仿宋" w:hAnsi="仿宋" w:eastAsia="仿宋" w:cs="仿宋"/>
                <w:i w:val="0"/>
                <w:iCs w:val="0"/>
                <w:color w:val="auto"/>
                <w:sz w:val="22"/>
                <w:szCs w:val="22"/>
                <w:highlight w:val="none"/>
                <w:u w:val="none"/>
              </w:rPr>
            </w:pPr>
          </w:p>
        </w:tc>
      </w:tr>
      <w:tr w14:paraId="26DA4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4A0E6">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982D8">
            <w:pPr>
              <w:jc w:val="center"/>
              <w:rPr>
                <w:rFonts w:hint="eastAsia" w:ascii="仿宋" w:hAnsi="仿宋" w:eastAsia="仿宋" w:cs="仿宋"/>
                <w:i w:val="0"/>
                <w:iCs w:val="0"/>
                <w:color w:val="auto"/>
                <w:sz w:val="22"/>
                <w:szCs w:val="22"/>
                <w:highlight w:val="none"/>
                <w:u w:val="none"/>
              </w:rPr>
            </w:pPr>
          </w:p>
        </w:tc>
        <w:tc>
          <w:tcPr>
            <w:tcW w:w="52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ECD9C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5.包含燃油、维修保养、车辆保险及车辆耗损等全部费用。</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F8827">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36585">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CEF24">
            <w:pPr>
              <w:jc w:val="center"/>
              <w:rPr>
                <w:rFonts w:hint="eastAsia" w:ascii="仿宋" w:hAnsi="仿宋" w:eastAsia="仿宋" w:cs="仿宋"/>
                <w:i w:val="0"/>
                <w:iCs w:val="0"/>
                <w:color w:val="auto"/>
                <w:sz w:val="22"/>
                <w:szCs w:val="22"/>
                <w:highlight w:val="none"/>
                <w:u w:val="none"/>
              </w:rPr>
            </w:pPr>
          </w:p>
        </w:tc>
      </w:tr>
      <w:tr w14:paraId="083D1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AB556">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F837B">
            <w:pPr>
              <w:jc w:val="center"/>
              <w:rPr>
                <w:rFonts w:hint="eastAsia" w:ascii="仿宋" w:hAnsi="仿宋" w:eastAsia="仿宋" w:cs="仿宋"/>
                <w:i w:val="0"/>
                <w:iCs w:val="0"/>
                <w:color w:val="auto"/>
                <w:sz w:val="22"/>
                <w:szCs w:val="22"/>
                <w:highlight w:val="none"/>
                <w:u w:val="none"/>
              </w:rPr>
            </w:pPr>
          </w:p>
        </w:tc>
        <w:tc>
          <w:tcPr>
            <w:tcW w:w="52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F55A1">
            <w:pPr>
              <w:rPr>
                <w:rFonts w:hint="eastAsia" w:ascii="仿宋" w:hAnsi="仿宋" w:eastAsia="仿宋" w:cs="仿宋"/>
                <w:i w:val="0"/>
                <w:iCs w:val="0"/>
                <w:color w:val="auto"/>
                <w:sz w:val="22"/>
                <w:szCs w:val="22"/>
                <w:highlight w:val="none"/>
                <w:u w:val="none"/>
              </w:rPr>
            </w:pP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9212E">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F49CA">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93A84">
            <w:pPr>
              <w:jc w:val="center"/>
              <w:rPr>
                <w:rFonts w:hint="eastAsia" w:ascii="仿宋" w:hAnsi="仿宋" w:eastAsia="仿宋" w:cs="仿宋"/>
                <w:i w:val="0"/>
                <w:iCs w:val="0"/>
                <w:color w:val="auto"/>
                <w:sz w:val="22"/>
                <w:szCs w:val="22"/>
                <w:highlight w:val="none"/>
                <w:u w:val="none"/>
              </w:rPr>
            </w:pPr>
          </w:p>
        </w:tc>
      </w:tr>
      <w:tr w14:paraId="55A58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2"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0D3C9">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B33B5">
            <w:pPr>
              <w:jc w:val="center"/>
              <w:rPr>
                <w:rFonts w:hint="eastAsia" w:ascii="仿宋" w:hAnsi="仿宋" w:eastAsia="仿宋" w:cs="仿宋"/>
                <w:i w:val="0"/>
                <w:iCs w:val="0"/>
                <w:color w:val="auto"/>
                <w:sz w:val="22"/>
                <w:szCs w:val="22"/>
                <w:highlight w:val="none"/>
                <w:u w:val="none"/>
              </w:rPr>
            </w:pPr>
          </w:p>
        </w:tc>
        <w:tc>
          <w:tcPr>
            <w:tcW w:w="5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EA388">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6.包含人员工资、社保、公积金、法定节日加班等全部人工费用。</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2BA97">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681EA">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34B89">
            <w:pPr>
              <w:jc w:val="center"/>
              <w:rPr>
                <w:rFonts w:hint="eastAsia" w:ascii="仿宋" w:hAnsi="仿宋" w:eastAsia="仿宋" w:cs="仿宋"/>
                <w:i w:val="0"/>
                <w:iCs w:val="0"/>
                <w:color w:val="auto"/>
                <w:sz w:val="22"/>
                <w:szCs w:val="22"/>
                <w:highlight w:val="none"/>
                <w:u w:val="none"/>
              </w:rPr>
            </w:pPr>
          </w:p>
        </w:tc>
      </w:tr>
      <w:tr w14:paraId="4DF2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5" w:hRule="atLeast"/>
        </w:trPr>
        <w:tc>
          <w:tcPr>
            <w:tcW w:w="8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A28C6">
            <w:pPr>
              <w:jc w:val="center"/>
              <w:rPr>
                <w:rFonts w:hint="eastAsia" w:ascii="仿宋" w:hAnsi="仿宋" w:eastAsia="仿宋" w:cs="仿宋"/>
                <w:i w:val="0"/>
                <w:iCs w:val="0"/>
                <w:color w:val="auto"/>
                <w:sz w:val="22"/>
                <w:szCs w:val="22"/>
                <w:highlight w:val="none"/>
                <w:u w:val="none"/>
              </w:rPr>
            </w:pPr>
          </w:p>
        </w:tc>
        <w:tc>
          <w:tcPr>
            <w:tcW w:w="8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738B1">
            <w:pPr>
              <w:jc w:val="center"/>
              <w:rPr>
                <w:rFonts w:hint="eastAsia" w:ascii="仿宋" w:hAnsi="仿宋" w:eastAsia="仿宋" w:cs="仿宋"/>
                <w:i w:val="0"/>
                <w:iCs w:val="0"/>
                <w:color w:val="auto"/>
                <w:sz w:val="22"/>
                <w:szCs w:val="22"/>
                <w:highlight w:val="none"/>
                <w:u w:val="none"/>
              </w:rPr>
            </w:pPr>
          </w:p>
        </w:tc>
        <w:tc>
          <w:tcPr>
            <w:tcW w:w="52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753CE">
            <w:pPr>
              <w:keepNext w:val="0"/>
              <w:keepLines w:val="0"/>
              <w:widowControl/>
              <w:suppressLineNumbers w:val="0"/>
              <w:jc w:val="both"/>
              <w:textAlignment w:val="bottom"/>
              <w:rPr>
                <w:rFonts w:hint="eastAsia" w:ascii="仿宋" w:hAnsi="仿宋" w:eastAsia="仿宋" w:cs="仿宋"/>
                <w:i w:val="0"/>
                <w:iCs w:val="0"/>
                <w:color w:val="auto"/>
                <w:sz w:val="22"/>
                <w:szCs w:val="22"/>
                <w:highlight w:val="none"/>
                <w:u w:val="none"/>
              </w:rPr>
            </w:pPr>
            <w:r>
              <w:rPr>
                <w:rStyle w:val="243"/>
                <w:color w:val="auto"/>
                <w:highlight w:val="none"/>
                <w:lang w:val="en-US" w:eastAsia="zh-CN" w:bidi="ar"/>
              </w:rPr>
              <w:t>7.</w:t>
            </w:r>
            <w:r>
              <w:rPr>
                <w:rStyle w:val="243"/>
                <w:rFonts w:hint="eastAsia"/>
                <w:color w:val="auto"/>
                <w:highlight w:val="none"/>
                <w:lang w:val="en-US" w:eastAsia="zh-CN" w:bidi="ar"/>
              </w:rPr>
              <w:t>项目实施全周期内，供应商须配置自有产权的移动式联体压缩箱8个、确保满足本项目清运处置需求，服务周期</w:t>
            </w:r>
            <w:r>
              <w:rPr>
                <w:rStyle w:val="243"/>
                <w:color w:val="auto"/>
                <w:highlight w:val="none"/>
                <w:lang w:val="en-US" w:eastAsia="zh-CN" w:bidi="ar"/>
              </w:rPr>
              <w:t>结束产权归属街道。</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38219">
            <w:pPr>
              <w:jc w:val="center"/>
              <w:rPr>
                <w:rFonts w:hint="eastAsia" w:ascii="仿宋" w:hAnsi="仿宋" w:eastAsia="仿宋" w:cs="仿宋"/>
                <w:i w:val="0"/>
                <w:iCs w:val="0"/>
                <w:color w:val="auto"/>
                <w:sz w:val="22"/>
                <w:szCs w:val="22"/>
                <w:highlight w:val="none"/>
                <w:u w:val="none"/>
              </w:rPr>
            </w:pP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3D7F5">
            <w:pPr>
              <w:jc w:val="center"/>
              <w:rPr>
                <w:rFonts w:hint="eastAsia" w:ascii="仿宋" w:hAnsi="仿宋" w:eastAsia="仿宋" w:cs="仿宋"/>
                <w:i w:val="0"/>
                <w:iCs w:val="0"/>
                <w:color w:val="auto"/>
                <w:sz w:val="22"/>
                <w:szCs w:val="22"/>
                <w:highlight w:val="none"/>
                <w:u w:val="none"/>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373BF">
            <w:pPr>
              <w:jc w:val="center"/>
              <w:rPr>
                <w:rFonts w:hint="eastAsia" w:ascii="仿宋" w:hAnsi="仿宋" w:eastAsia="仿宋" w:cs="仿宋"/>
                <w:i w:val="0"/>
                <w:iCs w:val="0"/>
                <w:color w:val="auto"/>
                <w:sz w:val="22"/>
                <w:szCs w:val="22"/>
                <w:highlight w:val="none"/>
                <w:u w:val="none"/>
              </w:rPr>
            </w:pPr>
          </w:p>
        </w:tc>
      </w:tr>
    </w:tbl>
    <w:p w14:paraId="4E0DD783">
      <w:pPr>
        <w:pStyle w:val="2"/>
        <w:numPr>
          <w:ilvl w:val="0"/>
          <w:numId w:val="3"/>
        </w:numPr>
        <w:spacing w:before="0" w:line="360" w:lineRule="auto"/>
        <w:ind w:left="19" w:leftChars="0" w:hanging="19" w:firstLineChars="0"/>
        <w:jc w:val="both"/>
        <w:rPr>
          <w:rFonts w:hint="eastAsia" w:ascii="仿宋" w:hAnsi="仿宋" w:eastAsia="仿宋" w:cs="仿宋"/>
          <w:color w:val="auto"/>
          <w:szCs w:val="21"/>
          <w:highlight w:val="none"/>
          <w:lang w:val="en-US"/>
        </w:rPr>
      </w:pPr>
      <w:r>
        <w:rPr>
          <w:rFonts w:hint="eastAsia" w:ascii="仿宋" w:hAnsi="仿宋" w:eastAsia="仿宋" w:cs="仿宋"/>
          <w:color w:val="auto"/>
          <w:szCs w:val="21"/>
          <w:highlight w:val="none"/>
          <w:lang w:val="en-US"/>
        </w:rPr>
        <w:br w:type="page" w:clear="all"/>
      </w:r>
      <w:bookmarkStart w:id="41" w:name="_Toc26714"/>
    </w:p>
    <w:p w14:paraId="5EBA3CD2">
      <w:pPr>
        <w:pStyle w:val="2"/>
        <w:spacing w:before="0" w:line="360" w:lineRule="auto"/>
        <w:ind w:left="0"/>
        <w:rPr>
          <w:rFonts w:hint="eastAsia" w:ascii="仿宋" w:hAnsi="仿宋" w:eastAsia="仿宋" w:cs="仿宋"/>
          <w:color w:val="auto"/>
          <w:szCs w:val="21"/>
          <w:highlight w:val="none"/>
          <w:lang w:val="en-US"/>
        </w:rPr>
      </w:pPr>
    </w:p>
    <w:p w14:paraId="57563ACA">
      <w:pPr>
        <w:pStyle w:val="2"/>
        <w:spacing w:before="0" w:line="360" w:lineRule="auto"/>
        <w:ind w:left="0"/>
        <w:rPr>
          <w:rFonts w:hint="eastAsia" w:ascii="仿宋" w:hAnsi="仿宋" w:eastAsia="仿宋" w:cs="仿宋"/>
          <w:color w:val="auto"/>
          <w:highlight w:val="none"/>
        </w:rPr>
      </w:pPr>
      <w:r>
        <w:rPr>
          <w:rFonts w:hint="eastAsia" w:ascii="仿宋" w:hAnsi="仿宋" w:eastAsia="仿宋" w:cs="仿宋"/>
          <w:color w:val="auto"/>
          <w:highlight w:val="none"/>
        </w:rPr>
        <w:t>第五章 合同格式</w:t>
      </w:r>
      <w:bookmarkEnd w:id="40"/>
      <w:bookmarkEnd w:id="41"/>
    </w:p>
    <w:p w14:paraId="7C69D251">
      <w:pPr>
        <w:widowControl/>
        <w:shd w:val="clear" w:color="auto" w:fill="FFFFFF"/>
        <w:spacing w:line="360" w:lineRule="auto"/>
        <w:jc w:val="center"/>
        <w:rPr>
          <w:rFonts w:hint="eastAsia" w:eastAsia="宋体"/>
          <w:b/>
          <w:bCs/>
          <w:color w:val="auto"/>
          <w:sz w:val="52"/>
          <w:szCs w:val="52"/>
          <w:highlight w:val="none"/>
          <w:lang w:val="en-US" w:eastAsia="zh-CN"/>
        </w:rPr>
      </w:pPr>
      <w:r>
        <w:rPr>
          <w:rFonts w:hint="eastAsia"/>
          <w:b/>
          <w:bCs/>
          <w:color w:val="auto"/>
          <w:sz w:val="52"/>
          <w:szCs w:val="52"/>
          <w:highlight w:val="none"/>
        </w:rPr>
        <w:t>南京市政府采购合同</w:t>
      </w:r>
    </w:p>
    <w:p w14:paraId="6C863181">
      <w:pPr>
        <w:widowControl/>
        <w:shd w:val="clear" w:color="auto" w:fill="FFFFFF"/>
        <w:spacing w:line="360" w:lineRule="auto"/>
        <w:rPr>
          <w:rFonts w:hint="eastAsia"/>
          <w:color w:val="auto"/>
          <w:highlight w:val="none"/>
        </w:rPr>
      </w:pPr>
    </w:p>
    <w:p w14:paraId="6739B973">
      <w:pPr>
        <w:widowControl/>
        <w:shd w:val="clear" w:color="auto" w:fill="FFFFFF"/>
        <w:spacing w:line="360" w:lineRule="auto"/>
        <w:rPr>
          <w:rFonts w:hint="eastAsia"/>
          <w:color w:val="auto"/>
          <w:highlight w:val="none"/>
        </w:rPr>
      </w:pPr>
    </w:p>
    <w:p w14:paraId="6D85C85F">
      <w:pPr>
        <w:widowControl/>
        <w:shd w:val="clear" w:color="auto" w:fill="FFFFFF"/>
        <w:spacing w:line="360" w:lineRule="auto"/>
        <w:rPr>
          <w:rFonts w:hint="eastAsia"/>
          <w:color w:val="auto"/>
          <w:sz w:val="28"/>
          <w:szCs w:val="28"/>
          <w:highlight w:val="none"/>
        </w:rPr>
      </w:pPr>
    </w:p>
    <w:p w14:paraId="58559E75">
      <w:pPr>
        <w:widowControl/>
        <w:shd w:val="clear" w:color="auto" w:fill="FFFFFF"/>
        <w:spacing w:line="360" w:lineRule="auto"/>
        <w:ind w:firstLine="1918"/>
        <w:rPr>
          <w:rFonts w:hint="eastAsia"/>
          <w:color w:val="auto"/>
          <w:sz w:val="28"/>
          <w:szCs w:val="28"/>
          <w:highlight w:val="none"/>
        </w:rPr>
      </w:pPr>
      <w:r>
        <w:rPr>
          <w:rFonts w:hint="eastAsia"/>
          <w:b/>
          <w:bCs/>
          <w:color w:val="auto"/>
          <w:sz w:val="28"/>
          <w:szCs w:val="28"/>
          <w:highlight w:val="none"/>
        </w:rPr>
        <w:t>合同编号 ：</w:t>
      </w:r>
      <w:r>
        <w:rPr>
          <w:rFonts w:hint="eastAsia"/>
          <w:b/>
          <w:bCs/>
          <w:color w:val="auto"/>
          <w:sz w:val="28"/>
          <w:szCs w:val="28"/>
          <w:highlight w:val="none"/>
          <w:u w:val="single"/>
        </w:rPr>
        <w:t>                         </w:t>
      </w:r>
    </w:p>
    <w:p w14:paraId="36F3CFC7">
      <w:pPr>
        <w:widowControl/>
        <w:shd w:val="clear" w:color="auto" w:fill="FFFFFF"/>
        <w:spacing w:line="360" w:lineRule="auto"/>
        <w:ind w:firstLine="1918"/>
        <w:rPr>
          <w:rFonts w:hint="eastAsia"/>
          <w:b/>
          <w:bCs/>
          <w:color w:val="auto"/>
          <w:sz w:val="28"/>
          <w:szCs w:val="28"/>
          <w:highlight w:val="none"/>
          <w:u w:val="single"/>
        </w:rPr>
      </w:pPr>
      <w:r>
        <w:rPr>
          <w:rFonts w:hint="eastAsia"/>
          <w:b/>
          <w:bCs/>
          <w:color w:val="auto"/>
          <w:sz w:val="28"/>
          <w:szCs w:val="28"/>
          <w:highlight w:val="none"/>
        </w:rPr>
        <w:t>项目名称 ：</w:t>
      </w:r>
      <w:r>
        <w:rPr>
          <w:rFonts w:hint="eastAsia"/>
          <w:b/>
          <w:bCs/>
          <w:color w:val="auto"/>
          <w:sz w:val="28"/>
          <w:szCs w:val="28"/>
          <w:highlight w:val="none"/>
          <w:u w:val="single"/>
        </w:rPr>
        <w:t>                         </w:t>
      </w:r>
    </w:p>
    <w:p w14:paraId="6597F452">
      <w:pPr>
        <w:widowControl/>
        <w:shd w:val="clear" w:color="auto" w:fill="FFFFFF"/>
        <w:spacing w:line="360" w:lineRule="auto"/>
        <w:ind w:firstLine="1918"/>
        <w:rPr>
          <w:rFonts w:hint="eastAsia"/>
          <w:color w:val="auto"/>
          <w:sz w:val="28"/>
          <w:szCs w:val="28"/>
          <w:highlight w:val="none"/>
        </w:rPr>
      </w:pPr>
      <w:r>
        <w:rPr>
          <w:rFonts w:hint="eastAsia"/>
          <w:b/>
          <w:bCs/>
          <w:color w:val="auto"/>
          <w:sz w:val="28"/>
          <w:szCs w:val="28"/>
          <w:highlight w:val="none"/>
        </w:rPr>
        <w:t>包段名称 ：</w:t>
      </w:r>
      <w:r>
        <w:rPr>
          <w:rFonts w:hint="eastAsia"/>
          <w:b/>
          <w:bCs/>
          <w:color w:val="auto"/>
          <w:sz w:val="28"/>
          <w:szCs w:val="28"/>
          <w:highlight w:val="none"/>
          <w:u w:val="single"/>
        </w:rPr>
        <w:t>                         </w:t>
      </w:r>
    </w:p>
    <w:p w14:paraId="307A00F2">
      <w:pPr>
        <w:widowControl/>
        <w:shd w:val="clear" w:color="auto" w:fill="FFFFFF"/>
        <w:spacing w:line="360" w:lineRule="auto"/>
        <w:ind w:firstLine="1918"/>
        <w:rPr>
          <w:rFonts w:hint="eastAsia"/>
          <w:color w:val="auto"/>
          <w:sz w:val="28"/>
          <w:szCs w:val="28"/>
          <w:highlight w:val="none"/>
        </w:rPr>
      </w:pPr>
      <w:r>
        <w:rPr>
          <w:rFonts w:hint="eastAsia"/>
          <w:b/>
          <w:bCs/>
          <w:color w:val="auto"/>
          <w:sz w:val="28"/>
          <w:szCs w:val="28"/>
          <w:highlight w:val="none"/>
        </w:rPr>
        <w:t>采 购 人 ：</w:t>
      </w:r>
      <w:r>
        <w:rPr>
          <w:rFonts w:hint="eastAsia"/>
          <w:b/>
          <w:bCs/>
          <w:color w:val="auto"/>
          <w:sz w:val="28"/>
          <w:szCs w:val="28"/>
          <w:highlight w:val="none"/>
          <w:u w:val="single"/>
        </w:rPr>
        <w:t>                         </w:t>
      </w:r>
    </w:p>
    <w:p w14:paraId="2545B057">
      <w:pPr>
        <w:widowControl/>
        <w:shd w:val="clear" w:color="auto" w:fill="FFFFFF"/>
        <w:spacing w:line="360" w:lineRule="auto"/>
        <w:ind w:firstLine="1916"/>
        <w:rPr>
          <w:rFonts w:hint="eastAsia"/>
          <w:color w:val="auto"/>
          <w:sz w:val="28"/>
          <w:szCs w:val="28"/>
          <w:highlight w:val="none"/>
        </w:rPr>
      </w:pPr>
      <w:r>
        <w:rPr>
          <w:rFonts w:hint="eastAsia"/>
          <w:b/>
          <w:bCs/>
          <w:color w:val="auto"/>
          <w:sz w:val="28"/>
          <w:szCs w:val="28"/>
          <w:highlight w:val="none"/>
        </w:rPr>
        <w:t>供 应 商 ：</w:t>
      </w:r>
      <w:r>
        <w:rPr>
          <w:rFonts w:hint="eastAsia"/>
          <w:b/>
          <w:bCs/>
          <w:color w:val="auto"/>
          <w:sz w:val="28"/>
          <w:szCs w:val="28"/>
          <w:highlight w:val="none"/>
          <w:u w:val="single"/>
        </w:rPr>
        <w:t>                         </w:t>
      </w:r>
    </w:p>
    <w:p w14:paraId="04F9046A">
      <w:pPr>
        <w:widowControl/>
        <w:shd w:val="clear" w:color="auto" w:fill="FFFFFF"/>
        <w:spacing w:line="360" w:lineRule="auto"/>
        <w:ind w:firstLine="1916"/>
        <w:rPr>
          <w:rFonts w:hint="eastAsia"/>
          <w:color w:val="auto"/>
          <w:sz w:val="28"/>
          <w:szCs w:val="28"/>
          <w:highlight w:val="none"/>
        </w:rPr>
      </w:pPr>
      <w:r>
        <w:rPr>
          <w:rFonts w:hint="eastAsia"/>
          <w:b/>
          <w:bCs/>
          <w:color w:val="auto"/>
          <w:sz w:val="28"/>
          <w:szCs w:val="28"/>
          <w:highlight w:val="none"/>
        </w:rPr>
        <w:t>签订日期 ：</w:t>
      </w:r>
      <w:r>
        <w:rPr>
          <w:rFonts w:hint="eastAsia"/>
          <w:b/>
          <w:bCs/>
          <w:color w:val="auto"/>
          <w:sz w:val="28"/>
          <w:szCs w:val="28"/>
          <w:highlight w:val="none"/>
          <w:u w:val="single"/>
        </w:rPr>
        <w:t>                         </w:t>
      </w:r>
    </w:p>
    <w:p w14:paraId="738841EF">
      <w:pPr>
        <w:rPr>
          <w:rFonts w:hint="eastAsia"/>
          <w:b/>
          <w:bCs/>
          <w:color w:val="auto"/>
          <w:highlight w:val="none"/>
        </w:rPr>
      </w:pPr>
      <w:r>
        <w:rPr>
          <w:rFonts w:hint="eastAsia"/>
          <w:b/>
          <w:bCs/>
          <w:color w:val="auto"/>
          <w:highlight w:val="none"/>
        </w:rPr>
        <w:br w:type="page" w:clear="all"/>
      </w:r>
    </w:p>
    <w:p w14:paraId="54E57CD9">
      <w:pPr>
        <w:spacing w:before="28"/>
        <w:ind w:left="268" w:right="295"/>
        <w:jc w:val="center"/>
        <w:rPr>
          <w:rFonts w:ascii="仿宋" w:hAnsi="仿宋" w:eastAsia="仿宋" w:cs="仿宋"/>
          <w:b/>
          <w:color w:val="auto"/>
          <w:sz w:val="32"/>
          <w:highlight w:val="none"/>
        </w:rPr>
      </w:pPr>
      <w:r>
        <w:rPr>
          <w:rFonts w:hint="eastAsia" w:ascii="仿宋" w:hAnsi="仿宋" w:eastAsia="仿宋" w:cs="仿宋"/>
          <w:b/>
          <w:color w:val="auto"/>
          <w:sz w:val="32"/>
          <w:highlight w:val="none"/>
        </w:rPr>
        <w:t>南京市政府采购合同</w:t>
      </w:r>
    </w:p>
    <w:p w14:paraId="0253D178">
      <w:pPr>
        <w:pStyle w:val="15"/>
        <w:spacing w:before="127"/>
        <w:ind w:left="268" w:right="300"/>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（具体合同条款由采购人和供应商依据</w:t>
      </w:r>
      <w:r>
        <w:rPr>
          <w:rFonts w:hint="eastAsia" w:ascii="仿宋" w:hAnsi="仿宋" w:eastAsia="仿宋" w:cs="仿宋"/>
          <w:color w:val="auto"/>
          <w:sz w:val="22"/>
          <w:szCs w:val="22"/>
          <w:highlight w:val="none"/>
          <w:lang w:val="en-US"/>
        </w:rPr>
        <w:t>项目开展</w:t>
      </w:r>
      <w:r>
        <w:rPr>
          <w:rFonts w:hint="eastAsia" w:ascii="仿宋" w:hAnsi="仿宋" w:eastAsia="仿宋" w:cs="仿宋"/>
          <w:color w:val="auto"/>
          <w:sz w:val="22"/>
          <w:szCs w:val="22"/>
          <w:highlight w:val="none"/>
        </w:rPr>
        <w:t>拟定，</w:t>
      </w:r>
      <w:r>
        <w:rPr>
          <w:rFonts w:hint="eastAsia" w:ascii="仿宋" w:hAnsi="仿宋" w:eastAsia="仿宋" w:cs="仿宋"/>
          <w:color w:val="auto"/>
          <w:sz w:val="22"/>
          <w:szCs w:val="22"/>
          <w:highlight w:val="none"/>
          <w:lang w:val="en-US"/>
        </w:rPr>
        <w:t>本文</w:t>
      </w:r>
      <w:r>
        <w:rPr>
          <w:rFonts w:hint="eastAsia" w:ascii="仿宋" w:hAnsi="仿宋" w:eastAsia="仿宋" w:cs="仿宋"/>
          <w:color w:val="auto"/>
          <w:sz w:val="22"/>
          <w:szCs w:val="22"/>
          <w:highlight w:val="none"/>
        </w:rPr>
        <w:t>件仅供格式参考）</w:t>
      </w:r>
    </w:p>
    <w:p w14:paraId="025D51AC">
      <w:pPr>
        <w:spacing w:line="400" w:lineRule="exact"/>
        <w:rPr>
          <w:rFonts w:ascii="黑体" w:hAnsi="黑体" w:eastAsia="黑体" w:cs="黑体"/>
          <w:color w:val="auto"/>
          <w:highlight w:val="none"/>
        </w:rPr>
      </w:pPr>
    </w:p>
    <w:p w14:paraId="2A97C889">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合同编号： </w:t>
      </w:r>
    </w:p>
    <w:tbl>
      <w:tblPr>
        <w:tblStyle w:val="39"/>
        <w:tblW w:w="9286" w:type="dxa"/>
        <w:tblInd w:w="-108" w:type="dxa"/>
        <w:tblLayout w:type="fixed"/>
        <w:tblCellMar>
          <w:top w:w="0" w:type="dxa"/>
          <w:left w:w="0" w:type="dxa"/>
          <w:bottom w:w="0" w:type="dxa"/>
          <w:right w:w="0" w:type="dxa"/>
        </w:tblCellMar>
      </w:tblPr>
      <w:tblGrid>
        <w:gridCol w:w="4643"/>
        <w:gridCol w:w="4643"/>
      </w:tblGrid>
      <w:tr w14:paraId="7E1C983B">
        <w:tblPrEx>
          <w:tblCellMar>
            <w:top w:w="0" w:type="dxa"/>
            <w:left w:w="0" w:type="dxa"/>
            <w:bottom w:w="0" w:type="dxa"/>
            <w:right w:w="0" w:type="dxa"/>
          </w:tblCellMar>
        </w:tblPrEx>
        <w:tc>
          <w:tcPr>
            <w:tcW w:w="4643" w:type="dxa"/>
            <w:tcBorders>
              <w:top w:val="nil"/>
              <w:left w:val="nil"/>
              <w:bottom w:val="nil"/>
              <w:right w:val="nil"/>
            </w:tcBorders>
          </w:tcPr>
          <w:p w14:paraId="7F0309CB">
            <w:pPr>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采购人：（以下简称甲方）</w:t>
            </w:r>
          </w:p>
        </w:tc>
        <w:tc>
          <w:tcPr>
            <w:tcW w:w="4643" w:type="dxa"/>
            <w:tcBorders>
              <w:top w:val="nil"/>
              <w:left w:val="nil"/>
              <w:bottom w:val="nil"/>
              <w:right w:val="nil"/>
            </w:tcBorders>
          </w:tcPr>
          <w:p w14:paraId="5AC58537">
            <w:pPr>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供应商：（以下简称乙方）</w:t>
            </w:r>
          </w:p>
        </w:tc>
      </w:tr>
      <w:tr w14:paraId="53D699C1">
        <w:tblPrEx>
          <w:tblCellMar>
            <w:top w:w="0" w:type="dxa"/>
            <w:left w:w="0" w:type="dxa"/>
            <w:bottom w:w="0" w:type="dxa"/>
            <w:right w:w="0" w:type="dxa"/>
          </w:tblCellMar>
        </w:tblPrEx>
        <w:tc>
          <w:tcPr>
            <w:tcW w:w="4643" w:type="dxa"/>
            <w:tcBorders>
              <w:top w:val="nil"/>
              <w:left w:val="nil"/>
              <w:bottom w:val="nil"/>
              <w:right w:val="nil"/>
            </w:tcBorders>
          </w:tcPr>
          <w:p w14:paraId="5B53CA39">
            <w:pPr>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住所地：</w:t>
            </w:r>
          </w:p>
        </w:tc>
        <w:tc>
          <w:tcPr>
            <w:tcW w:w="4643" w:type="dxa"/>
            <w:tcBorders>
              <w:top w:val="nil"/>
              <w:left w:val="nil"/>
              <w:bottom w:val="nil"/>
              <w:right w:val="nil"/>
            </w:tcBorders>
          </w:tcPr>
          <w:p w14:paraId="5405F6C0">
            <w:pPr>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住所地</w:t>
            </w:r>
            <w:r>
              <w:rPr>
                <w:rFonts w:hint="eastAsia" w:ascii="仿宋" w:hAnsi="仿宋" w:eastAsia="仿宋" w:cs="仿宋"/>
                <w:color w:val="auto"/>
                <w:highlight w:val="none"/>
                <w:lang w:eastAsia="zh-CN"/>
              </w:rPr>
              <w:t>：</w:t>
            </w:r>
          </w:p>
        </w:tc>
      </w:tr>
    </w:tbl>
    <w:p w14:paraId="6844210C">
      <w:pPr>
        <w:spacing w:line="360" w:lineRule="auto"/>
        <w:ind w:firstLine="480"/>
        <w:rPr>
          <w:rFonts w:ascii="仿宋" w:hAnsi="仿宋" w:eastAsia="仿宋" w:cs="仿宋"/>
          <w:color w:val="auto"/>
          <w:highlight w:val="none"/>
        </w:rPr>
      </w:pPr>
      <w:r>
        <w:rPr>
          <w:rFonts w:hint="eastAsia" w:ascii="仿宋" w:hAnsi="仿宋" w:eastAsia="仿宋" w:cs="仿宋"/>
          <w:color w:val="auto"/>
          <w:highlight w:val="none"/>
        </w:rPr>
        <w:t>根据《中华人民共和国政府采购法》和《中华人民共和国</w:t>
      </w:r>
      <w:r>
        <w:rPr>
          <w:rFonts w:hint="eastAsia" w:ascii="仿宋" w:hAnsi="仿宋" w:eastAsia="仿宋" w:cs="仿宋"/>
          <w:color w:val="auto"/>
          <w:highlight w:val="none"/>
          <w:lang w:val="en-US"/>
        </w:rPr>
        <w:t>民法典</w:t>
      </w:r>
      <w:r>
        <w:rPr>
          <w:rFonts w:hint="eastAsia" w:ascii="仿宋" w:hAnsi="仿宋" w:eastAsia="仿宋" w:cs="仿宋"/>
          <w:color w:val="auto"/>
          <w:highlight w:val="none"/>
        </w:rPr>
        <w:t>》等法律法规的规定，甲乙双方按照招标结果签订本合同。</w:t>
      </w:r>
    </w:p>
    <w:p w14:paraId="53459CBD">
      <w:pPr>
        <w:spacing w:line="360" w:lineRule="auto"/>
        <w:ind w:firstLine="420"/>
        <w:rPr>
          <w:rFonts w:ascii="仿宋" w:hAnsi="仿宋" w:eastAsia="仿宋" w:cs="仿宋"/>
          <w:color w:val="auto"/>
          <w:highlight w:val="none"/>
        </w:rPr>
      </w:pPr>
      <w:r>
        <w:rPr>
          <w:rFonts w:hint="eastAsia" w:ascii="仿宋" w:hAnsi="仿宋" w:eastAsia="仿宋" w:cs="仿宋"/>
          <w:b/>
          <w:bCs/>
          <w:color w:val="auto"/>
          <w:highlight w:val="none"/>
        </w:rPr>
        <w:t>第一条</w:t>
      </w:r>
      <w:r>
        <w:rPr>
          <w:rFonts w:hint="eastAsia" w:ascii="仿宋" w:hAnsi="仿宋" w:eastAsia="仿宋" w:cs="仿宋"/>
          <w:b/>
          <w:bCs/>
          <w:color w:val="auto"/>
          <w:highlight w:val="none"/>
          <w:lang w:val="en-US"/>
        </w:rPr>
        <w:t xml:space="preserve"> </w:t>
      </w:r>
      <w:r>
        <w:rPr>
          <w:rFonts w:hint="eastAsia" w:ascii="仿宋" w:hAnsi="仿宋" w:eastAsia="仿宋" w:cs="仿宋"/>
          <w:b/>
          <w:bCs/>
          <w:color w:val="auto"/>
          <w:highlight w:val="none"/>
        </w:rPr>
        <w:t>合同标的</w:t>
      </w:r>
      <w:r>
        <w:rPr>
          <w:rFonts w:hint="eastAsia" w:ascii="仿宋" w:hAnsi="仿宋" w:eastAsia="仿宋" w:cs="仿宋"/>
          <w:color w:val="auto"/>
          <w:highlight w:val="none"/>
        </w:rPr>
        <w:t xml:space="preserve">  乙方根据甲方需求提供下列服务：</w:t>
      </w:r>
      <w:r>
        <w:rPr>
          <w:rFonts w:hint="eastAsia" w:ascii="仿宋" w:hAnsi="仿宋" w:eastAsia="仿宋" w:cs="仿宋"/>
          <w:color w:val="auto"/>
          <w:highlight w:val="none"/>
          <w:u w:val="single"/>
          <w:lang w:eastAsia="zh-CN"/>
        </w:rPr>
        <w:t>禄口街道2026-2029年度压缩垃圾清运服务</w:t>
      </w:r>
      <w:r>
        <w:rPr>
          <w:rFonts w:hint="eastAsia" w:ascii="仿宋" w:hAnsi="仿宋" w:eastAsia="仿宋" w:cs="仿宋"/>
          <w:color w:val="auto"/>
          <w:highlight w:val="none"/>
          <w:lang w:val="en-US" w:eastAsia="zh-CN"/>
        </w:rPr>
        <w:t>项目</w:t>
      </w:r>
      <w:r>
        <w:rPr>
          <w:rFonts w:hint="eastAsia" w:ascii="仿宋" w:hAnsi="仿宋" w:eastAsia="仿宋" w:cs="仿宋"/>
          <w:color w:val="auto"/>
          <w:highlight w:val="none"/>
        </w:rPr>
        <w:t>，详见乙方投标文件。</w:t>
      </w:r>
    </w:p>
    <w:p w14:paraId="7600A370">
      <w:pPr>
        <w:spacing w:line="360" w:lineRule="auto"/>
        <w:ind w:firstLine="420"/>
        <w:rPr>
          <w:rFonts w:ascii="仿宋" w:hAnsi="仿宋" w:eastAsia="仿宋" w:cs="仿宋"/>
          <w:color w:val="auto"/>
          <w:highlight w:val="none"/>
        </w:rPr>
      </w:pPr>
      <w:r>
        <w:rPr>
          <w:rFonts w:hint="eastAsia" w:ascii="仿宋" w:hAnsi="仿宋" w:eastAsia="仿宋" w:cs="仿宋"/>
          <w:b/>
          <w:bCs/>
          <w:color w:val="auto"/>
          <w:highlight w:val="none"/>
        </w:rPr>
        <w:t>第二条 合同价款</w:t>
      </w:r>
      <w:r>
        <w:rPr>
          <w:rFonts w:hint="eastAsia" w:ascii="仿宋" w:hAnsi="仿宋" w:eastAsia="仿宋" w:cs="仿宋"/>
          <w:color w:val="auto"/>
          <w:highlight w:val="none"/>
        </w:rPr>
        <w:t xml:space="preserve">  本合同暂定服务总价款为</w:t>
      </w:r>
      <w:r>
        <w:rPr>
          <w:rFonts w:hint="eastAsia" w:ascii="仿宋" w:hAnsi="仿宋" w:eastAsia="仿宋" w:cs="仿宋"/>
          <w:b/>
          <w:color w:val="auto"/>
          <w:highlight w:val="none"/>
          <w:u w:val="single"/>
        </w:rPr>
        <w:t xml:space="preserve">        </w:t>
      </w:r>
      <w:r>
        <w:rPr>
          <w:rFonts w:hint="eastAsia" w:ascii="仿宋" w:hAnsi="仿宋" w:eastAsia="仿宋" w:cs="仿宋"/>
          <w:color w:val="auto"/>
          <w:highlight w:val="none"/>
        </w:rPr>
        <w:t>（大写）人民币，以固定单价方式结算，最终结算工作量以实际工作量为准。分项价款在“投标报价表”中有明确规定。</w:t>
      </w:r>
    </w:p>
    <w:p w14:paraId="707E06B8">
      <w:pPr>
        <w:pStyle w:val="228"/>
        <w:spacing w:line="360" w:lineRule="auto"/>
        <w:ind w:firstLine="48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主要服务内容包括：</w:t>
      </w:r>
      <w:r>
        <w:rPr>
          <w:rFonts w:hint="eastAsia" w:ascii="仿宋" w:hAnsi="仿宋" w:eastAsia="仿宋" w:cs="仿宋"/>
          <w:color w:val="auto"/>
          <w:sz w:val="22"/>
          <w:szCs w:val="22"/>
          <w:highlight w:val="none"/>
          <w:u w:val="single"/>
        </w:rPr>
        <w:t>中转站成型压缩垃圾装车、密闭外运、焚烧厂规范卸料、自有车辆人员管理、作业污染清理、转运</w:t>
      </w:r>
      <w:r>
        <w:rPr>
          <w:rFonts w:hint="eastAsia" w:ascii="仿宋" w:hAnsi="仿宋" w:eastAsia="仿宋" w:cs="仿宋"/>
          <w:color w:val="auto"/>
          <w:sz w:val="22"/>
          <w:szCs w:val="22"/>
          <w:highlight w:val="none"/>
          <w:u w:val="single"/>
          <w:lang w:val="en-US" w:eastAsia="zh-CN"/>
        </w:rPr>
        <w:t>记录</w:t>
      </w:r>
      <w:r>
        <w:rPr>
          <w:rFonts w:hint="eastAsia" w:ascii="仿宋" w:hAnsi="仿宋" w:eastAsia="仿宋" w:cs="仿宋"/>
          <w:color w:val="auto"/>
          <w:sz w:val="22"/>
          <w:szCs w:val="22"/>
          <w:highlight w:val="none"/>
          <w:u w:val="single"/>
        </w:rPr>
        <w:t>报送、应急转运保障</w:t>
      </w:r>
      <w:r>
        <w:rPr>
          <w:rFonts w:hint="eastAsia" w:ascii="仿宋" w:hAnsi="仿宋" w:eastAsia="仿宋" w:cs="仿宋"/>
          <w:color w:val="auto"/>
          <w:sz w:val="22"/>
          <w:szCs w:val="22"/>
          <w:highlight w:val="none"/>
          <w:u w:val="single"/>
          <w:lang w:val="en-US" w:eastAsia="zh-CN"/>
        </w:rPr>
        <w:t>等</w:t>
      </w:r>
      <w:r>
        <w:rPr>
          <w:rFonts w:hint="eastAsia" w:ascii="仿宋" w:hAnsi="仿宋" w:eastAsia="仿宋" w:cs="仿宋"/>
          <w:color w:val="auto"/>
          <w:sz w:val="22"/>
          <w:szCs w:val="22"/>
          <w:highlight w:val="none"/>
          <w:lang w:val="en-US" w:eastAsia="zh-CN"/>
        </w:rPr>
        <w:t>。</w:t>
      </w:r>
    </w:p>
    <w:p w14:paraId="323EB25B">
      <w:pPr>
        <w:spacing w:line="360" w:lineRule="auto"/>
        <w:ind w:firstLine="480"/>
        <w:rPr>
          <w:rFonts w:ascii="仿宋" w:hAnsi="仿宋" w:eastAsia="仿宋" w:cs="仿宋"/>
          <w:b/>
          <w:color w:val="auto"/>
          <w:highlight w:val="none"/>
        </w:rPr>
      </w:pPr>
      <w:r>
        <w:rPr>
          <w:rFonts w:hint="eastAsia" w:ascii="仿宋" w:hAnsi="仿宋" w:eastAsia="仿宋" w:cs="仿宋"/>
          <w:color w:val="auto"/>
          <w:highlight w:val="none"/>
        </w:rPr>
        <w:t>本合同总价款是完成本项目所发生的所有含税费用、支付给员工的工资和国家强制缴纳的各种社会保障资金</w:t>
      </w:r>
      <w:r>
        <w:rPr>
          <w:rFonts w:hint="eastAsia" w:ascii="仿宋" w:hAnsi="仿宋" w:eastAsia="仿宋" w:cs="仿宋"/>
          <w:bCs/>
          <w:color w:val="auto"/>
          <w:highlight w:val="none"/>
        </w:rPr>
        <w:t>，以</w:t>
      </w:r>
      <w:r>
        <w:rPr>
          <w:rFonts w:hint="eastAsia" w:ascii="仿宋" w:hAnsi="仿宋" w:eastAsia="仿宋" w:cs="仿宋"/>
          <w:color w:val="auto"/>
          <w:highlight w:val="none"/>
        </w:rPr>
        <w:t>及投标人认为需要的其他费用等。</w:t>
      </w:r>
    </w:p>
    <w:p w14:paraId="02F19C01">
      <w:pPr>
        <w:spacing w:line="360" w:lineRule="auto"/>
        <w:ind w:firstLine="471"/>
        <w:rPr>
          <w:rFonts w:ascii="仿宋" w:hAnsi="仿宋" w:eastAsia="仿宋" w:cs="仿宋"/>
          <w:color w:val="auto"/>
          <w:highlight w:val="none"/>
        </w:rPr>
      </w:pPr>
      <w:r>
        <w:rPr>
          <w:rFonts w:hint="eastAsia" w:ascii="仿宋" w:hAnsi="仿宋" w:eastAsia="仿宋" w:cs="仿宋"/>
          <w:b/>
          <w:bCs/>
          <w:color w:val="auto"/>
          <w:highlight w:val="none"/>
        </w:rPr>
        <w:t>第三条 组成本合同的有关文件</w:t>
      </w:r>
      <w:r>
        <w:rPr>
          <w:rFonts w:hint="eastAsia" w:ascii="仿宋" w:hAnsi="仿宋" w:eastAsia="仿宋" w:cs="仿宋"/>
          <w:color w:val="auto"/>
          <w:highlight w:val="none"/>
        </w:rPr>
        <w:t xml:space="preserve">  下列关于</w:t>
      </w:r>
      <w:r>
        <w:rPr>
          <w:rFonts w:hint="eastAsia" w:ascii="仿宋" w:hAnsi="仿宋" w:eastAsia="仿宋" w:cs="仿宋"/>
          <w:b/>
          <w:color w:val="auto"/>
          <w:highlight w:val="none"/>
          <w:u w:val="single"/>
        </w:rPr>
        <w:t xml:space="preserve">        </w:t>
      </w:r>
      <w:r>
        <w:rPr>
          <w:rFonts w:hint="eastAsia" w:ascii="仿宋" w:hAnsi="仿宋" w:eastAsia="仿宋" w:cs="仿宋"/>
          <w:color w:val="auto"/>
          <w:highlight w:val="none"/>
          <w:u w:val="single"/>
        </w:rPr>
        <w:t>号</w:t>
      </w:r>
      <w:r>
        <w:rPr>
          <w:rFonts w:hint="eastAsia" w:ascii="仿宋" w:hAnsi="仿宋" w:eastAsia="仿宋" w:cs="仿宋"/>
          <w:color w:val="auto"/>
          <w:highlight w:val="none"/>
        </w:rPr>
        <w:t>标的招投标文件或与本次采购活动方式相适应的文件及有关附件是本合同不可分割的组成部分，与本合同具有同等法律效力，这些文件包括但不限于：</w:t>
      </w:r>
    </w:p>
    <w:p w14:paraId="232A04D6">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（1）乙方提供的投标文件和投标报价表；</w:t>
      </w:r>
    </w:p>
    <w:p w14:paraId="45992F6F">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（2）技术规格响应表；</w:t>
      </w:r>
    </w:p>
    <w:p w14:paraId="7945465A">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（3）投标承诺/服务承诺；</w:t>
      </w:r>
    </w:p>
    <w:p w14:paraId="4D9D3465">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（4）中标通知书；</w:t>
      </w:r>
    </w:p>
    <w:p w14:paraId="1260B836">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（5）甲乙双方商定的其他文件等。</w:t>
      </w:r>
    </w:p>
    <w:p w14:paraId="4E792F58">
      <w:pPr>
        <w:spacing w:line="360" w:lineRule="auto"/>
        <w:ind w:firstLine="420"/>
        <w:rPr>
          <w:rFonts w:ascii="仿宋" w:hAnsi="仿宋" w:eastAsia="仿宋" w:cs="仿宋"/>
          <w:b/>
          <w:bCs/>
          <w:color w:val="auto"/>
          <w:highlight w:val="none"/>
          <w:lang w:val="en-US"/>
        </w:rPr>
      </w:pPr>
      <w:r>
        <w:rPr>
          <w:rFonts w:hint="eastAsia" w:ascii="仿宋" w:hAnsi="仿宋" w:eastAsia="仿宋" w:cs="仿宋"/>
          <w:b/>
          <w:bCs/>
          <w:color w:val="auto"/>
          <w:highlight w:val="none"/>
        </w:rPr>
        <w:t>第四条 权利</w:t>
      </w:r>
      <w:r>
        <w:rPr>
          <w:rFonts w:hint="eastAsia" w:ascii="仿宋" w:hAnsi="仿宋" w:eastAsia="仿宋" w:cs="仿宋"/>
          <w:b/>
          <w:bCs/>
          <w:color w:val="auto"/>
          <w:highlight w:val="none"/>
          <w:lang w:val="en-US"/>
        </w:rPr>
        <w:t>与义务</w:t>
      </w:r>
    </w:p>
    <w:p w14:paraId="35AD464B">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1.甲方按合同约定及时与乙方进行运费结算；</w:t>
      </w:r>
    </w:p>
    <w:p w14:paraId="431BE491">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2.在清运过程中，甲方保持区域道路畅通；</w:t>
      </w:r>
    </w:p>
    <w:p w14:paraId="16660817">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3.乙方在拖运垃圾时要保持区域路面干净，将抛撒物及时清理干净，如未做到，甲方有权进行经济处罚，在清运费中扣除；</w:t>
      </w:r>
    </w:p>
    <w:p w14:paraId="732ECF21">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4.甲方对乙方在区域拖运垃圾期间，有权根据区域管理规定进行管理，若乙方违反规定甲方有权作出经济处罚。</w:t>
      </w:r>
    </w:p>
    <w:p w14:paraId="31E4F9A0">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5.乙方清理垃圾、拖运垃圾的工具、设备等均由乙方自行准备，甲方不承担因此导致的任何费用；</w:t>
      </w:r>
    </w:p>
    <w:p w14:paraId="632A9897">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6.乙方应遵守国家、省、市有关垃圾清运、倾倒和处置的有关规定，因违规造成的一切后果，均由乙方负责；</w:t>
      </w:r>
    </w:p>
    <w:p w14:paraId="0D090B63">
      <w:pPr>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lang w:val="en-US"/>
        </w:rPr>
        <w:t>7.乙方在工作中，甲方将派</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rPr>
        <w:t>名工人全程协助清运工作；</w:t>
      </w:r>
    </w:p>
    <w:p w14:paraId="0B9E879E">
      <w:pPr>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第五条 质量保证</w:t>
      </w:r>
    </w:p>
    <w:p w14:paraId="34839A47">
      <w:pPr>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乙方所提供的服务的技术规格应与招标文件规定的技术规格及所附的“技术条款偏离表”相一致；若技术性能无特殊说明，则按国家有关部门最新颁布的标准及规范为准。</w:t>
      </w:r>
    </w:p>
    <w:p w14:paraId="15F80121">
      <w:pPr>
        <w:numPr>
          <w:ilvl w:val="0"/>
          <w:numId w:val="10"/>
        </w:numPr>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lang w:val="en-US"/>
        </w:rPr>
        <w:t>合同期限</w:t>
      </w:r>
    </w:p>
    <w:p w14:paraId="5660BDCE">
      <w:pPr>
        <w:pStyle w:val="228"/>
        <w:spacing w:line="360" w:lineRule="auto"/>
        <w:rPr>
          <w:rFonts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本合同期限约定为第（ ）种方式。</w:t>
      </w:r>
    </w:p>
    <w:p w14:paraId="65FB70F9">
      <w:pPr>
        <w:spacing w:line="360" w:lineRule="auto"/>
        <w:ind w:firstLine="440" w:firstLineChars="200"/>
        <w:rPr>
          <w:rFonts w:ascii="仿宋" w:hAnsi="仿宋" w:eastAsia="仿宋" w:cs="仿宋"/>
          <w:color w:val="auto"/>
          <w:highlight w:val="none"/>
          <w:lang w:val="en-US"/>
        </w:rPr>
      </w:pPr>
      <w:r>
        <w:rPr>
          <w:rFonts w:hint="eastAsia" w:ascii="仿宋" w:hAnsi="仿宋" w:eastAsia="仿宋" w:cs="仿宋"/>
          <w:color w:val="auto"/>
          <w:highlight w:val="none"/>
          <w:lang w:val="en-US"/>
        </w:rPr>
        <w:t>（1）</w:t>
      </w:r>
      <w:r>
        <w:rPr>
          <w:rFonts w:hint="eastAsia" w:ascii="仿宋" w:hAnsi="仿宋" w:eastAsia="仿宋" w:cs="仿宋"/>
          <w:color w:val="auto"/>
          <w:highlight w:val="none"/>
        </w:rPr>
        <w:t>承包期限</w:t>
      </w:r>
      <w:r>
        <w:rPr>
          <w:rFonts w:hint="eastAsia" w:ascii="仿宋" w:hAnsi="仿宋" w:eastAsia="仿宋" w:cs="仿宋"/>
          <w:color w:val="auto"/>
          <w:highlight w:val="none"/>
          <w:lang w:val="en-US"/>
        </w:rPr>
        <w:t>：</w:t>
      </w:r>
      <w:r>
        <w:rPr>
          <w:rFonts w:hint="eastAsia" w:ascii="仿宋" w:hAnsi="仿宋" w:eastAsia="仿宋" w:cs="仿宋"/>
          <w:color w:val="auto"/>
          <w:highlight w:val="none"/>
        </w:rPr>
        <w:t>自</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日至</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日止</w:t>
      </w:r>
    </w:p>
    <w:p w14:paraId="315B0FF4">
      <w:pPr>
        <w:spacing w:line="360" w:lineRule="auto"/>
        <w:ind w:firstLine="440" w:firstLineChars="200"/>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2）</w:t>
      </w:r>
      <w:r>
        <w:rPr>
          <w:rFonts w:hint="eastAsia" w:ascii="仿宋" w:hAnsi="仿宋" w:eastAsia="仿宋" w:cs="仿宋"/>
          <w:color w:val="auto"/>
          <w:highlight w:val="none"/>
        </w:rPr>
        <w:t>乙方应当在合同签订后</w:t>
      </w:r>
      <w:r>
        <w:rPr>
          <w:rFonts w:hint="eastAsia" w:ascii="仿宋" w:hAnsi="仿宋" w:eastAsia="仿宋" w:cs="仿宋"/>
          <w:color w:val="auto"/>
          <w:highlight w:val="none"/>
          <w:u w:val="single"/>
          <w:lang w:val="en-US"/>
        </w:rPr>
        <w:t xml:space="preserve">     </w:t>
      </w:r>
      <w:r>
        <w:rPr>
          <w:rFonts w:hint="eastAsia" w:ascii="仿宋" w:hAnsi="仿宋" w:eastAsia="仿宋" w:cs="仿宋"/>
          <w:color w:val="auto"/>
          <w:highlight w:val="none"/>
        </w:rPr>
        <w:t>天内完成服务事项。</w:t>
      </w:r>
    </w:p>
    <w:p w14:paraId="150437D7">
      <w:pPr>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w:t>
      </w:r>
      <w:r>
        <w:rPr>
          <w:rFonts w:hint="eastAsia" w:ascii="仿宋" w:hAnsi="仿宋" w:eastAsia="仿宋" w:cs="仿宋"/>
          <w:b/>
          <w:bCs/>
          <w:color w:val="auto"/>
          <w:highlight w:val="none"/>
          <w:lang w:val="en-US"/>
        </w:rPr>
        <w:t>七</w:t>
      </w:r>
      <w:r>
        <w:rPr>
          <w:rFonts w:hint="eastAsia" w:ascii="仿宋" w:hAnsi="仿宋" w:eastAsia="仿宋" w:cs="仿宋"/>
          <w:b/>
          <w:bCs/>
          <w:color w:val="auto"/>
          <w:highlight w:val="none"/>
        </w:rPr>
        <w:t>条 合同款支付</w:t>
      </w:r>
    </w:p>
    <w:p w14:paraId="605B16BF">
      <w:pPr>
        <w:spacing w:line="360" w:lineRule="auto"/>
        <w:ind w:firstLine="638" w:firstLineChars="290"/>
        <w:rPr>
          <w:rFonts w:ascii="仿宋" w:hAnsi="仿宋" w:eastAsia="仿宋" w:cs="仿宋"/>
          <w:color w:val="auto"/>
          <w:highlight w:val="none"/>
        </w:rPr>
      </w:pPr>
      <w:r>
        <w:rPr>
          <w:rFonts w:hint="eastAsia" w:ascii="仿宋" w:hAnsi="仿宋" w:eastAsia="仿宋" w:cs="仿宋"/>
          <w:color w:val="auto"/>
          <w:highlight w:val="none"/>
          <w:lang w:val="en-US"/>
        </w:rPr>
        <w:t>1.</w:t>
      </w:r>
      <w:r>
        <w:rPr>
          <w:rFonts w:hint="eastAsia" w:ascii="仿宋" w:hAnsi="仿宋" w:eastAsia="仿宋" w:cs="仿宋"/>
          <w:color w:val="auto"/>
          <w:highlight w:val="none"/>
        </w:rPr>
        <w:t>本合同项下所有款项均以人民币支付。</w:t>
      </w:r>
    </w:p>
    <w:p w14:paraId="4FBEF328">
      <w:pPr>
        <w:spacing w:line="360" w:lineRule="auto"/>
        <w:ind w:firstLine="638" w:firstLineChars="290"/>
        <w:rPr>
          <w:rFonts w:ascii="仿宋" w:hAnsi="仿宋" w:eastAsia="仿宋" w:cs="仿宋"/>
          <w:color w:val="auto"/>
          <w:highlight w:val="none"/>
        </w:rPr>
      </w:pPr>
      <w:r>
        <w:rPr>
          <w:rFonts w:hint="eastAsia" w:ascii="仿宋" w:hAnsi="仿宋" w:eastAsia="仿宋" w:cs="仿宋"/>
          <w:color w:val="auto"/>
          <w:highlight w:val="none"/>
          <w:lang w:val="en-US"/>
        </w:rPr>
        <w:t>2.</w:t>
      </w:r>
      <w:r>
        <w:rPr>
          <w:rFonts w:hint="eastAsia" w:ascii="仿宋" w:hAnsi="仿宋" w:eastAsia="仿宋" w:cs="仿宋"/>
          <w:color w:val="auto"/>
          <w:highlight w:val="none"/>
        </w:rPr>
        <w:t>本合同项下的采购资金由甲方自行支付，乙方向甲方开具发票。</w:t>
      </w:r>
    </w:p>
    <w:p w14:paraId="2AC1D723">
      <w:pPr>
        <w:spacing w:line="360" w:lineRule="auto"/>
        <w:ind w:firstLine="638" w:firstLineChars="290"/>
        <w:rPr>
          <w:rFonts w:ascii="仿宋" w:hAnsi="仿宋" w:eastAsia="仿宋" w:cs="仿宋"/>
          <w:color w:val="auto"/>
          <w:highlight w:val="none"/>
        </w:rPr>
      </w:pPr>
      <w:r>
        <w:rPr>
          <w:rFonts w:hint="eastAsia" w:ascii="仿宋" w:hAnsi="仿宋" w:eastAsia="仿宋" w:cs="仿宋"/>
          <w:color w:val="auto"/>
          <w:highlight w:val="none"/>
          <w:lang w:val="en-US"/>
        </w:rPr>
        <w:t>3.</w:t>
      </w:r>
      <w:r>
        <w:rPr>
          <w:rFonts w:hint="eastAsia" w:ascii="仿宋" w:hAnsi="仿宋" w:eastAsia="仿宋" w:cs="仿宋"/>
          <w:color w:val="auto"/>
          <w:highlight w:val="none"/>
        </w:rPr>
        <w:t>付款方式：</w:t>
      </w:r>
    </w:p>
    <w:p w14:paraId="1814B020">
      <w:pPr>
        <w:spacing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rPr>
        <w:t>按季度付款，每季度服务结束后，供应商提交上季度已完成工作量和清运记录，经采购人审核后，按照考核结果，付至当季已完成工作量的70%；服务期满后，供应商提交项目结算书，经审计机构审计结束后一个月内付至结算审计价的95%，剩余5%作为履约质保金，满1年无服务遗留问题后一次性付清。</w:t>
      </w:r>
    </w:p>
    <w:p w14:paraId="16E5AA04">
      <w:pPr>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w:t>
      </w:r>
      <w:r>
        <w:rPr>
          <w:rFonts w:hint="eastAsia" w:ascii="仿宋" w:hAnsi="仿宋" w:eastAsia="仿宋" w:cs="仿宋"/>
          <w:b/>
          <w:bCs/>
          <w:color w:val="auto"/>
          <w:highlight w:val="none"/>
          <w:lang w:val="en-US"/>
        </w:rPr>
        <w:t>八</w:t>
      </w:r>
      <w:r>
        <w:rPr>
          <w:rFonts w:hint="eastAsia" w:ascii="仿宋" w:hAnsi="仿宋" w:eastAsia="仿宋" w:cs="仿宋"/>
          <w:b/>
          <w:bCs/>
          <w:color w:val="auto"/>
          <w:highlight w:val="none"/>
        </w:rPr>
        <w:t>条 违约责任</w:t>
      </w:r>
    </w:p>
    <w:p w14:paraId="79FA4999">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1.甲方无正当理由拒收服务、拒付服务款的，由甲方向乙方偿付合同总价的5%违约金。</w:t>
      </w:r>
    </w:p>
    <w:p w14:paraId="1CE72E4C">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2.甲方未按合同规定的期限向乙方支付服务款的，每逾期1天甲方向乙方偿付欠款总额的5‰滞纳金，但累计滞纳金总额不超过欠款总额的5%。</w:t>
      </w:r>
    </w:p>
    <w:p w14:paraId="601CD1C6">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3.如乙方不能交付服务的，甲方有权扣留全部履约保证金；同时乙方应向甲方支付合同总价5%的违约金。</w:t>
      </w:r>
    </w:p>
    <w:p w14:paraId="4D8CAEFE">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4.乙方逾期交付的，每逾期1天，乙方向甲方偿付合同总额的5‰的滞纳金。如乙方逾期交付达10天，甲方有权解除合同，解除合同的通知自到达乙方时生效。</w:t>
      </w:r>
    </w:p>
    <w:p w14:paraId="0B036BAE">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5.乙方所交付的服务不符合合同规定的，甲方有权拒收。甲方拒收的，乙方应向甲方支付合同总款5%的违约金。</w:t>
      </w:r>
    </w:p>
    <w:p w14:paraId="19096D05">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 xml:space="preserve">6.在乙方承诺的或国家规定的质量保证期内（取两者中最长的期限），如经乙方两次整改仍不能达到合同约定的质量标准或者乙方拒不整改，乙方应退回全部合同价款，并按第3款处理，同时，乙方还须赔偿甲方因此遭受的损失。 </w:t>
      </w:r>
    </w:p>
    <w:p w14:paraId="7DA7D39E">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7.乙方未按本合同的规定和“服务承诺”提供伴随服务/售后服务的，应按合同总价款的5 %向甲方承担违约责任。</w:t>
      </w:r>
    </w:p>
    <w:p w14:paraId="52035343">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 xml:space="preserve">8.乙方在承担上述3-7款一项或多项违约责任后，仍应继续履行合同规定的义务（甲方解除合同的除外）。甲方未能及时追究乙方的任何一项违约责任并不表明甲方放弃追究乙方该项或其他违约责任。 </w:t>
      </w:r>
    </w:p>
    <w:p w14:paraId="03260476">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 xml:space="preserve">9.乙方投标属虚假承诺，或经权威部门监测提供的服务不能满足招标文件要求，或是由于乙方的过错合同无法继续履行的，除乙方履约保证金不予退还外，还应向甲方支付不少于合同总价30%赔偿金。 </w:t>
      </w:r>
    </w:p>
    <w:p w14:paraId="29C039AF">
      <w:pPr>
        <w:widowControl/>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w:t>
      </w:r>
      <w:r>
        <w:rPr>
          <w:rFonts w:hint="eastAsia" w:ascii="仿宋" w:hAnsi="仿宋" w:eastAsia="仿宋" w:cs="仿宋"/>
          <w:b/>
          <w:bCs/>
          <w:color w:val="auto"/>
          <w:highlight w:val="none"/>
          <w:lang w:val="en-US"/>
        </w:rPr>
        <w:t>九</w:t>
      </w:r>
      <w:r>
        <w:rPr>
          <w:rFonts w:hint="eastAsia" w:ascii="仿宋" w:hAnsi="仿宋" w:eastAsia="仿宋" w:cs="仿宋"/>
          <w:b/>
          <w:bCs/>
          <w:color w:val="auto"/>
          <w:highlight w:val="none"/>
        </w:rPr>
        <w:t>条 合同的终止</w:t>
      </w:r>
    </w:p>
    <w:p w14:paraId="0EAEE7F2">
      <w:pPr>
        <w:widowControl/>
        <w:spacing w:line="360" w:lineRule="auto"/>
        <w:ind w:firstLine="480"/>
        <w:rPr>
          <w:rFonts w:ascii="仿宋" w:hAnsi="仿宋" w:eastAsia="仿宋" w:cs="仿宋"/>
          <w:color w:val="auto"/>
          <w:highlight w:val="none"/>
        </w:rPr>
      </w:pPr>
      <w:r>
        <w:rPr>
          <w:rFonts w:hint="eastAsia" w:ascii="仿宋" w:hAnsi="仿宋" w:eastAsia="仿宋" w:cs="仿宋"/>
          <w:color w:val="auto"/>
          <w:highlight w:val="none"/>
        </w:rPr>
        <w:t>除发生法律规定的不能预见、不能避免并不能克服的客观情况外，甲乙双方不得放弃或拒绝履行合同。</w:t>
      </w:r>
    </w:p>
    <w:p w14:paraId="45F9A647">
      <w:pPr>
        <w:widowControl/>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第十条 合同的转让</w:t>
      </w:r>
    </w:p>
    <w:p w14:paraId="0BDC33AC">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乙方不得擅自部分或全部转让其应履行的合同义务。</w:t>
      </w:r>
    </w:p>
    <w:p w14:paraId="6B8AE37B">
      <w:pPr>
        <w:widowControl/>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第十</w:t>
      </w:r>
      <w:r>
        <w:rPr>
          <w:rFonts w:hint="eastAsia" w:ascii="仿宋" w:hAnsi="仿宋" w:eastAsia="仿宋" w:cs="仿宋"/>
          <w:b/>
          <w:bCs/>
          <w:color w:val="auto"/>
          <w:highlight w:val="none"/>
          <w:lang w:val="en-US"/>
        </w:rPr>
        <w:t>一</w:t>
      </w:r>
      <w:r>
        <w:rPr>
          <w:rFonts w:hint="eastAsia" w:ascii="仿宋" w:hAnsi="仿宋" w:eastAsia="仿宋" w:cs="仿宋"/>
          <w:b/>
          <w:bCs/>
          <w:color w:val="auto"/>
          <w:highlight w:val="none"/>
        </w:rPr>
        <w:t>条 争议的解决</w:t>
      </w:r>
    </w:p>
    <w:p w14:paraId="5720A1BD">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1.因服务的质量问题发生争议的，应当邀请国家认可的质量检测机构对服务质量进行鉴定。符合标准的，鉴定费由甲方承担；不符合质量标准的，鉴定费由乙方承担。</w:t>
      </w:r>
    </w:p>
    <w:p w14:paraId="5C0FB429">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2.因履行本合同引起的或与本合同有关的争议，甲、乙双方应首先通过友好协商解决，如果协商不能解决争议，则采取以下第（</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 xml:space="preserve"> ）种方式解决争议：</w:t>
      </w:r>
    </w:p>
    <w:p w14:paraId="5826D465">
      <w:pPr>
        <w:widowControl/>
        <w:spacing w:line="360" w:lineRule="auto"/>
        <w:ind w:firstLine="560"/>
        <w:rPr>
          <w:rFonts w:ascii="仿宋" w:hAnsi="仿宋" w:eastAsia="仿宋" w:cs="仿宋"/>
          <w:color w:val="auto"/>
          <w:highlight w:val="none"/>
        </w:rPr>
      </w:pPr>
      <w:r>
        <w:rPr>
          <w:rFonts w:hint="eastAsia" w:ascii="仿宋" w:hAnsi="仿宋" w:eastAsia="仿宋" w:cs="仿宋"/>
          <w:color w:val="auto"/>
          <w:highlight w:val="none"/>
        </w:rPr>
        <w:t>（1）向甲方所在地有管辖权的人民法院提起诉讼；</w:t>
      </w:r>
    </w:p>
    <w:p w14:paraId="793FE934">
      <w:pPr>
        <w:widowControl/>
        <w:spacing w:line="360" w:lineRule="auto"/>
        <w:ind w:firstLine="560"/>
        <w:rPr>
          <w:rFonts w:ascii="仿宋" w:hAnsi="仿宋" w:eastAsia="仿宋" w:cs="仿宋"/>
          <w:color w:val="auto"/>
          <w:highlight w:val="none"/>
        </w:rPr>
      </w:pPr>
      <w:r>
        <w:rPr>
          <w:rFonts w:hint="eastAsia" w:ascii="仿宋" w:hAnsi="仿宋" w:eastAsia="仿宋" w:cs="仿宋"/>
          <w:color w:val="auto"/>
          <w:highlight w:val="none"/>
        </w:rPr>
        <w:t>（2）向南京仲裁委员会按其仲裁规则申请仲裁。</w:t>
      </w:r>
    </w:p>
    <w:p w14:paraId="1AD529AC">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如没有约定，默认采取第2种方式解决争议。</w:t>
      </w:r>
    </w:p>
    <w:p w14:paraId="3511A73C">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3.在仲裁期间，本合同应继续履行。</w:t>
      </w:r>
    </w:p>
    <w:p w14:paraId="1C33286E">
      <w:pPr>
        <w:widowControl/>
        <w:spacing w:line="360" w:lineRule="auto"/>
        <w:ind w:firstLine="420"/>
        <w:rPr>
          <w:rFonts w:ascii="仿宋" w:hAnsi="仿宋" w:eastAsia="仿宋" w:cs="仿宋"/>
          <w:b/>
          <w:bCs/>
          <w:color w:val="auto"/>
          <w:highlight w:val="none"/>
        </w:rPr>
      </w:pPr>
      <w:r>
        <w:rPr>
          <w:rFonts w:hint="eastAsia" w:ascii="仿宋" w:hAnsi="仿宋" w:eastAsia="仿宋" w:cs="仿宋"/>
          <w:b/>
          <w:bCs/>
          <w:color w:val="auto"/>
          <w:highlight w:val="none"/>
        </w:rPr>
        <w:t>第十</w:t>
      </w:r>
      <w:r>
        <w:rPr>
          <w:rFonts w:hint="eastAsia" w:ascii="仿宋" w:hAnsi="仿宋" w:eastAsia="仿宋" w:cs="仿宋"/>
          <w:b/>
          <w:bCs/>
          <w:color w:val="auto"/>
          <w:highlight w:val="none"/>
          <w:lang w:val="en-US"/>
        </w:rPr>
        <w:t>二</w:t>
      </w:r>
      <w:r>
        <w:rPr>
          <w:rFonts w:hint="eastAsia" w:ascii="仿宋" w:hAnsi="仿宋" w:eastAsia="仿宋" w:cs="仿宋"/>
          <w:b/>
          <w:bCs/>
          <w:color w:val="auto"/>
          <w:highlight w:val="none"/>
        </w:rPr>
        <w:t>条 合同生效及其他</w:t>
      </w:r>
    </w:p>
    <w:p w14:paraId="7F1F79D5">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1.本合同自签订之日起生效。</w:t>
      </w:r>
    </w:p>
    <w:p w14:paraId="67C3515F">
      <w:pPr>
        <w:widowControl/>
        <w:spacing w:line="360" w:lineRule="auto"/>
        <w:ind w:firstLine="420"/>
        <w:rPr>
          <w:rFonts w:ascii="仿宋" w:hAnsi="仿宋" w:eastAsia="仿宋" w:cs="仿宋"/>
          <w:color w:val="auto"/>
          <w:highlight w:val="none"/>
          <w:lang w:val="en-US"/>
        </w:rPr>
      </w:pPr>
      <w:r>
        <w:rPr>
          <w:rFonts w:hint="eastAsia" w:ascii="仿宋" w:hAnsi="仿宋" w:eastAsia="仿宋" w:cs="仿宋"/>
          <w:color w:val="auto"/>
          <w:highlight w:val="none"/>
        </w:rPr>
        <w:t>2.本合同一式</w:t>
      </w:r>
      <w:r>
        <w:rPr>
          <w:rFonts w:hint="eastAsia" w:ascii="仿宋" w:hAnsi="仿宋" w:eastAsia="仿宋" w:cs="仿宋"/>
          <w:color w:val="auto"/>
          <w:highlight w:val="none"/>
          <w:lang w:val="en-US"/>
        </w:rPr>
        <w:t>伍</w:t>
      </w:r>
      <w:r>
        <w:rPr>
          <w:rFonts w:hint="eastAsia" w:ascii="仿宋" w:hAnsi="仿宋" w:eastAsia="仿宋" w:cs="仿宋"/>
          <w:color w:val="auto"/>
          <w:highlight w:val="none"/>
        </w:rPr>
        <w:t>份，甲乙双方各执贰份，</w:t>
      </w:r>
      <w:r>
        <w:rPr>
          <w:rFonts w:hint="eastAsia" w:ascii="仿宋" w:hAnsi="仿宋" w:eastAsia="仿宋" w:cs="仿宋"/>
          <w:color w:val="auto"/>
          <w:highlight w:val="none"/>
          <w:lang w:val="en-US"/>
        </w:rPr>
        <w:t>监管部门壹份。</w:t>
      </w:r>
    </w:p>
    <w:p w14:paraId="18A8E773">
      <w:pPr>
        <w:widowControl/>
        <w:spacing w:line="360" w:lineRule="auto"/>
        <w:ind w:firstLine="420"/>
        <w:rPr>
          <w:rFonts w:ascii="仿宋" w:hAnsi="仿宋" w:eastAsia="仿宋" w:cs="仿宋"/>
          <w:color w:val="auto"/>
          <w:highlight w:val="none"/>
        </w:rPr>
      </w:pPr>
      <w:r>
        <w:rPr>
          <w:rFonts w:hint="eastAsia" w:ascii="仿宋" w:hAnsi="仿宋" w:eastAsia="仿宋" w:cs="仿宋"/>
          <w:color w:val="auto"/>
          <w:highlight w:val="none"/>
        </w:rPr>
        <w:t>3.本合同应按照中华人民共和国的现行法律进行解释。</w:t>
      </w:r>
    </w:p>
    <w:tbl>
      <w:tblPr>
        <w:tblStyle w:val="39"/>
        <w:tblpPr w:leftFromText="180" w:rightFromText="180" w:vertAnchor="text" w:horzAnchor="page" w:tblpX="1289" w:tblpY="63"/>
        <w:tblW w:w="9320" w:type="dxa"/>
        <w:tblInd w:w="0" w:type="dxa"/>
        <w:tblLayout w:type="fixed"/>
        <w:tblCellMar>
          <w:top w:w="0" w:type="dxa"/>
          <w:left w:w="0" w:type="dxa"/>
          <w:bottom w:w="0" w:type="dxa"/>
          <w:right w:w="0" w:type="dxa"/>
        </w:tblCellMar>
      </w:tblPr>
      <w:tblGrid>
        <w:gridCol w:w="4660"/>
        <w:gridCol w:w="4660"/>
      </w:tblGrid>
      <w:tr w14:paraId="058A3BF7">
        <w:tblPrEx>
          <w:tblCellMar>
            <w:top w:w="0" w:type="dxa"/>
            <w:left w:w="0" w:type="dxa"/>
            <w:bottom w:w="0" w:type="dxa"/>
            <w:right w:w="0" w:type="dxa"/>
          </w:tblCellMar>
        </w:tblPrEx>
        <w:trPr>
          <w:trHeight w:val="529" w:hRule="atLeast"/>
        </w:trPr>
        <w:tc>
          <w:tcPr>
            <w:tcW w:w="4660" w:type="dxa"/>
            <w:tcBorders>
              <w:top w:val="nil"/>
              <w:left w:val="nil"/>
              <w:bottom w:val="nil"/>
              <w:right w:val="nil"/>
            </w:tcBorders>
          </w:tcPr>
          <w:p w14:paraId="12810D46">
            <w:pPr>
              <w:widowControl/>
              <w:spacing w:line="360" w:lineRule="auto"/>
              <w:ind w:firstLine="440" w:firstLineChars="200"/>
              <w:rPr>
                <w:rFonts w:ascii="仿宋" w:hAnsi="仿宋" w:eastAsia="仿宋" w:cs="仿宋"/>
                <w:color w:val="auto"/>
                <w:highlight w:val="none"/>
              </w:rPr>
            </w:pPr>
            <w:r>
              <w:rPr>
                <w:rFonts w:hint="eastAsia" w:ascii="仿宋" w:hAnsi="仿宋" w:eastAsia="仿宋" w:cs="仿宋"/>
                <w:color w:val="auto"/>
                <w:highlight w:val="none"/>
              </w:rPr>
              <w:t>甲方（采购人）：（盖章）</w:t>
            </w:r>
          </w:p>
        </w:tc>
        <w:tc>
          <w:tcPr>
            <w:tcW w:w="4660" w:type="dxa"/>
            <w:tcBorders>
              <w:top w:val="nil"/>
              <w:left w:val="nil"/>
              <w:bottom w:val="nil"/>
              <w:right w:val="nil"/>
            </w:tcBorders>
          </w:tcPr>
          <w:p w14:paraId="54932890">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乙方（供应商）：（盖章）</w:t>
            </w:r>
          </w:p>
        </w:tc>
      </w:tr>
      <w:tr w14:paraId="54D97900">
        <w:tblPrEx>
          <w:tblCellMar>
            <w:top w:w="0" w:type="dxa"/>
            <w:left w:w="0" w:type="dxa"/>
            <w:bottom w:w="0" w:type="dxa"/>
            <w:right w:w="0" w:type="dxa"/>
          </w:tblCellMar>
        </w:tblPrEx>
        <w:trPr>
          <w:trHeight w:val="529" w:hRule="atLeast"/>
        </w:trPr>
        <w:tc>
          <w:tcPr>
            <w:tcW w:w="4660" w:type="dxa"/>
            <w:tcBorders>
              <w:top w:val="nil"/>
              <w:left w:val="nil"/>
              <w:bottom w:val="nil"/>
              <w:right w:val="nil"/>
            </w:tcBorders>
          </w:tcPr>
          <w:p w14:paraId="394261F4">
            <w:pPr>
              <w:widowControl/>
              <w:spacing w:line="360" w:lineRule="auto"/>
              <w:ind w:firstLine="220" w:firstLineChars="100"/>
              <w:rPr>
                <w:rFonts w:ascii="仿宋" w:hAnsi="仿宋" w:eastAsia="仿宋" w:cs="仿宋"/>
                <w:color w:val="auto"/>
                <w:highlight w:val="none"/>
              </w:rPr>
            </w:pPr>
            <w:r>
              <w:rPr>
                <w:rFonts w:hint="eastAsia" w:ascii="仿宋" w:hAnsi="仿宋" w:eastAsia="仿宋" w:cs="仿宋"/>
                <w:color w:val="auto"/>
                <w:highlight w:val="none"/>
              </w:rPr>
              <w:t>代表人：</w:t>
            </w:r>
          </w:p>
        </w:tc>
        <w:tc>
          <w:tcPr>
            <w:tcW w:w="4660" w:type="dxa"/>
            <w:tcBorders>
              <w:top w:val="nil"/>
              <w:left w:val="nil"/>
              <w:bottom w:val="nil"/>
              <w:right w:val="nil"/>
            </w:tcBorders>
          </w:tcPr>
          <w:p w14:paraId="5DD54AF0">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代表人：</w:t>
            </w:r>
          </w:p>
        </w:tc>
      </w:tr>
      <w:tr w14:paraId="4FD8417E">
        <w:tblPrEx>
          <w:tblCellMar>
            <w:top w:w="0" w:type="dxa"/>
            <w:left w:w="0" w:type="dxa"/>
            <w:bottom w:w="0" w:type="dxa"/>
            <w:right w:w="0" w:type="dxa"/>
          </w:tblCellMar>
        </w:tblPrEx>
        <w:trPr>
          <w:trHeight w:val="529" w:hRule="atLeast"/>
        </w:trPr>
        <w:tc>
          <w:tcPr>
            <w:tcW w:w="4660" w:type="dxa"/>
            <w:tcBorders>
              <w:top w:val="nil"/>
              <w:left w:val="nil"/>
              <w:bottom w:val="nil"/>
              <w:right w:val="nil"/>
            </w:tcBorders>
          </w:tcPr>
          <w:p w14:paraId="39038DE8">
            <w:pPr>
              <w:widowControl/>
              <w:spacing w:line="360" w:lineRule="auto"/>
              <w:ind w:firstLine="220" w:firstLineChars="100"/>
              <w:rPr>
                <w:rFonts w:ascii="仿宋" w:hAnsi="仿宋" w:eastAsia="仿宋" w:cs="仿宋"/>
                <w:color w:val="auto"/>
                <w:highlight w:val="none"/>
              </w:rPr>
            </w:pPr>
            <w:r>
              <w:rPr>
                <w:rFonts w:hint="eastAsia" w:ascii="仿宋" w:hAnsi="仿宋" w:eastAsia="仿宋" w:cs="仿宋"/>
                <w:color w:val="auto"/>
                <w:highlight w:val="none"/>
              </w:rPr>
              <w:t>电    话：</w:t>
            </w:r>
          </w:p>
        </w:tc>
        <w:tc>
          <w:tcPr>
            <w:tcW w:w="4660" w:type="dxa"/>
            <w:tcBorders>
              <w:top w:val="nil"/>
              <w:left w:val="nil"/>
              <w:bottom w:val="nil"/>
              <w:right w:val="nil"/>
            </w:tcBorders>
          </w:tcPr>
          <w:p w14:paraId="77BFE16A">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电    话：</w:t>
            </w:r>
          </w:p>
        </w:tc>
      </w:tr>
      <w:tr w14:paraId="3BB5A531">
        <w:tblPrEx>
          <w:tblCellMar>
            <w:top w:w="0" w:type="dxa"/>
            <w:left w:w="0" w:type="dxa"/>
            <w:bottom w:w="0" w:type="dxa"/>
            <w:right w:w="0" w:type="dxa"/>
          </w:tblCellMar>
        </w:tblPrEx>
        <w:trPr>
          <w:trHeight w:val="529" w:hRule="atLeast"/>
        </w:trPr>
        <w:tc>
          <w:tcPr>
            <w:tcW w:w="4660" w:type="dxa"/>
            <w:tcBorders>
              <w:top w:val="nil"/>
              <w:left w:val="nil"/>
              <w:bottom w:val="nil"/>
              <w:right w:val="nil"/>
            </w:tcBorders>
          </w:tcPr>
          <w:p w14:paraId="1D2E0552">
            <w:pPr>
              <w:widowControl/>
              <w:spacing w:line="360" w:lineRule="auto"/>
              <w:ind w:firstLine="220" w:firstLineChars="100"/>
              <w:rPr>
                <w:rFonts w:ascii="仿宋" w:hAnsi="仿宋" w:eastAsia="仿宋" w:cs="仿宋"/>
                <w:color w:val="auto"/>
                <w:highlight w:val="none"/>
              </w:rPr>
            </w:pPr>
            <w:r>
              <w:rPr>
                <w:rFonts w:hint="eastAsia" w:ascii="仿宋" w:hAnsi="仿宋" w:eastAsia="仿宋" w:cs="仿宋"/>
                <w:color w:val="auto"/>
                <w:highlight w:val="none"/>
              </w:rPr>
              <w:t>开户银行：</w:t>
            </w:r>
          </w:p>
        </w:tc>
        <w:tc>
          <w:tcPr>
            <w:tcW w:w="4660" w:type="dxa"/>
            <w:tcBorders>
              <w:top w:val="nil"/>
              <w:left w:val="nil"/>
              <w:bottom w:val="nil"/>
              <w:right w:val="nil"/>
            </w:tcBorders>
          </w:tcPr>
          <w:p w14:paraId="28D9EAAE">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开户银行：</w:t>
            </w:r>
          </w:p>
        </w:tc>
      </w:tr>
      <w:tr w14:paraId="3C751A74">
        <w:tblPrEx>
          <w:tblCellMar>
            <w:top w:w="0" w:type="dxa"/>
            <w:left w:w="0" w:type="dxa"/>
            <w:bottom w:w="0" w:type="dxa"/>
            <w:right w:w="0" w:type="dxa"/>
          </w:tblCellMar>
        </w:tblPrEx>
        <w:trPr>
          <w:trHeight w:val="1058" w:hRule="atLeast"/>
        </w:trPr>
        <w:tc>
          <w:tcPr>
            <w:tcW w:w="4660" w:type="dxa"/>
            <w:tcBorders>
              <w:top w:val="nil"/>
              <w:left w:val="nil"/>
              <w:bottom w:val="nil"/>
              <w:right w:val="nil"/>
            </w:tcBorders>
          </w:tcPr>
          <w:p w14:paraId="37A8CEF8">
            <w:pPr>
              <w:widowControl/>
              <w:spacing w:line="360" w:lineRule="auto"/>
              <w:ind w:firstLine="220" w:firstLineChars="100"/>
              <w:rPr>
                <w:rFonts w:ascii="仿宋" w:hAnsi="仿宋" w:eastAsia="仿宋" w:cs="仿宋"/>
                <w:color w:val="auto"/>
                <w:highlight w:val="none"/>
              </w:rPr>
            </w:pPr>
            <w:r>
              <w:rPr>
                <w:rFonts w:hint="eastAsia" w:ascii="仿宋" w:hAnsi="仿宋" w:eastAsia="仿宋" w:cs="仿宋"/>
                <w:color w:val="auto"/>
                <w:highlight w:val="none"/>
              </w:rPr>
              <w:t>账    号：</w:t>
            </w:r>
          </w:p>
        </w:tc>
        <w:tc>
          <w:tcPr>
            <w:tcW w:w="4660" w:type="dxa"/>
            <w:tcBorders>
              <w:top w:val="nil"/>
              <w:left w:val="nil"/>
              <w:bottom w:val="nil"/>
              <w:right w:val="nil"/>
            </w:tcBorders>
          </w:tcPr>
          <w:p w14:paraId="51741E56">
            <w:pPr>
              <w:widowControl/>
              <w:spacing w:line="360" w:lineRule="auto"/>
              <w:rPr>
                <w:rFonts w:ascii="仿宋" w:hAnsi="仿宋" w:eastAsia="仿宋" w:cs="仿宋"/>
                <w:color w:val="auto"/>
                <w:highlight w:val="none"/>
              </w:rPr>
            </w:pPr>
            <w:r>
              <w:rPr>
                <w:rFonts w:hint="eastAsia" w:ascii="仿宋" w:hAnsi="仿宋" w:eastAsia="仿宋" w:cs="仿宋"/>
                <w:color w:val="auto"/>
                <w:highlight w:val="none"/>
              </w:rPr>
              <w:t>账    号：</w:t>
            </w:r>
          </w:p>
          <w:p w14:paraId="1CC594CE">
            <w:pPr>
              <w:widowControl/>
              <w:spacing w:line="360" w:lineRule="auto"/>
              <w:rPr>
                <w:rFonts w:ascii="仿宋" w:hAnsi="仿宋" w:eastAsia="仿宋" w:cs="仿宋"/>
                <w:color w:val="auto"/>
                <w:highlight w:val="none"/>
              </w:rPr>
            </w:pPr>
          </w:p>
        </w:tc>
      </w:tr>
    </w:tbl>
    <w:p w14:paraId="765029DD">
      <w:pPr>
        <w:rPr>
          <w:rFonts w:ascii="仿宋" w:hAnsi="仿宋" w:eastAsia="仿宋" w:cs="仿宋"/>
          <w:color w:val="auto"/>
          <w:highlight w:val="none"/>
        </w:rPr>
      </w:pPr>
      <w:r>
        <w:rPr>
          <w:rFonts w:hint="eastAsia" w:ascii="仿宋" w:hAnsi="仿宋" w:eastAsia="仿宋" w:cs="仿宋"/>
          <w:color w:val="auto"/>
          <w:highlight w:val="none"/>
        </w:rPr>
        <w:br w:type="page" w:clear="all"/>
      </w:r>
    </w:p>
    <w:p w14:paraId="62D60F58">
      <w:pPr>
        <w:rPr>
          <w:rFonts w:ascii="仿宋" w:hAnsi="仿宋" w:eastAsia="仿宋" w:cs="仿宋"/>
          <w:color w:val="auto"/>
          <w:highlight w:val="none"/>
        </w:rPr>
      </w:pPr>
      <w:r>
        <w:rPr>
          <w:rFonts w:hint="eastAsia" w:ascii="仿宋" w:hAnsi="仿宋" w:eastAsia="仿宋" w:cs="仿宋"/>
          <w:color w:val="auto"/>
          <w:highlight w:val="none"/>
        </w:rPr>
        <w:t>附件：</w:t>
      </w:r>
    </w:p>
    <w:p w14:paraId="039028AE">
      <w:pPr>
        <w:pStyle w:val="3"/>
        <w:spacing w:before="0" w:after="0" w:line="360" w:lineRule="auto"/>
        <w:ind w:firstLine="240" w:firstLineChars="100"/>
        <w:rPr>
          <w:rFonts w:ascii="仿宋" w:hAnsi="仿宋" w:eastAsia="仿宋" w:cs="仿宋"/>
          <w:b w:val="0"/>
          <w:bCs w:val="0"/>
          <w:color w:val="auto"/>
          <w:sz w:val="24"/>
          <w:szCs w:val="24"/>
          <w:highlight w:val="none"/>
          <w:lang w:bidi="zh-CN"/>
        </w:rPr>
      </w:pPr>
      <w:r>
        <w:rPr>
          <w:rFonts w:hint="eastAsia" w:ascii="仿宋" w:hAnsi="仿宋" w:eastAsia="仿宋" w:cs="仿宋"/>
          <w:b w:val="0"/>
          <w:bCs w:val="0"/>
          <w:color w:val="auto"/>
          <w:sz w:val="24"/>
          <w:szCs w:val="24"/>
          <w:highlight w:val="none"/>
          <w:lang w:bidi="zh-CN"/>
        </w:rPr>
        <w:t>考核标准</w:t>
      </w:r>
    </w:p>
    <w:tbl>
      <w:tblPr>
        <w:tblStyle w:val="39"/>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2451"/>
        <w:gridCol w:w="4272"/>
        <w:gridCol w:w="744"/>
        <w:gridCol w:w="691"/>
      </w:tblGrid>
      <w:tr w14:paraId="5B7D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23" w:type="dxa"/>
            <w:noWrap w:val="0"/>
            <w:vAlign w:val="center"/>
          </w:tcPr>
          <w:p w14:paraId="5751DA1E">
            <w:pPr>
              <w:spacing w:line="280" w:lineRule="exact"/>
              <w:jc w:val="center"/>
              <w:rPr>
                <w:b/>
                <w:bCs/>
                <w:color w:val="auto"/>
                <w:szCs w:val="21"/>
                <w:highlight w:val="none"/>
              </w:rPr>
            </w:pPr>
            <w:r>
              <w:rPr>
                <w:rFonts w:hint="eastAsia"/>
                <w:b/>
                <w:bCs/>
                <w:color w:val="auto"/>
                <w:szCs w:val="21"/>
                <w:highlight w:val="none"/>
              </w:rPr>
              <w:t>服务项目</w:t>
            </w:r>
          </w:p>
        </w:tc>
        <w:tc>
          <w:tcPr>
            <w:tcW w:w="2451" w:type="dxa"/>
            <w:noWrap w:val="0"/>
            <w:vAlign w:val="center"/>
          </w:tcPr>
          <w:p w14:paraId="18F80A2C">
            <w:pPr>
              <w:spacing w:line="280" w:lineRule="exact"/>
              <w:jc w:val="center"/>
              <w:rPr>
                <w:b/>
                <w:bCs/>
                <w:color w:val="auto"/>
                <w:szCs w:val="21"/>
                <w:highlight w:val="none"/>
              </w:rPr>
            </w:pPr>
            <w:r>
              <w:rPr>
                <w:rFonts w:hint="eastAsia"/>
                <w:b/>
                <w:bCs/>
                <w:color w:val="auto"/>
                <w:szCs w:val="21"/>
                <w:highlight w:val="none"/>
              </w:rPr>
              <w:t>应达到的要求</w:t>
            </w:r>
          </w:p>
        </w:tc>
        <w:tc>
          <w:tcPr>
            <w:tcW w:w="4272" w:type="dxa"/>
            <w:noWrap w:val="0"/>
            <w:vAlign w:val="center"/>
          </w:tcPr>
          <w:p w14:paraId="4B6576BB">
            <w:pPr>
              <w:spacing w:line="280" w:lineRule="exact"/>
              <w:jc w:val="center"/>
              <w:rPr>
                <w:b/>
                <w:bCs/>
                <w:color w:val="auto"/>
                <w:szCs w:val="21"/>
                <w:highlight w:val="none"/>
              </w:rPr>
            </w:pPr>
            <w:r>
              <w:rPr>
                <w:rFonts w:hint="eastAsia"/>
                <w:b/>
                <w:bCs/>
                <w:color w:val="auto"/>
                <w:szCs w:val="21"/>
                <w:highlight w:val="none"/>
              </w:rPr>
              <w:t>考核标准</w:t>
            </w:r>
          </w:p>
        </w:tc>
        <w:tc>
          <w:tcPr>
            <w:tcW w:w="744" w:type="dxa"/>
            <w:noWrap w:val="0"/>
            <w:vAlign w:val="center"/>
          </w:tcPr>
          <w:p w14:paraId="20E36985">
            <w:pPr>
              <w:spacing w:line="280" w:lineRule="exact"/>
              <w:jc w:val="center"/>
              <w:rPr>
                <w:b/>
                <w:bCs/>
                <w:color w:val="auto"/>
                <w:szCs w:val="21"/>
                <w:highlight w:val="none"/>
              </w:rPr>
            </w:pPr>
            <w:r>
              <w:rPr>
                <w:rFonts w:hint="eastAsia"/>
                <w:b/>
                <w:bCs/>
                <w:color w:val="auto"/>
                <w:szCs w:val="21"/>
                <w:highlight w:val="none"/>
              </w:rPr>
              <w:t>本月得分</w:t>
            </w:r>
          </w:p>
        </w:tc>
        <w:tc>
          <w:tcPr>
            <w:tcW w:w="691" w:type="dxa"/>
            <w:noWrap w:val="0"/>
            <w:vAlign w:val="center"/>
          </w:tcPr>
          <w:p w14:paraId="19402138">
            <w:pPr>
              <w:spacing w:line="280" w:lineRule="exact"/>
              <w:jc w:val="center"/>
              <w:rPr>
                <w:b/>
                <w:bCs/>
                <w:color w:val="auto"/>
                <w:szCs w:val="21"/>
                <w:highlight w:val="none"/>
              </w:rPr>
            </w:pPr>
            <w:r>
              <w:rPr>
                <w:rFonts w:hint="eastAsia"/>
                <w:b/>
                <w:bCs/>
                <w:color w:val="auto"/>
                <w:szCs w:val="21"/>
                <w:highlight w:val="none"/>
              </w:rPr>
              <w:t>扣分原因</w:t>
            </w:r>
          </w:p>
        </w:tc>
      </w:tr>
      <w:tr w14:paraId="18A9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1323" w:type="dxa"/>
            <w:vMerge w:val="restart"/>
            <w:noWrap w:val="0"/>
            <w:vAlign w:val="center"/>
          </w:tcPr>
          <w:p w14:paraId="1D16837B">
            <w:pPr>
              <w:spacing w:line="360" w:lineRule="auto"/>
              <w:jc w:val="center"/>
              <w:rPr>
                <w:b/>
                <w:bCs/>
                <w:color w:val="auto"/>
                <w:szCs w:val="21"/>
                <w:highlight w:val="none"/>
              </w:rPr>
            </w:pPr>
            <w:r>
              <w:rPr>
                <w:rFonts w:hint="eastAsia"/>
                <w:b/>
                <w:bCs/>
                <w:color w:val="auto"/>
                <w:szCs w:val="21"/>
                <w:highlight w:val="none"/>
              </w:rPr>
              <w:t>组织管理</w:t>
            </w:r>
          </w:p>
          <w:p w14:paraId="6634D39B">
            <w:pPr>
              <w:spacing w:line="360" w:lineRule="auto"/>
              <w:jc w:val="center"/>
              <w:rPr>
                <w:b/>
                <w:bCs/>
                <w:color w:val="auto"/>
                <w:szCs w:val="21"/>
                <w:highlight w:val="none"/>
              </w:rPr>
            </w:pPr>
            <w:r>
              <w:rPr>
                <w:rFonts w:hint="eastAsia"/>
                <w:b/>
                <w:bCs/>
                <w:color w:val="auto"/>
                <w:szCs w:val="21"/>
                <w:highlight w:val="none"/>
              </w:rPr>
              <w:t>（30分）</w:t>
            </w:r>
          </w:p>
        </w:tc>
        <w:tc>
          <w:tcPr>
            <w:tcW w:w="2451" w:type="dxa"/>
            <w:noWrap w:val="0"/>
            <w:vAlign w:val="center"/>
          </w:tcPr>
          <w:p w14:paraId="43BFD3FD">
            <w:pPr>
              <w:spacing w:line="360" w:lineRule="auto"/>
              <w:jc w:val="center"/>
              <w:rPr>
                <w:color w:val="auto"/>
                <w:szCs w:val="21"/>
                <w:highlight w:val="none"/>
              </w:rPr>
            </w:pPr>
            <w:r>
              <w:rPr>
                <w:rFonts w:hint="eastAsia"/>
                <w:color w:val="auto"/>
                <w:szCs w:val="21"/>
                <w:highlight w:val="none"/>
              </w:rPr>
              <w:t>积极配合工作要求，并按要求进行整改</w:t>
            </w:r>
          </w:p>
        </w:tc>
        <w:tc>
          <w:tcPr>
            <w:tcW w:w="4272" w:type="dxa"/>
            <w:noWrap w:val="0"/>
            <w:vAlign w:val="center"/>
          </w:tcPr>
          <w:p w14:paraId="1075CC22">
            <w:pPr>
              <w:spacing w:line="360" w:lineRule="auto"/>
              <w:jc w:val="both"/>
              <w:rPr>
                <w:color w:val="auto"/>
                <w:szCs w:val="21"/>
                <w:highlight w:val="none"/>
              </w:rPr>
            </w:pPr>
            <w:r>
              <w:rPr>
                <w:rFonts w:hint="eastAsia"/>
                <w:color w:val="auto"/>
                <w:szCs w:val="21"/>
                <w:highlight w:val="none"/>
              </w:rPr>
              <w:t>1、不积极配合</w:t>
            </w:r>
            <w:r>
              <w:rPr>
                <w:rFonts w:hint="eastAsia"/>
                <w:color w:val="auto"/>
                <w:szCs w:val="21"/>
                <w:highlight w:val="none"/>
                <w:lang w:val="en-US" w:eastAsia="zh-CN"/>
              </w:rPr>
              <w:t>甲</w:t>
            </w:r>
            <w:r>
              <w:rPr>
                <w:rFonts w:hint="eastAsia"/>
                <w:color w:val="auto"/>
                <w:szCs w:val="21"/>
                <w:highlight w:val="none"/>
              </w:rPr>
              <w:t>方</w:t>
            </w:r>
            <w:r>
              <w:rPr>
                <w:rFonts w:hint="eastAsia"/>
                <w:color w:val="auto"/>
                <w:szCs w:val="21"/>
                <w:highlight w:val="none"/>
              </w:rPr>
              <w:t>工作，消极对待或不理睬的每次扣</w:t>
            </w:r>
            <w:r>
              <w:rPr>
                <w:rFonts w:hint="eastAsia"/>
                <w:color w:val="auto"/>
                <w:szCs w:val="21"/>
                <w:highlight w:val="none"/>
                <w:lang w:val="en-US"/>
              </w:rPr>
              <w:t>5</w:t>
            </w:r>
            <w:r>
              <w:rPr>
                <w:rFonts w:hint="eastAsia"/>
                <w:color w:val="auto"/>
                <w:szCs w:val="21"/>
                <w:highlight w:val="none"/>
              </w:rPr>
              <w:t>分；</w:t>
            </w:r>
          </w:p>
          <w:p w14:paraId="50E5BB5E">
            <w:pPr>
              <w:spacing w:line="360" w:lineRule="auto"/>
              <w:jc w:val="both"/>
              <w:rPr>
                <w:color w:val="auto"/>
                <w:szCs w:val="21"/>
                <w:highlight w:val="none"/>
              </w:rPr>
            </w:pPr>
            <w:r>
              <w:rPr>
                <w:rFonts w:hint="eastAsia"/>
                <w:color w:val="auto"/>
                <w:szCs w:val="21"/>
                <w:highlight w:val="none"/>
              </w:rPr>
              <w:t>2、无理由不按要求进行整改或不在规定时间内进行整改的每次扣</w:t>
            </w:r>
            <w:r>
              <w:rPr>
                <w:rFonts w:hint="eastAsia"/>
                <w:color w:val="auto"/>
                <w:szCs w:val="21"/>
                <w:highlight w:val="none"/>
                <w:lang w:val="en-US"/>
              </w:rPr>
              <w:t>5</w:t>
            </w:r>
            <w:r>
              <w:rPr>
                <w:rFonts w:hint="eastAsia"/>
                <w:color w:val="auto"/>
                <w:szCs w:val="21"/>
                <w:highlight w:val="none"/>
              </w:rPr>
              <w:t>分。</w:t>
            </w:r>
          </w:p>
        </w:tc>
        <w:tc>
          <w:tcPr>
            <w:tcW w:w="744" w:type="dxa"/>
            <w:vMerge w:val="restart"/>
            <w:noWrap w:val="0"/>
            <w:vAlign w:val="center"/>
          </w:tcPr>
          <w:p w14:paraId="53E82ED8">
            <w:pPr>
              <w:spacing w:line="280" w:lineRule="exact"/>
              <w:jc w:val="center"/>
              <w:rPr>
                <w:color w:val="auto"/>
                <w:szCs w:val="21"/>
                <w:highlight w:val="none"/>
              </w:rPr>
            </w:pPr>
          </w:p>
        </w:tc>
        <w:tc>
          <w:tcPr>
            <w:tcW w:w="691" w:type="dxa"/>
            <w:vMerge w:val="restart"/>
            <w:noWrap w:val="0"/>
            <w:vAlign w:val="center"/>
          </w:tcPr>
          <w:p w14:paraId="05BDF125">
            <w:pPr>
              <w:spacing w:line="280" w:lineRule="exact"/>
              <w:jc w:val="center"/>
              <w:rPr>
                <w:color w:val="auto"/>
                <w:szCs w:val="21"/>
                <w:highlight w:val="none"/>
              </w:rPr>
            </w:pPr>
          </w:p>
        </w:tc>
      </w:tr>
      <w:tr w14:paraId="0656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323" w:type="dxa"/>
            <w:vMerge w:val="continue"/>
            <w:noWrap w:val="0"/>
            <w:vAlign w:val="center"/>
          </w:tcPr>
          <w:p w14:paraId="5E47A21F">
            <w:pPr>
              <w:spacing w:line="360" w:lineRule="auto"/>
              <w:jc w:val="center"/>
              <w:rPr>
                <w:b/>
                <w:bCs/>
                <w:color w:val="auto"/>
                <w:szCs w:val="21"/>
                <w:highlight w:val="none"/>
              </w:rPr>
            </w:pPr>
          </w:p>
        </w:tc>
        <w:tc>
          <w:tcPr>
            <w:tcW w:w="2451" w:type="dxa"/>
            <w:noWrap w:val="0"/>
            <w:vAlign w:val="center"/>
          </w:tcPr>
          <w:p w14:paraId="1D9B6D35">
            <w:pPr>
              <w:spacing w:line="360" w:lineRule="auto"/>
              <w:jc w:val="center"/>
              <w:rPr>
                <w:color w:val="auto"/>
                <w:szCs w:val="21"/>
                <w:highlight w:val="none"/>
              </w:rPr>
            </w:pPr>
            <w:r>
              <w:rPr>
                <w:rFonts w:hint="eastAsia"/>
                <w:color w:val="auto"/>
                <w:szCs w:val="21"/>
                <w:highlight w:val="none"/>
              </w:rPr>
              <w:t>精心组织，合理安排，人员按协议全部到位，且人员相对固定，设备到位且正常使用</w:t>
            </w:r>
          </w:p>
        </w:tc>
        <w:tc>
          <w:tcPr>
            <w:tcW w:w="4272" w:type="dxa"/>
            <w:noWrap w:val="0"/>
            <w:vAlign w:val="center"/>
          </w:tcPr>
          <w:p w14:paraId="752EB37D">
            <w:pPr>
              <w:spacing w:line="360" w:lineRule="auto"/>
              <w:jc w:val="both"/>
              <w:rPr>
                <w:color w:val="auto"/>
                <w:szCs w:val="21"/>
                <w:highlight w:val="none"/>
              </w:rPr>
            </w:pPr>
            <w:r>
              <w:rPr>
                <w:rFonts w:hint="eastAsia"/>
                <w:color w:val="auto"/>
                <w:szCs w:val="21"/>
                <w:highlight w:val="none"/>
              </w:rPr>
              <w:t>1、管理混乱，人员未到岗，连续3天无明显改善的每次扣</w:t>
            </w:r>
            <w:r>
              <w:rPr>
                <w:rFonts w:hint="eastAsia"/>
                <w:color w:val="auto"/>
                <w:szCs w:val="21"/>
                <w:highlight w:val="none"/>
                <w:lang w:val="en-US"/>
              </w:rPr>
              <w:t>5</w:t>
            </w:r>
            <w:r>
              <w:rPr>
                <w:rFonts w:hint="eastAsia"/>
                <w:color w:val="auto"/>
                <w:szCs w:val="21"/>
                <w:highlight w:val="none"/>
              </w:rPr>
              <w:t>分；</w:t>
            </w:r>
          </w:p>
          <w:p w14:paraId="62374877">
            <w:pPr>
              <w:spacing w:line="360" w:lineRule="auto"/>
              <w:jc w:val="both"/>
              <w:rPr>
                <w:color w:val="auto"/>
                <w:szCs w:val="21"/>
                <w:highlight w:val="none"/>
              </w:rPr>
            </w:pPr>
            <w:r>
              <w:rPr>
                <w:rFonts w:hint="eastAsia"/>
                <w:color w:val="auto"/>
                <w:szCs w:val="21"/>
                <w:highlight w:val="none"/>
              </w:rPr>
              <w:t>2、人员缺编，每天少1人扣2分，以此类推；</w:t>
            </w:r>
          </w:p>
          <w:p w14:paraId="1582E4EF">
            <w:pPr>
              <w:spacing w:line="360" w:lineRule="auto"/>
              <w:jc w:val="both"/>
              <w:rPr>
                <w:color w:val="auto"/>
                <w:szCs w:val="21"/>
                <w:highlight w:val="none"/>
              </w:rPr>
            </w:pPr>
            <w:r>
              <w:rPr>
                <w:rFonts w:hint="eastAsia"/>
                <w:color w:val="auto"/>
                <w:szCs w:val="21"/>
                <w:highlight w:val="none"/>
              </w:rPr>
              <w:t>3、设备不足或不能正常使用，每发现1次扣5分；</w:t>
            </w:r>
          </w:p>
        </w:tc>
        <w:tc>
          <w:tcPr>
            <w:tcW w:w="744" w:type="dxa"/>
            <w:vMerge w:val="continue"/>
            <w:noWrap w:val="0"/>
            <w:vAlign w:val="center"/>
          </w:tcPr>
          <w:p w14:paraId="0A676A03">
            <w:pPr>
              <w:spacing w:line="280" w:lineRule="exact"/>
              <w:jc w:val="center"/>
              <w:rPr>
                <w:color w:val="auto"/>
                <w:szCs w:val="21"/>
                <w:highlight w:val="none"/>
              </w:rPr>
            </w:pPr>
          </w:p>
        </w:tc>
        <w:tc>
          <w:tcPr>
            <w:tcW w:w="691" w:type="dxa"/>
            <w:vMerge w:val="continue"/>
            <w:noWrap w:val="0"/>
            <w:vAlign w:val="center"/>
          </w:tcPr>
          <w:p w14:paraId="53DDFA59">
            <w:pPr>
              <w:spacing w:line="280" w:lineRule="exact"/>
              <w:jc w:val="center"/>
              <w:rPr>
                <w:color w:val="auto"/>
                <w:szCs w:val="21"/>
                <w:highlight w:val="none"/>
              </w:rPr>
            </w:pPr>
          </w:p>
        </w:tc>
      </w:tr>
      <w:tr w14:paraId="58C4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323" w:type="dxa"/>
            <w:vMerge w:val="continue"/>
            <w:noWrap w:val="0"/>
            <w:vAlign w:val="center"/>
          </w:tcPr>
          <w:p w14:paraId="1A90BBFC">
            <w:pPr>
              <w:spacing w:line="360" w:lineRule="auto"/>
              <w:jc w:val="center"/>
              <w:rPr>
                <w:b/>
                <w:bCs/>
                <w:color w:val="auto"/>
                <w:szCs w:val="21"/>
                <w:highlight w:val="none"/>
              </w:rPr>
            </w:pPr>
          </w:p>
        </w:tc>
        <w:tc>
          <w:tcPr>
            <w:tcW w:w="2451" w:type="dxa"/>
            <w:noWrap w:val="0"/>
            <w:vAlign w:val="center"/>
          </w:tcPr>
          <w:p w14:paraId="35736F4B">
            <w:pPr>
              <w:spacing w:line="360" w:lineRule="auto"/>
              <w:jc w:val="center"/>
              <w:rPr>
                <w:color w:val="auto"/>
                <w:szCs w:val="21"/>
                <w:highlight w:val="none"/>
              </w:rPr>
            </w:pPr>
            <w:r>
              <w:rPr>
                <w:rFonts w:hint="eastAsia"/>
                <w:color w:val="auto"/>
                <w:szCs w:val="21"/>
                <w:highlight w:val="none"/>
              </w:rPr>
              <w:t>对甲方一些特殊事件需乙方调整人员进行配合的，乙方应积极配合</w:t>
            </w:r>
          </w:p>
        </w:tc>
        <w:tc>
          <w:tcPr>
            <w:tcW w:w="4272" w:type="dxa"/>
            <w:noWrap w:val="0"/>
            <w:vAlign w:val="center"/>
          </w:tcPr>
          <w:p w14:paraId="1299EE8A">
            <w:pPr>
              <w:spacing w:line="360" w:lineRule="auto"/>
              <w:jc w:val="both"/>
              <w:rPr>
                <w:color w:val="auto"/>
                <w:szCs w:val="21"/>
                <w:highlight w:val="none"/>
              </w:rPr>
            </w:pPr>
            <w:r>
              <w:rPr>
                <w:rFonts w:hint="eastAsia"/>
                <w:color w:val="auto"/>
                <w:szCs w:val="21"/>
                <w:highlight w:val="none"/>
              </w:rPr>
              <w:t>1、不配合的每次扣5分；</w:t>
            </w:r>
          </w:p>
          <w:p w14:paraId="2D589CAB">
            <w:pPr>
              <w:spacing w:line="360" w:lineRule="auto"/>
              <w:jc w:val="both"/>
              <w:rPr>
                <w:color w:val="auto"/>
                <w:szCs w:val="21"/>
                <w:highlight w:val="none"/>
              </w:rPr>
            </w:pPr>
            <w:r>
              <w:rPr>
                <w:rFonts w:hint="eastAsia"/>
                <w:color w:val="auto"/>
                <w:szCs w:val="21"/>
                <w:highlight w:val="none"/>
              </w:rPr>
              <w:t>2、配合不到位的每次扣5分。</w:t>
            </w:r>
          </w:p>
        </w:tc>
        <w:tc>
          <w:tcPr>
            <w:tcW w:w="744" w:type="dxa"/>
            <w:vMerge w:val="continue"/>
            <w:noWrap w:val="0"/>
            <w:vAlign w:val="center"/>
          </w:tcPr>
          <w:p w14:paraId="55D24AF7">
            <w:pPr>
              <w:spacing w:line="280" w:lineRule="exact"/>
              <w:jc w:val="center"/>
              <w:rPr>
                <w:color w:val="auto"/>
                <w:szCs w:val="21"/>
                <w:highlight w:val="none"/>
              </w:rPr>
            </w:pPr>
          </w:p>
        </w:tc>
        <w:tc>
          <w:tcPr>
            <w:tcW w:w="691" w:type="dxa"/>
            <w:vMerge w:val="continue"/>
            <w:noWrap w:val="0"/>
            <w:vAlign w:val="center"/>
          </w:tcPr>
          <w:p w14:paraId="0626CB50">
            <w:pPr>
              <w:spacing w:line="280" w:lineRule="exact"/>
              <w:jc w:val="center"/>
              <w:rPr>
                <w:color w:val="auto"/>
                <w:szCs w:val="21"/>
                <w:highlight w:val="none"/>
              </w:rPr>
            </w:pPr>
          </w:p>
        </w:tc>
      </w:tr>
      <w:tr w14:paraId="2DDFF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1323" w:type="dxa"/>
            <w:vMerge w:val="restart"/>
            <w:noWrap w:val="0"/>
            <w:vAlign w:val="center"/>
          </w:tcPr>
          <w:p w14:paraId="0A5EB51E">
            <w:pPr>
              <w:spacing w:line="360" w:lineRule="auto"/>
              <w:jc w:val="center"/>
              <w:rPr>
                <w:b/>
                <w:bCs/>
                <w:color w:val="auto"/>
                <w:szCs w:val="21"/>
                <w:highlight w:val="none"/>
              </w:rPr>
            </w:pPr>
            <w:r>
              <w:rPr>
                <w:rFonts w:hint="eastAsia"/>
                <w:b/>
                <w:bCs/>
                <w:color w:val="auto"/>
                <w:szCs w:val="21"/>
                <w:highlight w:val="none"/>
              </w:rPr>
              <w:t>车辆管理（30分）</w:t>
            </w:r>
          </w:p>
        </w:tc>
        <w:tc>
          <w:tcPr>
            <w:tcW w:w="2451" w:type="dxa"/>
            <w:noWrap w:val="0"/>
            <w:vAlign w:val="center"/>
          </w:tcPr>
          <w:p w14:paraId="5E6B93BF">
            <w:pPr>
              <w:spacing w:line="360" w:lineRule="auto"/>
              <w:jc w:val="center"/>
              <w:rPr>
                <w:color w:val="auto"/>
                <w:szCs w:val="21"/>
                <w:highlight w:val="none"/>
              </w:rPr>
            </w:pPr>
            <w:r>
              <w:rPr>
                <w:rFonts w:hint="eastAsia"/>
                <w:color w:val="auto"/>
                <w:szCs w:val="21"/>
                <w:highlight w:val="none"/>
              </w:rPr>
              <w:t>按规定线路行驶，垃圾日产日清</w:t>
            </w:r>
          </w:p>
        </w:tc>
        <w:tc>
          <w:tcPr>
            <w:tcW w:w="4272" w:type="dxa"/>
            <w:noWrap w:val="0"/>
            <w:vAlign w:val="center"/>
          </w:tcPr>
          <w:p w14:paraId="1325BF9E">
            <w:pPr>
              <w:spacing w:line="360" w:lineRule="auto"/>
              <w:jc w:val="both"/>
              <w:rPr>
                <w:color w:val="auto"/>
                <w:szCs w:val="21"/>
                <w:highlight w:val="none"/>
              </w:rPr>
            </w:pPr>
            <w:r>
              <w:rPr>
                <w:rFonts w:hint="eastAsia"/>
                <w:color w:val="auto"/>
                <w:szCs w:val="21"/>
                <w:highlight w:val="none"/>
              </w:rPr>
              <w:t>1、未按规定时间线路行驶的每次扣1分；</w:t>
            </w:r>
          </w:p>
          <w:p w14:paraId="62B83517">
            <w:pPr>
              <w:spacing w:line="360" w:lineRule="auto"/>
              <w:jc w:val="both"/>
              <w:rPr>
                <w:color w:val="auto"/>
                <w:szCs w:val="21"/>
                <w:highlight w:val="none"/>
              </w:rPr>
            </w:pPr>
            <w:r>
              <w:rPr>
                <w:rFonts w:hint="eastAsia"/>
                <w:color w:val="auto"/>
                <w:szCs w:val="21"/>
                <w:highlight w:val="none"/>
              </w:rPr>
              <w:t>2、垃圾积压，未清运完成的，每次扣</w:t>
            </w:r>
            <w:r>
              <w:rPr>
                <w:rFonts w:hint="eastAsia"/>
                <w:color w:val="auto"/>
                <w:szCs w:val="21"/>
                <w:highlight w:val="none"/>
                <w:lang w:val="en-US"/>
              </w:rPr>
              <w:t>5</w:t>
            </w:r>
            <w:r>
              <w:rPr>
                <w:rFonts w:hint="eastAsia"/>
                <w:color w:val="auto"/>
                <w:szCs w:val="21"/>
                <w:highlight w:val="none"/>
              </w:rPr>
              <w:t>分；</w:t>
            </w:r>
          </w:p>
        </w:tc>
        <w:tc>
          <w:tcPr>
            <w:tcW w:w="744" w:type="dxa"/>
            <w:vMerge w:val="restart"/>
            <w:noWrap w:val="0"/>
            <w:vAlign w:val="center"/>
          </w:tcPr>
          <w:p w14:paraId="0C13205D">
            <w:pPr>
              <w:spacing w:line="280" w:lineRule="exact"/>
              <w:jc w:val="center"/>
              <w:rPr>
                <w:color w:val="auto"/>
                <w:szCs w:val="21"/>
                <w:highlight w:val="none"/>
              </w:rPr>
            </w:pPr>
          </w:p>
        </w:tc>
        <w:tc>
          <w:tcPr>
            <w:tcW w:w="691" w:type="dxa"/>
            <w:vMerge w:val="restart"/>
            <w:noWrap w:val="0"/>
            <w:vAlign w:val="center"/>
          </w:tcPr>
          <w:p w14:paraId="5756A968">
            <w:pPr>
              <w:spacing w:line="280" w:lineRule="exact"/>
              <w:jc w:val="center"/>
              <w:rPr>
                <w:color w:val="auto"/>
                <w:szCs w:val="21"/>
                <w:highlight w:val="none"/>
              </w:rPr>
            </w:pPr>
          </w:p>
        </w:tc>
      </w:tr>
      <w:tr w14:paraId="19BE8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323" w:type="dxa"/>
            <w:vMerge w:val="continue"/>
            <w:noWrap w:val="0"/>
            <w:vAlign w:val="center"/>
          </w:tcPr>
          <w:p w14:paraId="05517022">
            <w:pPr>
              <w:spacing w:line="360" w:lineRule="auto"/>
              <w:jc w:val="center"/>
              <w:rPr>
                <w:b/>
                <w:bCs/>
                <w:color w:val="auto"/>
                <w:szCs w:val="21"/>
                <w:highlight w:val="none"/>
              </w:rPr>
            </w:pPr>
          </w:p>
        </w:tc>
        <w:tc>
          <w:tcPr>
            <w:tcW w:w="2451" w:type="dxa"/>
            <w:noWrap w:val="0"/>
            <w:vAlign w:val="center"/>
          </w:tcPr>
          <w:p w14:paraId="30245C52">
            <w:pPr>
              <w:spacing w:line="360" w:lineRule="auto"/>
              <w:jc w:val="center"/>
              <w:rPr>
                <w:color w:val="auto"/>
                <w:szCs w:val="21"/>
                <w:highlight w:val="none"/>
              </w:rPr>
            </w:pPr>
            <w:r>
              <w:rPr>
                <w:rFonts w:hint="eastAsia"/>
                <w:color w:val="auto"/>
                <w:szCs w:val="21"/>
                <w:highlight w:val="none"/>
              </w:rPr>
              <w:t>车辆按时完成年检、保养</w:t>
            </w:r>
          </w:p>
        </w:tc>
        <w:tc>
          <w:tcPr>
            <w:tcW w:w="4272" w:type="dxa"/>
            <w:noWrap w:val="0"/>
            <w:vAlign w:val="center"/>
          </w:tcPr>
          <w:p w14:paraId="13F556DB">
            <w:pPr>
              <w:numPr>
                <w:ilvl w:val="0"/>
                <w:numId w:val="5"/>
              </w:numPr>
              <w:autoSpaceDE/>
              <w:autoSpaceDN/>
              <w:spacing w:line="360" w:lineRule="auto"/>
              <w:jc w:val="both"/>
              <w:rPr>
                <w:color w:val="auto"/>
                <w:szCs w:val="21"/>
                <w:highlight w:val="none"/>
                <w:lang w:val="en-US"/>
              </w:rPr>
            </w:pPr>
            <w:r>
              <w:rPr>
                <w:rFonts w:hint="eastAsia"/>
                <w:color w:val="auto"/>
                <w:szCs w:val="21"/>
                <w:highlight w:val="none"/>
                <w:lang w:val="en-US"/>
              </w:rPr>
              <w:t>车辆未按时年检的，每发现一次扣1分。</w:t>
            </w:r>
          </w:p>
          <w:p w14:paraId="759DC898">
            <w:pPr>
              <w:numPr>
                <w:ilvl w:val="0"/>
                <w:numId w:val="5"/>
              </w:numPr>
              <w:autoSpaceDE/>
              <w:autoSpaceDN/>
              <w:spacing w:line="360" w:lineRule="auto"/>
              <w:jc w:val="both"/>
              <w:rPr>
                <w:color w:val="auto"/>
                <w:szCs w:val="21"/>
                <w:highlight w:val="none"/>
              </w:rPr>
            </w:pPr>
            <w:r>
              <w:rPr>
                <w:rFonts w:hint="eastAsia"/>
                <w:color w:val="auto"/>
                <w:szCs w:val="21"/>
                <w:highlight w:val="none"/>
              </w:rPr>
              <w:t>车辆未按时保养的，每发现一次扣</w:t>
            </w:r>
            <w:r>
              <w:rPr>
                <w:rFonts w:hint="eastAsia"/>
                <w:color w:val="auto"/>
                <w:szCs w:val="21"/>
                <w:highlight w:val="none"/>
                <w:lang w:val="en-US"/>
              </w:rPr>
              <w:t xml:space="preserve">1分。 </w:t>
            </w:r>
          </w:p>
        </w:tc>
        <w:tc>
          <w:tcPr>
            <w:tcW w:w="744" w:type="dxa"/>
            <w:vMerge w:val="continue"/>
            <w:noWrap w:val="0"/>
            <w:vAlign w:val="center"/>
          </w:tcPr>
          <w:p w14:paraId="43D51178">
            <w:pPr>
              <w:spacing w:line="280" w:lineRule="exact"/>
              <w:jc w:val="center"/>
              <w:rPr>
                <w:color w:val="auto"/>
                <w:szCs w:val="21"/>
                <w:highlight w:val="none"/>
              </w:rPr>
            </w:pPr>
          </w:p>
        </w:tc>
        <w:tc>
          <w:tcPr>
            <w:tcW w:w="691" w:type="dxa"/>
            <w:vMerge w:val="continue"/>
            <w:noWrap w:val="0"/>
            <w:vAlign w:val="center"/>
          </w:tcPr>
          <w:p w14:paraId="19F0CA43">
            <w:pPr>
              <w:spacing w:line="280" w:lineRule="exact"/>
              <w:jc w:val="center"/>
              <w:rPr>
                <w:color w:val="auto"/>
                <w:szCs w:val="21"/>
                <w:highlight w:val="none"/>
              </w:rPr>
            </w:pPr>
          </w:p>
        </w:tc>
      </w:tr>
      <w:tr w14:paraId="52FC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1323" w:type="dxa"/>
            <w:vMerge w:val="continue"/>
            <w:noWrap w:val="0"/>
            <w:vAlign w:val="center"/>
          </w:tcPr>
          <w:p w14:paraId="052511D8">
            <w:pPr>
              <w:spacing w:line="360" w:lineRule="auto"/>
              <w:jc w:val="center"/>
              <w:rPr>
                <w:b/>
                <w:bCs/>
                <w:color w:val="auto"/>
                <w:szCs w:val="21"/>
                <w:highlight w:val="none"/>
              </w:rPr>
            </w:pPr>
          </w:p>
        </w:tc>
        <w:tc>
          <w:tcPr>
            <w:tcW w:w="2451" w:type="dxa"/>
            <w:noWrap w:val="0"/>
            <w:vAlign w:val="center"/>
          </w:tcPr>
          <w:p w14:paraId="1682EFC0">
            <w:pPr>
              <w:spacing w:line="360" w:lineRule="auto"/>
              <w:jc w:val="center"/>
              <w:rPr>
                <w:color w:val="auto"/>
                <w:szCs w:val="21"/>
                <w:highlight w:val="none"/>
                <w:lang w:val="en-US"/>
              </w:rPr>
            </w:pPr>
            <w:r>
              <w:rPr>
                <w:rFonts w:hint="eastAsia"/>
                <w:color w:val="auto"/>
                <w:szCs w:val="21"/>
                <w:highlight w:val="none"/>
              </w:rPr>
              <w:t>车身标贴完整，车容车貌干净整洁</w:t>
            </w:r>
          </w:p>
        </w:tc>
        <w:tc>
          <w:tcPr>
            <w:tcW w:w="4272" w:type="dxa"/>
            <w:noWrap w:val="0"/>
            <w:vAlign w:val="center"/>
          </w:tcPr>
          <w:p w14:paraId="087BF0DF">
            <w:pPr>
              <w:numPr>
                <w:ilvl w:val="0"/>
                <w:numId w:val="6"/>
              </w:numPr>
              <w:autoSpaceDE/>
              <w:autoSpaceDN/>
              <w:spacing w:line="360" w:lineRule="auto"/>
              <w:jc w:val="both"/>
              <w:rPr>
                <w:color w:val="auto"/>
                <w:szCs w:val="21"/>
                <w:highlight w:val="none"/>
                <w:lang w:val="en-US"/>
              </w:rPr>
            </w:pPr>
            <w:r>
              <w:rPr>
                <w:rFonts w:hint="eastAsia"/>
                <w:color w:val="auto"/>
                <w:szCs w:val="21"/>
                <w:highlight w:val="none"/>
                <w:lang w:val="en-US"/>
              </w:rPr>
              <w:t>车身标贴损坏、不完整的，每</w:t>
            </w:r>
            <w:r>
              <w:rPr>
                <w:rFonts w:hint="eastAsia"/>
                <w:color w:val="auto"/>
                <w:szCs w:val="21"/>
                <w:highlight w:val="none"/>
                <w:lang w:val="en-US"/>
              </w:rPr>
              <w:t>发</w:t>
            </w:r>
            <w:r>
              <w:rPr>
                <w:rFonts w:hint="eastAsia"/>
                <w:color w:val="auto"/>
                <w:szCs w:val="21"/>
                <w:highlight w:val="none"/>
                <w:lang w:val="en-US" w:eastAsia="zh-CN"/>
              </w:rPr>
              <w:t>现</w:t>
            </w:r>
            <w:r>
              <w:rPr>
                <w:rFonts w:hint="eastAsia"/>
                <w:color w:val="auto"/>
                <w:szCs w:val="21"/>
                <w:highlight w:val="none"/>
                <w:lang w:val="en-US"/>
              </w:rPr>
              <w:t>一次扣1分；</w:t>
            </w:r>
          </w:p>
          <w:p w14:paraId="4B6DBBCE">
            <w:pPr>
              <w:numPr>
                <w:ilvl w:val="0"/>
                <w:numId w:val="6"/>
              </w:numPr>
              <w:autoSpaceDE/>
              <w:autoSpaceDN/>
              <w:spacing w:line="360" w:lineRule="auto"/>
              <w:jc w:val="both"/>
              <w:rPr>
                <w:color w:val="auto"/>
                <w:szCs w:val="21"/>
                <w:highlight w:val="none"/>
                <w:lang w:val="en-US"/>
              </w:rPr>
            </w:pPr>
            <w:r>
              <w:rPr>
                <w:rFonts w:hint="eastAsia"/>
                <w:color w:val="auto"/>
                <w:szCs w:val="21"/>
                <w:highlight w:val="none"/>
                <w:lang w:val="en-US"/>
              </w:rPr>
              <w:t>车身整体脏乱、不洁，</w:t>
            </w:r>
            <w:r>
              <w:rPr>
                <w:rFonts w:hint="eastAsia"/>
                <w:color w:val="auto"/>
                <w:szCs w:val="21"/>
                <w:highlight w:val="none"/>
                <w:lang w:val="en-US" w:eastAsia="zh-CN"/>
              </w:rPr>
              <w:t>每</w:t>
            </w:r>
            <w:r>
              <w:rPr>
                <w:rFonts w:hint="eastAsia"/>
                <w:color w:val="auto"/>
                <w:szCs w:val="21"/>
                <w:highlight w:val="none"/>
                <w:lang w:val="en-US"/>
              </w:rPr>
              <w:t>发现一次扣1分。</w:t>
            </w:r>
          </w:p>
        </w:tc>
        <w:tc>
          <w:tcPr>
            <w:tcW w:w="744" w:type="dxa"/>
            <w:vMerge w:val="continue"/>
            <w:noWrap w:val="0"/>
            <w:vAlign w:val="center"/>
          </w:tcPr>
          <w:p w14:paraId="4CF17F90">
            <w:pPr>
              <w:spacing w:line="280" w:lineRule="exact"/>
              <w:jc w:val="center"/>
              <w:rPr>
                <w:color w:val="auto"/>
                <w:szCs w:val="21"/>
                <w:highlight w:val="none"/>
              </w:rPr>
            </w:pPr>
          </w:p>
        </w:tc>
        <w:tc>
          <w:tcPr>
            <w:tcW w:w="691" w:type="dxa"/>
            <w:vMerge w:val="continue"/>
            <w:noWrap w:val="0"/>
            <w:vAlign w:val="center"/>
          </w:tcPr>
          <w:p w14:paraId="72E3F67D">
            <w:pPr>
              <w:spacing w:line="280" w:lineRule="exact"/>
              <w:jc w:val="center"/>
              <w:rPr>
                <w:color w:val="auto"/>
                <w:szCs w:val="21"/>
                <w:highlight w:val="none"/>
              </w:rPr>
            </w:pPr>
          </w:p>
        </w:tc>
      </w:tr>
      <w:tr w14:paraId="273C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1323" w:type="dxa"/>
            <w:vMerge w:val="restart"/>
            <w:noWrap w:val="0"/>
            <w:vAlign w:val="center"/>
          </w:tcPr>
          <w:p w14:paraId="7E9369CE">
            <w:pPr>
              <w:spacing w:line="360" w:lineRule="auto"/>
              <w:jc w:val="center"/>
              <w:rPr>
                <w:b/>
                <w:bCs/>
                <w:color w:val="auto"/>
                <w:szCs w:val="21"/>
                <w:highlight w:val="none"/>
              </w:rPr>
            </w:pPr>
            <w:r>
              <w:rPr>
                <w:rFonts w:hint="eastAsia"/>
                <w:b/>
                <w:bCs/>
                <w:color w:val="auto"/>
                <w:szCs w:val="21"/>
                <w:highlight w:val="none"/>
              </w:rPr>
              <w:t>安全生产（20分）</w:t>
            </w:r>
          </w:p>
        </w:tc>
        <w:tc>
          <w:tcPr>
            <w:tcW w:w="2451" w:type="dxa"/>
            <w:noWrap w:val="0"/>
            <w:vAlign w:val="center"/>
          </w:tcPr>
          <w:p w14:paraId="17384717">
            <w:pPr>
              <w:spacing w:line="360" w:lineRule="auto"/>
              <w:jc w:val="center"/>
              <w:rPr>
                <w:color w:val="auto"/>
                <w:szCs w:val="21"/>
                <w:highlight w:val="none"/>
              </w:rPr>
            </w:pPr>
            <w:r>
              <w:rPr>
                <w:rFonts w:hint="eastAsia"/>
                <w:color w:val="auto"/>
                <w:szCs w:val="21"/>
                <w:highlight w:val="none"/>
              </w:rPr>
              <w:t>驾驶员安全驾驶，严格按照交通道路信号灯行驶</w:t>
            </w:r>
          </w:p>
        </w:tc>
        <w:tc>
          <w:tcPr>
            <w:tcW w:w="4272" w:type="dxa"/>
            <w:noWrap w:val="0"/>
            <w:vAlign w:val="center"/>
          </w:tcPr>
          <w:p w14:paraId="5BE600CF">
            <w:pPr>
              <w:numPr>
                <w:ilvl w:val="0"/>
                <w:numId w:val="7"/>
              </w:numPr>
              <w:autoSpaceDE/>
              <w:autoSpaceDN/>
              <w:spacing w:line="360" w:lineRule="auto"/>
              <w:jc w:val="both"/>
              <w:rPr>
                <w:color w:val="auto"/>
                <w:szCs w:val="21"/>
                <w:highlight w:val="none"/>
              </w:rPr>
            </w:pPr>
            <w:r>
              <w:rPr>
                <w:rFonts w:hint="eastAsia"/>
                <w:color w:val="auto"/>
                <w:szCs w:val="21"/>
                <w:highlight w:val="none"/>
              </w:rPr>
              <w:t>发现驾驶员未按照信号灯行驶，</w:t>
            </w:r>
            <w:r>
              <w:rPr>
                <w:rFonts w:hint="eastAsia"/>
                <w:color w:val="auto"/>
                <w:szCs w:val="21"/>
                <w:highlight w:val="none"/>
                <w:lang w:val="en-US" w:eastAsia="zh-CN"/>
              </w:rPr>
              <w:t>每</w:t>
            </w:r>
            <w:r>
              <w:rPr>
                <w:rFonts w:hint="eastAsia"/>
                <w:color w:val="auto"/>
                <w:szCs w:val="21"/>
                <w:highlight w:val="none"/>
              </w:rPr>
              <w:t>发现一次扣</w:t>
            </w:r>
            <w:r>
              <w:rPr>
                <w:rFonts w:hint="eastAsia"/>
                <w:color w:val="auto"/>
                <w:szCs w:val="21"/>
                <w:highlight w:val="none"/>
                <w:lang w:val="en-US"/>
              </w:rPr>
              <w:t>1分</w:t>
            </w:r>
            <w:r>
              <w:rPr>
                <w:rFonts w:hint="eastAsia"/>
                <w:color w:val="auto"/>
                <w:szCs w:val="21"/>
                <w:highlight w:val="none"/>
              </w:rPr>
              <w:t>。</w:t>
            </w:r>
          </w:p>
          <w:p w14:paraId="0FB1EBB9">
            <w:pPr>
              <w:numPr>
                <w:ilvl w:val="0"/>
                <w:numId w:val="7"/>
              </w:numPr>
              <w:autoSpaceDE/>
              <w:autoSpaceDN/>
              <w:spacing w:line="360" w:lineRule="auto"/>
              <w:jc w:val="both"/>
              <w:rPr>
                <w:color w:val="auto"/>
                <w:szCs w:val="21"/>
                <w:highlight w:val="none"/>
              </w:rPr>
            </w:pPr>
            <w:r>
              <w:rPr>
                <w:rFonts w:hint="eastAsia"/>
                <w:color w:val="auto"/>
                <w:szCs w:val="21"/>
                <w:highlight w:val="none"/>
              </w:rPr>
              <w:t>驾驶员饮酒驾驶，每发现一次扣</w:t>
            </w:r>
            <w:r>
              <w:rPr>
                <w:rFonts w:hint="eastAsia"/>
                <w:color w:val="auto"/>
                <w:szCs w:val="21"/>
                <w:highlight w:val="none"/>
                <w:lang w:val="en-US"/>
              </w:rPr>
              <w:t>5分，并对驾驶员进行开除处理。</w:t>
            </w:r>
          </w:p>
        </w:tc>
        <w:tc>
          <w:tcPr>
            <w:tcW w:w="744" w:type="dxa"/>
            <w:vMerge w:val="restart"/>
            <w:noWrap w:val="0"/>
            <w:vAlign w:val="center"/>
          </w:tcPr>
          <w:p w14:paraId="204E9D82">
            <w:pPr>
              <w:spacing w:line="280" w:lineRule="exact"/>
              <w:jc w:val="center"/>
              <w:rPr>
                <w:color w:val="auto"/>
                <w:szCs w:val="21"/>
                <w:highlight w:val="none"/>
              </w:rPr>
            </w:pPr>
          </w:p>
        </w:tc>
        <w:tc>
          <w:tcPr>
            <w:tcW w:w="691" w:type="dxa"/>
            <w:vMerge w:val="restart"/>
            <w:noWrap w:val="0"/>
            <w:vAlign w:val="center"/>
          </w:tcPr>
          <w:p w14:paraId="4D27CE39">
            <w:pPr>
              <w:spacing w:line="280" w:lineRule="exact"/>
              <w:jc w:val="center"/>
              <w:rPr>
                <w:color w:val="auto"/>
                <w:szCs w:val="21"/>
                <w:highlight w:val="none"/>
              </w:rPr>
            </w:pPr>
          </w:p>
        </w:tc>
      </w:tr>
      <w:tr w14:paraId="7B7D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1323" w:type="dxa"/>
            <w:vMerge w:val="continue"/>
            <w:noWrap w:val="0"/>
            <w:vAlign w:val="center"/>
          </w:tcPr>
          <w:p w14:paraId="7C759E00">
            <w:pPr>
              <w:spacing w:line="360" w:lineRule="auto"/>
              <w:jc w:val="center"/>
              <w:rPr>
                <w:b/>
                <w:bCs/>
                <w:color w:val="auto"/>
                <w:szCs w:val="21"/>
                <w:highlight w:val="none"/>
              </w:rPr>
            </w:pPr>
          </w:p>
        </w:tc>
        <w:tc>
          <w:tcPr>
            <w:tcW w:w="2451" w:type="dxa"/>
            <w:noWrap w:val="0"/>
            <w:vAlign w:val="center"/>
          </w:tcPr>
          <w:p w14:paraId="58A6B564">
            <w:pPr>
              <w:spacing w:line="360" w:lineRule="auto"/>
              <w:jc w:val="center"/>
              <w:rPr>
                <w:color w:val="auto"/>
                <w:szCs w:val="21"/>
                <w:highlight w:val="none"/>
              </w:rPr>
            </w:pPr>
            <w:r>
              <w:rPr>
                <w:rFonts w:hint="eastAsia"/>
                <w:color w:val="auto"/>
                <w:szCs w:val="21"/>
                <w:highlight w:val="none"/>
              </w:rPr>
              <w:t>规范安全作业标准，在显眼位置张贴安全风险提示卡</w:t>
            </w:r>
          </w:p>
        </w:tc>
        <w:tc>
          <w:tcPr>
            <w:tcW w:w="4272" w:type="dxa"/>
            <w:noWrap w:val="0"/>
            <w:vAlign w:val="center"/>
          </w:tcPr>
          <w:p w14:paraId="21259742">
            <w:pPr>
              <w:numPr>
                <w:ilvl w:val="0"/>
                <w:numId w:val="8"/>
              </w:numPr>
              <w:autoSpaceDE/>
              <w:autoSpaceDN/>
              <w:spacing w:line="360" w:lineRule="auto"/>
              <w:jc w:val="both"/>
              <w:rPr>
                <w:color w:val="auto"/>
                <w:szCs w:val="21"/>
                <w:highlight w:val="none"/>
                <w:lang w:val="en-US"/>
              </w:rPr>
            </w:pPr>
            <w:r>
              <w:rPr>
                <w:rFonts w:hint="eastAsia"/>
                <w:color w:val="auto"/>
                <w:szCs w:val="21"/>
                <w:highlight w:val="none"/>
                <w:lang w:val="en-US"/>
              </w:rPr>
              <w:t>未定期开展安全培训的，每次扣5分</w:t>
            </w:r>
          </w:p>
          <w:p w14:paraId="68AC8336">
            <w:pPr>
              <w:numPr>
                <w:ilvl w:val="0"/>
                <w:numId w:val="8"/>
              </w:numPr>
              <w:autoSpaceDE/>
              <w:autoSpaceDN/>
              <w:spacing w:line="360" w:lineRule="auto"/>
              <w:jc w:val="both"/>
              <w:rPr>
                <w:color w:val="auto"/>
                <w:szCs w:val="21"/>
                <w:highlight w:val="none"/>
                <w:lang w:val="en-US"/>
              </w:rPr>
            </w:pPr>
            <w:r>
              <w:rPr>
                <w:rFonts w:hint="eastAsia"/>
                <w:color w:val="auto"/>
                <w:szCs w:val="21"/>
                <w:highlight w:val="none"/>
                <w:lang w:val="en-US"/>
              </w:rPr>
              <w:t>未在作业区域内张贴风险告知卡，每发现一次扣1分。</w:t>
            </w:r>
          </w:p>
        </w:tc>
        <w:tc>
          <w:tcPr>
            <w:tcW w:w="744" w:type="dxa"/>
            <w:vMerge w:val="continue"/>
            <w:noWrap w:val="0"/>
            <w:vAlign w:val="center"/>
          </w:tcPr>
          <w:p w14:paraId="5A32CC0D">
            <w:pPr>
              <w:spacing w:line="280" w:lineRule="exact"/>
              <w:jc w:val="center"/>
              <w:rPr>
                <w:color w:val="auto"/>
                <w:szCs w:val="21"/>
                <w:highlight w:val="none"/>
              </w:rPr>
            </w:pPr>
          </w:p>
        </w:tc>
        <w:tc>
          <w:tcPr>
            <w:tcW w:w="691" w:type="dxa"/>
            <w:vMerge w:val="continue"/>
            <w:noWrap w:val="0"/>
            <w:vAlign w:val="center"/>
          </w:tcPr>
          <w:p w14:paraId="5D13279B">
            <w:pPr>
              <w:spacing w:line="280" w:lineRule="exact"/>
              <w:jc w:val="center"/>
              <w:rPr>
                <w:color w:val="auto"/>
                <w:szCs w:val="21"/>
                <w:highlight w:val="none"/>
              </w:rPr>
            </w:pPr>
          </w:p>
        </w:tc>
      </w:tr>
      <w:tr w14:paraId="0E38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1323" w:type="dxa"/>
            <w:vMerge w:val="restart"/>
            <w:noWrap w:val="0"/>
            <w:vAlign w:val="center"/>
          </w:tcPr>
          <w:p w14:paraId="72A27CFE">
            <w:pPr>
              <w:spacing w:line="360" w:lineRule="auto"/>
              <w:jc w:val="center"/>
              <w:rPr>
                <w:b/>
                <w:bCs/>
                <w:color w:val="auto"/>
                <w:szCs w:val="21"/>
                <w:highlight w:val="none"/>
              </w:rPr>
            </w:pPr>
            <w:r>
              <w:rPr>
                <w:rFonts w:hint="eastAsia"/>
                <w:b/>
                <w:bCs/>
                <w:color w:val="auto"/>
                <w:szCs w:val="21"/>
                <w:highlight w:val="none"/>
              </w:rPr>
              <w:t>工作要求（20</w:t>
            </w:r>
            <w:r>
              <w:rPr>
                <w:rFonts w:hint="eastAsia"/>
                <w:b/>
                <w:bCs/>
                <w:color w:val="auto"/>
                <w:szCs w:val="21"/>
                <w:highlight w:val="none"/>
                <w:lang w:val="en-US" w:eastAsia="zh-CN"/>
              </w:rPr>
              <w:t>分</w:t>
            </w:r>
            <w:r>
              <w:rPr>
                <w:rFonts w:hint="eastAsia"/>
                <w:b/>
                <w:bCs/>
                <w:color w:val="auto"/>
                <w:szCs w:val="21"/>
                <w:highlight w:val="none"/>
              </w:rPr>
              <w:t>）</w:t>
            </w:r>
          </w:p>
        </w:tc>
        <w:tc>
          <w:tcPr>
            <w:tcW w:w="2451" w:type="dxa"/>
            <w:noWrap w:val="0"/>
            <w:vAlign w:val="center"/>
          </w:tcPr>
          <w:p w14:paraId="69948DC6">
            <w:pPr>
              <w:spacing w:line="360" w:lineRule="auto"/>
              <w:jc w:val="center"/>
              <w:rPr>
                <w:color w:val="auto"/>
                <w:szCs w:val="21"/>
                <w:highlight w:val="none"/>
                <w:lang w:val="en-US"/>
              </w:rPr>
            </w:pPr>
            <w:r>
              <w:rPr>
                <w:rFonts w:hint="eastAsia"/>
                <w:color w:val="auto"/>
                <w:szCs w:val="21"/>
                <w:highlight w:val="none"/>
              </w:rPr>
              <w:t>按规定时间清运垃圾，确保垃圾日产日清</w:t>
            </w:r>
          </w:p>
        </w:tc>
        <w:tc>
          <w:tcPr>
            <w:tcW w:w="4272" w:type="dxa"/>
            <w:noWrap w:val="0"/>
            <w:vAlign w:val="center"/>
          </w:tcPr>
          <w:p w14:paraId="6260DF76">
            <w:pPr>
              <w:spacing w:line="360" w:lineRule="auto"/>
              <w:rPr>
                <w:color w:val="auto"/>
                <w:szCs w:val="21"/>
                <w:highlight w:val="none"/>
              </w:rPr>
            </w:pPr>
            <w:r>
              <w:rPr>
                <w:rFonts w:hint="eastAsia"/>
                <w:color w:val="auto"/>
                <w:szCs w:val="21"/>
                <w:highlight w:val="none"/>
              </w:rPr>
              <w:t>1、垃圾未及时转运的每次扣5分；</w:t>
            </w:r>
          </w:p>
          <w:p w14:paraId="57FED1CB">
            <w:pPr>
              <w:spacing w:line="360" w:lineRule="auto"/>
              <w:rPr>
                <w:color w:val="auto"/>
                <w:szCs w:val="21"/>
                <w:highlight w:val="none"/>
              </w:rPr>
            </w:pPr>
            <w:r>
              <w:rPr>
                <w:rFonts w:hint="eastAsia"/>
                <w:color w:val="auto"/>
                <w:szCs w:val="21"/>
                <w:highlight w:val="none"/>
              </w:rPr>
              <w:t>2、垃圾作业区域周边卫生不符合要求的每次扣2分。</w:t>
            </w:r>
          </w:p>
        </w:tc>
        <w:tc>
          <w:tcPr>
            <w:tcW w:w="744" w:type="dxa"/>
            <w:vMerge w:val="restart"/>
            <w:noWrap w:val="0"/>
            <w:vAlign w:val="center"/>
          </w:tcPr>
          <w:p w14:paraId="4C92ACF3">
            <w:pPr>
              <w:spacing w:line="280" w:lineRule="exact"/>
              <w:jc w:val="center"/>
              <w:rPr>
                <w:color w:val="auto"/>
                <w:szCs w:val="21"/>
                <w:highlight w:val="none"/>
              </w:rPr>
            </w:pPr>
          </w:p>
        </w:tc>
        <w:tc>
          <w:tcPr>
            <w:tcW w:w="691" w:type="dxa"/>
            <w:vMerge w:val="restart"/>
            <w:noWrap w:val="0"/>
            <w:vAlign w:val="center"/>
          </w:tcPr>
          <w:p w14:paraId="5FDAF4A4">
            <w:pPr>
              <w:spacing w:line="280" w:lineRule="exact"/>
              <w:jc w:val="center"/>
              <w:rPr>
                <w:color w:val="auto"/>
                <w:szCs w:val="21"/>
                <w:highlight w:val="none"/>
              </w:rPr>
            </w:pPr>
          </w:p>
        </w:tc>
      </w:tr>
      <w:tr w14:paraId="0A6C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1323" w:type="dxa"/>
            <w:vMerge w:val="continue"/>
            <w:noWrap w:val="0"/>
            <w:vAlign w:val="center"/>
          </w:tcPr>
          <w:p w14:paraId="3B8A8AA6">
            <w:pPr>
              <w:spacing w:line="360" w:lineRule="auto"/>
              <w:jc w:val="center"/>
              <w:rPr>
                <w:color w:val="auto"/>
                <w:szCs w:val="21"/>
                <w:highlight w:val="none"/>
              </w:rPr>
            </w:pPr>
          </w:p>
        </w:tc>
        <w:tc>
          <w:tcPr>
            <w:tcW w:w="2451" w:type="dxa"/>
            <w:noWrap w:val="0"/>
            <w:vAlign w:val="center"/>
          </w:tcPr>
          <w:p w14:paraId="022694FD">
            <w:pPr>
              <w:spacing w:line="360" w:lineRule="auto"/>
              <w:jc w:val="center"/>
              <w:rPr>
                <w:color w:val="auto"/>
                <w:kern w:val="2"/>
                <w:sz w:val="21"/>
                <w:szCs w:val="21"/>
                <w:highlight w:val="none"/>
                <w:lang w:val="en-US" w:bidi="ar-SA"/>
              </w:rPr>
            </w:pPr>
            <w:r>
              <w:rPr>
                <w:rFonts w:hint="eastAsia"/>
                <w:color w:val="auto"/>
                <w:szCs w:val="21"/>
                <w:highlight w:val="none"/>
                <w:lang w:val="en-US"/>
              </w:rPr>
              <w:t>及时处理“12345”、信访等舆情</w:t>
            </w:r>
          </w:p>
        </w:tc>
        <w:tc>
          <w:tcPr>
            <w:tcW w:w="4272" w:type="dxa"/>
            <w:noWrap w:val="0"/>
            <w:vAlign w:val="center"/>
          </w:tcPr>
          <w:p w14:paraId="4D85B43E">
            <w:pPr>
              <w:spacing w:line="360" w:lineRule="auto"/>
              <w:rPr>
                <w:color w:val="auto"/>
                <w:szCs w:val="21"/>
                <w:highlight w:val="none"/>
              </w:rPr>
            </w:pPr>
            <w:r>
              <w:rPr>
                <w:rFonts w:hint="eastAsia"/>
                <w:color w:val="auto"/>
                <w:szCs w:val="21"/>
                <w:highlight w:val="none"/>
              </w:rPr>
              <w:t>1、发生一次舆情未及时处理或懈怠处理的，每次扣</w:t>
            </w:r>
            <w:r>
              <w:rPr>
                <w:rFonts w:hint="eastAsia"/>
                <w:color w:val="auto"/>
                <w:szCs w:val="21"/>
                <w:highlight w:val="none"/>
                <w:lang w:val="en-US"/>
              </w:rPr>
              <w:t>5分</w:t>
            </w:r>
            <w:r>
              <w:rPr>
                <w:rFonts w:hint="eastAsia"/>
                <w:color w:val="auto"/>
                <w:szCs w:val="21"/>
                <w:highlight w:val="none"/>
              </w:rPr>
              <w:t>；</w:t>
            </w:r>
          </w:p>
          <w:p w14:paraId="23D27F5F">
            <w:pPr>
              <w:spacing w:line="360" w:lineRule="auto"/>
              <w:rPr>
                <w:color w:val="auto"/>
                <w:kern w:val="2"/>
                <w:sz w:val="21"/>
                <w:szCs w:val="21"/>
                <w:highlight w:val="none"/>
                <w:lang w:val="en-US" w:bidi="ar-SA"/>
              </w:rPr>
            </w:pPr>
            <w:r>
              <w:rPr>
                <w:rFonts w:hint="eastAsia"/>
                <w:color w:val="auto"/>
                <w:szCs w:val="21"/>
                <w:highlight w:val="none"/>
              </w:rPr>
              <w:t>2、对不能处理的特殊化问题，未及时汇报，每次扣</w:t>
            </w:r>
            <w:r>
              <w:rPr>
                <w:rFonts w:hint="eastAsia"/>
                <w:color w:val="auto"/>
                <w:szCs w:val="21"/>
                <w:highlight w:val="none"/>
                <w:lang w:val="en-US"/>
              </w:rPr>
              <w:t>10分。</w:t>
            </w:r>
          </w:p>
        </w:tc>
        <w:tc>
          <w:tcPr>
            <w:tcW w:w="744" w:type="dxa"/>
            <w:vMerge w:val="continue"/>
            <w:noWrap w:val="0"/>
            <w:vAlign w:val="center"/>
          </w:tcPr>
          <w:p w14:paraId="6EC1E72E">
            <w:pPr>
              <w:spacing w:line="280" w:lineRule="exact"/>
              <w:jc w:val="center"/>
              <w:rPr>
                <w:color w:val="auto"/>
                <w:szCs w:val="21"/>
                <w:highlight w:val="none"/>
              </w:rPr>
            </w:pPr>
          </w:p>
        </w:tc>
        <w:tc>
          <w:tcPr>
            <w:tcW w:w="691" w:type="dxa"/>
            <w:vMerge w:val="continue"/>
            <w:noWrap w:val="0"/>
            <w:vAlign w:val="center"/>
          </w:tcPr>
          <w:p w14:paraId="13548D23">
            <w:pPr>
              <w:spacing w:line="280" w:lineRule="exact"/>
              <w:jc w:val="center"/>
              <w:rPr>
                <w:color w:val="auto"/>
                <w:szCs w:val="21"/>
                <w:highlight w:val="none"/>
              </w:rPr>
            </w:pPr>
          </w:p>
        </w:tc>
      </w:tr>
      <w:tr w14:paraId="063D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3774" w:type="dxa"/>
            <w:gridSpan w:val="2"/>
            <w:noWrap w:val="0"/>
            <w:vAlign w:val="center"/>
          </w:tcPr>
          <w:p w14:paraId="3953BE22">
            <w:pPr>
              <w:spacing w:line="360" w:lineRule="auto"/>
              <w:jc w:val="center"/>
              <w:rPr>
                <w:rFonts w:hint="default"/>
                <w:color w:val="auto"/>
                <w:szCs w:val="21"/>
                <w:highlight w:val="none"/>
                <w:lang w:val="en-US"/>
              </w:rPr>
            </w:pPr>
            <w:r>
              <w:rPr>
                <w:rFonts w:hint="eastAsia"/>
                <w:b/>
                <w:bCs/>
                <w:color w:val="auto"/>
                <w:szCs w:val="21"/>
                <w:highlight w:val="none"/>
                <w:lang w:val="en-US" w:eastAsia="zh-CN"/>
              </w:rPr>
              <w:t>总分（100分）</w:t>
            </w:r>
          </w:p>
        </w:tc>
        <w:tc>
          <w:tcPr>
            <w:tcW w:w="5707" w:type="dxa"/>
            <w:gridSpan w:val="3"/>
            <w:noWrap w:val="0"/>
            <w:vAlign w:val="center"/>
          </w:tcPr>
          <w:p w14:paraId="1869A75F">
            <w:pPr>
              <w:spacing w:line="280" w:lineRule="exact"/>
              <w:jc w:val="center"/>
              <w:rPr>
                <w:color w:val="auto"/>
                <w:szCs w:val="21"/>
                <w:highlight w:val="none"/>
              </w:rPr>
            </w:pPr>
          </w:p>
        </w:tc>
      </w:tr>
    </w:tbl>
    <w:p w14:paraId="719E5A44">
      <w:pPr>
        <w:rPr>
          <w:color w:val="auto"/>
          <w:highlight w:val="none"/>
        </w:rPr>
      </w:pPr>
      <w:r>
        <w:rPr>
          <w:rFonts w:hint="eastAsia" w:ascii="仿宋" w:hAnsi="仿宋" w:eastAsia="仿宋" w:cs="仿宋"/>
          <w:color w:val="auto"/>
          <w:sz w:val="24"/>
          <w:szCs w:val="24"/>
          <w:highlight w:val="none"/>
        </w:rPr>
        <w:t>注：乙方必须服从甲方指挥管理，甲方安排督查人员对乙方承包范围内的工作进行督查考核，考核检查项目采取扣分制，凡是检查考核不符合标准或问题处理不及时，将每月检查结果进行汇总，以付款周期为准，平均分在9</w:t>
      </w:r>
      <w:r>
        <w:rPr>
          <w:rFonts w:hint="eastAsia" w:ascii="仿宋" w:hAnsi="仿宋" w:eastAsia="仿宋" w:cs="仿宋"/>
          <w:color w:val="auto"/>
          <w:sz w:val="24"/>
          <w:szCs w:val="24"/>
          <w:highlight w:val="none"/>
          <w:lang w:val="en-US"/>
        </w:rPr>
        <w:t>0</w:t>
      </w:r>
      <w:r>
        <w:rPr>
          <w:rFonts w:hint="eastAsia" w:ascii="仿宋" w:hAnsi="仿宋" w:eastAsia="仿宋" w:cs="仿宋"/>
          <w:color w:val="auto"/>
          <w:sz w:val="24"/>
          <w:szCs w:val="24"/>
          <w:highlight w:val="none"/>
        </w:rPr>
        <w:t>分及以上的为优、平均分在80—</w:t>
      </w:r>
      <w:r>
        <w:rPr>
          <w:rFonts w:hint="eastAsia" w:ascii="仿宋" w:hAnsi="仿宋" w:eastAsia="仿宋" w:cs="仿宋"/>
          <w:color w:val="auto"/>
          <w:sz w:val="24"/>
          <w:szCs w:val="24"/>
          <w:highlight w:val="none"/>
          <w:lang w:val="en-US"/>
        </w:rPr>
        <w:t>89</w:t>
      </w:r>
      <w:r>
        <w:rPr>
          <w:rFonts w:hint="eastAsia" w:ascii="仿宋" w:hAnsi="仿宋" w:eastAsia="仿宋" w:cs="仿宋"/>
          <w:color w:val="auto"/>
          <w:sz w:val="24"/>
          <w:szCs w:val="24"/>
          <w:highlight w:val="none"/>
        </w:rPr>
        <w:t>分的为良好、平均分在</w:t>
      </w:r>
      <w:r>
        <w:rPr>
          <w:rFonts w:hint="eastAsia" w:ascii="仿宋" w:hAnsi="仿宋" w:eastAsia="仿宋" w:cs="仿宋"/>
          <w:color w:val="auto"/>
          <w:sz w:val="24"/>
          <w:szCs w:val="24"/>
          <w:highlight w:val="none"/>
          <w:lang w:val="en-US"/>
        </w:rPr>
        <w:t>70—79</w:t>
      </w:r>
      <w:r>
        <w:rPr>
          <w:rFonts w:hint="eastAsia" w:ascii="仿宋" w:hAnsi="仿宋" w:eastAsia="仿宋" w:cs="仿宋"/>
          <w:color w:val="auto"/>
          <w:sz w:val="24"/>
          <w:szCs w:val="24"/>
          <w:highlight w:val="none"/>
        </w:rPr>
        <w:t>分的为</w:t>
      </w:r>
      <w:r>
        <w:rPr>
          <w:rFonts w:hint="eastAsia" w:ascii="仿宋" w:hAnsi="仿宋" w:eastAsia="仿宋" w:cs="仿宋"/>
          <w:color w:val="auto"/>
          <w:sz w:val="24"/>
          <w:szCs w:val="24"/>
          <w:highlight w:val="none"/>
          <w:lang w:val="en-US"/>
        </w:rPr>
        <w:t>中、平均分在70分以下为差，</w:t>
      </w:r>
      <w:r>
        <w:rPr>
          <w:rFonts w:hint="eastAsia" w:ascii="仿宋" w:hAnsi="仿宋" w:eastAsia="仿宋" w:cs="仿宋"/>
          <w:color w:val="auto"/>
          <w:sz w:val="24"/>
          <w:szCs w:val="24"/>
          <w:highlight w:val="none"/>
        </w:rPr>
        <w:t>优按100%进行付款，良好按</w:t>
      </w:r>
      <w:r>
        <w:rPr>
          <w:rFonts w:hint="eastAsia" w:ascii="仿宋" w:hAnsi="仿宋" w:eastAsia="仿宋" w:cs="仿宋"/>
          <w:color w:val="auto"/>
          <w:sz w:val="24"/>
          <w:szCs w:val="24"/>
          <w:highlight w:val="none"/>
          <w:lang w:val="en-US"/>
        </w:rPr>
        <w:t>98</w:t>
      </w:r>
      <w:r>
        <w:rPr>
          <w:rFonts w:hint="eastAsia" w:ascii="仿宋" w:hAnsi="仿宋" w:eastAsia="仿宋" w:cs="仿宋"/>
          <w:color w:val="auto"/>
          <w:sz w:val="24"/>
          <w:szCs w:val="24"/>
          <w:highlight w:val="none"/>
        </w:rPr>
        <w:t>%进行付款，</w:t>
      </w:r>
      <w:r>
        <w:rPr>
          <w:rFonts w:hint="eastAsia" w:ascii="仿宋" w:hAnsi="仿宋" w:eastAsia="仿宋" w:cs="仿宋"/>
          <w:color w:val="auto"/>
          <w:sz w:val="24"/>
          <w:szCs w:val="24"/>
          <w:highlight w:val="none"/>
          <w:lang w:val="en-US"/>
        </w:rPr>
        <w:t>中按95%进行付款，</w:t>
      </w:r>
      <w:r>
        <w:rPr>
          <w:rFonts w:hint="eastAsia" w:ascii="仿宋" w:hAnsi="仿宋" w:eastAsia="仿宋" w:cs="仿宋"/>
          <w:color w:val="auto"/>
          <w:sz w:val="24"/>
          <w:szCs w:val="24"/>
          <w:highlight w:val="none"/>
        </w:rPr>
        <w:t>差按照</w:t>
      </w:r>
      <w:r>
        <w:rPr>
          <w:rFonts w:hint="eastAsia" w:ascii="仿宋" w:hAnsi="仿宋" w:eastAsia="仿宋" w:cs="仿宋"/>
          <w:color w:val="auto"/>
          <w:sz w:val="24"/>
          <w:szCs w:val="24"/>
          <w:highlight w:val="none"/>
          <w:lang w:val="en-US"/>
        </w:rPr>
        <w:t>90</w:t>
      </w:r>
      <w:r>
        <w:rPr>
          <w:rFonts w:hint="eastAsia" w:ascii="仿宋" w:hAnsi="仿宋" w:eastAsia="仿宋" w:cs="仿宋"/>
          <w:color w:val="auto"/>
          <w:sz w:val="24"/>
          <w:szCs w:val="24"/>
          <w:highlight w:val="none"/>
        </w:rPr>
        <w:t>%进行付款，如连续3个月考评分低于70分，可考虑对该项目进行重新评估。</w:t>
      </w:r>
    </w:p>
    <w:p w14:paraId="22411C2F">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p>
    <w:p w14:paraId="3EA5F160">
      <w:pPr>
        <w:pStyle w:val="2"/>
        <w:spacing w:before="0" w:line="360" w:lineRule="auto"/>
        <w:ind w:left="0"/>
        <w:rPr>
          <w:rFonts w:hint="eastAsia" w:ascii="仿宋" w:hAnsi="仿宋" w:eastAsia="仿宋" w:cs="仿宋"/>
          <w:color w:val="auto"/>
          <w:highlight w:val="none"/>
        </w:rPr>
      </w:pPr>
      <w:bookmarkStart w:id="42" w:name="_Toc4925"/>
      <w:r>
        <w:rPr>
          <w:rFonts w:hint="eastAsia" w:ascii="仿宋" w:hAnsi="仿宋" w:eastAsia="仿宋" w:cs="仿宋"/>
          <w:color w:val="auto"/>
          <w:highlight w:val="none"/>
        </w:rPr>
        <w:t>第六章 投标书</w:t>
      </w:r>
      <w:bookmarkEnd w:id="42"/>
    </w:p>
    <w:p w14:paraId="4391400D">
      <w:pPr>
        <w:pStyle w:val="15"/>
        <w:spacing w:line="360" w:lineRule="auto"/>
        <w:rPr>
          <w:rFonts w:hint="eastAsia" w:ascii="仿宋" w:hAnsi="仿宋" w:eastAsia="仿宋" w:cs="仿宋"/>
          <w:b/>
          <w:color w:val="auto"/>
          <w:sz w:val="36"/>
          <w:szCs w:val="24"/>
          <w:highlight w:val="none"/>
        </w:rPr>
      </w:pPr>
    </w:p>
    <w:p w14:paraId="63F8E7A5">
      <w:pPr>
        <w:spacing w:line="360" w:lineRule="auto"/>
        <w:ind w:left="21" w:right="21"/>
        <w:jc w:val="center"/>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（此页为标书封面格式，制作标书时，删去本行文字）</w:t>
      </w:r>
    </w:p>
    <w:p w14:paraId="6C7CCFE9">
      <w:pPr>
        <w:pStyle w:val="15"/>
        <w:spacing w:line="360" w:lineRule="auto"/>
        <w:rPr>
          <w:rFonts w:hint="eastAsia" w:ascii="仿宋" w:hAnsi="仿宋" w:eastAsia="仿宋" w:cs="仿宋"/>
          <w:b/>
          <w:color w:val="auto"/>
          <w:sz w:val="32"/>
          <w:szCs w:val="24"/>
          <w:highlight w:val="none"/>
        </w:rPr>
      </w:pPr>
    </w:p>
    <w:p w14:paraId="4D70093B">
      <w:pPr>
        <w:pStyle w:val="15"/>
        <w:spacing w:line="360" w:lineRule="auto"/>
        <w:rPr>
          <w:rFonts w:hint="eastAsia" w:ascii="仿宋" w:hAnsi="仿宋" w:eastAsia="仿宋" w:cs="仿宋"/>
          <w:b/>
          <w:color w:val="auto"/>
          <w:sz w:val="32"/>
          <w:szCs w:val="24"/>
          <w:highlight w:val="none"/>
        </w:rPr>
      </w:pPr>
    </w:p>
    <w:p w14:paraId="05D06EF6">
      <w:pPr>
        <w:tabs>
          <w:tab w:val="left" w:pos="2099"/>
          <w:tab w:val="left" w:pos="4199"/>
        </w:tabs>
        <w:spacing w:line="360" w:lineRule="auto"/>
        <w:ind w:right="21"/>
        <w:jc w:val="center"/>
        <w:rPr>
          <w:rFonts w:hint="eastAsia" w:ascii="仿宋" w:hAnsi="仿宋" w:eastAsia="仿宋" w:cs="仿宋"/>
          <w:color w:val="auto"/>
          <w:sz w:val="144"/>
          <w:szCs w:val="28"/>
          <w:highlight w:val="none"/>
        </w:rPr>
      </w:pPr>
      <w:r>
        <w:rPr>
          <w:rFonts w:hint="eastAsia" w:ascii="仿宋" w:hAnsi="仿宋" w:eastAsia="仿宋" w:cs="仿宋"/>
          <w:color w:val="auto"/>
          <w:sz w:val="144"/>
          <w:szCs w:val="28"/>
          <w:highlight w:val="none"/>
        </w:rPr>
        <w:t>投</w:t>
      </w:r>
      <w:r>
        <w:rPr>
          <w:rFonts w:hint="eastAsia" w:ascii="仿宋" w:hAnsi="仿宋" w:eastAsia="仿宋" w:cs="仿宋"/>
          <w:color w:val="auto"/>
          <w:sz w:val="144"/>
          <w:szCs w:val="28"/>
          <w:highlight w:val="none"/>
        </w:rPr>
        <w:tab/>
      </w:r>
      <w:r>
        <w:rPr>
          <w:rFonts w:hint="eastAsia" w:ascii="仿宋" w:hAnsi="仿宋" w:eastAsia="仿宋" w:cs="仿宋"/>
          <w:color w:val="auto"/>
          <w:sz w:val="144"/>
          <w:szCs w:val="28"/>
          <w:highlight w:val="none"/>
        </w:rPr>
        <w:t>标</w:t>
      </w:r>
      <w:r>
        <w:rPr>
          <w:rFonts w:hint="eastAsia" w:ascii="仿宋" w:hAnsi="仿宋" w:eastAsia="仿宋" w:cs="仿宋"/>
          <w:color w:val="auto"/>
          <w:sz w:val="144"/>
          <w:szCs w:val="28"/>
          <w:highlight w:val="none"/>
        </w:rPr>
        <w:tab/>
      </w:r>
      <w:r>
        <w:rPr>
          <w:rFonts w:hint="eastAsia" w:ascii="仿宋" w:hAnsi="仿宋" w:eastAsia="仿宋" w:cs="仿宋"/>
          <w:color w:val="auto"/>
          <w:sz w:val="144"/>
          <w:szCs w:val="28"/>
          <w:highlight w:val="none"/>
        </w:rPr>
        <w:t>书</w:t>
      </w:r>
    </w:p>
    <w:p w14:paraId="695225B0">
      <w:pPr>
        <w:spacing w:line="360" w:lineRule="auto"/>
        <w:ind w:right="21"/>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rPr>
        <w:t>（请在此位置标明“正本”或“副本”字样）</w:t>
      </w:r>
    </w:p>
    <w:p w14:paraId="3228EEFD">
      <w:pPr>
        <w:spacing w:line="360" w:lineRule="auto"/>
        <w:ind w:right="5370" w:firstLine="1800"/>
        <w:rPr>
          <w:rFonts w:hint="eastAsia" w:ascii="仿宋" w:hAnsi="仿宋" w:eastAsia="仿宋" w:cs="仿宋"/>
          <w:color w:val="auto"/>
          <w:sz w:val="36"/>
          <w:szCs w:val="28"/>
          <w:highlight w:val="none"/>
        </w:rPr>
      </w:pPr>
      <w:r>
        <w:rPr>
          <w:rFonts w:hint="eastAsia" w:ascii="仿宋" w:hAnsi="仿宋" w:eastAsia="仿宋" w:cs="仿宋"/>
          <w:color w:val="auto"/>
          <w:sz w:val="36"/>
          <w:szCs w:val="28"/>
          <w:highlight w:val="none"/>
        </w:rPr>
        <w:t xml:space="preserve">项目编号： </w:t>
      </w:r>
    </w:p>
    <w:p w14:paraId="020DB65F">
      <w:pPr>
        <w:spacing w:line="360" w:lineRule="auto"/>
        <w:ind w:right="5370" w:firstLine="1800"/>
        <w:rPr>
          <w:rFonts w:hint="eastAsia" w:ascii="仿宋" w:hAnsi="仿宋" w:eastAsia="仿宋" w:cs="仿宋"/>
          <w:color w:val="auto"/>
          <w:sz w:val="36"/>
          <w:szCs w:val="28"/>
          <w:highlight w:val="none"/>
        </w:rPr>
      </w:pPr>
      <w:r>
        <w:rPr>
          <w:rFonts w:hint="eastAsia" w:ascii="仿宋" w:hAnsi="仿宋" w:eastAsia="仿宋" w:cs="仿宋"/>
          <w:color w:val="auto"/>
          <w:sz w:val="36"/>
          <w:szCs w:val="28"/>
          <w:highlight w:val="none"/>
        </w:rPr>
        <w:t xml:space="preserve">项目名称： </w:t>
      </w:r>
    </w:p>
    <w:p w14:paraId="1B1A46E3">
      <w:pPr>
        <w:spacing w:line="360" w:lineRule="auto"/>
        <w:ind w:right="5370" w:firstLine="1800"/>
        <w:rPr>
          <w:rFonts w:hint="eastAsia" w:ascii="仿宋" w:hAnsi="仿宋" w:eastAsia="仿宋" w:cs="仿宋"/>
          <w:color w:val="auto"/>
          <w:sz w:val="36"/>
          <w:szCs w:val="28"/>
          <w:highlight w:val="none"/>
        </w:rPr>
      </w:pPr>
      <w:r>
        <w:rPr>
          <w:rFonts w:hint="eastAsia" w:ascii="仿宋" w:hAnsi="仿宋" w:eastAsia="仿宋" w:cs="仿宋"/>
          <w:color w:val="auto"/>
          <w:sz w:val="36"/>
          <w:szCs w:val="28"/>
          <w:highlight w:val="none"/>
        </w:rPr>
        <w:t xml:space="preserve">投 标 人 ： </w:t>
      </w:r>
    </w:p>
    <w:p w14:paraId="162D0C84">
      <w:pPr>
        <w:spacing w:line="360" w:lineRule="auto"/>
        <w:ind w:right="5370" w:firstLine="1770"/>
        <w:rPr>
          <w:rFonts w:hint="eastAsia" w:ascii="仿宋" w:hAnsi="仿宋" w:eastAsia="仿宋" w:cs="仿宋"/>
          <w:color w:val="auto"/>
          <w:sz w:val="36"/>
          <w:szCs w:val="24"/>
          <w:highlight w:val="none"/>
        </w:rPr>
      </w:pPr>
      <w:r>
        <w:rPr>
          <w:rFonts w:hint="eastAsia" w:ascii="仿宋" w:hAnsi="仿宋" w:eastAsia="仿宋" w:cs="仿宋"/>
          <w:color w:val="auto"/>
          <w:spacing w:val="-3"/>
          <w:sz w:val="36"/>
          <w:szCs w:val="28"/>
          <w:highlight w:val="none"/>
        </w:rPr>
        <w:t>投标人地址：</w:t>
      </w:r>
    </w:p>
    <w:p w14:paraId="7F6C68C2">
      <w:pPr>
        <w:pStyle w:val="15"/>
        <w:spacing w:line="360" w:lineRule="auto"/>
        <w:rPr>
          <w:rFonts w:hint="eastAsia" w:ascii="仿宋" w:hAnsi="仿宋" w:eastAsia="仿宋" w:cs="仿宋"/>
          <w:color w:val="auto"/>
          <w:sz w:val="32"/>
          <w:szCs w:val="24"/>
          <w:highlight w:val="none"/>
        </w:rPr>
      </w:pPr>
    </w:p>
    <w:p w14:paraId="777CBAC5">
      <w:pPr>
        <w:pStyle w:val="15"/>
        <w:spacing w:line="360" w:lineRule="auto"/>
        <w:jc w:val="center"/>
        <w:rPr>
          <w:rFonts w:hint="eastAsia" w:ascii="仿宋" w:hAnsi="仿宋" w:eastAsia="仿宋" w:cs="仿宋"/>
          <w:b/>
          <w:color w:val="auto"/>
          <w:sz w:val="36"/>
          <w:szCs w:val="24"/>
          <w:highlight w:val="none"/>
        </w:rPr>
      </w:pPr>
      <w:r>
        <w:rPr>
          <w:rFonts w:hint="eastAsia" w:ascii="仿宋" w:hAnsi="仿宋" w:eastAsia="仿宋" w:cs="仿宋"/>
          <w:b/>
          <w:color w:val="auto"/>
          <w:sz w:val="40"/>
          <w:szCs w:val="24"/>
          <w:highlight w:val="none"/>
        </w:rPr>
        <w:t>年</w:t>
      </w:r>
      <w:r>
        <w:rPr>
          <w:rFonts w:hint="eastAsia" w:ascii="仿宋" w:hAnsi="仿宋" w:eastAsia="仿宋" w:cs="仿宋"/>
          <w:b/>
          <w:color w:val="auto"/>
          <w:sz w:val="40"/>
          <w:szCs w:val="24"/>
          <w:highlight w:val="none"/>
        </w:rPr>
        <w:tab/>
      </w:r>
      <w:r>
        <w:rPr>
          <w:rFonts w:hint="eastAsia" w:ascii="仿宋" w:hAnsi="仿宋" w:eastAsia="仿宋" w:cs="仿宋"/>
          <w:b/>
          <w:color w:val="auto"/>
          <w:sz w:val="40"/>
          <w:szCs w:val="24"/>
          <w:highlight w:val="none"/>
        </w:rPr>
        <w:t>月</w:t>
      </w:r>
      <w:r>
        <w:rPr>
          <w:rFonts w:hint="eastAsia" w:ascii="仿宋" w:hAnsi="仿宋" w:eastAsia="仿宋" w:cs="仿宋"/>
          <w:b/>
          <w:color w:val="auto"/>
          <w:sz w:val="40"/>
          <w:szCs w:val="24"/>
          <w:highlight w:val="none"/>
        </w:rPr>
        <w:tab/>
      </w:r>
      <w:r>
        <w:rPr>
          <w:rFonts w:hint="eastAsia" w:ascii="仿宋" w:hAnsi="仿宋" w:eastAsia="仿宋" w:cs="仿宋"/>
          <w:b/>
          <w:color w:val="auto"/>
          <w:sz w:val="40"/>
          <w:szCs w:val="24"/>
          <w:highlight w:val="none"/>
        </w:rPr>
        <w:t>日</w:t>
      </w:r>
    </w:p>
    <w:p w14:paraId="27D3C4D4">
      <w:pPr>
        <w:spacing w:line="360" w:lineRule="auto"/>
        <w:ind w:left="6" w:right="21"/>
        <w:jc w:val="center"/>
        <w:rPr>
          <w:rFonts w:hint="eastAsia" w:ascii="仿宋" w:hAnsi="仿宋" w:eastAsia="仿宋" w:cs="仿宋"/>
          <w:b/>
          <w:color w:val="auto"/>
          <w:sz w:val="24"/>
          <w:szCs w:val="28"/>
          <w:highlight w:val="none"/>
        </w:rPr>
      </w:pPr>
      <w:bookmarkStart w:id="43" w:name="评分索引表"/>
      <w:bookmarkEnd w:id="43"/>
    </w:p>
    <w:p w14:paraId="42E4BE87">
      <w:pPr>
        <w:spacing w:line="360" w:lineRule="auto"/>
        <w:ind w:left="6" w:right="21"/>
        <w:jc w:val="center"/>
        <w:rPr>
          <w:rFonts w:hint="eastAsia" w:ascii="仿宋" w:hAnsi="仿宋" w:eastAsia="仿宋" w:cs="仿宋"/>
          <w:b/>
          <w:color w:val="auto"/>
          <w:sz w:val="24"/>
          <w:szCs w:val="28"/>
          <w:highlight w:val="none"/>
        </w:rPr>
      </w:pPr>
    </w:p>
    <w:p w14:paraId="393AB90B">
      <w:pPr>
        <w:spacing w:line="360" w:lineRule="auto"/>
        <w:ind w:left="6" w:right="21"/>
        <w:jc w:val="center"/>
        <w:rPr>
          <w:rFonts w:hint="eastAsia" w:ascii="仿宋" w:hAnsi="仿宋" w:eastAsia="仿宋" w:cs="仿宋"/>
          <w:b/>
          <w:color w:val="auto"/>
          <w:sz w:val="24"/>
          <w:szCs w:val="28"/>
          <w:highlight w:val="none"/>
        </w:rPr>
      </w:pPr>
    </w:p>
    <w:p w14:paraId="218A7D46">
      <w:pPr>
        <w:spacing w:line="360" w:lineRule="auto"/>
        <w:ind w:left="6" w:right="21"/>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评分索引表</w:t>
      </w:r>
    </w:p>
    <w:tbl>
      <w:tblPr>
        <w:tblStyle w:val="39"/>
        <w:tblpPr w:leftFromText="180" w:rightFromText="180" w:vertAnchor="text" w:horzAnchor="page" w:tblpX="1706" w:tblpY="251"/>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0"/>
        <w:gridCol w:w="3570"/>
      </w:tblGrid>
      <w:tr w14:paraId="19DE5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670" w:type="dxa"/>
            <w:noWrap w:val="0"/>
          </w:tcPr>
          <w:p w14:paraId="36936473">
            <w:pPr>
              <w:pStyle w:val="201"/>
              <w:spacing w:line="360" w:lineRule="auto"/>
              <w:ind w:left="3345"/>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评分项目</w:t>
            </w:r>
          </w:p>
        </w:tc>
        <w:tc>
          <w:tcPr>
            <w:tcW w:w="3570" w:type="dxa"/>
            <w:noWrap w:val="0"/>
          </w:tcPr>
          <w:p w14:paraId="2938E5E3">
            <w:pPr>
              <w:pStyle w:val="201"/>
              <w:spacing w:line="360" w:lineRule="auto"/>
              <w:ind w:left="630"/>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在投标文件中的页码位置</w:t>
            </w:r>
          </w:p>
        </w:tc>
      </w:tr>
      <w:tr w14:paraId="60243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5670" w:type="dxa"/>
            <w:noWrap w:val="0"/>
          </w:tcPr>
          <w:p w14:paraId="2685EE80">
            <w:pPr>
              <w:pStyle w:val="201"/>
              <w:spacing w:line="360" w:lineRule="auto"/>
              <w:rPr>
                <w:rFonts w:hint="eastAsia" w:ascii="仿宋" w:hAnsi="仿宋" w:eastAsia="仿宋" w:cs="仿宋"/>
                <w:color w:val="auto"/>
                <w:szCs w:val="28"/>
                <w:highlight w:val="none"/>
              </w:rPr>
            </w:pPr>
          </w:p>
        </w:tc>
        <w:tc>
          <w:tcPr>
            <w:tcW w:w="3570" w:type="dxa"/>
            <w:noWrap w:val="0"/>
          </w:tcPr>
          <w:p w14:paraId="54801E89">
            <w:pPr>
              <w:pStyle w:val="201"/>
              <w:spacing w:line="360" w:lineRule="auto"/>
              <w:rPr>
                <w:rFonts w:hint="eastAsia" w:ascii="仿宋" w:hAnsi="仿宋" w:eastAsia="仿宋" w:cs="仿宋"/>
                <w:color w:val="auto"/>
                <w:szCs w:val="28"/>
                <w:highlight w:val="none"/>
              </w:rPr>
            </w:pPr>
          </w:p>
        </w:tc>
      </w:tr>
      <w:tr w14:paraId="50BA0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670" w:type="dxa"/>
            <w:noWrap w:val="0"/>
          </w:tcPr>
          <w:p w14:paraId="57F8013A">
            <w:pPr>
              <w:pStyle w:val="201"/>
              <w:spacing w:line="360" w:lineRule="auto"/>
              <w:rPr>
                <w:rFonts w:hint="eastAsia" w:ascii="仿宋" w:hAnsi="仿宋" w:eastAsia="仿宋" w:cs="仿宋"/>
                <w:color w:val="auto"/>
                <w:szCs w:val="28"/>
                <w:highlight w:val="none"/>
              </w:rPr>
            </w:pPr>
          </w:p>
        </w:tc>
        <w:tc>
          <w:tcPr>
            <w:tcW w:w="3570" w:type="dxa"/>
            <w:noWrap w:val="0"/>
          </w:tcPr>
          <w:p w14:paraId="4B76D4E5">
            <w:pPr>
              <w:pStyle w:val="201"/>
              <w:spacing w:line="360" w:lineRule="auto"/>
              <w:rPr>
                <w:rFonts w:hint="eastAsia" w:ascii="仿宋" w:hAnsi="仿宋" w:eastAsia="仿宋" w:cs="仿宋"/>
                <w:color w:val="auto"/>
                <w:szCs w:val="28"/>
                <w:highlight w:val="none"/>
              </w:rPr>
            </w:pPr>
          </w:p>
        </w:tc>
      </w:tr>
      <w:tr w14:paraId="6363A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5670" w:type="dxa"/>
            <w:noWrap w:val="0"/>
          </w:tcPr>
          <w:p w14:paraId="1CFABFB1">
            <w:pPr>
              <w:pStyle w:val="201"/>
              <w:spacing w:line="360" w:lineRule="auto"/>
              <w:rPr>
                <w:rFonts w:hint="eastAsia" w:ascii="仿宋" w:hAnsi="仿宋" w:eastAsia="仿宋" w:cs="仿宋"/>
                <w:color w:val="auto"/>
                <w:szCs w:val="28"/>
                <w:highlight w:val="none"/>
              </w:rPr>
            </w:pPr>
          </w:p>
        </w:tc>
        <w:tc>
          <w:tcPr>
            <w:tcW w:w="3570" w:type="dxa"/>
            <w:noWrap w:val="0"/>
          </w:tcPr>
          <w:p w14:paraId="008CED20">
            <w:pPr>
              <w:pStyle w:val="201"/>
              <w:spacing w:line="360" w:lineRule="auto"/>
              <w:rPr>
                <w:rFonts w:hint="eastAsia" w:ascii="仿宋" w:hAnsi="仿宋" w:eastAsia="仿宋" w:cs="仿宋"/>
                <w:color w:val="auto"/>
                <w:szCs w:val="28"/>
                <w:highlight w:val="none"/>
              </w:rPr>
            </w:pPr>
          </w:p>
        </w:tc>
      </w:tr>
      <w:tr w14:paraId="75A03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5670" w:type="dxa"/>
            <w:noWrap w:val="0"/>
          </w:tcPr>
          <w:p w14:paraId="51C4647E">
            <w:pPr>
              <w:pStyle w:val="201"/>
              <w:spacing w:line="360" w:lineRule="auto"/>
              <w:ind w:left="1968"/>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行数不够，自行添加</w:t>
            </w:r>
          </w:p>
        </w:tc>
        <w:tc>
          <w:tcPr>
            <w:tcW w:w="3570" w:type="dxa"/>
            <w:noWrap w:val="0"/>
          </w:tcPr>
          <w:p w14:paraId="2FED83D1">
            <w:pPr>
              <w:pStyle w:val="201"/>
              <w:spacing w:line="360" w:lineRule="auto"/>
              <w:rPr>
                <w:rFonts w:hint="eastAsia" w:ascii="仿宋" w:hAnsi="仿宋" w:eastAsia="仿宋" w:cs="仿宋"/>
                <w:color w:val="auto"/>
                <w:szCs w:val="28"/>
                <w:highlight w:val="none"/>
              </w:rPr>
            </w:pPr>
          </w:p>
        </w:tc>
      </w:tr>
    </w:tbl>
    <w:p w14:paraId="56FB0DAF">
      <w:pPr>
        <w:pStyle w:val="15"/>
        <w:spacing w:line="360" w:lineRule="auto"/>
        <w:rPr>
          <w:rFonts w:hint="eastAsia" w:ascii="仿宋" w:hAnsi="仿宋" w:eastAsia="仿宋" w:cs="仿宋"/>
          <w:b/>
          <w:color w:val="auto"/>
          <w:sz w:val="13"/>
          <w:szCs w:val="24"/>
          <w:highlight w:val="none"/>
        </w:rPr>
      </w:pPr>
    </w:p>
    <w:p w14:paraId="6188C26D">
      <w:pPr>
        <w:pStyle w:val="15"/>
        <w:spacing w:line="360" w:lineRule="auto"/>
        <w:ind w:left="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注：建议投标供应商为《投标书》制作详细目录，并将该《评分索引表》放在投标书目录之前。</w:t>
      </w:r>
    </w:p>
    <w:p w14:paraId="6A1FD1D2">
      <w:pPr>
        <w:spacing w:line="360" w:lineRule="auto"/>
        <w:rPr>
          <w:rFonts w:hint="eastAsia" w:ascii="仿宋" w:hAnsi="仿宋" w:eastAsia="仿宋" w:cs="仿宋"/>
          <w:color w:val="auto"/>
          <w:sz w:val="28"/>
          <w:szCs w:val="28"/>
          <w:highlight w:val="none"/>
        </w:rPr>
        <w:sectPr>
          <w:headerReference r:id="rId6" w:type="default"/>
          <w:footerReference r:id="rId7" w:type="default"/>
          <w:pgSz w:w="11910" w:h="16840"/>
          <w:pgMar w:top="1701" w:right="1134" w:bottom="1701" w:left="1134" w:header="0" w:footer="992" w:gutter="0"/>
          <w:cols w:space="425" w:num="1"/>
          <w:docGrid w:linePitch="360" w:charSpace="0"/>
        </w:sectPr>
      </w:pPr>
    </w:p>
    <w:p w14:paraId="24295F7C">
      <w:pPr>
        <w:ind w:left="507" w:hanging="502"/>
        <w:outlineLvl w:val="1"/>
        <w:rPr>
          <w:rFonts w:hint="eastAsia" w:ascii="仿宋" w:hAnsi="仿宋" w:eastAsia="仿宋" w:cs="仿宋"/>
          <w:b/>
          <w:color w:val="auto"/>
          <w:spacing w:val="-2"/>
          <w:sz w:val="24"/>
          <w:szCs w:val="28"/>
          <w:highlight w:val="none"/>
        </w:rPr>
      </w:pPr>
      <w:bookmarkStart w:id="44" w:name="附件一、投标申请及声明格式"/>
      <w:bookmarkEnd w:id="44"/>
      <w:bookmarkStart w:id="45" w:name="附件二、法定代表人授权委托书格式"/>
      <w:bookmarkEnd w:id="45"/>
      <w:bookmarkStart w:id="46" w:name="_Toc8257"/>
      <w:r>
        <w:rPr>
          <w:rFonts w:hint="eastAsia" w:ascii="仿宋" w:hAnsi="仿宋" w:eastAsia="仿宋" w:cs="仿宋"/>
          <w:b/>
          <w:color w:val="auto"/>
          <w:spacing w:val="-2"/>
          <w:sz w:val="24"/>
          <w:szCs w:val="28"/>
          <w:highlight w:val="none"/>
        </w:rPr>
        <w:t>附件一、投标申请及声明格式</w:t>
      </w:r>
      <w:bookmarkEnd w:id="46"/>
    </w:p>
    <w:p w14:paraId="6C9CD03B">
      <w:pPr>
        <w:jc w:val="center"/>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投标申请及声明</w:t>
      </w:r>
    </w:p>
    <w:p w14:paraId="650848E0">
      <w:pPr>
        <w:ind w:left="1003" w:hanging="1003"/>
        <w:rPr>
          <w:rFonts w:hint="eastAsia" w:ascii="仿宋" w:hAnsi="仿宋" w:eastAsia="仿宋" w:cs="仿宋"/>
          <w:b/>
          <w:color w:val="auto"/>
          <w:sz w:val="24"/>
          <w:szCs w:val="28"/>
          <w:highlight w:val="none"/>
          <w:lang w:eastAsia="zh-CN"/>
        </w:rPr>
      </w:pPr>
      <w:r>
        <w:rPr>
          <w:rFonts w:hint="eastAsia" w:ascii="仿宋" w:hAnsi="仿宋" w:eastAsia="仿宋" w:cs="仿宋"/>
          <w:color w:val="auto"/>
          <w:sz w:val="24"/>
          <w:szCs w:val="28"/>
          <w:highlight w:val="none"/>
        </w:rPr>
        <w:t>致：</w:t>
      </w:r>
      <w:r>
        <w:rPr>
          <w:rFonts w:hint="eastAsia" w:ascii="仿宋" w:hAnsi="仿宋" w:eastAsia="仿宋" w:cs="仿宋"/>
          <w:b/>
          <w:color w:val="auto"/>
          <w:sz w:val="24"/>
          <w:szCs w:val="28"/>
          <w:highlight w:val="none"/>
          <w:lang w:eastAsia="zh-CN"/>
        </w:rPr>
        <w:t>南京市江宁区人民政府禄口街道办事处</w:t>
      </w:r>
    </w:p>
    <w:p w14:paraId="7F648D8F">
      <w:pPr>
        <w:widowControl/>
        <w:spacing w:line="269" w:lineRule="auto"/>
        <w:ind w:firstLine="420"/>
        <w:jc w:val="left"/>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根据贵方</w:t>
      </w:r>
      <w:r>
        <w:rPr>
          <w:rFonts w:hint="eastAsia" w:ascii="仿宋" w:hAnsi="仿宋" w:eastAsia="仿宋" w:cs="仿宋"/>
          <w:color w:val="auto"/>
          <w:kern w:val="0"/>
          <w:sz w:val="22"/>
          <w:szCs w:val="22"/>
          <w:highlight w:val="none"/>
          <w:u w:val="single"/>
        </w:rPr>
        <w:t>      </w:t>
      </w:r>
      <w:r>
        <w:rPr>
          <w:rFonts w:hint="eastAsia" w:ascii="仿宋" w:hAnsi="仿宋" w:eastAsia="仿宋" w:cs="仿宋"/>
          <w:color w:val="auto"/>
          <w:kern w:val="0"/>
          <w:sz w:val="22"/>
          <w:szCs w:val="22"/>
          <w:highlight w:val="none"/>
          <w:u w:val="single"/>
          <w:lang w:val="en-US" w:eastAsia="zh-CN"/>
        </w:rPr>
        <w:t xml:space="preserve">          </w:t>
      </w:r>
      <w:r>
        <w:rPr>
          <w:rFonts w:hint="eastAsia" w:ascii="仿宋" w:hAnsi="仿宋" w:eastAsia="仿宋" w:cs="仿宋"/>
          <w:b/>
          <w:bCs/>
          <w:color w:val="auto"/>
          <w:kern w:val="0"/>
          <w:sz w:val="22"/>
          <w:szCs w:val="22"/>
          <w:highlight w:val="none"/>
          <w:u w:val="single"/>
        </w:rPr>
        <w:t>（</w:t>
      </w:r>
      <w:r>
        <w:rPr>
          <w:rFonts w:hint="eastAsia" w:ascii="仿宋" w:hAnsi="仿宋" w:eastAsia="仿宋" w:cs="仿宋"/>
          <w:color w:val="auto"/>
          <w:kern w:val="0"/>
          <w:sz w:val="22"/>
          <w:szCs w:val="22"/>
          <w:highlight w:val="none"/>
        </w:rPr>
        <w:t>项目名称） </w:t>
      </w:r>
      <w:r>
        <w:rPr>
          <w:rFonts w:hint="eastAsia" w:ascii="仿宋" w:hAnsi="仿宋" w:eastAsia="仿宋" w:cs="仿宋"/>
          <w:color w:val="auto"/>
          <w:kern w:val="0"/>
          <w:sz w:val="22"/>
          <w:szCs w:val="22"/>
          <w:highlight w:val="none"/>
          <w:u w:val="single"/>
        </w:rPr>
        <w:t>    </w:t>
      </w:r>
      <w:r>
        <w:rPr>
          <w:rFonts w:hint="eastAsia" w:ascii="仿宋" w:hAnsi="仿宋" w:eastAsia="仿宋" w:cs="仿宋"/>
          <w:color w:val="auto"/>
          <w:kern w:val="0"/>
          <w:sz w:val="22"/>
          <w:szCs w:val="22"/>
          <w:highlight w:val="none"/>
          <w:u w:val="single"/>
          <w:lang w:val="en-US" w:eastAsia="zh-CN"/>
        </w:rPr>
        <w:t xml:space="preserve">        </w:t>
      </w:r>
      <w:r>
        <w:rPr>
          <w:rFonts w:hint="eastAsia" w:ascii="仿宋" w:hAnsi="仿宋" w:eastAsia="仿宋" w:cs="仿宋"/>
          <w:color w:val="auto"/>
          <w:kern w:val="0"/>
          <w:sz w:val="22"/>
          <w:szCs w:val="22"/>
          <w:highlight w:val="none"/>
          <w:u w:val="single"/>
        </w:rPr>
        <w:t> </w:t>
      </w:r>
      <w:r>
        <w:rPr>
          <w:rFonts w:hint="eastAsia" w:ascii="仿宋" w:hAnsi="仿宋" w:eastAsia="仿宋" w:cs="仿宋"/>
          <w:color w:val="auto"/>
          <w:kern w:val="0"/>
          <w:sz w:val="22"/>
          <w:szCs w:val="22"/>
          <w:highlight w:val="none"/>
        </w:rPr>
        <w:t>（项目编号）投标邀请，正式授权下述签字人</w:t>
      </w:r>
      <w:r>
        <w:rPr>
          <w:rFonts w:hint="eastAsia" w:ascii="仿宋" w:hAnsi="仿宋" w:eastAsia="仿宋" w:cs="仿宋"/>
          <w:color w:val="auto"/>
          <w:kern w:val="0"/>
          <w:sz w:val="22"/>
          <w:szCs w:val="22"/>
          <w:highlight w:val="none"/>
          <w:u w:val="single"/>
        </w:rPr>
        <w:t xml:space="preserve">      </w:t>
      </w:r>
      <w:r>
        <w:rPr>
          <w:rFonts w:hint="eastAsia" w:ascii="仿宋" w:hAnsi="仿宋" w:eastAsia="仿宋" w:cs="仿宋"/>
          <w:color w:val="auto"/>
          <w:kern w:val="0"/>
          <w:sz w:val="22"/>
          <w:szCs w:val="22"/>
          <w:highlight w:val="none"/>
          <w:u w:val="single"/>
          <w:lang w:val="en-US" w:eastAsia="zh-CN"/>
        </w:rPr>
        <w:t xml:space="preserve">        </w:t>
      </w:r>
      <w:r>
        <w:rPr>
          <w:rFonts w:hint="eastAsia" w:ascii="仿宋" w:hAnsi="仿宋" w:eastAsia="仿宋" w:cs="仿宋"/>
          <w:color w:val="auto"/>
          <w:kern w:val="0"/>
          <w:sz w:val="22"/>
          <w:szCs w:val="22"/>
          <w:highlight w:val="none"/>
          <w:u w:val="single"/>
        </w:rPr>
        <w:t xml:space="preserve"> </w:t>
      </w:r>
      <w:r>
        <w:rPr>
          <w:rFonts w:hint="eastAsia" w:ascii="仿宋" w:hAnsi="仿宋" w:eastAsia="仿宋" w:cs="仿宋"/>
          <w:color w:val="auto"/>
          <w:kern w:val="0"/>
          <w:sz w:val="22"/>
          <w:szCs w:val="22"/>
          <w:highlight w:val="none"/>
        </w:rPr>
        <w:t>(姓名和职务)代表投标人</w:t>
      </w:r>
      <w:r>
        <w:rPr>
          <w:rFonts w:hint="eastAsia" w:ascii="仿宋" w:hAnsi="仿宋" w:eastAsia="仿宋" w:cs="仿宋"/>
          <w:color w:val="auto"/>
          <w:kern w:val="0"/>
          <w:sz w:val="22"/>
          <w:szCs w:val="22"/>
          <w:highlight w:val="none"/>
          <w:u w:val="single"/>
        </w:rPr>
        <w:t>     </w:t>
      </w:r>
      <w:r>
        <w:rPr>
          <w:rFonts w:hint="eastAsia" w:ascii="仿宋" w:hAnsi="仿宋" w:eastAsia="仿宋" w:cs="仿宋"/>
          <w:color w:val="auto"/>
          <w:kern w:val="0"/>
          <w:sz w:val="22"/>
          <w:szCs w:val="22"/>
          <w:highlight w:val="none"/>
          <w:u w:val="single"/>
          <w:lang w:val="en-US" w:eastAsia="zh-CN"/>
        </w:rPr>
        <w:t xml:space="preserve">        </w:t>
      </w:r>
      <w:r>
        <w:rPr>
          <w:rFonts w:hint="eastAsia" w:ascii="仿宋" w:hAnsi="仿宋" w:eastAsia="仿宋" w:cs="仿宋"/>
          <w:color w:val="auto"/>
          <w:kern w:val="0"/>
          <w:sz w:val="22"/>
          <w:szCs w:val="22"/>
          <w:highlight w:val="none"/>
        </w:rPr>
        <w:t>（投标人名称），提交投标文件。</w:t>
      </w:r>
    </w:p>
    <w:p w14:paraId="1985605E">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据此函，签字人兹宣布声明和承诺如下：</w:t>
      </w:r>
    </w:p>
    <w:p w14:paraId="32B4CD59">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1、</w:t>
      </w:r>
      <w:r>
        <w:rPr>
          <w:rFonts w:hint="eastAsia" w:ascii="仿宋" w:hAnsi="仿宋" w:eastAsia="仿宋" w:cs="仿宋"/>
          <w:b/>
          <w:bCs/>
          <w:color w:val="auto"/>
          <w:kern w:val="0"/>
          <w:sz w:val="22"/>
          <w:szCs w:val="22"/>
          <w:highlight w:val="none"/>
        </w:rPr>
        <w:t>我们的资格条件完全符合招标投标法和本次招标要求</w:t>
      </w:r>
      <w:r>
        <w:rPr>
          <w:rFonts w:hint="eastAsia" w:ascii="仿宋" w:hAnsi="仿宋" w:eastAsia="仿宋" w:cs="仿宋"/>
          <w:color w:val="auto"/>
          <w:kern w:val="0"/>
          <w:sz w:val="22"/>
          <w:szCs w:val="22"/>
          <w:highlight w:val="none"/>
        </w:rPr>
        <w:t>，我们同意并向贵方提供了与投标有关的所有证据和资料。</w:t>
      </w:r>
    </w:p>
    <w:p w14:paraId="52D57F78">
      <w:pPr>
        <w:keepNext w:val="0"/>
        <w:keepLines w:val="0"/>
        <w:pageBreakBefore w:val="0"/>
        <w:widowControl/>
        <w:kinsoku/>
        <w:wordWrap/>
        <w:overflowPunct/>
        <w:topLinePunct w:val="0"/>
        <w:autoSpaceDE/>
        <w:autoSpaceDN/>
        <w:bidi w:val="0"/>
        <w:adjustRightInd/>
        <w:snapToGrid/>
        <w:spacing w:line="269" w:lineRule="auto"/>
        <w:ind w:left="0" w:leftChars="0" w:firstLine="440" w:firstLineChars="200"/>
        <w:textAlignment w:val="auto"/>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rPr>
        <w:t>2、按招标要求，</w:t>
      </w:r>
      <w:r>
        <w:rPr>
          <w:rFonts w:hint="eastAsia" w:ascii="仿宋" w:hAnsi="仿宋" w:eastAsia="仿宋" w:cs="仿宋"/>
          <w:color w:val="auto"/>
          <w:kern w:val="0"/>
          <w:sz w:val="22"/>
          <w:szCs w:val="22"/>
          <w:highlight w:val="none"/>
          <w:lang w:val="en-US" w:eastAsia="zh-CN"/>
        </w:rPr>
        <w:t>我们的投标总价为（大写）</w:t>
      </w:r>
      <w:r>
        <w:rPr>
          <w:rFonts w:hint="eastAsia" w:ascii="仿宋" w:hAnsi="仿宋" w:eastAsia="仿宋" w:cs="仿宋"/>
          <w:color w:val="auto"/>
          <w:kern w:val="0"/>
          <w:sz w:val="22"/>
          <w:szCs w:val="22"/>
          <w:highlight w:val="none"/>
          <w:u w:val="single"/>
          <w:lang w:val="en-US" w:eastAsia="zh-CN"/>
        </w:rPr>
        <w:t xml:space="preserve">        /年</w:t>
      </w:r>
      <w:r>
        <w:rPr>
          <w:rFonts w:hint="eastAsia" w:ascii="仿宋" w:hAnsi="仿宋" w:eastAsia="仿宋" w:cs="仿宋"/>
          <w:color w:val="auto"/>
          <w:kern w:val="0"/>
          <w:sz w:val="22"/>
          <w:szCs w:val="22"/>
          <w:highlight w:val="none"/>
          <w:lang w:val="en-US" w:eastAsia="zh-CN"/>
        </w:rPr>
        <w:t xml:space="preserve"> ；人民币（小写）</w:t>
      </w:r>
      <w:r>
        <w:rPr>
          <w:rFonts w:hint="eastAsia" w:ascii="仿宋" w:hAnsi="仿宋" w:eastAsia="仿宋" w:cs="仿宋"/>
          <w:color w:val="auto"/>
          <w:kern w:val="0"/>
          <w:sz w:val="22"/>
          <w:szCs w:val="22"/>
          <w:highlight w:val="none"/>
          <w:u w:val="single"/>
          <w:lang w:val="en-US" w:eastAsia="zh-CN"/>
        </w:rPr>
        <w:t xml:space="preserve">        </w:t>
      </w:r>
      <w:r>
        <w:rPr>
          <w:rFonts w:hint="eastAsia" w:ascii="仿宋" w:hAnsi="仿宋" w:eastAsia="仿宋" w:cs="仿宋"/>
          <w:color w:val="auto"/>
          <w:kern w:val="0"/>
          <w:sz w:val="22"/>
          <w:szCs w:val="22"/>
          <w:highlight w:val="none"/>
          <w:lang w:val="en-US" w:eastAsia="zh-CN"/>
        </w:rPr>
        <w:t>元/年；服务期：</w:t>
      </w:r>
      <w:r>
        <w:rPr>
          <w:rFonts w:hint="eastAsia" w:ascii="仿宋" w:hAnsi="仿宋" w:eastAsia="仿宋" w:cs="仿宋"/>
          <w:color w:val="auto"/>
          <w:kern w:val="0"/>
          <w:sz w:val="22"/>
          <w:szCs w:val="22"/>
          <w:highlight w:val="none"/>
          <w:u w:val="single"/>
          <w:lang w:val="en-US" w:eastAsia="zh-CN"/>
        </w:rPr>
        <w:t xml:space="preserve">         </w:t>
      </w:r>
      <w:r>
        <w:rPr>
          <w:rFonts w:hint="eastAsia" w:ascii="仿宋" w:hAnsi="仿宋" w:eastAsia="仿宋" w:cs="仿宋"/>
          <w:color w:val="auto"/>
          <w:kern w:val="0"/>
          <w:sz w:val="22"/>
          <w:szCs w:val="22"/>
          <w:highlight w:val="none"/>
          <w:lang w:val="en-US" w:eastAsia="zh-CN"/>
        </w:rPr>
        <w:t>；</w:t>
      </w:r>
    </w:p>
    <w:p w14:paraId="598D796A">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en-US" w:eastAsia="zh-CN"/>
        </w:rPr>
        <w:t>3</w:t>
      </w:r>
      <w:r>
        <w:rPr>
          <w:rFonts w:hint="eastAsia" w:ascii="仿宋" w:hAnsi="仿宋" w:eastAsia="仿宋" w:cs="仿宋"/>
          <w:color w:val="auto"/>
          <w:kern w:val="0"/>
          <w:sz w:val="22"/>
          <w:szCs w:val="22"/>
          <w:highlight w:val="none"/>
        </w:rPr>
        <w:t>、我们已详细审核全部招标文件及其有效补充文件，我们放弃对招标文件任何误解的权利，提交投标文件后，</w:t>
      </w:r>
      <w:r>
        <w:rPr>
          <w:rFonts w:hint="eastAsia" w:ascii="仿宋" w:hAnsi="仿宋" w:eastAsia="仿宋" w:cs="仿宋"/>
          <w:b/>
          <w:bCs/>
          <w:color w:val="auto"/>
          <w:kern w:val="0"/>
          <w:sz w:val="22"/>
          <w:szCs w:val="22"/>
          <w:highlight w:val="none"/>
        </w:rPr>
        <w:t>不对招标文件本身提出质疑</w:t>
      </w:r>
      <w:r>
        <w:rPr>
          <w:rFonts w:hint="eastAsia" w:ascii="仿宋" w:hAnsi="仿宋" w:eastAsia="仿宋" w:cs="仿宋"/>
          <w:color w:val="auto"/>
          <w:kern w:val="0"/>
          <w:sz w:val="22"/>
          <w:szCs w:val="22"/>
          <w:highlight w:val="none"/>
        </w:rPr>
        <w:t>。否则，属于不诚信和故意扰乱招标活动行为，我们将无条件接受处罚。</w:t>
      </w:r>
    </w:p>
    <w:p w14:paraId="3E5BD844">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en-US" w:eastAsia="zh-CN"/>
        </w:rPr>
        <w:t>4</w:t>
      </w:r>
      <w:r>
        <w:rPr>
          <w:rFonts w:hint="eastAsia" w:ascii="仿宋" w:hAnsi="仿宋" w:eastAsia="仿宋" w:cs="仿宋"/>
          <w:color w:val="auto"/>
          <w:kern w:val="0"/>
          <w:sz w:val="22"/>
          <w:szCs w:val="22"/>
          <w:highlight w:val="none"/>
        </w:rPr>
        <w:t>、我们同意从规定的开标日期起遵循本投标文件，并在规定的投标有效期期满之前均具有约束力。</w:t>
      </w:r>
    </w:p>
    <w:p w14:paraId="530241C0">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en-US" w:eastAsia="zh-CN"/>
        </w:rPr>
        <w:t>5</w:t>
      </w:r>
      <w:r>
        <w:rPr>
          <w:rFonts w:hint="eastAsia" w:ascii="仿宋" w:hAnsi="仿宋" w:eastAsia="仿宋" w:cs="仿宋"/>
          <w:color w:val="auto"/>
          <w:kern w:val="0"/>
          <w:sz w:val="22"/>
          <w:szCs w:val="22"/>
          <w:highlight w:val="none"/>
        </w:rPr>
        <w:t>、一旦我方中标，我方将根据招标文件的规定严格履行合同，并保证于承诺的时间完成本项目服务内容。</w:t>
      </w:r>
    </w:p>
    <w:p w14:paraId="6BE61929">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en-US" w:eastAsia="zh-CN"/>
        </w:rPr>
        <w:t>6</w:t>
      </w:r>
      <w:r>
        <w:rPr>
          <w:rFonts w:hint="eastAsia" w:ascii="仿宋" w:hAnsi="仿宋" w:eastAsia="仿宋" w:cs="仿宋"/>
          <w:color w:val="auto"/>
          <w:kern w:val="0"/>
          <w:sz w:val="22"/>
          <w:szCs w:val="22"/>
          <w:highlight w:val="none"/>
        </w:rPr>
        <w:t>、我方决不提供虚假材料谋取中标、决不采取不正当手段诋毁、排挤其他单位、决不与招标人、其它单位或者招标人恶意串通、决不向招标人、招标人工作人员和评委进行商业贿赂、决不在招标过程中与招标人进行协商谈判、决不拒绝有关部门监督检查或提供虚假情况，如有违反，无条件接受贵方及相关管理部门的处罚。</w:t>
      </w:r>
    </w:p>
    <w:p w14:paraId="512B194D">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en-US" w:eastAsia="zh-CN"/>
        </w:rPr>
        <w:t>7</w:t>
      </w:r>
      <w:r>
        <w:rPr>
          <w:rFonts w:hint="eastAsia" w:ascii="仿宋" w:hAnsi="仿宋" w:eastAsia="仿宋" w:cs="仿宋"/>
          <w:color w:val="auto"/>
          <w:kern w:val="0"/>
          <w:sz w:val="22"/>
          <w:szCs w:val="22"/>
          <w:highlight w:val="none"/>
        </w:rPr>
        <w:t>、与本投标有关的正式联系方式为：</w:t>
      </w:r>
    </w:p>
    <w:p w14:paraId="55DB1E58">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地   址：</w:t>
      </w:r>
      <w:r>
        <w:rPr>
          <w:rFonts w:hint="eastAsia" w:ascii="仿宋" w:hAnsi="仿宋" w:eastAsia="仿宋" w:cs="仿宋"/>
          <w:color w:val="auto"/>
          <w:kern w:val="0"/>
          <w:sz w:val="22"/>
          <w:szCs w:val="22"/>
          <w:highlight w:val="none"/>
          <w:u w:val="single"/>
        </w:rPr>
        <w:t>                      </w:t>
      </w:r>
    </w:p>
    <w:p w14:paraId="7E11E3A5">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电   话：</w:t>
      </w:r>
      <w:r>
        <w:rPr>
          <w:rFonts w:hint="eastAsia" w:ascii="仿宋" w:hAnsi="仿宋" w:eastAsia="仿宋" w:cs="仿宋"/>
          <w:color w:val="auto"/>
          <w:kern w:val="0"/>
          <w:sz w:val="22"/>
          <w:szCs w:val="22"/>
          <w:highlight w:val="none"/>
          <w:u w:val="single"/>
        </w:rPr>
        <w:t>                      </w:t>
      </w:r>
    </w:p>
    <w:p w14:paraId="5BC09F47">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开户银行：</w:t>
      </w:r>
      <w:r>
        <w:rPr>
          <w:rFonts w:hint="eastAsia" w:ascii="仿宋" w:hAnsi="仿宋" w:eastAsia="仿宋" w:cs="仿宋"/>
          <w:color w:val="auto"/>
          <w:kern w:val="0"/>
          <w:sz w:val="22"/>
          <w:szCs w:val="22"/>
          <w:highlight w:val="none"/>
          <w:u w:val="single"/>
        </w:rPr>
        <w:t>                    </w:t>
      </w:r>
    </w:p>
    <w:p w14:paraId="48C09BA9">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银行账号：</w:t>
      </w:r>
      <w:r>
        <w:rPr>
          <w:rFonts w:hint="eastAsia" w:ascii="仿宋" w:hAnsi="仿宋" w:eastAsia="仿宋" w:cs="仿宋"/>
          <w:color w:val="auto"/>
          <w:kern w:val="0"/>
          <w:sz w:val="22"/>
          <w:szCs w:val="22"/>
          <w:highlight w:val="none"/>
          <w:u w:val="single"/>
        </w:rPr>
        <w:t>                    </w:t>
      </w:r>
    </w:p>
    <w:p w14:paraId="2A1B2C0E">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投标人名称:</w:t>
      </w:r>
      <w:r>
        <w:rPr>
          <w:rFonts w:hint="eastAsia" w:ascii="仿宋" w:hAnsi="仿宋" w:eastAsia="仿宋" w:cs="仿宋"/>
          <w:color w:val="auto"/>
          <w:kern w:val="0"/>
          <w:sz w:val="22"/>
          <w:szCs w:val="22"/>
          <w:highlight w:val="none"/>
          <w:u w:val="single"/>
        </w:rPr>
        <w:t>                 </w:t>
      </w:r>
      <w:r>
        <w:rPr>
          <w:rFonts w:hint="eastAsia" w:ascii="仿宋" w:hAnsi="仿宋" w:eastAsia="仿宋" w:cs="仿宋"/>
          <w:color w:val="auto"/>
          <w:kern w:val="0"/>
          <w:sz w:val="22"/>
          <w:szCs w:val="22"/>
          <w:highlight w:val="none"/>
        </w:rPr>
        <w:t>（盖章）</w:t>
      </w:r>
    </w:p>
    <w:p w14:paraId="772B6573">
      <w:pPr>
        <w:widowControl/>
        <w:spacing w:line="269" w:lineRule="auto"/>
        <w:ind w:firstLine="42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法定代表人或授权代表（签字或盖章）：</w:t>
      </w:r>
    </w:p>
    <w:p w14:paraId="6BC8518B">
      <w:pPr>
        <w:pStyle w:val="15"/>
        <w:ind w:left="1419" w:right="5148" w:hanging="979"/>
        <w:rPr>
          <w:rFonts w:hint="eastAsia"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eastAsia="zh-CN"/>
        </w:rPr>
        <w:t>日期</w:t>
      </w:r>
      <w:r>
        <w:rPr>
          <w:rFonts w:hint="eastAsia" w:ascii="仿宋" w:hAnsi="仿宋" w:eastAsia="仿宋" w:cs="仿宋"/>
          <w:color w:val="auto"/>
          <w:kern w:val="0"/>
          <w:sz w:val="22"/>
          <w:szCs w:val="22"/>
          <w:highlight w:val="none"/>
        </w:rPr>
        <w:t>：</w:t>
      </w:r>
      <w:r>
        <w:rPr>
          <w:rFonts w:hint="eastAsia" w:ascii="仿宋" w:hAnsi="仿宋" w:eastAsia="仿宋" w:cs="仿宋"/>
          <w:color w:val="auto"/>
          <w:kern w:val="0"/>
          <w:sz w:val="22"/>
          <w:szCs w:val="22"/>
          <w:highlight w:val="none"/>
          <w:lang w:val="en-US" w:eastAsia="zh-CN"/>
        </w:rPr>
        <w:t xml:space="preserve">        </w:t>
      </w:r>
      <w:r>
        <w:rPr>
          <w:rFonts w:hint="eastAsia" w:ascii="仿宋" w:hAnsi="仿宋" w:eastAsia="仿宋" w:cs="仿宋"/>
          <w:color w:val="auto"/>
          <w:kern w:val="0"/>
          <w:sz w:val="22"/>
          <w:szCs w:val="22"/>
          <w:highlight w:val="none"/>
          <w:lang w:eastAsia="zh-CN"/>
        </w:rPr>
        <w:t>年</w:t>
      </w:r>
      <w:r>
        <w:rPr>
          <w:rFonts w:hint="eastAsia" w:ascii="仿宋" w:hAnsi="仿宋" w:eastAsia="仿宋" w:cs="仿宋"/>
          <w:color w:val="auto"/>
          <w:kern w:val="0"/>
          <w:sz w:val="22"/>
          <w:szCs w:val="22"/>
          <w:highlight w:val="none"/>
          <w:lang w:val="en-US" w:eastAsia="zh-CN"/>
        </w:rPr>
        <w:t xml:space="preserve">      </w:t>
      </w:r>
      <w:r>
        <w:rPr>
          <w:rFonts w:hint="eastAsia" w:ascii="仿宋" w:hAnsi="仿宋" w:eastAsia="仿宋" w:cs="仿宋"/>
          <w:color w:val="auto"/>
          <w:kern w:val="0"/>
          <w:sz w:val="22"/>
          <w:szCs w:val="22"/>
          <w:highlight w:val="none"/>
          <w:lang w:eastAsia="zh-CN"/>
        </w:rPr>
        <w:t>月</w:t>
      </w:r>
      <w:r>
        <w:rPr>
          <w:rFonts w:hint="eastAsia" w:ascii="仿宋" w:hAnsi="仿宋" w:eastAsia="仿宋" w:cs="仿宋"/>
          <w:color w:val="auto"/>
          <w:kern w:val="0"/>
          <w:sz w:val="22"/>
          <w:szCs w:val="22"/>
          <w:highlight w:val="none"/>
          <w:lang w:val="en-US" w:eastAsia="zh-CN"/>
        </w:rPr>
        <w:t xml:space="preserve">      </w:t>
      </w:r>
      <w:r>
        <w:rPr>
          <w:rFonts w:hint="eastAsia" w:ascii="仿宋" w:hAnsi="仿宋" w:eastAsia="仿宋" w:cs="仿宋"/>
          <w:color w:val="auto"/>
          <w:kern w:val="0"/>
          <w:sz w:val="22"/>
          <w:szCs w:val="22"/>
          <w:highlight w:val="none"/>
          <w:lang w:eastAsia="zh-CN"/>
        </w:rPr>
        <w:t>日</w:t>
      </w:r>
    </w:p>
    <w:p w14:paraId="21D12534">
      <w:pP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br w:type="page" w:clear="all"/>
      </w:r>
    </w:p>
    <w:p w14:paraId="25DE444F">
      <w:pPr>
        <w:spacing w:line="360" w:lineRule="auto"/>
        <w:jc w:val="both"/>
        <w:outlineLvl w:val="1"/>
        <w:rPr>
          <w:rFonts w:hint="eastAsia" w:ascii="仿宋" w:hAnsi="仿宋" w:eastAsia="仿宋" w:cs="仿宋"/>
          <w:b/>
          <w:color w:val="auto"/>
          <w:sz w:val="24"/>
          <w:szCs w:val="28"/>
          <w:highlight w:val="none"/>
        </w:rPr>
      </w:pPr>
      <w:bookmarkStart w:id="47" w:name="_Toc31514"/>
      <w:r>
        <w:rPr>
          <w:rFonts w:hint="eastAsia" w:ascii="仿宋" w:hAnsi="仿宋" w:eastAsia="仿宋" w:cs="仿宋"/>
          <w:b/>
          <w:color w:val="auto"/>
          <w:sz w:val="24"/>
          <w:szCs w:val="28"/>
          <w:highlight w:val="none"/>
        </w:rPr>
        <w:t>附件二、法定代表人授权委托书格式</w:t>
      </w:r>
      <w:bookmarkEnd w:id="47"/>
    </w:p>
    <w:p w14:paraId="62CF4564">
      <w:pPr>
        <w:spacing w:line="360" w:lineRule="auto"/>
        <w:ind w:left="12"/>
        <w:jc w:val="center"/>
        <w:rPr>
          <w:rFonts w:hint="eastAsia" w:ascii="仿宋" w:hAnsi="仿宋" w:eastAsia="仿宋" w:cs="仿宋"/>
          <w:color w:val="auto"/>
          <w:sz w:val="28"/>
          <w:szCs w:val="28"/>
          <w:highlight w:val="none"/>
        </w:rPr>
      </w:pPr>
      <w:r>
        <w:rPr>
          <w:rFonts w:hint="eastAsia" w:ascii="仿宋" w:hAnsi="仿宋" w:eastAsia="仿宋" w:cs="仿宋"/>
          <w:b/>
          <w:color w:val="auto"/>
          <w:sz w:val="24"/>
          <w:szCs w:val="28"/>
          <w:highlight w:val="none"/>
        </w:rPr>
        <w:t>法定代表人授权委托书</w:t>
      </w:r>
    </w:p>
    <w:p w14:paraId="31C1C1E5">
      <w:pPr>
        <w:spacing w:line="360" w:lineRule="auto"/>
        <w:jc w:val="both"/>
        <w:rPr>
          <w:rFonts w:hint="eastAsia" w:ascii="仿宋" w:hAnsi="仿宋" w:eastAsia="仿宋" w:cs="仿宋"/>
          <w:color w:val="auto"/>
          <w:sz w:val="16"/>
          <w:szCs w:val="28"/>
          <w:highlight w:val="none"/>
        </w:rPr>
      </w:pPr>
      <w:r>
        <w:rPr>
          <w:rFonts w:hint="eastAsia" w:ascii="仿宋" w:hAnsi="仿宋" w:eastAsia="仿宋" w:cs="仿宋"/>
          <w:b/>
          <w:color w:val="auto"/>
          <w:sz w:val="24"/>
          <w:szCs w:val="28"/>
          <w:highlight w:val="none"/>
          <w:lang w:eastAsia="zh-CN"/>
        </w:rPr>
        <w:t>南京市江宁区人民政府禄口街道办事处</w:t>
      </w:r>
      <w:r>
        <w:rPr>
          <w:rFonts w:hint="eastAsia" w:ascii="仿宋" w:hAnsi="仿宋" w:eastAsia="仿宋" w:cs="仿宋"/>
          <w:color w:val="auto"/>
          <w:sz w:val="24"/>
          <w:szCs w:val="28"/>
          <w:highlight w:val="none"/>
        </w:rPr>
        <w:t>：</w:t>
      </w:r>
    </w:p>
    <w:p w14:paraId="3168EF4B">
      <w:pPr>
        <w:spacing w:line="360" w:lineRule="auto"/>
        <w:rPr>
          <w:rFonts w:hint="eastAsia" w:ascii="仿宋" w:hAnsi="仿宋" w:eastAsia="仿宋" w:cs="仿宋"/>
          <w:color w:val="auto"/>
          <w:sz w:val="24"/>
          <w:szCs w:val="28"/>
          <w:highlight w:val="none"/>
        </w:rPr>
        <w:sectPr>
          <w:footerReference r:id="rId8" w:type="default"/>
          <w:pgSz w:w="11910" w:h="16840"/>
          <w:pgMar w:top="1701" w:right="1134" w:bottom="1701" w:left="1134" w:header="0" w:footer="992" w:gutter="0"/>
          <w:cols w:space="425" w:num="1"/>
          <w:docGrid w:linePitch="360" w:charSpace="0"/>
        </w:sectPr>
      </w:pPr>
    </w:p>
    <w:p w14:paraId="5E69B9C2">
      <w:pPr>
        <w:pStyle w:val="15"/>
        <w:tabs>
          <w:tab w:val="left" w:pos="3054"/>
          <w:tab w:val="left" w:pos="3579"/>
          <w:tab w:val="left" w:pos="4103"/>
        </w:tabs>
        <w:spacing w:line="360" w:lineRule="auto"/>
        <w:ind w:firstLine="501"/>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本授权书声明：注册于（投标人住址）的（投标人名称）法定代表人（法定代表人姓名、职务）   代表本公司授权在下面签字的（投标人代表姓名、职务）为本公司的合法代理人，就贵方组织的 </w:t>
      </w:r>
      <w:r>
        <w:rPr>
          <w:rFonts w:hint="eastAsia" w:ascii="仿宋" w:hAnsi="仿宋" w:eastAsia="仿宋" w:cs="仿宋"/>
          <w:color w:val="auto"/>
          <w:sz w:val="24"/>
          <w:szCs w:val="24"/>
          <w:highlight w:val="none"/>
          <w:lang w:val="en-US" w:eastAsia="zh-CN"/>
        </w:rPr>
        <w:t>禄口街道2026-2029年度压缩垃圾清运服务</w:t>
      </w:r>
      <w:r>
        <w:rPr>
          <w:rFonts w:hint="eastAsia" w:ascii="仿宋" w:hAnsi="仿宋" w:eastAsia="仿宋" w:cs="仿宋"/>
          <w:color w:val="auto"/>
          <w:sz w:val="24"/>
          <w:szCs w:val="24"/>
          <w:highlight w:val="none"/>
          <w:lang w:val="en-US"/>
        </w:rPr>
        <w:t xml:space="preserve"> （项目名称）</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rPr>
        <w:t>项目编号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lang w:val="en-US" w:eastAsia="zh-CN"/>
        </w:rPr>
        <w:t>JSZC-320115-NJRD-G2026-0008</w:t>
      </w:r>
      <w:r>
        <w:rPr>
          <w:rFonts w:hint="eastAsia" w:ascii="仿宋" w:hAnsi="仿宋" w:eastAsia="仿宋" w:cs="仿宋"/>
          <w:color w:val="auto"/>
          <w:sz w:val="24"/>
          <w:szCs w:val="24"/>
          <w:highlight w:val="none"/>
          <w:lang w:val="en-US"/>
        </w:rPr>
        <w:t>） 投标，以本公司名义处理一切与之有关的事务。</w:t>
      </w:r>
    </w:p>
    <w:p w14:paraId="181286E4">
      <w:pPr>
        <w:pStyle w:val="15"/>
        <w:tabs>
          <w:tab w:val="left" w:pos="3054"/>
          <w:tab w:val="left" w:pos="3579"/>
          <w:tab w:val="left" w:pos="4103"/>
        </w:tabs>
        <w:spacing w:line="360" w:lineRule="auto"/>
        <w:ind w:left="761" w:hanging="321"/>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本授权书于     年   月   日签字生效，特此声明。</w:t>
      </w:r>
    </w:p>
    <w:p w14:paraId="4EC1293B">
      <w:pPr>
        <w:pStyle w:val="15"/>
        <w:tabs>
          <w:tab w:val="left" w:pos="3054"/>
          <w:tab w:val="left" w:pos="3579"/>
          <w:tab w:val="left" w:pos="4103"/>
        </w:tabs>
        <w:spacing w:line="360" w:lineRule="auto"/>
        <w:ind w:left="761" w:hanging="321"/>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法定代表人签字并盖章：</w:t>
      </w:r>
    </w:p>
    <w:p w14:paraId="759A0F35">
      <w:pPr>
        <w:pStyle w:val="15"/>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授权委托人签字：</w:t>
      </w:r>
    </w:p>
    <w:p w14:paraId="29539E92">
      <w:pPr>
        <w:pStyle w:val="15"/>
        <w:tabs>
          <w:tab w:val="left" w:pos="3054"/>
          <w:tab w:val="left" w:pos="3579"/>
          <w:tab w:val="left" w:pos="4103"/>
        </w:tabs>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rPr>
        <w:t>法定代表人身份证复印件正、反面：          委托代理人身份证复印件正、反面：</w:t>
      </w:r>
    </w:p>
    <w:p w14:paraId="0FF051CD">
      <w:pPr>
        <w:pStyle w:val="15"/>
        <w:spacing w:line="360" w:lineRule="auto"/>
        <w:ind w:firstLine="480"/>
        <w:rPr>
          <w:rFonts w:hint="eastAsia" w:ascii="仿宋" w:hAnsi="仿宋" w:eastAsia="仿宋" w:cs="仿宋"/>
          <w:color w:val="auto"/>
          <w:sz w:val="24"/>
          <w:szCs w:val="24"/>
          <w:highlight w:val="none"/>
        </w:rPr>
      </w:pPr>
    </w:p>
    <w:p w14:paraId="7F255D9F">
      <w:pPr>
        <w:pStyle w:val="15"/>
        <w:tabs>
          <w:tab w:val="left" w:pos="2347"/>
          <w:tab w:val="left" w:pos="3607"/>
          <w:tab w:val="left" w:pos="4238"/>
          <w:tab w:val="left" w:pos="4867"/>
        </w:tabs>
        <w:spacing w:line="360" w:lineRule="auto"/>
        <w:ind w:left="1298"/>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日</w:t>
      </w:r>
    </w:p>
    <w:p w14:paraId="12A19F6C">
      <w:pPr>
        <w:pStyle w:val="15"/>
        <w:spacing w:line="360" w:lineRule="auto"/>
        <w:rPr>
          <w:rFonts w:hint="eastAsia" w:ascii="仿宋" w:hAnsi="仿宋" w:eastAsia="仿宋" w:cs="仿宋"/>
          <w:color w:val="auto"/>
          <w:sz w:val="22"/>
          <w:szCs w:val="24"/>
          <w:highlight w:val="none"/>
        </w:rPr>
      </w:pPr>
    </w:p>
    <w:p w14:paraId="014826B8">
      <w:pPr>
        <w:pStyle w:val="15"/>
        <w:spacing w:line="360" w:lineRule="auto"/>
        <w:rPr>
          <w:rFonts w:hint="eastAsia" w:ascii="仿宋" w:hAnsi="仿宋" w:eastAsia="仿宋" w:cs="仿宋"/>
          <w:color w:val="auto"/>
          <w:sz w:val="20"/>
          <w:szCs w:val="24"/>
          <w:highlight w:val="none"/>
        </w:rPr>
      </w:pPr>
    </w:p>
    <w:p w14:paraId="6EE43354">
      <w:pPr>
        <w:spacing w:line="360" w:lineRule="auto"/>
        <w:ind w:left="878"/>
        <w:rPr>
          <w:rFonts w:hint="eastAsia" w:ascii="仿宋" w:hAnsi="仿宋" w:eastAsia="仿宋" w:cs="仿宋"/>
          <w:b/>
          <w:color w:val="auto"/>
          <w:sz w:val="24"/>
          <w:szCs w:val="28"/>
          <w:highlight w:val="none"/>
        </w:rPr>
      </w:pPr>
      <w:bookmarkStart w:id="48" w:name="附件三、开标一览表"/>
      <w:bookmarkEnd w:id="48"/>
    </w:p>
    <w:p w14:paraId="19166B71">
      <w:pPr>
        <w:spacing w:line="360" w:lineRule="auto"/>
        <w:ind w:left="878"/>
        <w:rPr>
          <w:rFonts w:hint="eastAsia" w:ascii="仿宋" w:hAnsi="仿宋" w:eastAsia="仿宋" w:cs="仿宋"/>
          <w:b/>
          <w:color w:val="auto"/>
          <w:sz w:val="24"/>
          <w:szCs w:val="28"/>
          <w:highlight w:val="none"/>
        </w:rPr>
      </w:pPr>
    </w:p>
    <w:p w14:paraId="3E2A25E2">
      <w:pPr>
        <w:spacing w:line="360" w:lineRule="auto"/>
        <w:ind w:left="878"/>
        <w:rPr>
          <w:rFonts w:hint="eastAsia" w:ascii="仿宋" w:hAnsi="仿宋" w:eastAsia="仿宋" w:cs="仿宋"/>
          <w:b/>
          <w:color w:val="auto"/>
          <w:sz w:val="24"/>
          <w:szCs w:val="28"/>
          <w:highlight w:val="none"/>
        </w:rPr>
      </w:pPr>
    </w:p>
    <w:p w14:paraId="43CB502F">
      <w:pPr>
        <w:spacing w:line="360" w:lineRule="auto"/>
        <w:ind w:left="878"/>
        <w:rPr>
          <w:rFonts w:hint="eastAsia" w:ascii="仿宋" w:hAnsi="仿宋" w:eastAsia="仿宋" w:cs="仿宋"/>
          <w:b/>
          <w:color w:val="auto"/>
          <w:sz w:val="24"/>
          <w:szCs w:val="28"/>
          <w:highlight w:val="none"/>
        </w:rPr>
      </w:pPr>
    </w:p>
    <w:p w14:paraId="5D9C01CA">
      <w:pPr>
        <w:spacing w:line="360" w:lineRule="auto"/>
        <w:ind w:left="878"/>
        <w:rPr>
          <w:rFonts w:hint="eastAsia" w:ascii="仿宋" w:hAnsi="仿宋" w:eastAsia="仿宋" w:cs="仿宋"/>
          <w:b/>
          <w:color w:val="auto"/>
          <w:sz w:val="24"/>
          <w:szCs w:val="28"/>
          <w:highlight w:val="none"/>
        </w:rPr>
      </w:pPr>
    </w:p>
    <w:p w14:paraId="4609A107">
      <w:pPr>
        <w:spacing w:line="360" w:lineRule="auto"/>
        <w:ind w:left="878"/>
        <w:rPr>
          <w:rFonts w:hint="eastAsia" w:ascii="仿宋" w:hAnsi="仿宋" w:eastAsia="仿宋" w:cs="仿宋"/>
          <w:b/>
          <w:color w:val="auto"/>
          <w:sz w:val="24"/>
          <w:szCs w:val="28"/>
          <w:highlight w:val="none"/>
        </w:rPr>
      </w:pPr>
    </w:p>
    <w:p w14:paraId="26645B50">
      <w:pPr>
        <w:spacing w:line="360" w:lineRule="auto"/>
        <w:ind w:left="878"/>
        <w:rPr>
          <w:rFonts w:hint="eastAsia" w:ascii="仿宋" w:hAnsi="仿宋" w:eastAsia="仿宋" w:cs="仿宋"/>
          <w:b/>
          <w:color w:val="auto"/>
          <w:sz w:val="24"/>
          <w:szCs w:val="28"/>
          <w:highlight w:val="none"/>
        </w:rPr>
      </w:pPr>
    </w:p>
    <w:p w14:paraId="20A8E046">
      <w:pPr>
        <w:spacing w:line="360" w:lineRule="auto"/>
        <w:ind w:left="878"/>
        <w:rPr>
          <w:rFonts w:hint="eastAsia" w:ascii="仿宋" w:hAnsi="仿宋" w:eastAsia="仿宋" w:cs="仿宋"/>
          <w:b/>
          <w:color w:val="auto"/>
          <w:sz w:val="24"/>
          <w:szCs w:val="28"/>
          <w:highlight w:val="none"/>
        </w:rPr>
      </w:pPr>
    </w:p>
    <w:p w14:paraId="5C461D13">
      <w:pPr>
        <w:rPr>
          <w:rFonts w:hint="eastAsia" w:ascii="仿宋" w:hAnsi="仿宋" w:eastAsia="仿宋" w:cs="仿宋"/>
          <w:b/>
          <w:color w:val="auto"/>
          <w:sz w:val="24"/>
          <w:szCs w:val="28"/>
          <w:highlight w:val="none"/>
        </w:rPr>
      </w:pPr>
    </w:p>
    <w:p w14:paraId="73DD8095">
      <w:pPr>
        <w:spacing w:line="360" w:lineRule="auto"/>
        <w:outlineLvl w:val="1"/>
        <w:rPr>
          <w:rFonts w:hint="eastAsia" w:ascii="仿宋" w:hAnsi="仿宋" w:eastAsia="仿宋" w:cs="仿宋"/>
          <w:b/>
          <w:color w:val="auto"/>
          <w:sz w:val="24"/>
          <w:szCs w:val="28"/>
          <w:highlight w:val="none"/>
        </w:rPr>
      </w:pPr>
      <w:bookmarkStart w:id="49" w:name="_Toc9229"/>
      <w:r>
        <w:rPr>
          <w:rFonts w:hint="eastAsia" w:ascii="仿宋" w:hAnsi="仿宋" w:eastAsia="仿宋" w:cs="仿宋"/>
          <w:b/>
          <w:color w:val="auto"/>
          <w:sz w:val="24"/>
          <w:szCs w:val="28"/>
          <w:highlight w:val="none"/>
        </w:rPr>
        <w:t>附件三、开标一览表</w:t>
      </w:r>
      <w:bookmarkEnd w:id="49"/>
    </w:p>
    <w:p w14:paraId="39FFEC57">
      <w:pPr>
        <w:spacing w:line="360" w:lineRule="auto"/>
        <w:ind w:left="1183" w:right="1241"/>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开标一览表</w:t>
      </w:r>
    </w:p>
    <w:p w14:paraId="70231678">
      <w:pPr>
        <w:spacing w:line="360" w:lineRule="auto"/>
        <w:ind w:left="436" w:firstLine="3"/>
        <w:rPr>
          <w:rFonts w:hint="eastAsia" w:ascii="仿宋" w:hAnsi="仿宋" w:eastAsia="仿宋" w:cs="仿宋"/>
          <w:b/>
          <w:color w:val="auto"/>
          <w:sz w:val="13"/>
          <w:szCs w:val="24"/>
          <w:highlight w:val="none"/>
        </w:rPr>
      </w:pPr>
      <w:r>
        <w:rPr>
          <w:rFonts w:hint="eastAsia" w:ascii="仿宋" w:hAnsi="仿宋" w:eastAsia="仿宋" w:cs="仿宋"/>
          <w:b/>
          <w:color w:val="auto"/>
          <w:sz w:val="24"/>
          <w:szCs w:val="28"/>
          <w:highlight w:val="none"/>
        </w:rPr>
        <w:t>项目名称：</w:t>
      </w:r>
      <w:r>
        <w:rPr>
          <w:rFonts w:hint="eastAsia" w:ascii="仿宋" w:hAnsi="仿宋" w:eastAsia="仿宋" w:cs="仿宋"/>
          <w:b/>
          <w:color w:val="auto"/>
          <w:sz w:val="24"/>
          <w:szCs w:val="28"/>
          <w:highlight w:val="none"/>
          <w:u w:val="single"/>
          <w:lang w:eastAsia="zh-CN"/>
        </w:rPr>
        <w:t>禄口街道2026-2029年度压缩垃圾清运服务</w:t>
      </w:r>
      <w:r>
        <w:rPr>
          <w:rFonts w:hint="eastAsia" w:ascii="仿宋" w:hAnsi="仿宋" w:eastAsia="仿宋" w:cs="仿宋"/>
          <w:b/>
          <w:color w:val="auto"/>
          <w:sz w:val="24"/>
          <w:szCs w:val="28"/>
          <w:highlight w:val="none"/>
          <w:u w:val="single"/>
        </w:rPr>
        <w:t xml:space="preserve"> </w:t>
      </w:r>
    </w:p>
    <w:p w14:paraId="51FCA947">
      <w:pPr>
        <w:spacing w:line="360" w:lineRule="auto"/>
        <w:ind w:left="1192" w:hanging="752"/>
        <w:rPr>
          <w:rFonts w:hint="eastAsia" w:ascii="仿宋" w:hAnsi="仿宋" w:eastAsia="仿宋" w:cs="仿宋"/>
          <w:b/>
          <w:color w:val="auto"/>
          <w:sz w:val="24"/>
          <w:szCs w:val="28"/>
          <w:highlight w:val="none"/>
          <w:lang w:eastAsia="zh-CN"/>
        </w:rPr>
      </w:pPr>
      <w:r>
        <w:rPr>
          <w:rFonts w:hint="eastAsia" w:ascii="仿宋" w:hAnsi="仿宋" w:eastAsia="仿宋" w:cs="仿宋"/>
          <w:b/>
          <w:color w:val="auto"/>
          <w:sz w:val="24"/>
          <w:szCs w:val="28"/>
          <w:highlight w:val="none"/>
        </w:rPr>
        <w:t>项目编号：</w:t>
      </w:r>
      <w:r>
        <w:rPr>
          <w:rFonts w:hint="eastAsia" w:ascii="仿宋" w:hAnsi="仿宋" w:eastAsia="仿宋" w:cs="仿宋"/>
          <w:b/>
          <w:color w:val="auto"/>
          <w:sz w:val="24"/>
          <w:szCs w:val="28"/>
          <w:highlight w:val="none"/>
          <w:lang w:eastAsia="zh-CN"/>
        </w:rPr>
        <w:t>JSZC-320115-NJRD-G2026-0008</w:t>
      </w:r>
    </w:p>
    <w:tbl>
      <w:tblPr>
        <w:tblStyle w:val="39"/>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19"/>
        <w:gridCol w:w="7356"/>
      </w:tblGrid>
      <w:tr w14:paraId="60342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1819" w:type="dxa"/>
            <w:noWrap w:val="0"/>
          </w:tcPr>
          <w:p w14:paraId="40909534">
            <w:pPr>
              <w:pStyle w:val="201"/>
              <w:ind w:left="186" w:right="178"/>
              <w:jc w:val="center"/>
              <w:rPr>
                <w:rFonts w:hint="eastAsia" w:ascii="仿宋" w:hAnsi="仿宋" w:eastAsia="仿宋" w:cs="仿宋"/>
                <w:color w:val="auto"/>
                <w:sz w:val="24"/>
                <w:szCs w:val="28"/>
                <w:highlight w:val="none"/>
              </w:rPr>
            </w:pPr>
          </w:p>
          <w:p w14:paraId="12A9FC90">
            <w:pPr>
              <w:pStyle w:val="201"/>
              <w:ind w:left="186" w:right="178"/>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投标报价</w:t>
            </w:r>
          </w:p>
          <w:p w14:paraId="51EB8B79">
            <w:pPr>
              <w:pStyle w:val="201"/>
              <w:ind w:left="186" w:right="178"/>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r>
              <w:rPr>
                <w:rFonts w:hint="eastAsia" w:ascii="仿宋" w:hAnsi="仿宋" w:eastAsia="仿宋" w:cs="仿宋"/>
                <w:color w:val="auto"/>
                <w:sz w:val="24"/>
                <w:szCs w:val="28"/>
                <w:highlight w:val="none"/>
                <w:lang w:val="en-US"/>
              </w:rPr>
              <w:t>元</w:t>
            </w:r>
            <w:r>
              <w:rPr>
                <w:rFonts w:hint="eastAsia" w:ascii="仿宋" w:hAnsi="仿宋" w:eastAsia="仿宋" w:cs="仿宋"/>
                <w:color w:val="auto"/>
                <w:sz w:val="24"/>
                <w:szCs w:val="28"/>
                <w:highlight w:val="none"/>
              </w:rPr>
              <w:t>）</w:t>
            </w:r>
          </w:p>
        </w:tc>
        <w:tc>
          <w:tcPr>
            <w:tcW w:w="7356" w:type="dxa"/>
            <w:noWrap w:val="0"/>
          </w:tcPr>
          <w:p w14:paraId="498B163F">
            <w:pPr>
              <w:pStyle w:val="201"/>
              <w:ind w:left="186" w:right="178"/>
              <w:jc w:val="center"/>
              <w:rPr>
                <w:rFonts w:hint="eastAsia" w:ascii="仿宋" w:hAnsi="仿宋" w:eastAsia="仿宋" w:cs="仿宋"/>
                <w:color w:val="auto"/>
                <w:sz w:val="24"/>
                <w:szCs w:val="28"/>
                <w:highlight w:val="none"/>
              </w:rPr>
            </w:pPr>
          </w:p>
          <w:p w14:paraId="7BBE99F2">
            <w:pPr>
              <w:pStyle w:val="201"/>
              <w:keepNext w:val="0"/>
              <w:keepLines w:val="0"/>
              <w:pageBreakBefore w:val="0"/>
              <w:widowControl w:val="0"/>
              <w:tabs>
                <w:tab w:val="left" w:pos="1471"/>
                <w:tab w:val="left" w:pos="3151"/>
                <w:tab w:val="left" w:pos="4411"/>
              </w:tabs>
              <w:kinsoku/>
              <w:wordWrap/>
              <w:overflowPunct/>
              <w:topLinePunct w:val="0"/>
              <w:autoSpaceDE/>
              <w:autoSpaceDN/>
              <w:bidi w:val="0"/>
              <w:adjustRightInd/>
              <w:snapToGrid w:val="0"/>
              <w:spacing w:line="360" w:lineRule="auto"/>
              <w:jc w:val="both"/>
              <w:textAlignment w:val="auto"/>
              <w:rPr>
                <w:rFonts w:hint="default"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元/年</w:t>
            </w:r>
          </w:p>
          <w:p w14:paraId="2399E2C4">
            <w:pPr>
              <w:pStyle w:val="201"/>
              <w:ind w:right="178"/>
              <w:jc w:val="both"/>
              <w:rPr>
                <w:rFonts w:hint="eastAsia" w:ascii="仿宋" w:hAnsi="仿宋" w:eastAsia="仿宋" w:cs="仿宋"/>
                <w:color w:val="auto"/>
                <w:sz w:val="24"/>
                <w:szCs w:val="28"/>
                <w:highlight w:val="none"/>
                <w:lang w:val="en-US"/>
              </w:rPr>
            </w:pPr>
            <w:r>
              <w:rPr>
                <w:rFonts w:hint="eastAsia" w:ascii="仿宋" w:hAnsi="仿宋" w:eastAsia="仿宋" w:cs="仿宋"/>
                <w:color w:val="auto"/>
                <w:sz w:val="21"/>
                <w:szCs w:val="21"/>
                <w:highlight w:val="none"/>
                <w:lang w:val="en-US" w:eastAsia="zh-CN"/>
              </w:rPr>
              <w:t>小写：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元/年 </w:t>
            </w:r>
          </w:p>
        </w:tc>
      </w:tr>
      <w:tr w14:paraId="3F6D7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819" w:type="dxa"/>
            <w:noWrap w:val="0"/>
            <w:vAlign w:val="center"/>
          </w:tcPr>
          <w:p w14:paraId="6C9B8A0C">
            <w:pPr>
              <w:pStyle w:val="201"/>
              <w:ind w:left="186" w:right="176"/>
              <w:jc w:val="both"/>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投标人企业</w:t>
            </w:r>
          </w:p>
        </w:tc>
        <w:tc>
          <w:tcPr>
            <w:tcW w:w="7356" w:type="dxa"/>
            <w:noWrap w:val="0"/>
            <w:vAlign w:val="center"/>
          </w:tcPr>
          <w:p w14:paraId="1C2C3808">
            <w:pPr>
              <w:pStyle w:val="201"/>
              <w:tabs>
                <w:tab w:val="left" w:pos="3678"/>
                <w:tab w:val="left" w:pos="4621"/>
              </w:tabs>
              <w:ind w:left="107"/>
              <w:jc w:val="both"/>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投标人是否属于小微型企业</w:t>
            </w:r>
            <w:r>
              <w:rPr>
                <w:rFonts w:hint="eastAsia" w:ascii="仿宋" w:hAnsi="仿宋" w:eastAsia="仿宋" w:cs="仿宋"/>
                <w:color w:val="auto"/>
                <w:sz w:val="24"/>
                <w:szCs w:val="28"/>
                <w:highlight w:val="none"/>
                <w:lang w:val="en-US"/>
              </w:rPr>
              <w:t xml:space="preserve">  </w:t>
            </w:r>
            <w:r>
              <w:rPr>
                <w:rFonts w:ascii="Wingdings" w:hAnsi="Wingdings" w:eastAsia="Wingdings" w:cs="Wingdings"/>
                <w:color w:val="auto"/>
                <w:sz w:val="24"/>
                <w:szCs w:val="28"/>
                <w:highlight w:val="none"/>
              </w:rPr>
              <w:t>¨</w:t>
            </w:r>
            <w:r>
              <w:rPr>
                <w:rFonts w:hint="eastAsia" w:ascii="仿宋" w:hAnsi="仿宋" w:eastAsia="仿宋" w:cs="仿宋"/>
                <w:color w:val="auto"/>
                <w:sz w:val="24"/>
                <w:szCs w:val="28"/>
                <w:highlight w:val="none"/>
              </w:rPr>
              <w:t>是</w:t>
            </w:r>
            <w:r>
              <w:rPr>
                <w:rFonts w:hint="eastAsia" w:ascii="仿宋" w:hAnsi="仿宋" w:eastAsia="仿宋" w:cs="仿宋"/>
                <w:color w:val="auto"/>
                <w:sz w:val="24"/>
                <w:szCs w:val="28"/>
                <w:highlight w:val="none"/>
              </w:rPr>
              <w:tab/>
            </w:r>
            <w:r>
              <w:rPr>
                <w:rFonts w:ascii="Wingdings" w:hAnsi="Wingdings" w:eastAsia="Wingdings" w:cs="Wingdings"/>
                <w:color w:val="auto"/>
                <w:sz w:val="24"/>
                <w:szCs w:val="28"/>
                <w:highlight w:val="none"/>
              </w:rPr>
              <w:t>¨</w:t>
            </w:r>
            <w:r>
              <w:rPr>
                <w:rFonts w:hint="eastAsia" w:ascii="仿宋" w:hAnsi="仿宋" w:eastAsia="仿宋" w:cs="仿宋"/>
                <w:color w:val="auto"/>
                <w:sz w:val="24"/>
                <w:szCs w:val="28"/>
                <w:highlight w:val="none"/>
              </w:rPr>
              <w:t>否</w:t>
            </w:r>
          </w:p>
        </w:tc>
      </w:tr>
      <w:tr w14:paraId="6673B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819" w:type="dxa"/>
            <w:noWrap w:val="0"/>
            <w:vAlign w:val="center"/>
          </w:tcPr>
          <w:p w14:paraId="0BA3C308">
            <w:pPr>
              <w:pStyle w:val="201"/>
              <w:ind w:left="186" w:right="176"/>
              <w:jc w:val="both"/>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投标人企业</w:t>
            </w:r>
          </w:p>
        </w:tc>
        <w:tc>
          <w:tcPr>
            <w:tcW w:w="7356" w:type="dxa"/>
            <w:noWrap w:val="0"/>
            <w:vAlign w:val="center"/>
          </w:tcPr>
          <w:p w14:paraId="67154C28">
            <w:pPr>
              <w:pStyle w:val="201"/>
              <w:tabs>
                <w:tab w:val="left" w:pos="3678"/>
                <w:tab w:val="left" w:pos="4621"/>
              </w:tabs>
              <w:ind w:left="107"/>
              <w:jc w:val="both"/>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投标人是残疾人福利性单位</w:t>
            </w:r>
            <w:r>
              <w:rPr>
                <w:rFonts w:hint="eastAsia" w:ascii="仿宋" w:hAnsi="仿宋" w:eastAsia="仿宋" w:cs="仿宋"/>
                <w:color w:val="auto"/>
                <w:sz w:val="24"/>
                <w:szCs w:val="28"/>
                <w:highlight w:val="none"/>
                <w:lang w:val="en-US"/>
              </w:rPr>
              <w:t xml:space="preserve">  </w:t>
            </w:r>
            <w:r>
              <w:rPr>
                <w:rFonts w:ascii="Wingdings" w:hAnsi="Wingdings" w:eastAsia="Wingdings" w:cs="Wingdings"/>
                <w:color w:val="auto"/>
                <w:sz w:val="24"/>
                <w:szCs w:val="28"/>
                <w:highlight w:val="none"/>
              </w:rPr>
              <w:t>¨</w:t>
            </w:r>
            <w:r>
              <w:rPr>
                <w:rFonts w:hint="eastAsia" w:ascii="仿宋" w:hAnsi="仿宋" w:eastAsia="仿宋" w:cs="仿宋"/>
                <w:color w:val="auto"/>
                <w:sz w:val="24"/>
                <w:szCs w:val="28"/>
                <w:highlight w:val="none"/>
              </w:rPr>
              <w:t>是</w:t>
            </w:r>
            <w:r>
              <w:rPr>
                <w:rFonts w:hint="eastAsia" w:ascii="仿宋" w:hAnsi="仿宋" w:eastAsia="仿宋" w:cs="仿宋"/>
                <w:color w:val="auto"/>
                <w:sz w:val="24"/>
                <w:szCs w:val="28"/>
                <w:highlight w:val="none"/>
              </w:rPr>
              <w:tab/>
            </w:r>
            <w:r>
              <w:rPr>
                <w:rFonts w:ascii="Wingdings" w:hAnsi="Wingdings" w:eastAsia="Wingdings" w:cs="Wingdings"/>
                <w:color w:val="auto"/>
                <w:sz w:val="24"/>
                <w:szCs w:val="28"/>
                <w:highlight w:val="none"/>
              </w:rPr>
              <w:t>¨</w:t>
            </w:r>
            <w:r>
              <w:rPr>
                <w:rFonts w:hint="eastAsia" w:ascii="仿宋" w:hAnsi="仿宋" w:eastAsia="仿宋" w:cs="仿宋"/>
                <w:color w:val="auto"/>
                <w:sz w:val="24"/>
                <w:szCs w:val="28"/>
                <w:highlight w:val="none"/>
              </w:rPr>
              <w:t>否</w:t>
            </w:r>
          </w:p>
        </w:tc>
      </w:tr>
      <w:tr w14:paraId="0B533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819" w:type="dxa"/>
            <w:noWrap w:val="0"/>
            <w:vAlign w:val="center"/>
          </w:tcPr>
          <w:p w14:paraId="62C7A93E">
            <w:pPr>
              <w:pStyle w:val="201"/>
              <w:ind w:left="186" w:right="176"/>
              <w:jc w:val="both"/>
              <w:rPr>
                <w:rFonts w:hint="eastAsia" w:ascii="仿宋" w:hAnsi="仿宋" w:eastAsia="仿宋" w:cs="仿宋"/>
                <w:color w:val="auto"/>
                <w:sz w:val="24"/>
                <w:szCs w:val="28"/>
                <w:highlight w:val="none"/>
                <w:lang w:val="en-US"/>
              </w:rPr>
            </w:pPr>
            <w:r>
              <w:rPr>
                <w:rFonts w:hint="eastAsia" w:ascii="仿宋" w:hAnsi="仿宋" w:eastAsia="仿宋" w:cs="仿宋"/>
                <w:color w:val="auto"/>
                <w:sz w:val="24"/>
                <w:szCs w:val="28"/>
                <w:highlight w:val="none"/>
                <w:lang w:val="en-US"/>
              </w:rPr>
              <w:t>服务周期</w:t>
            </w:r>
          </w:p>
        </w:tc>
        <w:tc>
          <w:tcPr>
            <w:tcW w:w="7356" w:type="dxa"/>
            <w:noWrap w:val="0"/>
            <w:vAlign w:val="center"/>
          </w:tcPr>
          <w:p w14:paraId="53280548">
            <w:pPr>
              <w:pStyle w:val="201"/>
              <w:tabs>
                <w:tab w:val="left" w:pos="3678"/>
                <w:tab w:val="left" w:pos="4621"/>
              </w:tabs>
              <w:ind w:left="107"/>
              <w:jc w:val="both"/>
              <w:rPr>
                <w:rFonts w:hint="eastAsia" w:ascii="仿宋" w:hAnsi="仿宋" w:eastAsia="仿宋" w:cs="仿宋"/>
                <w:color w:val="auto"/>
                <w:sz w:val="24"/>
                <w:szCs w:val="28"/>
                <w:highlight w:val="none"/>
              </w:rPr>
            </w:pPr>
          </w:p>
        </w:tc>
      </w:tr>
      <w:tr w14:paraId="5472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819" w:type="dxa"/>
            <w:noWrap w:val="0"/>
            <w:vAlign w:val="center"/>
          </w:tcPr>
          <w:p w14:paraId="3813B60B">
            <w:pPr>
              <w:pStyle w:val="201"/>
              <w:ind w:left="186" w:right="176"/>
              <w:jc w:val="both"/>
              <w:rPr>
                <w:rFonts w:hint="eastAsia" w:ascii="仿宋" w:hAnsi="仿宋" w:eastAsia="仿宋" w:cs="仿宋"/>
                <w:color w:val="auto"/>
                <w:sz w:val="24"/>
                <w:szCs w:val="28"/>
                <w:highlight w:val="none"/>
                <w:lang w:val="en-US"/>
              </w:rPr>
            </w:pPr>
            <w:r>
              <w:rPr>
                <w:rFonts w:hint="eastAsia" w:ascii="仿宋" w:hAnsi="仿宋" w:eastAsia="仿宋" w:cs="仿宋"/>
                <w:color w:val="auto"/>
                <w:sz w:val="24"/>
                <w:szCs w:val="28"/>
                <w:highlight w:val="none"/>
                <w:lang w:val="en-US"/>
              </w:rPr>
              <w:t>本项目负责人</w:t>
            </w:r>
          </w:p>
        </w:tc>
        <w:tc>
          <w:tcPr>
            <w:tcW w:w="7356" w:type="dxa"/>
            <w:noWrap w:val="0"/>
            <w:vAlign w:val="center"/>
          </w:tcPr>
          <w:p w14:paraId="16314B59">
            <w:pPr>
              <w:pStyle w:val="201"/>
              <w:tabs>
                <w:tab w:val="left" w:pos="3678"/>
                <w:tab w:val="left" w:pos="4621"/>
              </w:tabs>
              <w:ind w:left="107"/>
              <w:jc w:val="both"/>
              <w:rPr>
                <w:rFonts w:hint="eastAsia" w:ascii="仿宋" w:hAnsi="仿宋" w:eastAsia="仿宋" w:cs="仿宋"/>
                <w:color w:val="auto"/>
                <w:sz w:val="24"/>
                <w:szCs w:val="28"/>
                <w:highlight w:val="none"/>
              </w:rPr>
            </w:pPr>
          </w:p>
        </w:tc>
      </w:tr>
      <w:tr w14:paraId="69A34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819" w:type="dxa"/>
            <w:noWrap w:val="0"/>
            <w:vAlign w:val="center"/>
          </w:tcPr>
          <w:p w14:paraId="5D68C3B9">
            <w:pPr>
              <w:pStyle w:val="201"/>
              <w:ind w:left="186" w:right="178"/>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eastAsia="zh-CN"/>
              </w:rPr>
              <w:t>其他</w:t>
            </w:r>
          </w:p>
        </w:tc>
        <w:tc>
          <w:tcPr>
            <w:tcW w:w="7356" w:type="dxa"/>
            <w:noWrap w:val="0"/>
            <w:vAlign w:val="center"/>
          </w:tcPr>
          <w:p w14:paraId="19AEBEF1">
            <w:pPr>
              <w:pStyle w:val="201"/>
              <w:ind w:left="1713"/>
              <w:jc w:val="both"/>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（如有优惠条件须在此注明）</w:t>
            </w:r>
          </w:p>
        </w:tc>
      </w:tr>
    </w:tbl>
    <w:p w14:paraId="33857B5D">
      <w:pPr>
        <w:pStyle w:val="15"/>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（盖章）</w:t>
      </w:r>
    </w:p>
    <w:p w14:paraId="363A4067">
      <w:pPr>
        <w:pStyle w:val="15"/>
        <w:tabs>
          <w:tab w:val="left" w:pos="1927"/>
          <w:tab w:val="left" w:pos="2558"/>
          <w:tab w:val="left" w:pos="3187"/>
        </w:tabs>
        <w:spacing w:line="360" w:lineRule="auto"/>
        <w:ind w:right="4930"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法定代表人或授权代表：（签字或盖章）</w:t>
      </w:r>
    </w:p>
    <w:p w14:paraId="440B9BBE">
      <w:pPr>
        <w:pStyle w:val="15"/>
        <w:tabs>
          <w:tab w:val="left" w:pos="1927"/>
          <w:tab w:val="left" w:pos="2558"/>
          <w:tab w:val="left" w:pos="3187"/>
        </w:tabs>
        <w:spacing w:line="360" w:lineRule="auto"/>
        <w:ind w:left="878" w:right="493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日</w:t>
      </w:r>
    </w:p>
    <w:p w14:paraId="10AAE8FF">
      <w:pPr>
        <w:pStyle w:val="15"/>
        <w:spacing w:line="360" w:lineRule="auto"/>
        <w:ind w:left="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68604B79">
      <w:pPr>
        <w:pStyle w:val="15"/>
        <w:spacing w:line="360" w:lineRule="auto"/>
        <w:ind w:left="129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1.在“投标人是否属于中、小和微型企业”栏后“是”或“否”上打“√”。</w:t>
      </w:r>
    </w:p>
    <w:p w14:paraId="36E7D859">
      <w:pPr>
        <w:pStyle w:val="15"/>
        <w:spacing w:line="360" w:lineRule="auto"/>
        <w:ind w:left="1298"/>
        <w:rPr>
          <w:rFonts w:hint="default" w:ascii="仿宋" w:hAnsi="仿宋" w:eastAsia="仿宋" w:cs="仿宋"/>
          <w:color w:val="auto"/>
          <w:sz w:val="24"/>
          <w:szCs w:val="24"/>
          <w:highlight w:val="none"/>
          <w:lang w:val="en-US" w:eastAsia="zh-CN"/>
        </w:rPr>
        <w:sectPr>
          <w:type w:val="continuous"/>
          <w:pgSz w:w="11910" w:h="16840"/>
          <w:pgMar w:top="1338" w:right="850" w:bottom="1179" w:left="1290" w:header="0" w:footer="992" w:gutter="0"/>
          <w:cols w:space="425" w:num="1"/>
          <w:docGrid w:linePitch="360" w:charSpace="0"/>
        </w:sectPr>
      </w:pPr>
      <w:r>
        <w:rPr>
          <w:rFonts w:hint="eastAsia" w:ascii="仿宋" w:hAnsi="仿宋" w:eastAsia="仿宋" w:cs="仿宋"/>
          <w:color w:val="auto"/>
          <w:sz w:val="24"/>
          <w:szCs w:val="24"/>
          <w:highlight w:val="none"/>
          <w:lang w:val="en-US" w:eastAsia="zh-CN"/>
        </w:rPr>
        <w:t>2.如勾选了，但未提供声明函，不享受价格扣除优惠。</w:t>
      </w:r>
    </w:p>
    <w:p w14:paraId="3A324A7D">
      <w:pPr>
        <w:spacing w:line="360" w:lineRule="auto"/>
        <w:ind w:left="1007" w:hanging="1007"/>
        <w:outlineLvl w:val="1"/>
        <w:rPr>
          <w:rFonts w:hint="eastAsia" w:ascii="仿宋" w:hAnsi="仿宋" w:eastAsia="仿宋" w:cs="仿宋"/>
          <w:b/>
          <w:color w:val="auto"/>
          <w:sz w:val="24"/>
          <w:szCs w:val="28"/>
          <w:highlight w:val="none"/>
        </w:rPr>
      </w:pPr>
      <w:bookmarkStart w:id="50" w:name="附件四、报价明细表"/>
      <w:bookmarkEnd w:id="50"/>
      <w:bookmarkStart w:id="51" w:name="附件五、项目实施方案和质量保证体系（格式自拟）"/>
      <w:bookmarkEnd w:id="51"/>
      <w:bookmarkStart w:id="52" w:name="_Toc32556"/>
      <w:r>
        <w:rPr>
          <w:rFonts w:hint="eastAsia" w:ascii="仿宋" w:hAnsi="仿宋" w:eastAsia="仿宋" w:cs="仿宋"/>
          <w:b/>
          <w:color w:val="auto"/>
          <w:sz w:val="24"/>
          <w:szCs w:val="28"/>
          <w:highlight w:val="none"/>
        </w:rPr>
        <w:t>附件四、</w:t>
      </w:r>
      <w:bookmarkEnd w:id="52"/>
      <w:r>
        <w:rPr>
          <w:rFonts w:hint="eastAsia" w:ascii="仿宋" w:hAnsi="仿宋" w:eastAsia="仿宋" w:cs="仿宋"/>
          <w:b/>
          <w:color w:val="auto"/>
          <w:sz w:val="24"/>
          <w:szCs w:val="28"/>
          <w:highlight w:val="none"/>
        </w:rPr>
        <w:t>投标分项报价</w:t>
      </w:r>
      <w:r>
        <w:rPr>
          <w:rFonts w:hint="eastAsia" w:ascii="仿宋" w:hAnsi="仿宋" w:eastAsia="仿宋" w:cs="仿宋"/>
          <w:b/>
          <w:color w:val="auto"/>
          <w:sz w:val="24"/>
          <w:szCs w:val="28"/>
          <w:highlight w:val="none"/>
          <w:lang w:val="en-US" w:eastAsia="zh-CN"/>
        </w:rPr>
        <w:t>表</w:t>
      </w:r>
    </w:p>
    <w:p w14:paraId="6357EBB6">
      <w:pPr>
        <w:spacing w:line="360" w:lineRule="auto"/>
        <w:ind w:left="1106" w:right="1241"/>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投标分项报价</w:t>
      </w:r>
      <w:r>
        <w:rPr>
          <w:rFonts w:hint="eastAsia" w:ascii="仿宋" w:hAnsi="仿宋" w:eastAsia="仿宋" w:cs="仿宋"/>
          <w:b/>
          <w:color w:val="auto"/>
          <w:sz w:val="24"/>
          <w:szCs w:val="28"/>
          <w:highlight w:val="none"/>
          <w:lang w:val="en-US" w:eastAsia="zh-CN"/>
        </w:rPr>
        <w:t>表</w:t>
      </w:r>
    </w:p>
    <w:tbl>
      <w:tblPr>
        <w:tblStyle w:val="39"/>
        <w:tblW w:w="10576" w:type="dxa"/>
        <w:tblInd w:w="-2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6"/>
        <w:gridCol w:w="745"/>
        <w:gridCol w:w="4386"/>
        <w:gridCol w:w="1033"/>
        <w:gridCol w:w="819"/>
        <w:gridCol w:w="891"/>
        <w:gridCol w:w="896"/>
        <w:gridCol w:w="1090"/>
      </w:tblGrid>
      <w:tr w14:paraId="7283B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3928">
            <w:pPr>
              <w:keepNext w:val="0"/>
              <w:keepLines w:val="0"/>
              <w:widowControl/>
              <w:suppressLineNumbers w:val="0"/>
              <w:jc w:val="center"/>
              <w:textAlignment w:val="center"/>
              <w:rPr>
                <w:rFonts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序号</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34ED2">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服务名称</w:t>
            </w:r>
          </w:p>
        </w:tc>
        <w:tc>
          <w:tcPr>
            <w:tcW w:w="4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1678">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服务要求</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66F4">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数量</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2020">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单位</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015B">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单价（元/吨）</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1EBA">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服务天数</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55D2">
            <w:pPr>
              <w:keepNext w:val="0"/>
              <w:keepLines w:val="0"/>
              <w:widowControl/>
              <w:suppressLineNumbers w:val="0"/>
              <w:jc w:val="center"/>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合价（万元）</w:t>
            </w:r>
          </w:p>
        </w:tc>
      </w:tr>
      <w:tr w14:paraId="16437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06B758">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B05C57">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垃圾清运</w:t>
            </w:r>
          </w:p>
        </w:tc>
        <w:tc>
          <w:tcPr>
            <w:tcW w:w="43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E2F70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1.每日完成生活垃圾的清运工作，从禄口、铜山垃圾中转站运送至光大环保能源（南京）有限公司处理，运距分别为38公里、47公里。</w:t>
            </w:r>
          </w:p>
        </w:tc>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5CC310">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169</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AF619B">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吨/天</w:t>
            </w:r>
          </w:p>
        </w:tc>
        <w:tc>
          <w:tcPr>
            <w:tcW w:w="8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8A1238">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p>
        </w:tc>
        <w:tc>
          <w:tcPr>
            <w:tcW w:w="8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B39B72">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365</w:t>
            </w:r>
          </w:p>
        </w:tc>
        <w:tc>
          <w:tcPr>
            <w:tcW w:w="10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98A569">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p>
        </w:tc>
      </w:tr>
      <w:tr w14:paraId="69180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1887C">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3B9CB">
            <w:pPr>
              <w:jc w:val="center"/>
              <w:rPr>
                <w:rFonts w:hint="eastAsia" w:ascii="仿宋" w:hAnsi="仿宋" w:eastAsia="仿宋" w:cs="仿宋"/>
                <w:i w:val="0"/>
                <w:iCs w:val="0"/>
                <w:color w:val="auto"/>
                <w:sz w:val="22"/>
                <w:szCs w:val="22"/>
                <w:highlight w:val="none"/>
                <w:u w:val="none"/>
              </w:rPr>
            </w:pPr>
          </w:p>
        </w:tc>
        <w:tc>
          <w:tcPr>
            <w:tcW w:w="43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EF2C8">
            <w:pPr>
              <w:rPr>
                <w:rFonts w:hint="eastAsia" w:ascii="仿宋" w:hAnsi="仿宋" w:eastAsia="仿宋" w:cs="仿宋"/>
                <w:i w:val="0"/>
                <w:iCs w:val="0"/>
                <w:color w:val="auto"/>
                <w:sz w:val="22"/>
                <w:szCs w:val="22"/>
                <w:highlight w:val="none"/>
                <w:u w:val="none"/>
              </w:rPr>
            </w:pP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16B15">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320CE">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F437A">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A4E84">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AB4C1">
            <w:pPr>
              <w:jc w:val="center"/>
              <w:rPr>
                <w:rFonts w:hint="eastAsia" w:ascii="仿宋" w:hAnsi="仿宋" w:eastAsia="仿宋" w:cs="仿宋"/>
                <w:i w:val="0"/>
                <w:iCs w:val="0"/>
                <w:color w:val="auto"/>
                <w:sz w:val="22"/>
                <w:szCs w:val="22"/>
                <w:highlight w:val="none"/>
                <w:u w:val="none"/>
              </w:rPr>
            </w:pPr>
          </w:p>
        </w:tc>
      </w:tr>
      <w:tr w14:paraId="7E556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31247">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097BC">
            <w:pPr>
              <w:jc w:val="center"/>
              <w:rPr>
                <w:rFonts w:hint="eastAsia" w:ascii="仿宋" w:hAnsi="仿宋" w:eastAsia="仿宋" w:cs="仿宋"/>
                <w:i w:val="0"/>
                <w:iCs w:val="0"/>
                <w:color w:val="auto"/>
                <w:sz w:val="22"/>
                <w:szCs w:val="22"/>
                <w:highlight w:val="none"/>
                <w:u w:val="none"/>
              </w:rPr>
            </w:pPr>
          </w:p>
        </w:tc>
        <w:tc>
          <w:tcPr>
            <w:tcW w:w="43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7DC6F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2.做到垃圾日产日清，委托清运的垃圾必须运送至指定地点进行规范处理，不得未经处理随意倾倒。</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FEA9C">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64FC2">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D9539">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09A94">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5E041">
            <w:pPr>
              <w:jc w:val="center"/>
              <w:rPr>
                <w:rFonts w:hint="eastAsia" w:ascii="仿宋" w:hAnsi="仿宋" w:eastAsia="仿宋" w:cs="仿宋"/>
                <w:i w:val="0"/>
                <w:iCs w:val="0"/>
                <w:color w:val="auto"/>
                <w:sz w:val="22"/>
                <w:szCs w:val="22"/>
                <w:highlight w:val="none"/>
                <w:u w:val="none"/>
              </w:rPr>
            </w:pPr>
          </w:p>
        </w:tc>
      </w:tr>
      <w:tr w14:paraId="716D3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9C609">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9FF25">
            <w:pPr>
              <w:jc w:val="center"/>
              <w:rPr>
                <w:rFonts w:hint="eastAsia" w:ascii="仿宋" w:hAnsi="仿宋" w:eastAsia="仿宋" w:cs="仿宋"/>
                <w:i w:val="0"/>
                <w:iCs w:val="0"/>
                <w:color w:val="auto"/>
                <w:sz w:val="22"/>
                <w:szCs w:val="22"/>
                <w:highlight w:val="none"/>
                <w:u w:val="none"/>
              </w:rPr>
            </w:pPr>
          </w:p>
        </w:tc>
        <w:tc>
          <w:tcPr>
            <w:tcW w:w="43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96DB9">
            <w:pPr>
              <w:rPr>
                <w:rFonts w:hint="eastAsia" w:ascii="仿宋" w:hAnsi="仿宋" w:eastAsia="仿宋" w:cs="仿宋"/>
                <w:i w:val="0"/>
                <w:iCs w:val="0"/>
                <w:color w:val="auto"/>
                <w:sz w:val="22"/>
                <w:szCs w:val="22"/>
                <w:highlight w:val="none"/>
                <w:u w:val="none"/>
              </w:rPr>
            </w:pP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D6471">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111C9">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D91B0">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E9DD8">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6A030">
            <w:pPr>
              <w:jc w:val="center"/>
              <w:rPr>
                <w:rFonts w:hint="eastAsia" w:ascii="仿宋" w:hAnsi="仿宋" w:eastAsia="仿宋" w:cs="仿宋"/>
                <w:i w:val="0"/>
                <w:iCs w:val="0"/>
                <w:color w:val="auto"/>
                <w:sz w:val="22"/>
                <w:szCs w:val="22"/>
                <w:highlight w:val="none"/>
                <w:u w:val="none"/>
              </w:rPr>
            </w:pPr>
          </w:p>
        </w:tc>
      </w:tr>
      <w:tr w14:paraId="014F0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A72DD">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A2CDE">
            <w:pPr>
              <w:jc w:val="center"/>
              <w:rPr>
                <w:rFonts w:hint="eastAsia" w:ascii="仿宋" w:hAnsi="仿宋" w:eastAsia="仿宋" w:cs="仿宋"/>
                <w:i w:val="0"/>
                <w:iCs w:val="0"/>
                <w:color w:val="auto"/>
                <w:sz w:val="22"/>
                <w:szCs w:val="22"/>
                <w:highlight w:val="none"/>
                <w:u w:val="none"/>
              </w:rPr>
            </w:pPr>
          </w:p>
        </w:tc>
        <w:tc>
          <w:tcPr>
            <w:tcW w:w="43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A72BF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3.清运过程中应采取有效措施保持箱体密闭，防止在运输途中抛洒滴漏，若发生抛洒滴漏现象，须及时将现场清理干净。</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18126">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2B1CC">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1F15B">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5533E">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4F53D">
            <w:pPr>
              <w:jc w:val="center"/>
              <w:rPr>
                <w:rFonts w:hint="eastAsia" w:ascii="仿宋" w:hAnsi="仿宋" w:eastAsia="仿宋" w:cs="仿宋"/>
                <w:i w:val="0"/>
                <w:iCs w:val="0"/>
                <w:color w:val="auto"/>
                <w:sz w:val="22"/>
                <w:szCs w:val="22"/>
                <w:highlight w:val="none"/>
                <w:u w:val="none"/>
              </w:rPr>
            </w:pPr>
          </w:p>
        </w:tc>
      </w:tr>
      <w:tr w14:paraId="2C519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3"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2BD42">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7886E">
            <w:pPr>
              <w:jc w:val="center"/>
              <w:rPr>
                <w:rFonts w:hint="eastAsia" w:ascii="仿宋" w:hAnsi="仿宋" w:eastAsia="仿宋" w:cs="仿宋"/>
                <w:i w:val="0"/>
                <w:iCs w:val="0"/>
                <w:color w:val="auto"/>
                <w:sz w:val="22"/>
                <w:szCs w:val="22"/>
                <w:highlight w:val="none"/>
                <w:u w:val="none"/>
              </w:rPr>
            </w:pPr>
          </w:p>
        </w:tc>
        <w:tc>
          <w:tcPr>
            <w:tcW w:w="43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683D2">
            <w:pPr>
              <w:rPr>
                <w:rFonts w:hint="eastAsia" w:ascii="仿宋" w:hAnsi="仿宋" w:eastAsia="仿宋" w:cs="仿宋"/>
                <w:i w:val="0"/>
                <w:iCs w:val="0"/>
                <w:color w:val="auto"/>
                <w:sz w:val="22"/>
                <w:szCs w:val="22"/>
                <w:highlight w:val="none"/>
                <w:u w:val="none"/>
              </w:rPr>
            </w:pP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B0744">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2F61D">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6DB29">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9D916">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7966D">
            <w:pPr>
              <w:jc w:val="center"/>
              <w:rPr>
                <w:rFonts w:hint="eastAsia" w:ascii="仿宋" w:hAnsi="仿宋" w:eastAsia="仿宋" w:cs="仿宋"/>
                <w:i w:val="0"/>
                <w:iCs w:val="0"/>
                <w:color w:val="auto"/>
                <w:sz w:val="22"/>
                <w:szCs w:val="22"/>
                <w:highlight w:val="none"/>
                <w:u w:val="none"/>
              </w:rPr>
            </w:pPr>
          </w:p>
        </w:tc>
      </w:tr>
      <w:tr w14:paraId="003E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1"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C8FB0">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F0118">
            <w:pPr>
              <w:jc w:val="center"/>
              <w:rPr>
                <w:rFonts w:hint="eastAsia" w:ascii="仿宋" w:hAnsi="仿宋" w:eastAsia="仿宋" w:cs="仿宋"/>
                <w:i w:val="0"/>
                <w:iCs w:val="0"/>
                <w:color w:val="auto"/>
                <w:sz w:val="22"/>
                <w:szCs w:val="22"/>
                <w:highlight w:val="none"/>
                <w:u w:val="none"/>
              </w:rPr>
            </w:pPr>
          </w:p>
        </w:tc>
        <w:tc>
          <w:tcPr>
            <w:tcW w:w="43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92B442">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配备相关服务人员，实行两班倒工作制，24小时待命。工作期间严禁饮酒驾驶、疲劳驾驶（服用类似感冒药等助眠药物的严禁上车操作），不得驾车时玩手机，抽烟，开斗气车等危险驾驶行为。遵守《中华人民共和国道路交通安全法》，环卫作业特殊条款（如作业车辆限速、警示标志设置要求等），规范车辆设备操作，做好车辆年检、维修保养。</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348D2">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77F24">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C9589">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049AC">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3C0E4">
            <w:pPr>
              <w:jc w:val="center"/>
              <w:rPr>
                <w:rFonts w:hint="eastAsia" w:ascii="仿宋" w:hAnsi="仿宋" w:eastAsia="仿宋" w:cs="仿宋"/>
                <w:i w:val="0"/>
                <w:iCs w:val="0"/>
                <w:color w:val="auto"/>
                <w:sz w:val="22"/>
                <w:szCs w:val="22"/>
                <w:highlight w:val="none"/>
                <w:u w:val="none"/>
              </w:rPr>
            </w:pPr>
          </w:p>
        </w:tc>
      </w:tr>
      <w:tr w14:paraId="63A44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8"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B0692">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10EF7">
            <w:pPr>
              <w:jc w:val="center"/>
              <w:rPr>
                <w:rFonts w:hint="eastAsia" w:ascii="仿宋" w:hAnsi="仿宋" w:eastAsia="仿宋" w:cs="仿宋"/>
                <w:i w:val="0"/>
                <w:iCs w:val="0"/>
                <w:color w:val="auto"/>
                <w:sz w:val="22"/>
                <w:szCs w:val="22"/>
                <w:highlight w:val="none"/>
                <w:u w:val="none"/>
              </w:rPr>
            </w:pPr>
          </w:p>
        </w:tc>
        <w:tc>
          <w:tcPr>
            <w:tcW w:w="43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DBF61">
            <w:pPr>
              <w:rPr>
                <w:rFonts w:hint="eastAsia" w:ascii="仿宋" w:hAnsi="仿宋" w:eastAsia="仿宋" w:cs="仿宋"/>
                <w:i w:val="0"/>
                <w:iCs w:val="0"/>
                <w:color w:val="auto"/>
                <w:sz w:val="22"/>
                <w:szCs w:val="22"/>
                <w:highlight w:val="none"/>
                <w:u w:val="none"/>
              </w:rPr>
            </w:pP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CDC2B">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5CE03">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931A8">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25EE5">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16A7D">
            <w:pPr>
              <w:jc w:val="center"/>
              <w:rPr>
                <w:rFonts w:hint="eastAsia" w:ascii="仿宋" w:hAnsi="仿宋" w:eastAsia="仿宋" w:cs="仿宋"/>
                <w:i w:val="0"/>
                <w:iCs w:val="0"/>
                <w:color w:val="auto"/>
                <w:sz w:val="22"/>
                <w:szCs w:val="22"/>
                <w:highlight w:val="none"/>
                <w:u w:val="none"/>
              </w:rPr>
            </w:pPr>
          </w:p>
        </w:tc>
      </w:tr>
      <w:tr w14:paraId="70BC3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37C7A">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E82AF">
            <w:pPr>
              <w:jc w:val="center"/>
              <w:rPr>
                <w:rFonts w:hint="eastAsia" w:ascii="仿宋" w:hAnsi="仿宋" w:eastAsia="仿宋" w:cs="仿宋"/>
                <w:i w:val="0"/>
                <w:iCs w:val="0"/>
                <w:color w:val="auto"/>
                <w:sz w:val="22"/>
                <w:szCs w:val="22"/>
                <w:highlight w:val="none"/>
                <w:u w:val="none"/>
              </w:rPr>
            </w:pPr>
          </w:p>
        </w:tc>
        <w:tc>
          <w:tcPr>
            <w:tcW w:w="43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A199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5.包含燃油、维修保养、车辆保险及车辆耗损等全部费用。</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A3BA9">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2623D">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61433">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7D3D4">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E31B1">
            <w:pPr>
              <w:jc w:val="center"/>
              <w:rPr>
                <w:rFonts w:hint="eastAsia" w:ascii="仿宋" w:hAnsi="仿宋" w:eastAsia="仿宋" w:cs="仿宋"/>
                <w:i w:val="0"/>
                <w:iCs w:val="0"/>
                <w:color w:val="auto"/>
                <w:sz w:val="22"/>
                <w:szCs w:val="22"/>
                <w:highlight w:val="none"/>
                <w:u w:val="none"/>
              </w:rPr>
            </w:pPr>
          </w:p>
        </w:tc>
      </w:tr>
      <w:tr w14:paraId="6FBAA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911B5">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216FE">
            <w:pPr>
              <w:jc w:val="center"/>
              <w:rPr>
                <w:rFonts w:hint="eastAsia" w:ascii="仿宋" w:hAnsi="仿宋" w:eastAsia="仿宋" w:cs="仿宋"/>
                <w:i w:val="0"/>
                <w:iCs w:val="0"/>
                <w:color w:val="auto"/>
                <w:sz w:val="22"/>
                <w:szCs w:val="22"/>
                <w:highlight w:val="none"/>
                <w:u w:val="none"/>
              </w:rPr>
            </w:pPr>
          </w:p>
        </w:tc>
        <w:tc>
          <w:tcPr>
            <w:tcW w:w="43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BB779">
            <w:pPr>
              <w:rPr>
                <w:rFonts w:hint="eastAsia" w:ascii="仿宋" w:hAnsi="仿宋" w:eastAsia="仿宋" w:cs="仿宋"/>
                <w:i w:val="0"/>
                <w:iCs w:val="0"/>
                <w:color w:val="auto"/>
                <w:sz w:val="22"/>
                <w:szCs w:val="22"/>
                <w:highlight w:val="none"/>
                <w:u w:val="none"/>
              </w:rPr>
            </w:pP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BDF86">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F05AF">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33F9F">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34DAC">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AD921">
            <w:pPr>
              <w:jc w:val="center"/>
              <w:rPr>
                <w:rFonts w:hint="eastAsia" w:ascii="仿宋" w:hAnsi="仿宋" w:eastAsia="仿宋" w:cs="仿宋"/>
                <w:i w:val="0"/>
                <w:iCs w:val="0"/>
                <w:color w:val="auto"/>
                <w:sz w:val="22"/>
                <w:szCs w:val="22"/>
                <w:highlight w:val="none"/>
                <w:u w:val="none"/>
              </w:rPr>
            </w:pPr>
          </w:p>
        </w:tc>
      </w:tr>
      <w:tr w14:paraId="496D6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EB486">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3CA79">
            <w:pPr>
              <w:jc w:val="center"/>
              <w:rPr>
                <w:rFonts w:hint="eastAsia" w:ascii="仿宋" w:hAnsi="仿宋" w:eastAsia="仿宋" w:cs="仿宋"/>
                <w:i w:val="0"/>
                <w:iCs w:val="0"/>
                <w:color w:val="auto"/>
                <w:sz w:val="22"/>
                <w:szCs w:val="22"/>
                <w:highlight w:val="none"/>
                <w:u w:val="none"/>
              </w:rPr>
            </w:pPr>
          </w:p>
        </w:tc>
        <w:tc>
          <w:tcPr>
            <w:tcW w:w="4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552C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6.包含人员工资、社保、公积金、法定节日加班等全部人工费用。</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DDD8D">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C116E">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CB5E3">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7CB25">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E09E5">
            <w:pPr>
              <w:jc w:val="center"/>
              <w:rPr>
                <w:rFonts w:hint="eastAsia" w:ascii="仿宋" w:hAnsi="仿宋" w:eastAsia="仿宋" w:cs="仿宋"/>
                <w:i w:val="0"/>
                <w:iCs w:val="0"/>
                <w:color w:val="auto"/>
                <w:sz w:val="22"/>
                <w:szCs w:val="22"/>
                <w:highlight w:val="none"/>
                <w:u w:val="none"/>
              </w:rPr>
            </w:pPr>
          </w:p>
        </w:tc>
      </w:tr>
      <w:tr w14:paraId="0A25B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73760">
            <w:pPr>
              <w:jc w:val="center"/>
              <w:rPr>
                <w:rFonts w:hint="eastAsia" w:ascii="仿宋" w:hAnsi="仿宋" w:eastAsia="仿宋" w:cs="仿宋"/>
                <w:i w:val="0"/>
                <w:iCs w:val="0"/>
                <w:color w:val="auto"/>
                <w:sz w:val="22"/>
                <w:szCs w:val="22"/>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FA693">
            <w:pPr>
              <w:jc w:val="center"/>
              <w:rPr>
                <w:rFonts w:hint="eastAsia" w:ascii="仿宋" w:hAnsi="仿宋" w:eastAsia="仿宋" w:cs="仿宋"/>
                <w:i w:val="0"/>
                <w:iCs w:val="0"/>
                <w:color w:val="auto"/>
                <w:sz w:val="22"/>
                <w:szCs w:val="22"/>
                <w:highlight w:val="none"/>
                <w:u w:val="none"/>
              </w:rPr>
            </w:pPr>
          </w:p>
        </w:tc>
        <w:tc>
          <w:tcPr>
            <w:tcW w:w="43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073519">
            <w:pPr>
              <w:keepNext w:val="0"/>
              <w:keepLines w:val="0"/>
              <w:widowControl/>
              <w:suppressLineNumbers w:val="0"/>
              <w:jc w:val="both"/>
              <w:textAlignment w:val="bottom"/>
              <w:rPr>
                <w:rFonts w:hint="eastAsia" w:ascii="仿宋" w:hAnsi="仿宋" w:eastAsia="仿宋" w:cs="仿宋"/>
                <w:i w:val="0"/>
                <w:iCs w:val="0"/>
                <w:color w:val="auto"/>
                <w:sz w:val="22"/>
                <w:szCs w:val="22"/>
                <w:highlight w:val="none"/>
                <w:u w:val="none"/>
              </w:rPr>
            </w:pPr>
            <w:r>
              <w:rPr>
                <w:rStyle w:val="243"/>
                <w:color w:val="auto"/>
                <w:highlight w:val="none"/>
                <w:lang w:val="en-US" w:eastAsia="zh-CN" w:bidi="ar"/>
              </w:rPr>
              <w:t>7.</w:t>
            </w:r>
            <w:r>
              <w:rPr>
                <w:rStyle w:val="243"/>
                <w:rFonts w:hint="eastAsia"/>
                <w:color w:val="auto"/>
                <w:highlight w:val="none"/>
                <w:lang w:val="en-US" w:eastAsia="zh-CN" w:bidi="ar"/>
              </w:rPr>
              <w:t>项目实施全周期内，供应商须配置自有产权的移动式联体压缩箱8个、确保满足本项目清运处置需求，服务周期</w:t>
            </w:r>
            <w:r>
              <w:rPr>
                <w:rStyle w:val="243"/>
                <w:color w:val="auto"/>
                <w:highlight w:val="none"/>
                <w:lang w:val="en-US" w:eastAsia="zh-CN" w:bidi="ar"/>
              </w:rPr>
              <w:t>结束产权归属街道。</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B6D43">
            <w:pPr>
              <w:jc w:val="center"/>
              <w:rPr>
                <w:rFonts w:hint="eastAsia" w:ascii="仿宋" w:hAnsi="仿宋" w:eastAsia="仿宋" w:cs="仿宋"/>
                <w:i w:val="0"/>
                <w:iCs w:val="0"/>
                <w:color w:val="auto"/>
                <w:sz w:val="22"/>
                <w:szCs w:val="22"/>
                <w:highlight w:val="none"/>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A9A26">
            <w:pPr>
              <w:jc w:val="center"/>
              <w:rPr>
                <w:rFonts w:hint="eastAsia" w:ascii="仿宋" w:hAnsi="仿宋" w:eastAsia="仿宋" w:cs="仿宋"/>
                <w:i w:val="0"/>
                <w:iCs w:val="0"/>
                <w:color w:val="auto"/>
                <w:sz w:val="22"/>
                <w:szCs w:val="22"/>
                <w:highlight w:val="none"/>
                <w:u w:val="none"/>
              </w:rPr>
            </w:pPr>
          </w:p>
        </w:tc>
        <w:tc>
          <w:tcPr>
            <w:tcW w:w="8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00420">
            <w:pPr>
              <w:jc w:val="center"/>
              <w:rPr>
                <w:rFonts w:hint="eastAsia" w:ascii="仿宋" w:hAnsi="仿宋" w:eastAsia="仿宋" w:cs="仿宋"/>
                <w:i w:val="0"/>
                <w:iCs w:val="0"/>
                <w:color w:val="auto"/>
                <w:sz w:val="22"/>
                <w:szCs w:val="22"/>
                <w:highlight w:val="none"/>
                <w:u w:val="none"/>
              </w:rPr>
            </w:pPr>
          </w:p>
        </w:tc>
        <w:tc>
          <w:tcPr>
            <w:tcW w:w="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F1057">
            <w:pPr>
              <w:jc w:val="center"/>
              <w:rPr>
                <w:rFonts w:hint="eastAsia" w:ascii="仿宋" w:hAnsi="仿宋" w:eastAsia="仿宋" w:cs="仿宋"/>
                <w:i w:val="0"/>
                <w:iCs w:val="0"/>
                <w:color w:val="auto"/>
                <w:sz w:val="22"/>
                <w:szCs w:val="22"/>
                <w:highlight w:val="none"/>
                <w:u w:val="none"/>
              </w:rPr>
            </w:pPr>
          </w:p>
        </w:tc>
        <w:tc>
          <w:tcPr>
            <w:tcW w:w="10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EB13D">
            <w:pPr>
              <w:jc w:val="center"/>
              <w:rPr>
                <w:rFonts w:hint="eastAsia" w:ascii="仿宋" w:hAnsi="仿宋" w:eastAsia="仿宋" w:cs="仿宋"/>
                <w:i w:val="0"/>
                <w:iCs w:val="0"/>
                <w:color w:val="auto"/>
                <w:sz w:val="22"/>
                <w:szCs w:val="22"/>
                <w:highlight w:val="none"/>
                <w:u w:val="none"/>
              </w:rPr>
            </w:pPr>
          </w:p>
        </w:tc>
      </w:tr>
      <w:tr w14:paraId="67A2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5CB8">
            <w:pPr>
              <w:keepNext w:val="0"/>
              <w:keepLines w:val="0"/>
              <w:widowControl/>
              <w:suppressLineNumbers w:val="0"/>
              <w:jc w:val="center"/>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FDD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合计</w:t>
            </w:r>
          </w:p>
        </w:tc>
        <w:tc>
          <w:tcPr>
            <w:tcW w:w="4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3B146">
            <w:pPr>
              <w:rPr>
                <w:rFonts w:hint="eastAsia" w:ascii="仿宋" w:hAnsi="仿宋" w:eastAsia="仿宋" w:cs="仿宋"/>
                <w:i w:val="0"/>
                <w:iCs w:val="0"/>
                <w:color w:val="auto"/>
                <w:sz w:val="22"/>
                <w:szCs w:val="22"/>
                <w:highlight w:val="none"/>
                <w:u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660B">
            <w:pPr>
              <w:rPr>
                <w:rFonts w:hint="eastAsia" w:ascii="仿宋" w:hAnsi="仿宋" w:eastAsia="仿宋" w:cs="仿宋"/>
                <w:i w:val="0"/>
                <w:iCs w:val="0"/>
                <w:color w:val="auto"/>
                <w:sz w:val="22"/>
                <w:szCs w:val="22"/>
                <w:highlight w:val="none"/>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D41D">
            <w:pPr>
              <w:rPr>
                <w:rFonts w:hint="eastAsia" w:ascii="仿宋" w:hAnsi="仿宋" w:eastAsia="仿宋" w:cs="仿宋"/>
                <w:i w:val="0"/>
                <w:iCs w:val="0"/>
                <w:color w:val="auto"/>
                <w:sz w:val="22"/>
                <w:szCs w:val="22"/>
                <w:highlight w:val="none"/>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166F2">
            <w:pPr>
              <w:rPr>
                <w:rFonts w:hint="eastAsia" w:ascii="仿宋" w:hAnsi="仿宋" w:eastAsia="仿宋" w:cs="仿宋"/>
                <w:i w:val="0"/>
                <w:iCs w:val="0"/>
                <w:color w:val="auto"/>
                <w:sz w:val="22"/>
                <w:szCs w:val="22"/>
                <w:highlight w:val="none"/>
                <w:u w:val="none"/>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88BAD">
            <w:pPr>
              <w:rPr>
                <w:rFonts w:hint="eastAsia" w:ascii="仿宋" w:hAnsi="仿宋" w:eastAsia="仿宋" w:cs="仿宋"/>
                <w:i w:val="0"/>
                <w:iCs w:val="0"/>
                <w:color w:val="auto"/>
                <w:sz w:val="22"/>
                <w:szCs w:val="22"/>
                <w:highlight w:val="none"/>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6BF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p>
        </w:tc>
      </w:tr>
    </w:tbl>
    <w:p w14:paraId="2F8A999A">
      <w:pPr>
        <w:spacing w:line="360" w:lineRule="auto"/>
        <w:ind w:left="1106" w:right="1241"/>
        <w:jc w:val="both"/>
        <w:rPr>
          <w:rFonts w:hint="eastAsia" w:ascii="仿宋" w:hAnsi="仿宋" w:eastAsia="仿宋" w:cs="仿宋"/>
          <w:b/>
          <w:color w:val="auto"/>
          <w:sz w:val="24"/>
          <w:szCs w:val="28"/>
          <w:highlight w:val="none"/>
        </w:rPr>
      </w:pPr>
    </w:p>
    <w:p w14:paraId="0619D5BC">
      <w:pPr>
        <w:pStyle w:val="15"/>
        <w:spacing w:line="360" w:lineRule="auto"/>
        <w:ind w:left="878" w:right="6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 </w:t>
      </w:r>
    </w:p>
    <w:p w14:paraId="1FAF772D">
      <w:pPr>
        <w:pStyle w:val="15"/>
        <w:spacing w:line="360" w:lineRule="auto"/>
        <w:ind w:left="878" w:right="6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法定代表人或</w:t>
      </w:r>
      <w:r>
        <w:rPr>
          <w:rFonts w:hint="eastAsia" w:ascii="仿宋" w:hAnsi="仿宋" w:eastAsia="仿宋" w:cs="仿宋"/>
          <w:color w:val="auto"/>
          <w:sz w:val="24"/>
          <w:szCs w:val="24"/>
          <w:highlight w:val="none"/>
        </w:rPr>
        <w:t>授权代表签字：</w:t>
      </w:r>
    </w:p>
    <w:p w14:paraId="288F536E">
      <w:pPr>
        <w:pStyle w:val="15"/>
        <w:tabs>
          <w:tab w:val="left" w:pos="1507"/>
          <w:tab w:val="left" w:pos="2347"/>
          <w:tab w:val="left" w:pos="2978"/>
          <w:tab w:val="left" w:pos="3503"/>
        </w:tabs>
        <w:spacing w:line="360" w:lineRule="auto"/>
        <w:ind w:left="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日</w:t>
      </w:r>
    </w:p>
    <w:p w14:paraId="21702158">
      <w:pPr>
        <w:pStyle w:val="15"/>
        <w:spacing w:line="360" w:lineRule="auto"/>
        <w:ind w:left="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注：1.报价表中所有价格</w:t>
      </w:r>
      <w:r>
        <w:rPr>
          <w:rFonts w:hint="eastAsia" w:ascii="仿宋" w:hAnsi="仿宋" w:eastAsia="仿宋" w:cs="仿宋"/>
          <w:color w:val="auto"/>
          <w:sz w:val="24"/>
          <w:szCs w:val="24"/>
          <w:highlight w:val="none"/>
          <w:lang w:val="en-US"/>
        </w:rPr>
        <w:t>以元为单位</w:t>
      </w:r>
      <w:r>
        <w:rPr>
          <w:rFonts w:hint="eastAsia" w:ascii="仿宋" w:hAnsi="仿宋" w:eastAsia="仿宋" w:cs="仿宋"/>
          <w:color w:val="auto"/>
          <w:sz w:val="24"/>
          <w:szCs w:val="24"/>
          <w:highlight w:val="none"/>
        </w:rPr>
        <w:t>。</w:t>
      </w:r>
    </w:p>
    <w:p w14:paraId="6E72051F">
      <w:pPr>
        <w:pStyle w:val="199"/>
        <w:numPr>
          <w:ilvl w:val="0"/>
          <w:numId w:val="11"/>
        </w:numPr>
        <w:tabs>
          <w:tab w:val="left" w:pos="1510"/>
        </w:tabs>
        <w:spacing w:line="360" w:lineRule="auto"/>
        <w:ind w:left="1509"/>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采购人对每一项货物或服务仅接受一个报价，不得填报有选择性报价方案。</w:t>
      </w:r>
    </w:p>
    <w:p w14:paraId="15B111EA">
      <w:pPr>
        <w:spacing w:line="360" w:lineRule="auto"/>
        <w:rPr>
          <w:rFonts w:hint="eastAsia" w:ascii="仿宋" w:hAnsi="仿宋" w:eastAsia="仿宋" w:cs="仿宋"/>
          <w:color w:val="auto"/>
          <w:sz w:val="24"/>
          <w:szCs w:val="28"/>
          <w:highlight w:val="none"/>
        </w:rPr>
        <w:sectPr>
          <w:pgSz w:w="11910" w:h="16840"/>
          <w:pgMar w:top="1701" w:right="1134" w:bottom="1701" w:left="1134" w:header="0" w:footer="992" w:gutter="0"/>
          <w:cols w:space="425" w:num="1"/>
          <w:docGrid w:linePitch="360" w:charSpace="0"/>
        </w:sectPr>
      </w:pPr>
    </w:p>
    <w:p w14:paraId="7097A5CC">
      <w:pPr>
        <w:spacing w:line="360" w:lineRule="auto"/>
        <w:ind w:left="754" w:hanging="754"/>
        <w:outlineLvl w:val="1"/>
        <w:rPr>
          <w:rFonts w:hint="eastAsia" w:ascii="仿宋" w:hAnsi="仿宋" w:eastAsia="仿宋" w:cs="仿宋"/>
          <w:b/>
          <w:color w:val="auto"/>
          <w:sz w:val="24"/>
          <w:szCs w:val="28"/>
          <w:highlight w:val="none"/>
        </w:rPr>
      </w:pPr>
      <w:bookmarkStart w:id="53" w:name="_Toc9371"/>
      <w:r>
        <w:rPr>
          <w:rFonts w:hint="eastAsia" w:ascii="仿宋" w:hAnsi="仿宋" w:eastAsia="仿宋" w:cs="仿宋"/>
          <w:b/>
          <w:color w:val="auto"/>
          <w:sz w:val="24"/>
          <w:szCs w:val="28"/>
          <w:highlight w:val="none"/>
        </w:rPr>
        <w:t>附件五、项目实施方案（格式自拟）</w:t>
      </w:r>
      <w:bookmarkEnd w:id="53"/>
    </w:p>
    <w:p w14:paraId="5D86236A">
      <w:pPr>
        <w:pStyle w:val="15"/>
        <w:spacing w:line="360" w:lineRule="auto"/>
        <w:ind w:left="434" w:hanging="16"/>
        <w:rPr>
          <w:rFonts w:hint="eastAsia" w:ascii="仿宋" w:hAnsi="仿宋" w:eastAsia="仿宋" w:cs="仿宋"/>
          <w:color w:val="auto"/>
          <w:sz w:val="22"/>
          <w:szCs w:val="24"/>
          <w:highlight w:val="none"/>
        </w:rPr>
      </w:pPr>
      <w:r>
        <w:rPr>
          <w:rFonts w:hint="eastAsia" w:ascii="仿宋" w:hAnsi="仿宋" w:eastAsia="仿宋" w:cs="仿宋"/>
          <w:color w:val="auto"/>
          <w:sz w:val="24"/>
          <w:szCs w:val="24"/>
          <w:highlight w:val="none"/>
        </w:rPr>
        <w:t>由投标人根据招标文件内容要求及服务标准内容自行编写，要求全面、详尽、完整、易于理解。</w:t>
      </w:r>
    </w:p>
    <w:p w14:paraId="5B5FE3AF">
      <w:pPr>
        <w:spacing w:line="360" w:lineRule="auto"/>
        <w:ind w:left="878"/>
        <w:rPr>
          <w:rFonts w:hint="eastAsia" w:ascii="仿宋" w:hAnsi="仿宋" w:eastAsia="仿宋" w:cs="仿宋"/>
          <w:b/>
          <w:color w:val="auto"/>
          <w:sz w:val="24"/>
          <w:szCs w:val="28"/>
          <w:highlight w:val="none"/>
        </w:rPr>
      </w:pPr>
      <w:bookmarkStart w:id="54" w:name="附件六、服务承诺及服务质量保证承诺书（格式自拟）"/>
      <w:bookmarkEnd w:id="54"/>
    </w:p>
    <w:p w14:paraId="08FB3A63">
      <w:pP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br w:type="page" w:clear="all"/>
      </w:r>
    </w:p>
    <w:p w14:paraId="443F0140">
      <w:pPr>
        <w:spacing w:line="360" w:lineRule="auto"/>
        <w:ind w:left="1007" w:hanging="1007"/>
        <w:outlineLvl w:val="1"/>
        <w:rPr>
          <w:rFonts w:hint="eastAsia" w:ascii="仿宋" w:hAnsi="仿宋" w:eastAsia="仿宋" w:cs="仿宋"/>
          <w:b/>
          <w:color w:val="auto"/>
          <w:sz w:val="24"/>
          <w:szCs w:val="28"/>
          <w:highlight w:val="none"/>
        </w:rPr>
      </w:pPr>
      <w:bookmarkStart w:id="55" w:name="_Toc9689"/>
      <w:r>
        <w:rPr>
          <w:rFonts w:hint="eastAsia" w:ascii="仿宋" w:hAnsi="仿宋" w:eastAsia="仿宋" w:cs="仿宋"/>
          <w:b/>
          <w:color w:val="auto"/>
          <w:sz w:val="24"/>
          <w:szCs w:val="28"/>
          <w:highlight w:val="none"/>
        </w:rPr>
        <w:t>附件六、</w:t>
      </w:r>
      <w:r>
        <w:rPr>
          <w:rFonts w:hint="eastAsia" w:ascii="仿宋" w:hAnsi="仿宋" w:eastAsia="仿宋" w:cs="仿宋"/>
          <w:b/>
          <w:color w:val="auto"/>
          <w:sz w:val="24"/>
          <w:szCs w:val="28"/>
          <w:highlight w:val="none"/>
          <w:lang w:val="en-US"/>
        </w:rPr>
        <w:t>供货（或</w:t>
      </w:r>
      <w:r>
        <w:rPr>
          <w:rFonts w:hint="eastAsia" w:ascii="仿宋" w:hAnsi="仿宋" w:eastAsia="仿宋" w:cs="仿宋"/>
          <w:b/>
          <w:color w:val="auto"/>
          <w:sz w:val="24"/>
          <w:szCs w:val="28"/>
          <w:highlight w:val="none"/>
        </w:rPr>
        <w:t>服务）质量保证承诺书（格式自拟）</w:t>
      </w:r>
      <w:bookmarkEnd w:id="55"/>
    </w:p>
    <w:p w14:paraId="6F6C3409">
      <w:pPr>
        <w:pStyle w:val="15"/>
        <w:spacing w:line="360" w:lineRule="auto"/>
        <w:ind w:firstLine="241" w:firstLineChars="100"/>
        <w:rPr>
          <w:rFonts w:hint="eastAsia" w:ascii="仿宋" w:hAnsi="仿宋" w:eastAsia="仿宋" w:cs="仿宋"/>
          <w:b/>
          <w:color w:val="auto"/>
          <w:sz w:val="24"/>
          <w:szCs w:val="24"/>
          <w:highlight w:val="none"/>
          <w:lang w:val="en-US" w:eastAsia="zh-CN"/>
        </w:rPr>
      </w:pPr>
    </w:p>
    <w:p w14:paraId="7BABF9F0">
      <w:pPr>
        <w:spacing w:line="360" w:lineRule="auto"/>
        <w:ind w:left="1007" w:hanging="1007"/>
        <w:jc w:val="right"/>
        <w:outlineLvl w:val="1"/>
        <w:rPr>
          <w:rFonts w:hint="eastAsia" w:ascii="仿宋" w:hAnsi="仿宋" w:eastAsia="仿宋" w:cs="仿宋"/>
          <w:b/>
          <w:color w:val="auto"/>
          <w:sz w:val="24"/>
          <w:szCs w:val="28"/>
          <w:highlight w:val="none"/>
          <w:lang w:val="en-US" w:eastAsia="zh-CN"/>
        </w:rPr>
      </w:pPr>
    </w:p>
    <w:p w14:paraId="5F94477E">
      <w:pPr>
        <w:spacing w:line="360" w:lineRule="auto"/>
        <w:ind w:left="1007" w:hanging="1007"/>
        <w:jc w:val="right"/>
        <w:outlineLvl w:val="1"/>
        <w:rPr>
          <w:rFonts w:hint="eastAsia" w:ascii="仿宋" w:hAnsi="仿宋" w:eastAsia="仿宋" w:cs="仿宋"/>
          <w:b/>
          <w:color w:val="auto"/>
          <w:sz w:val="24"/>
          <w:szCs w:val="28"/>
          <w:highlight w:val="none"/>
          <w:lang w:val="en-US" w:eastAsia="zh-CN"/>
        </w:rPr>
      </w:pPr>
    </w:p>
    <w:p w14:paraId="13645A87">
      <w:pPr>
        <w:spacing w:line="360" w:lineRule="auto"/>
        <w:ind w:right="1630"/>
        <w:jc w:val="right"/>
        <w:rPr>
          <w:rFonts w:hint="eastAsia" w:ascii="仿宋" w:hAnsi="仿宋" w:eastAsia="仿宋" w:cs="仿宋"/>
          <w:color w:val="auto"/>
          <w:sz w:val="28"/>
          <w:szCs w:val="24"/>
          <w:highlight w:val="none"/>
          <w:lang w:val="en-US" w:eastAsia="zh-CN"/>
        </w:rPr>
      </w:pPr>
      <w:r>
        <w:rPr>
          <w:rFonts w:hint="eastAsia" w:ascii="仿宋" w:hAnsi="仿宋" w:eastAsia="仿宋" w:cs="仿宋"/>
          <w:color w:val="auto"/>
          <w:sz w:val="28"/>
          <w:szCs w:val="24"/>
          <w:highlight w:val="none"/>
          <w:lang w:val="en-US" w:eastAsia="zh-CN"/>
        </w:rPr>
        <w:t xml:space="preserve">投标单位（盖章）： </w:t>
      </w:r>
    </w:p>
    <w:p w14:paraId="29317382">
      <w:pPr>
        <w:spacing w:line="360" w:lineRule="auto"/>
        <w:ind w:right="1630"/>
        <w:jc w:val="right"/>
        <w:rPr>
          <w:rFonts w:hint="eastAsia" w:ascii="仿宋" w:hAnsi="仿宋" w:eastAsia="仿宋" w:cs="仿宋"/>
          <w:color w:val="auto"/>
          <w:sz w:val="28"/>
          <w:szCs w:val="24"/>
          <w:highlight w:val="none"/>
          <w:lang w:val="en-US" w:eastAsia="zh-CN"/>
        </w:rPr>
      </w:pPr>
      <w:r>
        <w:rPr>
          <w:rFonts w:hint="eastAsia" w:ascii="仿宋" w:hAnsi="仿宋" w:eastAsia="仿宋" w:cs="仿宋"/>
          <w:color w:val="auto"/>
          <w:sz w:val="28"/>
          <w:szCs w:val="24"/>
          <w:highlight w:val="none"/>
          <w:lang w:val="en-US" w:eastAsia="zh-CN"/>
        </w:rPr>
        <w:t>日</w:t>
      </w:r>
      <w:r>
        <w:rPr>
          <w:rFonts w:hint="eastAsia" w:ascii="仿宋" w:hAnsi="仿宋" w:eastAsia="仿宋" w:cs="仿宋"/>
          <w:color w:val="auto"/>
          <w:sz w:val="28"/>
          <w:szCs w:val="24"/>
          <w:highlight w:val="none"/>
          <w:lang w:val="en-US" w:eastAsia="zh-CN"/>
        </w:rPr>
        <w:tab/>
      </w:r>
      <w:r>
        <w:rPr>
          <w:rFonts w:hint="eastAsia" w:ascii="仿宋" w:hAnsi="仿宋" w:eastAsia="仿宋" w:cs="仿宋"/>
          <w:color w:val="auto"/>
          <w:sz w:val="28"/>
          <w:szCs w:val="24"/>
          <w:highlight w:val="none"/>
          <w:lang w:val="en-US" w:eastAsia="zh-CN"/>
        </w:rPr>
        <w:t>期：</w:t>
      </w:r>
      <w:r>
        <w:rPr>
          <w:rFonts w:hint="eastAsia" w:ascii="仿宋" w:hAnsi="仿宋" w:eastAsia="仿宋" w:cs="仿宋"/>
          <w:color w:val="auto"/>
          <w:sz w:val="28"/>
          <w:szCs w:val="24"/>
          <w:highlight w:val="none"/>
          <w:lang w:val="en-US" w:eastAsia="zh-CN"/>
        </w:rPr>
        <w:tab/>
      </w:r>
      <w:r>
        <w:rPr>
          <w:rFonts w:hint="eastAsia" w:ascii="仿宋" w:hAnsi="仿宋" w:eastAsia="仿宋" w:cs="仿宋"/>
          <w:color w:val="auto"/>
          <w:sz w:val="28"/>
          <w:szCs w:val="24"/>
          <w:highlight w:val="none"/>
          <w:lang w:val="en-US" w:eastAsia="zh-CN"/>
        </w:rPr>
        <w:t>年</w:t>
      </w:r>
      <w:r>
        <w:rPr>
          <w:rFonts w:hint="eastAsia" w:ascii="仿宋" w:hAnsi="仿宋" w:eastAsia="仿宋" w:cs="仿宋"/>
          <w:color w:val="auto"/>
          <w:sz w:val="28"/>
          <w:szCs w:val="24"/>
          <w:highlight w:val="none"/>
          <w:lang w:val="en-US" w:eastAsia="zh-CN"/>
        </w:rPr>
        <w:tab/>
      </w:r>
      <w:r>
        <w:rPr>
          <w:rFonts w:hint="eastAsia" w:ascii="仿宋" w:hAnsi="仿宋" w:eastAsia="仿宋" w:cs="仿宋"/>
          <w:color w:val="auto"/>
          <w:sz w:val="28"/>
          <w:szCs w:val="24"/>
          <w:highlight w:val="none"/>
          <w:lang w:val="en-US" w:eastAsia="zh-CN"/>
        </w:rPr>
        <w:t>月</w:t>
      </w:r>
      <w:r>
        <w:rPr>
          <w:rFonts w:hint="eastAsia" w:ascii="仿宋" w:hAnsi="仿宋" w:eastAsia="仿宋" w:cs="仿宋"/>
          <w:color w:val="auto"/>
          <w:sz w:val="28"/>
          <w:szCs w:val="24"/>
          <w:highlight w:val="none"/>
          <w:lang w:val="en-US" w:eastAsia="zh-CN"/>
        </w:rPr>
        <w:tab/>
      </w:r>
      <w:r>
        <w:rPr>
          <w:rFonts w:hint="eastAsia" w:ascii="仿宋" w:hAnsi="仿宋" w:eastAsia="仿宋" w:cs="仿宋"/>
          <w:color w:val="auto"/>
          <w:sz w:val="28"/>
          <w:szCs w:val="24"/>
          <w:highlight w:val="none"/>
          <w:lang w:val="en-US" w:eastAsia="zh-CN"/>
        </w:rPr>
        <w:t>日</w:t>
      </w:r>
    </w:p>
    <w:p w14:paraId="3E9EF34F">
      <w:pPr>
        <w:spacing w:line="360" w:lineRule="auto"/>
        <w:ind w:left="1007" w:hanging="1007"/>
        <w:outlineLvl w:val="1"/>
        <w:rPr>
          <w:rFonts w:hint="eastAsia" w:ascii="仿宋" w:hAnsi="仿宋" w:eastAsia="仿宋" w:cs="仿宋"/>
          <w:b/>
          <w:color w:val="auto"/>
          <w:sz w:val="24"/>
          <w:szCs w:val="28"/>
          <w:highlight w:val="none"/>
          <w:lang w:val="en-US" w:eastAsia="zh-CN"/>
        </w:rPr>
      </w:pPr>
    </w:p>
    <w:p w14:paraId="0587AD3F">
      <w:pPr>
        <w:pStyle w:val="15"/>
        <w:spacing w:line="360" w:lineRule="auto"/>
        <w:rPr>
          <w:rFonts w:hint="eastAsia" w:ascii="仿宋" w:hAnsi="仿宋" w:eastAsia="仿宋" w:cs="仿宋"/>
          <w:b/>
          <w:color w:val="auto"/>
          <w:sz w:val="15"/>
          <w:szCs w:val="24"/>
          <w:highlight w:val="none"/>
        </w:rPr>
      </w:pPr>
    </w:p>
    <w:p w14:paraId="2AB62A05">
      <w:pPr>
        <w:spacing w:line="360" w:lineRule="auto"/>
        <w:ind w:left="1007" w:hanging="1007"/>
        <w:outlineLvl w:val="1"/>
        <w:rPr>
          <w:rFonts w:hint="eastAsia" w:ascii="仿宋" w:hAnsi="仿宋" w:eastAsia="仿宋" w:cs="仿宋"/>
          <w:b/>
          <w:color w:val="auto"/>
          <w:sz w:val="24"/>
          <w:szCs w:val="28"/>
          <w:highlight w:val="none"/>
        </w:rPr>
      </w:pPr>
      <w:bookmarkStart w:id="56" w:name="附件八、商务条款响应表"/>
      <w:bookmarkEnd w:id="56"/>
      <w:bookmarkStart w:id="57" w:name="附件七、拟投入本项目人员情况一览表"/>
      <w:bookmarkEnd w:id="57"/>
      <w:bookmarkStart w:id="58" w:name="_Toc19376"/>
    </w:p>
    <w:p w14:paraId="2CD2CE1C">
      <w:pPr>
        <w:spacing w:line="360" w:lineRule="auto"/>
        <w:ind w:left="1007" w:hanging="1007"/>
        <w:outlineLvl w:val="1"/>
        <w:rPr>
          <w:rFonts w:hint="eastAsia" w:ascii="仿宋" w:hAnsi="仿宋" w:eastAsia="仿宋" w:cs="仿宋"/>
          <w:b/>
          <w:color w:val="auto"/>
          <w:sz w:val="24"/>
          <w:szCs w:val="28"/>
          <w:highlight w:val="none"/>
        </w:rPr>
      </w:pPr>
    </w:p>
    <w:p w14:paraId="477C3EFC">
      <w:pPr>
        <w:spacing w:line="360" w:lineRule="auto"/>
        <w:ind w:left="1007" w:hanging="1007"/>
        <w:outlineLvl w:val="1"/>
        <w:rPr>
          <w:rFonts w:hint="eastAsia" w:ascii="仿宋" w:hAnsi="仿宋" w:eastAsia="仿宋" w:cs="仿宋"/>
          <w:b/>
          <w:color w:val="auto"/>
          <w:sz w:val="24"/>
          <w:szCs w:val="28"/>
          <w:highlight w:val="none"/>
        </w:rPr>
      </w:pPr>
    </w:p>
    <w:p w14:paraId="55C508F9">
      <w:pPr>
        <w:spacing w:line="360" w:lineRule="auto"/>
        <w:ind w:left="1007" w:hanging="1007"/>
        <w:outlineLvl w:val="1"/>
        <w:rPr>
          <w:rFonts w:hint="eastAsia" w:ascii="仿宋" w:hAnsi="仿宋" w:eastAsia="仿宋" w:cs="仿宋"/>
          <w:b/>
          <w:color w:val="auto"/>
          <w:sz w:val="24"/>
          <w:szCs w:val="28"/>
          <w:highlight w:val="none"/>
        </w:rPr>
      </w:pPr>
    </w:p>
    <w:p w14:paraId="5B74D434">
      <w:pPr>
        <w:spacing w:line="360" w:lineRule="auto"/>
        <w:ind w:left="1007" w:hanging="1007"/>
        <w:outlineLvl w:val="1"/>
        <w:rPr>
          <w:rFonts w:hint="eastAsia" w:ascii="仿宋" w:hAnsi="仿宋" w:eastAsia="仿宋" w:cs="仿宋"/>
          <w:b/>
          <w:color w:val="auto"/>
          <w:sz w:val="24"/>
          <w:szCs w:val="28"/>
          <w:highlight w:val="none"/>
        </w:rPr>
      </w:pPr>
    </w:p>
    <w:p w14:paraId="340ABB95">
      <w:pPr>
        <w:spacing w:line="360" w:lineRule="auto"/>
        <w:ind w:left="1007" w:hanging="1007"/>
        <w:outlineLvl w:val="1"/>
        <w:rPr>
          <w:rFonts w:hint="eastAsia" w:ascii="仿宋" w:hAnsi="仿宋" w:eastAsia="仿宋" w:cs="仿宋"/>
          <w:b/>
          <w:color w:val="auto"/>
          <w:sz w:val="24"/>
          <w:szCs w:val="28"/>
          <w:highlight w:val="none"/>
        </w:rPr>
      </w:pPr>
    </w:p>
    <w:p w14:paraId="64CD68E3">
      <w:pPr>
        <w:spacing w:line="360" w:lineRule="auto"/>
        <w:ind w:left="1007" w:hanging="1007"/>
        <w:outlineLvl w:val="1"/>
        <w:rPr>
          <w:rFonts w:hint="eastAsia" w:ascii="仿宋" w:hAnsi="仿宋" w:eastAsia="仿宋" w:cs="仿宋"/>
          <w:b/>
          <w:color w:val="auto"/>
          <w:sz w:val="24"/>
          <w:szCs w:val="28"/>
          <w:highlight w:val="none"/>
        </w:rPr>
      </w:pPr>
    </w:p>
    <w:p w14:paraId="21D1A2A7">
      <w:pPr>
        <w:spacing w:line="360" w:lineRule="auto"/>
        <w:ind w:left="1007" w:hanging="1007"/>
        <w:outlineLvl w:val="1"/>
        <w:rPr>
          <w:rFonts w:hint="eastAsia" w:ascii="仿宋" w:hAnsi="仿宋" w:eastAsia="仿宋" w:cs="仿宋"/>
          <w:b/>
          <w:color w:val="auto"/>
          <w:sz w:val="24"/>
          <w:szCs w:val="28"/>
          <w:highlight w:val="none"/>
        </w:rPr>
      </w:pPr>
    </w:p>
    <w:p w14:paraId="71D0DE09">
      <w:pPr>
        <w:spacing w:line="360" w:lineRule="auto"/>
        <w:ind w:left="1007" w:hanging="1007"/>
        <w:outlineLvl w:val="1"/>
        <w:rPr>
          <w:rFonts w:hint="eastAsia" w:ascii="仿宋" w:hAnsi="仿宋" w:eastAsia="仿宋" w:cs="仿宋"/>
          <w:b/>
          <w:color w:val="auto"/>
          <w:sz w:val="24"/>
          <w:szCs w:val="28"/>
          <w:highlight w:val="none"/>
        </w:rPr>
      </w:pPr>
    </w:p>
    <w:p w14:paraId="649D79BF">
      <w:pPr>
        <w:spacing w:line="360" w:lineRule="auto"/>
        <w:ind w:left="1007" w:hanging="1007"/>
        <w:outlineLvl w:val="1"/>
        <w:rPr>
          <w:rFonts w:hint="eastAsia" w:ascii="仿宋" w:hAnsi="仿宋" w:eastAsia="仿宋" w:cs="仿宋"/>
          <w:b/>
          <w:color w:val="auto"/>
          <w:sz w:val="24"/>
          <w:szCs w:val="28"/>
          <w:highlight w:val="none"/>
        </w:rPr>
      </w:pPr>
    </w:p>
    <w:p w14:paraId="1AEF605F">
      <w:pPr>
        <w:spacing w:line="360" w:lineRule="auto"/>
        <w:ind w:left="1007" w:hanging="1007"/>
        <w:outlineLvl w:val="1"/>
        <w:rPr>
          <w:rFonts w:hint="eastAsia" w:ascii="仿宋" w:hAnsi="仿宋" w:eastAsia="仿宋" w:cs="仿宋"/>
          <w:b/>
          <w:color w:val="auto"/>
          <w:sz w:val="24"/>
          <w:szCs w:val="28"/>
          <w:highlight w:val="none"/>
        </w:rPr>
      </w:pPr>
    </w:p>
    <w:p w14:paraId="357777D1">
      <w:pPr>
        <w:spacing w:line="360" w:lineRule="auto"/>
        <w:ind w:left="1007" w:hanging="1007"/>
        <w:outlineLvl w:val="1"/>
        <w:rPr>
          <w:rFonts w:hint="eastAsia" w:ascii="仿宋" w:hAnsi="仿宋" w:eastAsia="仿宋" w:cs="仿宋"/>
          <w:b/>
          <w:color w:val="auto"/>
          <w:sz w:val="24"/>
          <w:szCs w:val="28"/>
          <w:highlight w:val="none"/>
        </w:rPr>
      </w:pPr>
    </w:p>
    <w:p w14:paraId="3D6234E8">
      <w:pPr>
        <w:spacing w:line="360" w:lineRule="auto"/>
        <w:outlineLvl w:val="1"/>
        <w:rPr>
          <w:rFonts w:hint="eastAsia" w:ascii="仿宋" w:hAnsi="仿宋" w:eastAsia="仿宋" w:cs="仿宋"/>
          <w:b/>
          <w:color w:val="auto"/>
          <w:sz w:val="24"/>
          <w:szCs w:val="28"/>
          <w:highlight w:val="none"/>
        </w:rPr>
      </w:pPr>
    </w:p>
    <w:p w14:paraId="5E0960DB">
      <w:pPr>
        <w:spacing w:line="360" w:lineRule="auto"/>
        <w:outlineLvl w:val="1"/>
        <w:rPr>
          <w:rFonts w:hint="eastAsia" w:ascii="仿宋" w:hAnsi="仿宋" w:eastAsia="仿宋" w:cs="仿宋"/>
          <w:b/>
          <w:color w:val="auto"/>
          <w:sz w:val="24"/>
          <w:szCs w:val="28"/>
          <w:highlight w:val="none"/>
        </w:rPr>
      </w:pPr>
    </w:p>
    <w:p w14:paraId="49B4762C">
      <w:pPr>
        <w:spacing w:line="360" w:lineRule="auto"/>
        <w:outlineLvl w:val="1"/>
        <w:rPr>
          <w:rFonts w:hint="eastAsia" w:ascii="仿宋" w:hAnsi="仿宋" w:eastAsia="仿宋" w:cs="仿宋"/>
          <w:b/>
          <w:color w:val="auto"/>
          <w:sz w:val="24"/>
          <w:szCs w:val="28"/>
          <w:highlight w:val="none"/>
        </w:rPr>
      </w:pPr>
    </w:p>
    <w:p w14:paraId="313CA0FF">
      <w:pPr>
        <w:spacing w:line="360" w:lineRule="auto"/>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附件七、拟投入本项目人员情况一览表</w:t>
      </w:r>
      <w:bookmarkEnd w:id="58"/>
    </w:p>
    <w:p w14:paraId="33B8D7CC">
      <w:pPr>
        <w:spacing w:line="360" w:lineRule="auto"/>
        <w:ind w:left="11" w:right="21"/>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拟参与本项目人员情况一览表</w:t>
      </w:r>
    </w:p>
    <w:p w14:paraId="019D53B4">
      <w:pPr>
        <w:pStyle w:val="15"/>
        <w:spacing w:line="360" w:lineRule="auto"/>
        <w:ind w:firstLine="241" w:firstLineChars="1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项目名称：</w:t>
      </w:r>
      <w:r>
        <w:rPr>
          <w:rFonts w:hint="eastAsia" w:ascii="仿宋" w:hAnsi="仿宋" w:eastAsia="仿宋" w:cs="仿宋"/>
          <w:b/>
          <w:color w:val="auto"/>
          <w:sz w:val="24"/>
          <w:szCs w:val="24"/>
          <w:highlight w:val="none"/>
          <w:lang w:eastAsia="zh-CN"/>
        </w:rPr>
        <w:t>禄口街道2026-2029年度压缩垃圾清运服务</w:t>
      </w:r>
      <w:r>
        <w:rPr>
          <w:rFonts w:hint="eastAsia" w:ascii="仿宋" w:hAnsi="仿宋" w:eastAsia="仿宋" w:cs="仿宋"/>
          <w:b/>
          <w:color w:val="auto"/>
          <w:sz w:val="24"/>
          <w:szCs w:val="24"/>
          <w:highlight w:val="none"/>
        </w:rPr>
        <w:t xml:space="preserve">工程  </w:t>
      </w:r>
    </w:p>
    <w:p w14:paraId="4781E6DC">
      <w:pPr>
        <w:pStyle w:val="15"/>
        <w:spacing w:line="360" w:lineRule="auto"/>
        <w:ind w:firstLine="241" w:firstLineChars="100"/>
        <w:rPr>
          <w:rFonts w:hint="eastAsia" w:ascii="仿宋" w:hAnsi="仿宋" w:eastAsia="仿宋" w:cs="仿宋"/>
          <w:b/>
          <w:bCs w:val="0"/>
          <w:color w:val="auto"/>
          <w:sz w:val="24"/>
          <w:szCs w:val="24"/>
          <w:highlight w:val="none"/>
          <w:lang w:eastAsia="zh-CN"/>
        </w:rPr>
      </w:pPr>
      <w:r>
        <w:rPr>
          <w:rFonts w:hint="eastAsia" w:ascii="仿宋" w:hAnsi="仿宋" w:eastAsia="仿宋" w:cs="仿宋"/>
          <w:b/>
          <w:bCs w:val="0"/>
          <w:color w:val="auto"/>
          <w:sz w:val="24"/>
          <w:szCs w:val="24"/>
          <w:highlight w:val="none"/>
        </w:rPr>
        <w:t xml:space="preserve">项目编号： </w:t>
      </w:r>
      <w:r>
        <w:rPr>
          <w:rFonts w:hint="eastAsia" w:ascii="仿宋" w:hAnsi="仿宋" w:eastAsia="仿宋" w:cs="仿宋"/>
          <w:b/>
          <w:bCs w:val="0"/>
          <w:color w:val="auto"/>
          <w:sz w:val="24"/>
          <w:szCs w:val="24"/>
          <w:highlight w:val="none"/>
          <w:lang w:eastAsia="zh-CN"/>
        </w:rPr>
        <w:t>JSZC-320115-NJRD-G2026-0008</w:t>
      </w:r>
    </w:p>
    <w:tbl>
      <w:tblPr>
        <w:tblStyle w:val="39"/>
        <w:tblW w:w="1015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0"/>
        <w:gridCol w:w="1066"/>
        <w:gridCol w:w="1067"/>
        <w:gridCol w:w="1190"/>
        <w:gridCol w:w="944"/>
        <w:gridCol w:w="1247"/>
        <w:gridCol w:w="2672"/>
      </w:tblGrid>
      <w:tr w14:paraId="4949A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1970" w:type="dxa"/>
            <w:noWrap w:val="0"/>
          </w:tcPr>
          <w:p w14:paraId="1EAAEC4A">
            <w:pPr>
              <w:pStyle w:val="201"/>
              <w:spacing w:line="360" w:lineRule="auto"/>
              <w:rPr>
                <w:rFonts w:hint="eastAsia" w:ascii="仿宋" w:hAnsi="仿宋" w:eastAsia="仿宋" w:cs="仿宋"/>
                <w:b/>
                <w:color w:val="auto"/>
                <w:sz w:val="18"/>
                <w:szCs w:val="28"/>
                <w:highlight w:val="none"/>
              </w:rPr>
            </w:pPr>
          </w:p>
          <w:p w14:paraId="34B07158">
            <w:pPr>
              <w:pStyle w:val="201"/>
              <w:spacing w:line="360" w:lineRule="auto"/>
              <w:ind w:left="218" w:right="207"/>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人员类别</w:t>
            </w:r>
          </w:p>
        </w:tc>
        <w:tc>
          <w:tcPr>
            <w:tcW w:w="1066" w:type="dxa"/>
            <w:noWrap w:val="0"/>
          </w:tcPr>
          <w:p w14:paraId="41787AAA">
            <w:pPr>
              <w:pStyle w:val="201"/>
              <w:spacing w:line="360" w:lineRule="auto"/>
              <w:rPr>
                <w:rFonts w:hint="eastAsia" w:ascii="仿宋" w:hAnsi="仿宋" w:eastAsia="仿宋" w:cs="仿宋"/>
                <w:b/>
                <w:color w:val="auto"/>
                <w:sz w:val="20"/>
                <w:szCs w:val="28"/>
                <w:highlight w:val="none"/>
              </w:rPr>
            </w:pPr>
          </w:p>
          <w:p w14:paraId="52A62213">
            <w:pPr>
              <w:pStyle w:val="201"/>
              <w:spacing w:line="360" w:lineRule="auto"/>
              <w:ind w:left="302"/>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姓名</w:t>
            </w:r>
          </w:p>
        </w:tc>
        <w:tc>
          <w:tcPr>
            <w:tcW w:w="1067" w:type="dxa"/>
            <w:noWrap w:val="0"/>
          </w:tcPr>
          <w:p w14:paraId="1D4B262D">
            <w:pPr>
              <w:pStyle w:val="201"/>
              <w:spacing w:line="360" w:lineRule="auto"/>
              <w:rPr>
                <w:rFonts w:hint="eastAsia" w:ascii="仿宋" w:hAnsi="仿宋" w:eastAsia="仿宋" w:cs="仿宋"/>
                <w:b/>
                <w:color w:val="auto"/>
                <w:sz w:val="20"/>
                <w:szCs w:val="28"/>
                <w:highlight w:val="none"/>
              </w:rPr>
            </w:pPr>
          </w:p>
          <w:p w14:paraId="5AA8FC3B">
            <w:pPr>
              <w:pStyle w:val="201"/>
              <w:spacing w:line="360" w:lineRule="auto"/>
              <w:ind w:left="301"/>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年龄</w:t>
            </w:r>
          </w:p>
        </w:tc>
        <w:tc>
          <w:tcPr>
            <w:tcW w:w="1190" w:type="dxa"/>
            <w:noWrap w:val="0"/>
          </w:tcPr>
          <w:p w14:paraId="29D59AED">
            <w:pPr>
              <w:pStyle w:val="201"/>
              <w:spacing w:line="360" w:lineRule="auto"/>
              <w:rPr>
                <w:rFonts w:hint="eastAsia" w:ascii="仿宋" w:hAnsi="仿宋" w:eastAsia="仿宋" w:cs="仿宋"/>
                <w:b/>
                <w:color w:val="auto"/>
                <w:sz w:val="20"/>
                <w:szCs w:val="28"/>
                <w:highlight w:val="none"/>
              </w:rPr>
            </w:pPr>
          </w:p>
          <w:p w14:paraId="5E1E1F40">
            <w:pPr>
              <w:pStyle w:val="201"/>
              <w:spacing w:line="360" w:lineRule="auto"/>
              <w:ind w:left="150"/>
              <w:rPr>
                <w:rFonts w:hint="eastAsia" w:ascii="仿宋" w:hAnsi="仿宋" w:eastAsia="仿宋" w:cs="仿宋"/>
                <w:color w:val="auto"/>
                <w:sz w:val="24"/>
                <w:szCs w:val="28"/>
                <w:highlight w:val="none"/>
                <w:lang w:val="en-US"/>
              </w:rPr>
            </w:pPr>
            <w:r>
              <w:rPr>
                <w:rFonts w:hint="eastAsia" w:ascii="仿宋" w:hAnsi="仿宋" w:eastAsia="仿宋" w:cs="仿宋"/>
                <w:color w:val="auto"/>
                <w:sz w:val="24"/>
                <w:szCs w:val="28"/>
                <w:highlight w:val="none"/>
                <w:lang w:val="en-US"/>
              </w:rPr>
              <w:t>从业年限</w:t>
            </w:r>
          </w:p>
        </w:tc>
        <w:tc>
          <w:tcPr>
            <w:tcW w:w="944" w:type="dxa"/>
            <w:noWrap w:val="0"/>
          </w:tcPr>
          <w:p w14:paraId="60DB28A0">
            <w:pPr>
              <w:pStyle w:val="201"/>
              <w:spacing w:line="360" w:lineRule="auto"/>
              <w:rPr>
                <w:rFonts w:hint="eastAsia" w:ascii="仿宋" w:hAnsi="仿宋" w:eastAsia="仿宋" w:cs="仿宋"/>
                <w:b/>
                <w:color w:val="auto"/>
                <w:sz w:val="20"/>
                <w:szCs w:val="28"/>
                <w:highlight w:val="none"/>
              </w:rPr>
            </w:pPr>
          </w:p>
          <w:p w14:paraId="3B08E579">
            <w:pPr>
              <w:pStyle w:val="201"/>
              <w:spacing w:line="360" w:lineRule="auto"/>
              <w:ind w:left="244"/>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专业</w:t>
            </w:r>
          </w:p>
        </w:tc>
        <w:tc>
          <w:tcPr>
            <w:tcW w:w="1247" w:type="dxa"/>
            <w:noWrap w:val="0"/>
          </w:tcPr>
          <w:p w14:paraId="56A59172">
            <w:pPr>
              <w:pStyle w:val="201"/>
              <w:spacing w:line="360" w:lineRule="auto"/>
              <w:rPr>
                <w:rFonts w:hint="eastAsia" w:ascii="仿宋" w:hAnsi="仿宋" w:eastAsia="仿宋" w:cs="仿宋"/>
                <w:b/>
                <w:color w:val="auto"/>
                <w:sz w:val="16"/>
                <w:szCs w:val="28"/>
                <w:highlight w:val="none"/>
              </w:rPr>
            </w:pPr>
          </w:p>
          <w:p w14:paraId="2DAA2657">
            <w:pPr>
              <w:pStyle w:val="201"/>
              <w:spacing w:line="360" w:lineRule="auto"/>
              <w:ind w:left="388"/>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职称</w:t>
            </w:r>
          </w:p>
        </w:tc>
        <w:tc>
          <w:tcPr>
            <w:tcW w:w="2672" w:type="dxa"/>
            <w:noWrap w:val="0"/>
          </w:tcPr>
          <w:p w14:paraId="3DE0F3C2">
            <w:pPr>
              <w:pStyle w:val="201"/>
              <w:spacing w:line="360" w:lineRule="auto"/>
              <w:rPr>
                <w:rFonts w:hint="eastAsia" w:ascii="仿宋" w:hAnsi="仿宋" w:eastAsia="仿宋" w:cs="仿宋"/>
                <w:b/>
                <w:color w:val="auto"/>
                <w:sz w:val="16"/>
                <w:szCs w:val="28"/>
                <w:highlight w:val="none"/>
              </w:rPr>
            </w:pPr>
          </w:p>
          <w:p w14:paraId="2B0B830C">
            <w:pPr>
              <w:pStyle w:val="201"/>
              <w:spacing w:line="360" w:lineRule="auto"/>
              <w:ind w:left="655"/>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承担过的项目</w:t>
            </w:r>
          </w:p>
        </w:tc>
      </w:tr>
      <w:tr w14:paraId="50E21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9" w:hRule="atLeast"/>
        </w:trPr>
        <w:tc>
          <w:tcPr>
            <w:tcW w:w="1970" w:type="dxa"/>
            <w:noWrap w:val="0"/>
          </w:tcPr>
          <w:p w14:paraId="20B488D1">
            <w:pPr>
              <w:pStyle w:val="201"/>
              <w:spacing w:line="360" w:lineRule="auto"/>
              <w:ind w:left="218" w:right="20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w:t>
            </w:r>
          </w:p>
          <w:p w14:paraId="63FF74B7">
            <w:pPr>
              <w:pStyle w:val="201"/>
              <w:spacing w:line="360" w:lineRule="auto"/>
              <w:ind w:left="218" w:right="207"/>
              <w:jc w:val="center"/>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负责人</w:t>
            </w:r>
          </w:p>
        </w:tc>
        <w:tc>
          <w:tcPr>
            <w:tcW w:w="1066" w:type="dxa"/>
            <w:noWrap w:val="0"/>
          </w:tcPr>
          <w:p w14:paraId="507FFFEB">
            <w:pPr>
              <w:pStyle w:val="201"/>
              <w:spacing w:line="360" w:lineRule="auto"/>
              <w:rPr>
                <w:rFonts w:hint="eastAsia" w:ascii="仿宋" w:hAnsi="仿宋" w:eastAsia="仿宋" w:cs="仿宋"/>
                <w:color w:val="auto"/>
                <w:szCs w:val="28"/>
                <w:highlight w:val="none"/>
              </w:rPr>
            </w:pPr>
          </w:p>
        </w:tc>
        <w:tc>
          <w:tcPr>
            <w:tcW w:w="1067" w:type="dxa"/>
            <w:noWrap w:val="0"/>
          </w:tcPr>
          <w:p w14:paraId="153878A6">
            <w:pPr>
              <w:pStyle w:val="201"/>
              <w:spacing w:line="360" w:lineRule="auto"/>
              <w:rPr>
                <w:rFonts w:hint="eastAsia" w:ascii="仿宋" w:hAnsi="仿宋" w:eastAsia="仿宋" w:cs="仿宋"/>
                <w:color w:val="auto"/>
                <w:szCs w:val="28"/>
                <w:highlight w:val="none"/>
              </w:rPr>
            </w:pPr>
          </w:p>
        </w:tc>
        <w:tc>
          <w:tcPr>
            <w:tcW w:w="1190" w:type="dxa"/>
            <w:noWrap w:val="0"/>
          </w:tcPr>
          <w:p w14:paraId="184A8915">
            <w:pPr>
              <w:pStyle w:val="201"/>
              <w:spacing w:line="360" w:lineRule="auto"/>
              <w:rPr>
                <w:rFonts w:hint="eastAsia" w:ascii="仿宋" w:hAnsi="仿宋" w:eastAsia="仿宋" w:cs="仿宋"/>
                <w:color w:val="auto"/>
                <w:szCs w:val="28"/>
                <w:highlight w:val="none"/>
              </w:rPr>
            </w:pPr>
          </w:p>
        </w:tc>
        <w:tc>
          <w:tcPr>
            <w:tcW w:w="944" w:type="dxa"/>
            <w:noWrap w:val="0"/>
          </w:tcPr>
          <w:p w14:paraId="45E306E0">
            <w:pPr>
              <w:pStyle w:val="201"/>
              <w:spacing w:line="360" w:lineRule="auto"/>
              <w:rPr>
                <w:rFonts w:hint="eastAsia" w:ascii="仿宋" w:hAnsi="仿宋" w:eastAsia="仿宋" w:cs="仿宋"/>
                <w:color w:val="auto"/>
                <w:szCs w:val="28"/>
                <w:highlight w:val="none"/>
              </w:rPr>
            </w:pPr>
          </w:p>
        </w:tc>
        <w:tc>
          <w:tcPr>
            <w:tcW w:w="1247" w:type="dxa"/>
            <w:noWrap w:val="0"/>
          </w:tcPr>
          <w:p w14:paraId="50F57188">
            <w:pPr>
              <w:pStyle w:val="201"/>
              <w:spacing w:line="360" w:lineRule="auto"/>
              <w:rPr>
                <w:rFonts w:hint="eastAsia" w:ascii="仿宋" w:hAnsi="仿宋" w:eastAsia="仿宋" w:cs="仿宋"/>
                <w:color w:val="auto"/>
                <w:szCs w:val="28"/>
                <w:highlight w:val="none"/>
              </w:rPr>
            </w:pPr>
          </w:p>
        </w:tc>
        <w:tc>
          <w:tcPr>
            <w:tcW w:w="2672" w:type="dxa"/>
            <w:noWrap w:val="0"/>
          </w:tcPr>
          <w:p w14:paraId="49400CCE">
            <w:pPr>
              <w:pStyle w:val="201"/>
              <w:spacing w:line="360" w:lineRule="auto"/>
              <w:rPr>
                <w:rFonts w:hint="eastAsia" w:ascii="仿宋" w:hAnsi="仿宋" w:eastAsia="仿宋" w:cs="仿宋"/>
                <w:color w:val="auto"/>
                <w:szCs w:val="28"/>
                <w:highlight w:val="none"/>
              </w:rPr>
            </w:pPr>
          </w:p>
        </w:tc>
      </w:tr>
      <w:tr w14:paraId="521AB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970" w:type="dxa"/>
            <w:noWrap w:val="0"/>
          </w:tcPr>
          <w:p w14:paraId="3320B113">
            <w:pPr>
              <w:pStyle w:val="201"/>
              <w:spacing w:line="360" w:lineRule="auto"/>
              <w:ind w:left="215" w:right="20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066" w:type="dxa"/>
            <w:noWrap w:val="0"/>
          </w:tcPr>
          <w:p w14:paraId="50EF5315">
            <w:pPr>
              <w:pStyle w:val="201"/>
              <w:spacing w:line="360" w:lineRule="auto"/>
              <w:rPr>
                <w:rFonts w:hint="eastAsia" w:ascii="仿宋" w:hAnsi="仿宋" w:eastAsia="仿宋" w:cs="仿宋"/>
                <w:color w:val="auto"/>
                <w:szCs w:val="28"/>
                <w:highlight w:val="none"/>
              </w:rPr>
            </w:pPr>
          </w:p>
        </w:tc>
        <w:tc>
          <w:tcPr>
            <w:tcW w:w="1067" w:type="dxa"/>
            <w:noWrap w:val="0"/>
          </w:tcPr>
          <w:p w14:paraId="63224CF6">
            <w:pPr>
              <w:pStyle w:val="201"/>
              <w:spacing w:line="360" w:lineRule="auto"/>
              <w:rPr>
                <w:rFonts w:hint="eastAsia" w:ascii="仿宋" w:hAnsi="仿宋" w:eastAsia="仿宋" w:cs="仿宋"/>
                <w:color w:val="auto"/>
                <w:szCs w:val="28"/>
                <w:highlight w:val="none"/>
              </w:rPr>
            </w:pPr>
          </w:p>
        </w:tc>
        <w:tc>
          <w:tcPr>
            <w:tcW w:w="1190" w:type="dxa"/>
            <w:noWrap w:val="0"/>
          </w:tcPr>
          <w:p w14:paraId="6D5FEF0A">
            <w:pPr>
              <w:pStyle w:val="201"/>
              <w:spacing w:line="360" w:lineRule="auto"/>
              <w:rPr>
                <w:rFonts w:hint="eastAsia" w:ascii="仿宋" w:hAnsi="仿宋" w:eastAsia="仿宋" w:cs="仿宋"/>
                <w:color w:val="auto"/>
                <w:szCs w:val="28"/>
                <w:highlight w:val="none"/>
              </w:rPr>
            </w:pPr>
          </w:p>
        </w:tc>
        <w:tc>
          <w:tcPr>
            <w:tcW w:w="944" w:type="dxa"/>
            <w:noWrap w:val="0"/>
          </w:tcPr>
          <w:p w14:paraId="6F89D2FA">
            <w:pPr>
              <w:pStyle w:val="201"/>
              <w:spacing w:line="360" w:lineRule="auto"/>
              <w:rPr>
                <w:rFonts w:hint="eastAsia" w:ascii="仿宋" w:hAnsi="仿宋" w:eastAsia="仿宋" w:cs="仿宋"/>
                <w:color w:val="auto"/>
                <w:szCs w:val="28"/>
                <w:highlight w:val="none"/>
              </w:rPr>
            </w:pPr>
          </w:p>
        </w:tc>
        <w:tc>
          <w:tcPr>
            <w:tcW w:w="1247" w:type="dxa"/>
            <w:noWrap w:val="0"/>
          </w:tcPr>
          <w:p w14:paraId="31C9CA02">
            <w:pPr>
              <w:pStyle w:val="201"/>
              <w:spacing w:line="360" w:lineRule="auto"/>
              <w:rPr>
                <w:rFonts w:hint="eastAsia" w:ascii="仿宋" w:hAnsi="仿宋" w:eastAsia="仿宋" w:cs="仿宋"/>
                <w:color w:val="auto"/>
                <w:szCs w:val="28"/>
                <w:highlight w:val="none"/>
              </w:rPr>
            </w:pPr>
          </w:p>
        </w:tc>
        <w:tc>
          <w:tcPr>
            <w:tcW w:w="2672" w:type="dxa"/>
            <w:noWrap w:val="0"/>
          </w:tcPr>
          <w:p w14:paraId="6FE1DF35">
            <w:pPr>
              <w:pStyle w:val="201"/>
              <w:spacing w:line="360" w:lineRule="auto"/>
              <w:rPr>
                <w:rFonts w:hint="eastAsia" w:ascii="仿宋" w:hAnsi="仿宋" w:eastAsia="仿宋" w:cs="仿宋"/>
                <w:color w:val="auto"/>
                <w:szCs w:val="28"/>
                <w:highlight w:val="none"/>
              </w:rPr>
            </w:pPr>
          </w:p>
        </w:tc>
      </w:tr>
      <w:tr w14:paraId="3DD03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970" w:type="dxa"/>
            <w:noWrap w:val="0"/>
          </w:tcPr>
          <w:p w14:paraId="27A2D028">
            <w:pPr>
              <w:pStyle w:val="201"/>
              <w:spacing w:line="360" w:lineRule="auto"/>
              <w:ind w:left="215" w:right="20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066" w:type="dxa"/>
            <w:noWrap w:val="0"/>
          </w:tcPr>
          <w:p w14:paraId="202C671B">
            <w:pPr>
              <w:pStyle w:val="201"/>
              <w:spacing w:line="360" w:lineRule="auto"/>
              <w:rPr>
                <w:rFonts w:hint="eastAsia" w:ascii="仿宋" w:hAnsi="仿宋" w:eastAsia="仿宋" w:cs="仿宋"/>
                <w:color w:val="auto"/>
                <w:szCs w:val="28"/>
                <w:highlight w:val="none"/>
              </w:rPr>
            </w:pPr>
          </w:p>
        </w:tc>
        <w:tc>
          <w:tcPr>
            <w:tcW w:w="1067" w:type="dxa"/>
            <w:noWrap w:val="0"/>
          </w:tcPr>
          <w:p w14:paraId="20FAB183">
            <w:pPr>
              <w:pStyle w:val="201"/>
              <w:spacing w:line="360" w:lineRule="auto"/>
              <w:rPr>
                <w:rFonts w:hint="eastAsia" w:ascii="仿宋" w:hAnsi="仿宋" w:eastAsia="仿宋" w:cs="仿宋"/>
                <w:color w:val="auto"/>
                <w:szCs w:val="28"/>
                <w:highlight w:val="none"/>
              </w:rPr>
            </w:pPr>
          </w:p>
        </w:tc>
        <w:tc>
          <w:tcPr>
            <w:tcW w:w="1190" w:type="dxa"/>
            <w:noWrap w:val="0"/>
          </w:tcPr>
          <w:p w14:paraId="1E3A683D">
            <w:pPr>
              <w:pStyle w:val="201"/>
              <w:spacing w:line="360" w:lineRule="auto"/>
              <w:rPr>
                <w:rFonts w:hint="eastAsia" w:ascii="仿宋" w:hAnsi="仿宋" w:eastAsia="仿宋" w:cs="仿宋"/>
                <w:color w:val="auto"/>
                <w:szCs w:val="28"/>
                <w:highlight w:val="none"/>
              </w:rPr>
            </w:pPr>
          </w:p>
        </w:tc>
        <w:tc>
          <w:tcPr>
            <w:tcW w:w="944" w:type="dxa"/>
            <w:noWrap w:val="0"/>
          </w:tcPr>
          <w:p w14:paraId="7F56D877">
            <w:pPr>
              <w:pStyle w:val="201"/>
              <w:spacing w:line="360" w:lineRule="auto"/>
              <w:rPr>
                <w:rFonts w:hint="eastAsia" w:ascii="仿宋" w:hAnsi="仿宋" w:eastAsia="仿宋" w:cs="仿宋"/>
                <w:color w:val="auto"/>
                <w:szCs w:val="28"/>
                <w:highlight w:val="none"/>
              </w:rPr>
            </w:pPr>
          </w:p>
        </w:tc>
        <w:tc>
          <w:tcPr>
            <w:tcW w:w="1247" w:type="dxa"/>
            <w:noWrap w:val="0"/>
          </w:tcPr>
          <w:p w14:paraId="4F5D7660">
            <w:pPr>
              <w:pStyle w:val="201"/>
              <w:spacing w:line="360" w:lineRule="auto"/>
              <w:rPr>
                <w:rFonts w:hint="eastAsia" w:ascii="仿宋" w:hAnsi="仿宋" w:eastAsia="仿宋" w:cs="仿宋"/>
                <w:color w:val="auto"/>
                <w:szCs w:val="28"/>
                <w:highlight w:val="none"/>
              </w:rPr>
            </w:pPr>
          </w:p>
        </w:tc>
        <w:tc>
          <w:tcPr>
            <w:tcW w:w="2672" w:type="dxa"/>
            <w:noWrap w:val="0"/>
          </w:tcPr>
          <w:p w14:paraId="6CCA4B73">
            <w:pPr>
              <w:pStyle w:val="201"/>
              <w:spacing w:line="360" w:lineRule="auto"/>
              <w:rPr>
                <w:rFonts w:hint="eastAsia" w:ascii="仿宋" w:hAnsi="仿宋" w:eastAsia="仿宋" w:cs="仿宋"/>
                <w:color w:val="auto"/>
                <w:szCs w:val="28"/>
                <w:highlight w:val="none"/>
              </w:rPr>
            </w:pPr>
          </w:p>
        </w:tc>
      </w:tr>
      <w:tr w14:paraId="6F526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970" w:type="dxa"/>
            <w:noWrap w:val="0"/>
          </w:tcPr>
          <w:p w14:paraId="7F73953C">
            <w:pPr>
              <w:pStyle w:val="201"/>
              <w:spacing w:line="360" w:lineRule="auto"/>
              <w:ind w:left="215" w:right="20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066" w:type="dxa"/>
            <w:noWrap w:val="0"/>
          </w:tcPr>
          <w:p w14:paraId="46E24693">
            <w:pPr>
              <w:pStyle w:val="201"/>
              <w:spacing w:line="360" w:lineRule="auto"/>
              <w:rPr>
                <w:rFonts w:hint="eastAsia" w:ascii="仿宋" w:hAnsi="仿宋" w:eastAsia="仿宋" w:cs="仿宋"/>
                <w:color w:val="auto"/>
                <w:szCs w:val="28"/>
                <w:highlight w:val="none"/>
              </w:rPr>
            </w:pPr>
          </w:p>
        </w:tc>
        <w:tc>
          <w:tcPr>
            <w:tcW w:w="1067" w:type="dxa"/>
            <w:noWrap w:val="0"/>
          </w:tcPr>
          <w:p w14:paraId="4A5639E6">
            <w:pPr>
              <w:pStyle w:val="201"/>
              <w:spacing w:line="360" w:lineRule="auto"/>
              <w:rPr>
                <w:rFonts w:hint="eastAsia" w:ascii="仿宋" w:hAnsi="仿宋" w:eastAsia="仿宋" w:cs="仿宋"/>
                <w:color w:val="auto"/>
                <w:szCs w:val="28"/>
                <w:highlight w:val="none"/>
              </w:rPr>
            </w:pPr>
          </w:p>
        </w:tc>
        <w:tc>
          <w:tcPr>
            <w:tcW w:w="1190" w:type="dxa"/>
            <w:noWrap w:val="0"/>
          </w:tcPr>
          <w:p w14:paraId="5E1CC696">
            <w:pPr>
              <w:pStyle w:val="201"/>
              <w:spacing w:line="360" w:lineRule="auto"/>
              <w:rPr>
                <w:rFonts w:hint="eastAsia" w:ascii="仿宋" w:hAnsi="仿宋" w:eastAsia="仿宋" w:cs="仿宋"/>
                <w:color w:val="auto"/>
                <w:szCs w:val="28"/>
                <w:highlight w:val="none"/>
              </w:rPr>
            </w:pPr>
          </w:p>
        </w:tc>
        <w:tc>
          <w:tcPr>
            <w:tcW w:w="944" w:type="dxa"/>
            <w:noWrap w:val="0"/>
          </w:tcPr>
          <w:p w14:paraId="10E60B25">
            <w:pPr>
              <w:pStyle w:val="201"/>
              <w:spacing w:line="360" w:lineRule="auto"/>
              <w:rPr>
                <w:rFonts w:hint="eastAsia" w:ascii="仿宋" w:hAnsi="仿宋" w:eastAsia="仿宋" w:cs="仿宋"/>
                <w:color w:val="auto"/>
                <w:szCs w:val="28"/>
                <w:highlight w:val="none"/>
              </w:rPr>
            </w:pPr>
          </w:p>
        </w:tc>
        <w:tc>
          <w:tcPr>
            <w:tcW w:w="1247" w:type="dxa"/>
            <w:noWrap w:val="0"/>
          </w:tcPr>
          <w:p w14:paraId="780A451C">
            <w:pPr>
              <w:pStyle w:val="201"/>
              <w:spacing w:line="360" w:lineRule="auto"/>
              <w:rPr>
                <w:rFonts w:hint="eastAsia" w:ascii="仿宋" w:hAnsi="仿宋" w:eastAsia="仿宋" w:cs="仿宋"/>
                <w:color w:val="auto"/>
                <w:szCs w:val="28"/>
                <w:highlight w:val="none"/>
              </w:rPr>
            </w:pPr>
          </w:p>
        </w:tc>
        <w:tc>
          <w:tcPr>
            <w:tcW w:w="2672" w:type="dxa"/>
            <w:noWrap w:val="0"/>
          </w:tcPr>
          <w:p w14:paraId="7CE6E60A">
            <w:pPr>
              <w:pStyle w:val="201"/>
              <w:spacing w:line="360" w:lineRule="auto"/>
              <w:rPr>
                <w:rFonts w:hint="eastAsia" w:ascii="仿宋" w:hAnsi="仿宋" w:eastAsia="仿宋" w:cs="仿宋"/>
                <w:color w:val="auto"/>
                <w:szCs w:val="28"/>
                <w:highlight w:val="none"/>
              </w:rPr>
            </w:pPr>
          </w:p>
        </w:tc>
      </w:tr>
      <w:tr w14:paraId="326FC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1970" w:type="dxa"/>
            <w:noWrap w:val="0"/>
          </w:tcPr>
          <w:p w14:paraId="18565451">
            <w:pPr>
              <w:pStyle w:val="201"/>
              <w:spacing w:line="360" w:lineRule="auto"/>
              <w:ind w:left="215" w:right="20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066" w:type="dxa"/>
            <w:noWrap w:val="0"/>
          </w:tcPr>
          <w:p w14:paraId="5C70B203">
            <w:pPr>
              <w:pStyle w:val="201"/>
              <w:spacing w:line="360" w:lineRule="auto"/>
              <w:rPr>
                <w:rFonts w:hint="eastAsia" w:ascii="仿宋" w:hAnsi="仿宋" w:eastAsia="仿宋" w:cs="仿宋"/>
                <w:color w:val="auto"/>
                <w:szCs w:val="28"/>
                <w:highlight w:val="none"/>
              </w:rPr>
            </w:pPr>
          </w:p>
        </w:tc>
        <w:tc>
          <w:tcPr>
            <w:tcW w:w="1067" w:type="dxa"/>
            <w:noWrap w:val="0"/>
          </w:tcPr>
          <w:p w14:paraId="3B156B49">
            <w:pPr>
              <w:pStyle w:val="201"/>
              <w:spacing w:line="360" w:lineRule="auto"/>
              <w:rPr>
                <w:rFonts w:hint="eastAsia" w:ascii="仿宋" w:hAnsi="仿宋" w:eastAsia="仿宋" w:cs="仿宋"/>
                <w:color w:val="auto"/>
                <w:szCs w:val="28"/>
                <w:highlight w:val="none"/>
              </w:rPr>
            </w:pPr>
          </w:p>
        </w:tc>
        <w:tc>
          <w:tcPr>
            <w:tcW w:w="1190" w:type="dxa"/>
            <w:noWrap w:val="0"/>
          </w:tcPr>
          <w:p w14:paraId="6123128E">
            <w:pPr>
              <w:pStyle w:val="201"/>
              <w:spacing w:line="360" w:lineRule="auto"/>
              <w:rPr>
                <w:rFonts w:hint="eastAsia" w:ascii="仿宋" w:hAnsi="仿宋" w:eastAsia="仿宋" w:cs="仿宋"/>
                <w:color w:val="auto"/>
                <w:szCs w:val="28"/>
                <w:highlight w:val="none"/>
              </w:rPr>
            </w:pPr>
          </w:p>
        </w:tc>
        <w:tc>
          <w:tcPr>
            <w:tcW w:w="944" w:type="dxa"/>
            <w:noWrap w:val="0"/>
          </w:tcPr>
          <w:p w14:paraId="7355962C">
            <w:pPr>
              <w:pStyle w:val="201"/>
              <w:spacing w:line="360" w:lineRule="auto"/>
              <w:rPr>
                <w:rFonts w:hint="eastAsia" w:ascii="仿宋" w:hAnsi="仿宋" w:eastAsia="仿宋" w:cs="仿宋"/>
                <w:color w:val="auto"/>
                <w:szCs w:val="28"/>
                <w:highlight w:val="none"/>
              </w:rPr>
            </w:pPr>
          </w:p>
        </w:tc>
        <w:tc>
          <w:tcPr>
            <w:tcW w:w="1247" w:type="dxa"/>
            <w:noWrap w:val="0"/>
          </w:tcPr>
          <w:p w14:paraId="30936F50">
            <w:pPr>
              <w:pStyle w:val="201"/>
              <w:spacing w:line="360" w:lineRule="auto"/>
              <w:rPr>
                <w:rFonts w:hint="eastAsia" w:ascii="仿宋" w:hAnsi="仿宋" w:eastAsia="仿宋" w:cs="仿宋"/>
                <w:color w:val="auto"/>
                <w:szCs w:val="28"/>
                <w:highlight w:val="none"/>
              </w:rPr>
            </w:pPr>
          </w:p>
        </w:tc>
        <w:tc>
          <w:tcPr>
            <w:tcW w:w="2672" w:type="dxa"/>
            <w:noWrap w:val="0"/>
          </w:tcPr>
          <w:p w14:paraId="34668B8E">
            <w:pPr>
              <w:pStyle w:val="201"/>
              <w:spacing w:line="360" w:lineRule="auto"/>
              <w:rPr>
                <w:rFonts w:hint="eastAsia" w:ascii="仿宋" w:hAnsi="仿宋" w:eastAsia="仿宋" w:cs="仿宋"/>
                <w:color w:val="auto"/>
                <w:szCs w:val="28"/>
                <w:highlight w:val="none"/>
              </w:rPr>
            </w:pPr>
          </w:p>
        </w:tc>
      </w:tr>
    </w:tbl>
    <w:p w14:paraId="7BE6256D">
      <w:pPr>
        <w:pStyle w:val="15"/>
        <w:spacing w:line="360" w:lineRule="auto"/>
        <w:ind w:left="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（盖章）</w:t>
      </w:r>
    </w:p>
    <w:p w14:paraId="4C586981">
      <w:pPr>
        <w:pStyle w:val="15"/>
        <w:tabs>
          <w:tab w:val="left" w:pos="6443"/>
          <w:tab w:val="left" w:pos="7072"/>
          <w:tab w:val="left" w:pos="7598"/>
          <w:tab w:val="left" w:pos="8018"/>
          <w:tab w:val="left" w:pos="8438"/>
        </w:tabs>
        <w:spacing w:line="360" w:lineRule="auto"/>
        <w:ind w:left="878" w:right="2196"/>
        <w:rPr>
          <w:rFonts w:hint="eastAsia" w:ascii="仿宋" w:hAnsi="仿宋" w:eastAsia="仿宋" w:cs="仿宋"/>
          <w:color w:val="auto"/>
          <w:spacing w:val="-17"/>
          <w:sz w:val="24"/>
          <w:szCs w:val="24"/>
          <w:highlight w:val="none"/>
        </w:rPr>
      </w:pPr>
      <w:r>
        <w:rPr>
          <w:rFonts w:hint="eastAsia" w:ascii="仿宋" w:hAnsi="仿宋" w:eastAsia="仿宋" w:cs="仿宋"/>
          <w:color w:val="auto"/>
          <w:sz w:val="24"/>
          <w:szCs w:val="24"/>
          <w:highlight w:val="none"/>
        </w:rPr>
        <w:t>法人代表或授权代表签字：</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rPr>
        <w:tab/>
      </w:r>
      <w:r>
        <w:rPr>
          <w:rFonts w:hint="eastAsia" w:ascii="仿宋" w:hAnsi="仿宋" w:eastAsia="仿宋" w:cs="仿宋"/>
          <w:color w:val="auto"/>
          <w:spacing w:val="-17"/>
          <w:sz w:val="24"/>
          <w:szCs w:val="24"/>
          <w:highlight w:val="none"/>
        </w:rPr>
        <w:t>日</w:t>
      </w:r>
    </w:p>
    <w:p w14:paraId="6CC86E02">
      <w:pPr>
        <w:pStyle w:val="15"/>
        <w:tabs>
          <w:tab w:val="left" w:pos="6443"/>
          <w:tab w:val="left" w:pos="7072"/>
          <w:tab w:val="left" w:pos="7598"/>
          <w:tab w:val="left" w:pos="8018"/>
          <w:tab w:val="left" w:pos="8438"/>
        </w:tabs>
        <w:spacing w:line="360" w:lineRule="auto"/>
        <w:ind w:left="878" w:right="2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4E9D593B">
      <w:pPr>
        <w:pStyle w:val="15"/>
        <w:spacing w:line="360" w:lineRule="auto"/>
        <w:ind w:left="8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如果行、列数不够，请自行增加。</w:t>
      </w:r>
    </w:p>
    <w:p w14:paraId="35D20F95">
      <w:pPr>
        <w:spacing w:line="360" w:lineRule="auto"/>
        <w:ind w:left="878"/>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lang w:eastAsia="zh-CN"/>
        </w:rPr>
        <w:t>2.</w:t>
      </w:r>
      <w:r>
        <w:rPr>
          <w:rFonts w:hint="eastAsia" w:ascii="仿宋" w:hAnsi="仿宋" w:eastAsia="仿宋" w:cs="仿宋"/>
          <w:b/>
          <w:color w:val="auto"/>
          <w:sz w:val="24"/>
          <w:szCs w:val="28"/>
          <w:highlight w:val="none"/>
        </w:rPr>
        <w:t>请同时提供以上人员的相关专业、职称或执业资格等证明材料复印件，原件备查。</w:t>
      </w:r>
    </w:p>
    <w:p w14:paraId="3AE53CCE">
      <w:pPr>
        <w:spacing w:line="360" w:lineRule="auto"/>
        <w:rPr>
          <w:rFonts w:hint="eastAsia" w:ascii="仿宋" w:hAnsi="仿宋" w:eastAsia="仿宋" w:cs="仿宋"/>
          <w:color w:val="auto"/>
          <w:sz w:val="24"/>
          <w:szCs w:val="28"/>
          <w:highlight w:val="none"/>
        </w:rPr>
        <w:sectPr>
          <w:pgSz w:w="11910" w:h="16840"/>
          <w:pgMar w:top="1338" w:right="850" w:bottom="1179" w:left="850" w:header="0" w:footer="992" w:gutter="0"/>
          <w:cols w:space="425" w:num="1"/>
          <w:docGrid w:linePitch="360" w:charSpace="0"/>
        </w:sectPr>
      </w:pPr>
    </w:p>
    <w:p w14:paraId="587C9D96">
      <w:pPr>
        <w:spacing w:line="360" w:lineRule="auto"/>
        <w:ind w:left="9" w:right="21"/>
        <w:jc w:val="both"/>
        <w:outlineLvl w:val="1"/>
        <w:rPr>
          <w:rFonts w:hint="eastAsia" w:ascii="仿宋" w:hAnsi="仿宋" w:eastAsia="仿宋" w:cs="仿宋"/>
          <w:b/>
          <w:color w:val="auto"/>
          <w:sz w:val="24"/>
          <w:szCs w:val="28"/>
          <w:highlight w:val="none"/>
        </w:rPr>
      </w:pPr>
      <w:bookmarkStart w:id="59" w:name="_Toc8932"/>
      <w:r>
        <w:rPr>
          <w:rFonts w:hint="eastAsia" w:ascii="仿宋" w:hAnsi="仿宋" w:eastAsia="仿宋" w:cs="仿宋"/>
          <w:b/>
          <w:color w:val="auto"/>
          <w:sz w:val="24"/>
          <w:szCs w:val="28"/>
          <w:highlight w:val="none"/>
        </w:rPr>
        <w:t>附件八、商务条款响应表</w:t>
      </w:r>
      <w:bookmarkEnd w:id="59"/>
    </w:p>
    <w:p w14:paraId="47045F51">
      <w:pPr>
        <w:pStyle w:val="15"/>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t>商务条款响应表</w:t>
      </w:r>
    </w:p>
    <w:p w14:paraId="424A08BC">
      <w:pPr>
        <w:pStyle w:val="15"/>
        <w:spacing w:line="360" w:lineRule="auto"/>
        <w:ind w:left="87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 </w:t>
      </w:r>
      <w:r>
        <w:rPr>
          <w:rFonts w:hint="eastAsia" w:ascii="仿宋" w:hAnsi="仿宋" w:eastAsia="仿宋" w:cs="仿宋"/>
          <w:color w:val="auto"/>
          <w:sz w:val="24"/>
          <w:szCs w:val="24"/>
          <w:highlight w:val="none"/>
          <w:lang w:eastAsia="zh-CN"/>
        </w:rPr>
        <w:t>JSZC-320115-NJRD-G2026-0008</w:t>
      </w:r>
    </w:p>
    <w:p w14:paraId="6D4817DD">
      <w:pPr>
        <w:spacing w:line="360" w:lineRule="auto"/>
        <w:ind w:left="878"/>
        <w:rPr>
          <w:rFonts w:hint="eastAsia" w:ascii="仿宋" w:hAnsi="仿宋" w:eastAsia="仿宋" w:cs="仿宋"/>
          <w:b/>
          <w:color w:val="auto"/>
          <w:sz w:val="24"/>
          <w:szCs w:val="28"/>
          <w:highlight w:val="none"/>
        </w:rPr>
      </w:pPr>
      <w:r>
        <w:rPr>
          <w:rFonts w:hint="eastAsia" w:ascii="仿宋" w:hAnsi="仿宋" w:eastAsia="仿宋" w:cs="仿宋"/>
          <w:color w:val="auto"/>
          <w:sz w:val="24"/>
          <w:szCs w:val="28"/>
          <w:highlight w:val="none"/>
        </w:rPr>
        <w:t>项目名称：</w:t>
      </w:r>
      <w:r>
        <w:rPr>
          <w:rFonts w:hint="eastAsia" w:ascii="仿宋" w:hAnsi="仿宋" w:eastAsia="仿宋" w:cs="仿宋"/>
          <w:b/>
          <w:color w:val="auto"/>
          <w:sz w:val="24"/>
          <w:szCs w:val="28"/>
          <w:highlight w:val="none"/>
          <w:u w:val="single"/>
          <w:lang w:eastAsia="zh-CN"/>
        </w:rPr>
        <w:t>禄口街道2026-2029年度压缩垃圾清运服务</w:t>
      </w:r>
      <w:r>
        <w:rPr>
          <w:rFonts w:hint="eastAsia" w:ascii="仿宋" w:hAnsi="仿宋" w:eastAsia="仿宋" w:cs="仿宋"/>
          <w:b/>
          <w:color w:val="auto"/>
          <w:sz w:val="24"/>
          <w:szCs w:val="28"/>
          <w:highlight w:val="none"/>
          <w:u w:val="single"/>
        </w:rPr>
        <w:t>工程</w:t>
      </w:r>
    </w:p>
    <w:p w14:paraId="079FE686">
      <w:pPr>
        <w:pStyle w:val="15"/>
        <w:spacing w:line="360" w:lineRule="auto"/>
        <w:rPr>
          <w:rFonts w:hint="eastAsia" w:ascii="仿宋" w:hAnsi="仿宋" w:eastAsia="仿宋" w:cs="仿宋"/>
          <w:b/>
          <w:color w:val="auto"/>
          <w:sz w:val="13"/>
          <w:szCs w:val="24"/>
          <w:highlight w:val="none"/>
        </w:rPr>
      </w:pPr>
    </w:p>
    <w:tbl>
      <w:tblPr>
        <w:tblStyle w:val="39"/>
        <w:tblW w:w="9820" w:type="dxa"/>
        <w:tblInd w:w="17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15"/>
        <w:gridCol w:w="4028"/>
        <w:gridCol w:w="3417"/>
        <w:gridCol w:w="1260"/>
      </w:tblGrid>
      <w:tr w14:paraId="2DD39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1115" w:type="dxa"/>
            <w:noWrap w:val="0"/>
          </w:tcPr>
          <w:p w14:paraId="67A59C22">
            <w:pPr>
              <w:pStyle w:val="201"/>
              <w:spacing w:line="360" w:lineRule="auto"/>
              <w:ind w:right="368"/>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lang w:val="en-US" w:eastAsia="zh-CN"/>
              </w:rPr>
              <w:t xml:space="preserve">  </w:t>
            </w:r>
            <w:r>
              <w:rPr>
                <w:rFonts w:hint="eastAsia" w:ascii="仿宋" w:hAnsi="仿宋" w:eastAsia="仿宋" w:cs="仿宋"/>
                <w:b/>
                <w:color w:val="auto"/>
                <w:sz w:val="24"/>
                <w:szCs w:val="28"/>
                <w:highlight w:val="none"/>
              </w:rPr>
              <w:t>序号</w:t>
            </w:r>
          </w:p>
        </w:tc>
        <w:tc>
          <w:tcPr>
            <w:tcW w:w="4028" w:type="dxa"/>
            <w:noWrap w:val="0"/>
          </w:tcPr>
          <w:p w14:paraId="6CD372A1">
            <w:pPr>
              <w:pStyle w:val="201"/>
              <w:spacing w:line="360" w:lineRule="auto"/>
              <w:ind w:left="700"/>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招标文件的商务条款</w:t>
            </w:r>
          </w:p>
        </w:tc>
        <w:tc>
          <w:tcPr>
            <w:tcW w:w="3417" w:type="dxa"/>
            <w:noWrap w:val="0"/>
          </w:tcPr>
          <w:p w14:paraId="35E0C786">
            <w:pPr>
              <w:pStyle w:val="201"/>
              <w:spacing w:line="360" w:lineRule="auto"/>
              <w:ind w:left="769"/>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响应文件的商务条款</w:t>
            </w:r>
          </w:p>
        </w:tc>
        <w:tc>
          <w:tcPr>
            <w:tcW w:w="1260" w:type="dxa"/>
            <w:noWrap w:val="0"/>
          </w:tcPr>
          <w:p w14:paraId="0CCAA1EA">
            <w:pPr>
              <w:pStyle w:val="201"/>
              <w:tabs>
                <w:tab w:val="left" w:pos="422"/>
              </w:tabs>
              <w:spacing w:line="360" w:lineRule="auto"/>
              <w:ind w:right="300"/>
              <w:jc w:val="right"/>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说</w:t>
            </w:r>
            <w:r>
              <w:rPr>
                <w:rFonts w:hint="eastAsia" w:ascii="仿宋" w:hAnsi="仿宋" w:eastAsia="仿宋" w:cs="仿宋"/>
                <w:b/>
                <w:color w:val="auto"/>
                <w:sz w:val="24"/>
                <w:szCs w:val="28"/>
                <w:highlight w:val="none"/>
              </w:rPr>
              <w:tab/>
            </w:r>
            <w:r>
              <w:rPr>
                <w:rFonts w:hint="eastAsia" w:ascii="仿宋" w:hAnsi="仿宋" w:eastAsia="仿宋" w:cs="仿宋"/>
                <w:b/>
                <w:color w:val="auto"/>
                <w:sz w:val="24"/>
                <w:szCs w:val="28"/>
                <w:highlight w:val="none"/>
              </w:rPr>
              <w:t>明</w:t>
            </w:r>
          </w:p>
        </w:tc>
      </w:tr>
      <w:tr w14:paraId="33C4D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20B95F36">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1</w:t>
            </w:r>
          </w:p>
        </w:tc>
        <w:tc>
          <w:tcPr>
            <w:tcW w:w="4028" w:type="dxa"/>
            <w:noWrap w:val="0"/>
          </w:tcPr>
          <w:p w14:paraId="1FB9DE9E">
            <w:pPr>
              <w:pStyle w:val="201"/>
              <w:spacing w:line="360" w:lineRule="auto"/>
              <w:ind w:left="1202" w:right="1191"/>
              <w:jc w:val="center"/>
              <w:rPr>
                <w:rFonts w:hint="eastAsia" w:ascii="仿宋" w:hAnsi="仿宋" w:eastAsia="仿宋" w:cs="仿宋"/>
                <w:color w:val="auto"/>
                <w:sz w:val="24"/>
                <w:szCs w:val="28"/>
                <w:highlight w:val="none"/>
              </w:rPr>
            </w:pPr>
          </w:p>
        </w:tc>
        <w:tc>
          <w:tcPr>
            <w:tcW w:w="3417" w:type="dxa"/>
            <w:noWrap w:val="0"/>
          </w:tcPr>
          <w:p w14:paraId="50BF2713">
            <w:pPr>
              <w:pStyle w:val="201"/>
              <w:spacing w:line="360" w:lineRule="auto"/>
              <w:rPr>
                <w:rFonts w:hint="eastAsia" w:ascii="仿宋" w:hAnsi="仿宋" w:eastAsia="仿宋" w:cs="仿宋"/>
                <w:color w:val="auto"/>
                <w:szCs w:val="28"/>
                <w:highlight w:val="none"/>
              </w:rPr>
            </w:pPr>
          </w:p>
        </w:tc>
        <w:tc>
          <w:tcPr>
            <w:tcW w:w="1260" w:type="dxa"/>
            <w:noWrap w:val="0"/>
          </w:tcPr>
          <w:p w14:paraId="1B1CFE0B">
            <w:pPr>
              <w:pStyle w:val="201"/>
              <w:spacing w:line="360" w:lineRule="auto"/>
              <w:rPr>
                <w:rFonts w:hint="eastAsia" w:ascii="仿宋" w:hAnsi="仿宋" w:eastAsia="仿宋" w:cs="仿宋"/>
                <w:color w:val="auto"/>
                <w:szCs w:val="28"/>
                <w:highlight w:val="none"/>
              </w:rPr>
            </w:pPr>
          </w:p>
        </w:tc>
      </w:tr>
      <w:tr w14:paraId="5565F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9" w:hRule="atLeast"/>
        </w:trPr>
        <w:tc>
          <w:tcPr>
            <w:tcW w:w="1115" w:type="dxa"/>
            <w:noWrap w:val="0"/>
          </w:tcPr>
          <w:p w14:paraId="17DCB7F5">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2</w:t>
            </w:r>
          </w:p>
        </w:tc>
        <w:tc>
          <w:tcPr>
            <w:tcW w:w="4028" w:type="dxa"/>
            <w:noWrap w:val="0"/>
          </w:tcPr>
          <w:p w14:paraId="695A84C3">
            <w:pPr>
              <w:pStyle w:val="201"/>
              <w:spacing w:line="360" w:lineRule="auto"/>
              <w:ind w:left="594"/>
              <w:rPr>
                <w:rFonts w:hint="eastAsia" w:ascii="仿宋" w:hAnsi="仿宋" w:eastAsia="仿宋" w:cs="仿宋"/>
                <w:color w:val="auto"/>
                <w:sz w:val="24"/>
                <w:szCs w:val="28"/>
                <w:highlight w:val="none"/>
              </w:rPr>
            </w:pPr>
          </w:p>
        </w:tc>
        <w:tc>
          <w:tcPr>
            <w:tcW w:w="3417" w:type="dxa"/>
            <w:noWrap w:val="0"/>
          </w:tcPr>
          <w:p w14:paraId="7E643294">
            <w:pPr>
              <w:pStyle w:val="201"/>
              <w:spacing w:line="360" w:lineRule="auto"/>
              <w:rPr>
                <w:rFonts w:hint="eastAsia" w:ascii="仿宋" w:hAnsi="仿宋" w:eastAsia="仿宋" w:cs="仿宋"/>
                <w:color w:val="auto"/>
                <w:szCs w:val="28"/>
                <w:highlight w:val="none"/>
              </w:rPr>
            </w:pPr>
          </w:p>
        </w:tc>
        <w:tc>
          <w:tcPr>
            <w:tcW w:w="1260" w:type="dxa"/>
            <w:noWrap w:val="0"/>
          </w:tcPr>
          <w:p w14:paraId="37F21A30">
            <w:pPr>
              <w:pStyle w:val="201"/>
              <w:spacing w:line="360" w:lineRule="auto"/>
              <w:rPr>
                <w:rFonts w:hint="eastAsia" w:ascii="仿宋" w:hAnsi="仿宋" w:eastAsia="仿宋" w:cs="仿宋"/>
                <w:color w:val="auto"/>
                <w:szCs w:val="28"/>
                <w:highlight w:val="none"/>
              </w:rPr>
            </w:pPr>
          </w:p>
        </w:tc>
      </w:tr>
      <w:tr w14:paraId="06903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4CDF859F">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3</w:t>
            </w:r>
          </w:p>
        </w:tc>
        <w:tc>
          <w:tcPr>
            <w:tcW w:w="4028" w:type="dxa"/>
            <w:noWrap w:val="0"/>
          </w:tcPr>
          <w:p w14:paraId="71D73926">
            <w:pPr>
              <w:pStyle w:val="201"/>
              <w:spacing w:line="360" w:lineRule="auto"/>
              <w:ind w:left="909"/>
              <w:rPr>
                <w:rFonts w:hint="eastAsia" w:ascii="仿宋" w:hAnsi="仿宋" w:eastAsia="仿宋" w:cs="仿宋"/>
                <w:color w:val="auto"/>
                <w:sz w:val="24"/>
                <w:szCs w:val="28"/>
                <w:highlight w:val="none"/>
              </w:rPr>
            </w:pPr>
          </w:p>
        </w:tc>
        <w:tc>
          <w:tcPr>
            <w:tcW w:w="3417" w:type="dxa"/>
            <w:noWrap w:val="0"/>
          </w:tcPr>
          <w:p w14:paraId="7310D4FF">
            <w:pPr>
              <w:pStyle w:val="201"/>
              <w:spacing w:line="360" w:lineRule="auto"/>
              <w:rPr>
                <w:rFonts w:hint="eastAsia" w:ascii="仿宋" w:hAnsi="仿宋" w:eastAsia="仿宋" w:cs="仿宋"/>
                <w:color w:val="auto"/>
                <w:szCs w:val="28"/>
                <w:highlight w:val="none"/>
              </w:rPr>
            </w:pPr>
          </w:p>
        </w:tc>
        <w:tc>
          <w:tcPr>
            <w:tcW w:w="1260" w:type="dxa"/>
            <w:noWrap w:val="0"/>
          </w:tcPr>
          <w:p w14:paraId="70A043D8">
            <w:pPr>
              <w:pStyle w:val="201"/>
              <w:spacing w:line="360" w:lineRule="auto"/>
              <w:rPr>
                <w:rFonts w:hint="eastAsia" w:ascii="仿宋" w:hAnsi="仿宋" w:eastAsia="仿宋" w:cs="仿宋"/>
                <w:color w:val="auto"/>
                <w:szCs w:val="28"/>
                <w:highlight w:val="none"/>
              </w:rPr>
            </w:pPr>
          </w:p>
        </w:tc>
      </w:tr>
      <w:tr w14:paraId="4D51B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1F7B0E7C">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4</w:t>
            </w:r>
          </w:p>
        </w:tc>
        <w:tc>
          <w:tcPr>
            <w:tcW w:w="4028" w:type="dxa"/>
            <w:noWrap w:val="0"/>
          </w:tcPr>
          <w:p w14:paraId="769FDB93">
            <w:pPr>
              <w:pStyle w:val="201"/>
              <w:spacing w:line="360" w:lineRule="auto"/>
              <w:ind w:left="1202" w:right="1194"/>
              <w:jc w:val="center"/>
              <w:rPr>
                <w:rFonts w:hint="eastAsia" w:ascii="仿宋" w:hAnsi="仿宋" w:eastAsia="仿宋" w:cs="仿宋"/>
                <w:color w:val="auto"/>
                <w:sz w:val="24"/>
                <w:szCs w:val="28"/>
                <w:highlight w:val="none"/>
              </w:rPr>
            </w:pPr>
          </w:p>
        </w:tc>
        <w:tc>
          <w:tcPr>
            <w:tcW w:w="3417" w:type="dxa"/>
            <w:noWrap w:val="0"/>
          </w:tcPr>
          <w:p w14:paraId="299BE714">
            <w:pPr>
              <w:pStyle w:val="201"/>
              <w:spacing w:line="360" w:lineRule="auto"/>
              <w:rPr>
                <w:rFonts w:hint="eastAsia" w:ascii="仿宋" w:hAnsi="仿宋" w:eastAsia="仿宋" w:cs="仿宋"/>
                <w:color w:val="auto"/>
                <w:szCs w:val="28"/>
                <w:highlight w:val="none"/>
              </w:rPr>
            </w:pPr>
          </w:p>
        </w:tc>
        <w:tc>
          <w:tcPr>
            <w:tcW w:w="1260" w:type="dxa"/>
            <w:noWrap w:val="0"/>
          </w:tcPr>
          <w:p w14:paraId="54D68409">
            <w:pPr>
              <w:pStyle w:val="201"/>
              <w:spacing w:line="360" w:lineRule="auto"/>
              <w:rPr>
                <w:rFonts w:hint="eastAsia" w:ascii="仿宋" w:hAnsi="仿宋" w:eastAsia="仿宋" w:cs="仿宋"/>
                <w:color w:val="auto"/>
                <w:szCs w:val="28"/>
                <w:highlight w:val="none"/>
              </w:rPr>
            </w:pPr>
          </w:p>
        </w:tc>
      </w:tr>
      <w:tr w14:paraId="5A164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452E5B96">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5</w:t>
            </w:r>
          </w:p>
        </w:tc>
        <w:tc>
          <w:tcPr>
            <w:tcW w:w="4028" w:type="dxa"/>
            <w:noWrap w:val="0"/>
          </w:tcPr>
          <w:p w14:paraId="164E6D97">
            <w:pPr>
              <w:pStyle w:val="201"/>
              <w:spacing w:line="360" w:lineRule="auto"/>
              <w:rPr>
                <w:rFonts w:hint="eastAsia" w:ascii="仿宋" w:hAnsi="仿宋" w:eastAsia="仿宋" w:cs="仿宋"/>
                <w:color w:val="auto"/>
                <w:szCs w:val="28"/>
                <w:highlight w:val="none"/>
              </w:rPr>
            </w:pPr>
          </w:p>
        </w:tc>
        <w:tc>
          <w:tcPr>
            <w:tcW w:w="3417" w:type="dxa"/>
            <w:noWrap w:val="0"/>
          </w:tcPr>
          <w:p w14:paraId="2D103FA8">
            <w:pPr>
              <w:pStyle w:val="201"/>
              <w:spacing w:line="360" w:lineRule="auto"/>
              <w:rPr>
                <w:rFonts w:hint="eastAsia" w:ascii="仿宋" w:hAnsi="仿宋" w:eastAsia="仿宋" w:cs="仿宋"/>
                <w:color w:val="auto"/>
                <w:szCs w:val="28"/>
                <w:highlight w:val="none"/>
              </w:rPr>
            </w:pPr>
          </w:p>
        </w:tc>
        <w:tc>
          <w:tcPr>
            <w:tcW w:w="1260" w:type="dxa"/>
            <w:noWrap w:val="0"/>
          </w:tcPr>
          <w:p w14:paraId="42F74819">
            <w:pPr>
              <w:pStyle w:val="201"/>
              <w:spacing w:line="360" w:lineRule="auto"/>
              <w:rPr>
                <w:rFonts w:hint="eastAsia" w:ascii="仿宋" w:hAnsi="仿宋" w:eastAsia="仿宋" w:cs="仿宋"/>
                <w:color w:val="auto"/>
                <w:szCs w:val="28"/>
                <w:highlight w:val="none"/>
              </w:rPr>
            </w:pPr>
          </w:p>
        </w:tc>
      </w:tr>
      <w:tr w14:paraId="0463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36091885">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6</w:t>
            </w:r>
          </w:p>
        </w:tc>
        <w:tc>
          <w:tcPr>
            <w:tcW w:w="4028" w:type="dxa"/>
            <w:noWrap w:val="0"/>
          </w:tcPr>
          <w:p w14:paraId="7D2C5F80">
            <w:pPr>
              <w:pStyle w:val="201"/>
              <w:spacing w:line="360" w:lineRule="auto"/>
              <w:rPr>
                <w:rFonts w:hint="eastAsia" w:ascii="仿宋" w:hAnsi="仿宋" w:eastAsia="仿宋" w:cs="仿宋"/>
                <w:color w:val="auto"/>
                <w:szCs w:val="28"/>
                <w:highlight w:val="none"/>
              </w:rPr>
            </w:pPr>
          </w:p>
        </w:tc>
        <w:tc>
          <w:tcPr>
            <w:tcW w:w="3417" w:type="dxa"/>
            <w:noWrap w:val="0"/>
          </w:tcPr>
          <w:p w14:paraId="115EA4AF">
            <w:pPr>
              <w:pStyle w:val="201"/>
              <w:spacing w:line="360" w:lineRule="auto"/>
              <w:rPr>
                <w:rFonts w:hint="eastAsia" w:ascii="仿宋" w:hAnsi="仿宋" w:eastAsia="仿宋" w:cs="仿宋"/>
                <w:color w:val="auto"/>
                <w:szCs w:val="28"/>
                <w:highlight w:val="none"/>
              </w:rPr>
            </w:pPr>
          </w:p>
        </w:tc>
        <w:tc>
          <w:tcPr>
            <w:tcW w:w="1260" w:type="dxa"/>
            <w:noWrap w:val="0"/>
          </w:tcPr>
          <w:p w14:paraId="01F41DFC">
            <w:pPr>
              <w:pStyle w:val="201"/>
              <w:spacing w:line="360" w:lineRule="auto"/>
              <w:rPr>
                <w:rFonts w:hint="eastAsia" w:ascii="仿宋" w:hAnsi="仿宋" w:eastAsia="仿宋" w:cs="仿宋"/>
                <w:color w:val="auto"/>
                <w:szCs w:val="28"/>
                <w:highlight w:val="none"/>
              </w:rPr>
            </w:pPr>
          </w:p>
        </w:tc>
      </w:tr>
      <w:tr w14:paraId="15953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6945487E">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7</w:t>
            </w:r>
          </w:p>
        </w:tc>
        <w:tc>
          <w:tcPr>
            <w:tcW w:w="4028" w:type="dxa"/>
            <w:noWrap w:val="0"/>
          </w:tcPr>
          <w:p w14:paraId="17000AD7">
            <w:pPr>
              <w:pStyle w:val="201"/>
              <w:spacing w:line="360" w:lineRule="auto"/>
              <w:rPr>
                <w:rFonts w:hint="eastAsia" w:ascii="仿宋" w:hAnsi="仿宋" w:eastAsia="仿宋" w:cs="仿宋"/>
                <w:color w:val="auto"/>
                <w:szCs w:val="28"/>
                <w:highlight w:val="none"/>
              </w:rPr>
            </w:pPr>
          </w:p>
        </w:tc>
        <w:tc>
          <w:tcPr>
            <w:tcW w:w="3417" w:type="dxa"/>
            <w:noWrap w:val="0"/>
          </w:tcPr>
          <w:p w14:paraId="7A8DD15B">
            <w:pPr>
              <w:pStyle w:val="201"/>
              <w:spacing w:line="360" w:lineRule="auto"/>
              <w:rPr>
                <w:rFonts w:hint="eastAsia" w:ascii="仿宋" w:hAnsi="仿宋" w:eastAsia="仿宋" w:cs="仿宋"/>
                <w:color w:val="auto"/>
                <w:szCs w:val="28"/>
                <w:highlight w:val="none"/>
              </w:rPr>
            </w:pPr>
          </w:p>
        </w:tc>
        <w:tc>
          <w:tcPr>
            <w:tcW w:w="1260" w:type="dxa"/>
            <w:noWrap w:val="0"/>
          </w:tcPr>
          <w:p w14:paraId="2B27DAB0">
            <w:pPr>
              <w:pStyle w:val="201"/>
              <w:spacing w:line="360" w:lineRule="auto"/>
              <w:rPr>
                <w:rFonts w:hint="eastAsia" w:ascii="仿宋" w:hAnsi="仿宋" w:eastAsia="仿宋" w:cs="仿宋"/>
                <w:color w:val="auto"/>
                <w:szCs w:val="28"/>
                <w:highlight w:val="none"/>
              </w:rPr>
            </w:pPr>
          </w:p>
        </w:tc>
      </w:tr>
      <w:tr w14:paraId="4214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14F894EB">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8</w:t>
            </w:r>
          </w:p>
        </w:tc>
        <w:tc>
          <w:tcPr>
            <w:tcW w:w="4028" w:type="dxa"/>
            <w:noWrap w:val="0"/>
          </w:tcPr>
          <w:p w14:paraId="3DE05F90">
            <w:pPr>
              <w:pStyle w:val="201"/>
              <w:spacing w:line="360" w:lineRule="auto"/>
              <w:rPr>
                <w:rFonts w:hint="eastAsia" w:ascii="仿宋" w:hAnsi="仿宋" w:eastAsia="仿宋" w:cs="仿宋"/>
                <w:color w:val="auto"/>
                <w:szCs w:val="28"/>
                <w:highlight w:val="none"/>
              </w:rPr>
            </w:pPr>
          </w:p>
        </w:tc>
        <w:tc>
          <w:tcPr>
            <w:tcW w:w="3417" w:type="dxa"/>
            <w:noWrap w:val="0"/>
          </w:tcPr>
          <w:p w14:paraId="0BC8D309">
            <w:pPr>
              <w:pStyle w:val="201"/>
              <w:spacing w:line="360" w:lineRule="auto"/>
              <w:rPr>
                <w:rFonts w:hint="eastAsia" w:ascii="仿宋" w:hAnsi="仿宋" w:eastAsia="仿宋" w:cs="仿宋"/>
                <w:color w:val="auto"/>
                <w:szCs w:val="28"/>
                <w:highlight w:val="none"/>
              </w:rPr>
            </w:pPr>
          </w:p>
        </w:tc>
        <w:tc>
          <w:tcPr>
            <w:tcW w:w="1260" w:type="dxa"/>
            <w:noWrap w:val="0"/>
          </w:tcPr>
          <w:p w14:paraId="1DE19676">
            <w:pPr>
              <w:pStyle w:val="201"/>
              <w:spacing w:line="360" w:lineRule="auto"/>
              <w:rPr>
                <w:rFonts w:hint="eastAsia" w:ascii="仿宋" w:hAnsi="仿宋" w:eastAsia="仿宋" w:cs="仿宋"/>
                <w:color w:val="auto"/>
                <w:szCs w:val="28"/>
                <w:highlight w:val="none"/>
              </w:rPr>
            </w:pPr>
          </w:p>
        </w:tc>
      </w:tr>
      <w:tr w14:paraId="532A6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2D8C784F">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9</w:t>
            </w:r>
          </w:p>
        </w:tc>
        <w:tc>
          <w:tcPr>
            <w:tcW w:w="4028" w:type="dxa"/>
            <w:noWrap w:val="0"/>
          </w:tcPr>
          <w:p w14:paraId="1E040759">
            <w:pPr>
              <w:pStyle w:val="201"/>
              <w:spacing w:line="360" w:lineRule="auto"/>
              <w:rPr>
                <w:rFonts w:hint="eastAsia" w:ascii="仿宋" w:hAnsi="仿宋" w:eastAsia="仿宋" w:cs="仿宋"/>
                <w:color w:val="auto"/>
                <w:szCs w:val="28"/>
                <w:highlight w:val="none"/>
              </w:rPr>
            </w:pPr>
          </w:p>
        </w:tc>
        <w:tc>
          <w:tcPr>
            <w:tcW w:w="3417" w:type="dxa"/>
            <w:noWrap w:val="0"/>
          </w:tcPr>
          <w:p w14:paraId="4B77AF12">
            <w:pPr>
              <w:pStyle w:val="201"/>
              <w:spacing w:line="360" w:lineRule="auto"/>
              <w:rPr>
                <w:rFonts w:hint="eastAsia" w:ascii="仿宋" w:hAnsi="仿宋" w:eastAsia="仿宋" w:cs="仿宋"/>
                <w:color w:val="auto"/>
                <w:szCs w:val="28"/>
                <w:highlight w:val="none"/>
              </w:rPr>
            </w:pPr>
          </w:p>
        </w:tc>
        <w:tc>
          <w:tcPr>
            <w:tcW w:w="1260" w:type="dxa"/>
            <w:noWrap w:val="0"/>
          </w:tcPr>
          <w:p w14:paraId="746D4716">
            <w:pPr>
              <w:pStyle w:val="201"/>
              <w:spacing w:line="360" w:lineRule="auto"/>
              <w:rPr>
                <w:rFonts w:hint="eastAsia" w:ascii="仿宋" w:hAnsi="仿宋" w:eastAsia="仿宋" w:cs="仿宋"/>
                <w:color w:val="auto"/>
                <w:szCs w:val="28"/>
                <w:highlight w:val="none"/>
              </w:rPr>
            </w:pPr>
          </w:p>
        </w:tc>
      </w:tr>
      <w:tr w14:paraId="7DBBB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1115" w:type="dxa"/>
            <w:noWrap w:val="0"/>
          </w:tcPr>
          <w:p w14:paraId="7F760FF6">
            <w:pPr>
              <w:pStyle w:val="201"/>
              <w:spacing w:line="360" w:lineRule="auto"/>
              <w:ind w:right="138"/>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c>
          <w:tcPr>
            <w:tcW w:w="4028" w:type="dxa"/>
            <w:noWrap w:val="0"/>
          </w:tcPr>
          <w:p w14:paraId="602899BB">
            <w:pPr>
              <w:pStyle w:val="201"/>
              <w:spacing w:line="360" w:lineRule="auto"/>
              <w:ind w:left="431"/>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c>
          <w:tcPr>
            <w:tcW w:w="3417" w:type="dxa"/>
            <w:noWrap w:val="0"/>
          </w:tcPr>
          <w:p w14:paraId="3269A370">
            <w:pPr>
              <w:pStyle w:val="201"/>
              <w:spacing w:line="360" w:lineRule="auto"/>
              <w:ind w:left="431"/>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c>
          <w:tcPr>
            <w:tcW w:w="1260" w:type="dxa"/>
            <w:noWrap w:val="0"/>
          </w:tcPr>
          <w:p w14:paraId="131DBC43">
            <w:pPr>
              <w:pStyle w:val="201"/>
              <w:spacing w:line="360" w:lineRule="auto"/>
              <w:ind w:right="302"/>
              <w:jc w:val="righ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r>
      <w:tr w14:paraId="197CA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1115" w:type="dxa"/>
            <w:noWrap w:val="0"/>
          </w:tcPr>
          <w:p w14:paraId="72C573E0">
            <w:pPr>
              <w:pStyle w:val="201"/>
              <w:spacing w:line="360" w:lineRule="auto"/>
              <w:rPr>
                <w:rFonts w:hint="eastAsia" w:ascii="仿宋" w:hAnsi="仿宋" w:eastAsia="仿宋" w:cs="仿宋"/>
                <w:color w:val="auto"/>
                <w:szCs w:val="28"/>
                <w:highlight w:val="none"/>
              </w:rPr>
            </w:pPr>
          </w:p>
        </w:tc>
        <w:tc>
          <w:tcPr>
            <w:tcW w:w="4028" w:type="dxa"/>
            <w:noWrap w:val="0"/>
          </w:tcPr>
          <w:p w14:paraId="0C5C7722">
            <w:pPr>
              <w:pStyle w:val="201"/>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（行数不够，自行添加）</w:t>
            </w:r>
          </w:p>
        </w:tc>
        <w:tc>
          <w:tcPr>
            <w:tcW w:w="3417" w:type="dxa"/>
            <w:noWrap w:val="0"/>
          </w:tcPr>
          <w:p w14:paraId="25420549">
            <w:pPr>
              <w:pStyle w:val="201"/>
              <w:spacing w:line="360" w:lineRule="auto"/>
              <w:rPr>
                <w:rFonts w:hint="eastAsia" w:ascii="仿宋" w:hAnsi="仿宋" w:eastAsia="仿宋" w:cs="仿宋"/>
                <w:color w:val="auto"/>
                <w:szCs w:val="28"/>
                <w:highlight w:val="none"/>
              </w:rPr>
            </w:pPr>
          </w:p>
        </w:tc>
        <w:tc>
          <w:tcPr>
            <w:tcW w:w="1260" w:type="dxa"/>
            <w:noWrap w:val="0"/>
          </w:tcPr>
          <w:p w14:paraId="23757CB5">
            <w:pPr>
              <w:pStyle w:val="201"/>
              <w:spacing w:line="360" w:lineRule="auto"/>
              <w:rPr>
                <w:rFonts w:hint="eastAsia" w:ascii="仿宋" w:hAnsi="仿宋" w:eastAsia="仿宋" w:cs="仿宋"/>
                <w:color w:val="auto"/>
                <w:szCs w:val="28"/>
                <w:highlight w:val="none"/>
              </w:rPr>
            </w:pPr>
          </w:p>
        </w:tc>
      </w:tr>
    </w:tbl>
    <w:p w14:paraId="23992D08">
      <w:pPr>
        <w:spacing w:line="360" w:lineRule="auto"/>
        <w:ind w:left="5988" w:right="163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投标单位（盖章）：</w:t>
      </w:r>
    </w:p>
    <w:p w14:paraId="6D8A5222">
      <w:pPr>
        <w:spacing w:line="360" w:lineRule="auto"/>
        <w:ind w:left="5988" w:right="163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授权代表（签字）：</w:t>
      </w:r>
    </w:p>
    <w:p w14:paraId="01E6537E">
      <w:pPr>
        <w:tabs>
          <w:tab w:val="left" w:pos="6842"/>
          <w:tab w:val="left" w:pos="8282"/>
          <w:tab w:val="left" w:pos="9002"/>
          <w:tab w:val="left" w:pos="9602"/>
        </w:tabs>
        <w:spacing w:line="360" w:lineRule="auto"/>
        <w:ind w:left="6122"/>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日</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期：</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日</w:t>
      </w:r>
    </w:p>
    <w:p w14:paraId="2A5D6EAA">
      <w:pPr>
        <w:spacing w:line="360" w:lineRule="auto"/>
        <w:ind w:left="878"/>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注：请投标供应商根据实际情况填写。</w:t>
      </w:r>
    </w:p>
    <w:p w14:paraId="712CAA75">
      <w:pPr>
        <w:spacing w:line="360" w:lineRule="auto"/>
        <w:rPr>
          <w:rFonts w:hint="eastAsia" w:ascii="仿宋" w:hAnsi="仿宋" w:eastAsia="仿宋" w:cs="仿宋"/>
          <w:color w:val="auto"/>
          <w:sz w:val="24"/>
          <w:szCs w:val="28"/>
          <w:highlight w:val="none"/>
        </w:rPr>
        <w:sectPr>
          <w:pgSz w:w="11910" w:h="16840"/>
          <w:pgMar w:top="1338" w:right="850" w:bottom="1179" w:left="850" w:header="0" w:footer="992" w:gutter="0"/>
          <w:cols w:space="425" w:num="1"/>
          <w:docGrid w:linePitch="360" w:charSpace="0"/>
        </w:sectPr>
      </w:pPr>
    </w:p>
    <w:p w14:paraId="7948F96B">
      <w:pPr>
        <w:spacing w:line="360" w:lineRule="auto"/>
        <w:ind w:left="9" w:right="21"/>
        <w:jc w:val="both"/>
        <w:outlineLvl w:val="1"/>
        <w:rPr>
          <w:rFonts w:hint="eastAsia" w:ascii="仿宋" w:hAnsi="仿宋" w:eastAsia="仿宋" w:cs="仿宋"/>
          <w:b/>
          <w:color w:val="auto"/>
          <w:sz w:val="24"/>
          <w:szCs w:val="28"/>
          <w:highlight w:val="none"/>
        </w:rPr>
      </w:pPr>
      <w:bookmarkStart w:id="60" w:name="附件十一、具备履行合同所必需的设备和专业技术能力的书面声明"/>
      <w:bookmarkEnd w:id="60"/>
      <w:bookmarkStart w:id="61" w:name="附件九、中小企业声明函格式"/>
      <w:bookmarkEnd w:id="61"/>
      <w:bookmarkStart w:id="62" w:name="_Toc13007"/>
      <w:r>
        <w:rPr>
          <w:rFonts w:hint="eastAsia" w:ascii="仿宋" w:hAnsi="仿宋" w:eastAsia="仿宋" w:cs="仿宋"/>
          <w:b/>
          <w:color w:val="auto"/>
          <w:sz w:val="24"/>
          <w:szCs w:val="28"/>
          <w:highlight w:val="none"/>
        </w:rPr>
        <w:t>附件</w:t>
      </w:r>
      <w:r>
        <w:rPr>
          <w:rFonts w:hint="eastAsia" w:ascii="仿宋" w:hAnsi="仿宋" w:eastAsia="仿宋" w:cs="仿宋"/>
          <w:b/>
          <w:color w:val="auto"/>
          <w:sz w:val="24"/>
          <w:szCs w:val="28"/>
          <w:highlight w:val="none"/>
          <w:lang w:val="en-US" w:eastAsia="zh-CN"/>
        </w:rPr>
        <w:t>九</w:t>
      </w:r>
      <w:r>
        <w:rPr>
          <w:rFonts w:hint="eastAsia" w:ascii="仿宋" w:hAnsi="仿宋" w:eastAsia="仿宋" w:cs="仿宋"/>
          <w:b/>
          <w:color w:val="auto"/>
          <w:sz w:val="24"/>
          <w:szCs w:val="28"/>
          <w:highlight w:val="none"/>
        </w:rPr>
        <w:t>、</w:t>
      </w:r>
      <w:r>
        <w:rPr>
          <w:rFonts w:hint="eastAsia" w:ascii="仿宋" w:hAnsi="仿宋" w:eastAsia="仿宋" w:cs="仿宋"/>
          <w:b/>
          <w:color w:val="auto"/>
          <w:sz w:val="24"/>
          <w:szCs w:val="28"/>
          <w:highlight w:val="none"/>
          <w:lang w:val="en-US" w:eastAsia="zh-CN"/>
        </w:rPr>
        <w:t>技术</w:t>
      </w:r>
      <w:r>
        <w:rPr>
          <w:rFonts w:hint="eastAsia" w:ascii="仿宋" w:hAnsi="仿宋" w:eastAsia="仿宋" w:cs="仿宋"/>
          <w:b/>
          <w:color w:val="auto"/>
          <w:sz w:val="24"/>
          <w:szCs w:val="28"/>
          <w:highlight w:val="none"/>
        </w:rPr>
        <w:t>条款</w:t>
      </w:r>
      <w:r>
        <w:rPr>
          <w:rFonts w:hint="eastAsia" w:ascii="仿宋" w:hAnsi="仿宋" w:eastAsia="仿宋" w:cs="仿宋"/>
          <w:b/>
          <w:color w:val="auto"/>
          <w:sz w:val="24"/>
          <w:szCs w:val="28"/>
          <w:highlight w:val="none"/>
          <w:lang w:val="en-US" w:eastAsia="zh-CN"/>
        </w:rPr>
        <w:t>偏离</w:t>
      </w:r>
      <w:r>
        <w:rPr>
          <w:rFonts w:hint="eastAsia" w:ascii="仿宋" w:hAnsi="仿宋" w:eastAsia="仿宋" w:cs="仿宋"/>
          <w:b/>
          <w:color w:val="auto"/>
          <w:sz w:val="24"/>
          <w:szCs w:val="28"/>
          <w:highlight w:val="none"/>
        </w:rPr>
        <w:t>表</w:t>
      </w:r>
    </w:p>
    <w:p w14:paraId="2A4EEDD2">
      <w:pPr>
        <w:pStyle w:val="15"/>
        <w:jc w:val="center"/>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lang w:val="en-US" w:eastAsia="zh-CN"/>
        </w:rPr>
        <w:t>技术</w:t>
      </w:r>
      <w:r>
        <w:rPr>
          <w:rFonts w:hint="eastAsia" w:ascii="仿宋" w:hAnsi="仿宋" w:eastAsia="仿宋" w:cs="仿宋"/>
          <w:b/>
          <w:color w:val="auto"/>
          <w:sz w:val="36"/>
          <w:szCs w:val="36"/>
          <w:highlight w:val="none"/>
        </w:rPr>
        <w:t>条款</w:t>
      </w:r>
      <w:r>
        <w:rPr>
          <w:rFonts w:hint="eastAsia" w:ascii="仿宋" w:hAnsi="仿宋" w:eastAsia="仿宋" w:cs="仿宋"/>
          <w:b/>
          <w:color w:val="auto"/>
          <w:sz w:val="36"/>
          <w:szCs w:val="36"/>
          <w:highlight w:val="none"/>
          <w:lang w:val="en-US" w:eastAsia="zh-CN"/>
        </w:rPr>
        <w:t>偏离</w:t>
      </w:r>
      <w:r>
        <w:rPr>
          <w:rFonts w:hint="eastAsia" w:ascii="仿宋" w:hAnsi="仿宋" w:eastAsia="仿宋" w:cs="仿宋"/>
          <w:b/>
          <w:color w:val="auto"/>
          <w:sz w:val="36"/>
          <w:szCs w:val="36"/>
          <w:highlight w:val="none"/>
        </w:rPr>
        <w:t>表</w:t>
      </w:r>
    </w:p>
    <w:p w14:paraId="561B8B3B">
      <w:pPr>
        <w:pStyle w:val="15"/>
        <w:spacing w:line="360" w:lineRule="auto"/>
        <w:ind w:left="87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 </w:t>
      </w:r>
      <w:r>
        <w:rPr>
          <w:rFonts w:hint="eastAsia" w:ascii="仿宋" w:hAnsi="仿宋" w:eastAsia="仿宋" w:cs="仿宋"/>
          <w:color w:val="auto"/>
          <w:sz w:val="24"/>
          <w:szCs w:val="24"/>
          <w:highlight w:val="none"/>
          <w:lang w:eastAsia="zh-CN"/>
        </w:rPr>
        <w:t>JSZC-320115-NJRD-G2026-0008</w:t>
      </w:r>
    </w:p>
    <w:p w14:paraId="5A9935C6">
      <w:pPr>
        <w:spacing w:line="360" w:lineRule="auto"/>
        <w:ind w:left="878"/>
        <w:rPr>
          <w:rFonts w:hint="eastAsia" w:ascii="仿宋" w:hAnsi="仿宋" w:eastAsia="仿宋" w:cs="仿宋"/>
          <w:b/>
          <w:color w:val="auto"/>
          <w:sz w:val="24"/>
          <w:szCs w:val="28"/>
          <w:highlight w:val="none"/>
        </w:rPr>
      </w:pPr>
      <w:r>
        <w:rPr>
          <w:rFonts w:hint="eastAsia" w:ascii="仿宋" w:hAnsi="仿宋" w:eastAsia="仿宋" w:cs="仿宋"/>
          <w:color w:val="auto"/>
          <w:sz w:val="24"/>
          <w:szCs w:val="28"/>
          <w:highlight w:val="none"/>
        </w:rPr>
        <w:t>项目名称：</w:t>
      </w:r>
      <w:r>
        <w:rPr>
          <w:rFonts w:hint="eastAsia" w:ascii="仿宋" w:hAnsi="仿宋" w:eastAsia="仿宋" w:cs="仿宋"/>
          <w:b/>
          <w:color w:val="auto"/>
          <w:sz w:val="24"/>
          <w:szCs w:val="28"/>
          <w:highlight w:val="none"/>
          <w:u w:val="single"/>
          <w:lang w:eastAsia="zh-CN"/>
        </w:rPr>
        <w:t>禄口街道2026-2029年度压缩垃圾清运服务</w:t>
      </w:r>
      <w:r>
        <w:rPr>
          <w:rFonts w:hint="eastAsia" w:ascii="仿宋" w:hAnsi="仿宋" w:eastAsia="仿宋" w:cs="仿宋"/>
          <w:b/>
          <w:color w:val="auto"/>
          <w:sz w:val="24"/>
          <w:szCs w:val="28"/>
          <w:highlight w:val="none"/>
          <w:u w:val="single"/>
        </w:rPr>
        <w:t>工程</w:t>
      </w:r>
    </w:p>
    <w:p w14:paraId="363A73C2">
      <w:pPr>
        <w:pStyle w:val="15"/>
        <w:spacing w:line="360" w:lineRule="auto"/>
        <w:rPr>
          <w:rFonts w:hint="eastAsia" w:ascii="仿宋" w:hAnsi="仿宋" w:eastAsia="仿宋" w:cs="仿宋"/>
          <w:b/>
          <w:color w:val="auto"/>
          <w:sz w:val="13"/>
          <w:szCs w:val="24"/>
          <w:highlight w:val="none"/>
        </w:rPr>
      </w:pPr>
    </w:p>
    <w:tbl>
      <w:tblPr>
        <w:tblStyle w:val="39"/>
        <w:tblW w:w="9759" w:type="dxa"/>
        <w:tblInd w:w="17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8"/>
        <w:gridCol w:w="3367"/>
        <w:gridCol w:w="3224"/>
        <w:gridCol w:w="2060"/>
      </w:tblGrid>
      <w:tr w14:paraId="3E0B1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46D194C0">
            <w:pPr>
              <w:pStyle w:val="201"/>
              <w:spacing w:line="360" w:lineRule="auto"/>
              <w:ind w:right="368"/>
              <w:jc w:val="center"/>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lang w:val="en-US" w:eastAsia="zh-CN"/>
              </w:rPr>
              <w:t xml:space="preserve">  </w:t>
            </w:r>
            <w:r>
              <w:rPr>
                <w:rFonts w:hint="eastAsia" w:ascii="仿宋" w:hAnsi="仿宋" w:eastAsia="仿宋" w:cs="仿宋"/>
                <w:b/>
                <w:color w:val="auto"/>
                <w:sz w:val="24"/>
                <w:szCs w:val="28"/>
                <w:highlight w:val="none"/>
              </w:rPr>
              <w:t>序号</w:t>
            </w:r>
          </w:p>
        </w:tc>
        <w:tc>
          <w:tcPr>
            <w:tcW w:w="3367" w:type="dxa"/>
            <w:noWrap w:val="0"/>
          </w:tcPr>
          <w:p w14:paraId="45C4A7F7">
            <w:pPr>
              <w:pStyle w:val="201"/>
              <w:spacing w:line="360" w:lineRule="auto"/>
              <w:ind w:left="700"/>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招标文件的</w:t>
            </w:r>
            <w:r>
              <w:rPr>
                <w:rFonts w:hint="eastAsia" w:ascii="仿宋" w:hAnsi="仿宋" w:eastAsia="仿宋" w:cs="仿宋"/>
                <w:b/>
                <w:color w:val="auto"/>
                <w:sz w:val="24"/>
                <w:szCs w:val="28"/>
                <w:highlight w:val="none"/>
                <w:lang w:val="en-US" w:eastAsia="zh-CN"/>
              </w:rPr>
              <w:t>技术</w:t>
            </w:r>
            <w:r>
              <w:rPr>
                <w:rFonts w:hint="eastAsia" w:ascii="仿宋" w:hAnsi="仿宋" w:eastAsia="仿宋" w:cs="仿宋"/>
                <w:b/>
                <w:color w:val="auto"/>
                <w:sz w:val="24"/>
                <w:szCs w:val="28"/>
                <w:highlight w:val="none"/>
              </w:rPr>
              <w:t>条款</w:t>
            </w:r>
          </w:p>
        </w:tc>
        <w:tc>
          <w:tcPr>
            <w:tcW w:w="3224" w:type="dxa"/>
            <w:noWrap w:val="0"/>
          </w:tcPr>
          <w:p w14:paraId="1A0F738B">
            <w:pPr>
              <w:pStyle w:val="201"/>
              <w:spacing w:line="360" w:lineRule="auto"/>
              <w:ind w:left="769"/>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响应文件的</w:t>
            </w:r>
            <w:r>
              <w:rPr>
                <w:rFonts w:hint="eastAsia" w:ascii="仿宋" w:hAnsi="仿宋" w:eastAsia="仿宋" w:cs="仿宋"/>
                <w:b/>
                <w:color w:val="auto"/>
                <w:sz w:val="24"/>
                <w:szCs w:val="28"/>
                <w:highlight w:val="none"/>
                <w:lang w:val="en-US" w:eastAsia="zh-CN"/>
              </w:rPr>
              <w:t>技术</w:t>
            </w:r>
            <w:r>
              <w:rPr>
                <w:rFonts w:hint="eastAsia" w:ascii="仿宋" w:hAnsi="仿宋" w:eastAsia="仿宋" w:cs="仿宋"/>
                <w:b/>
                <w:color w:val="auto"/>
                <w:sz w:val="24"/>
                <w:szCs w:val="28"/>
                <w:highlight w:val="none"/>
              </w:rPr>
              <w:t>条款</w:t>
            </w:r>
          </w:p>
        </w:tc>
        <w:tc>
          <w:tcPr>
            <w:tcW w:w="2060" w:type="dxa"/>
            <w:noWrap w:val="0"/>
          </w:tcPr>
          <w:p w14:paraId="35165209">
            <w:pPr>
              <w:pStyle w:val="201"/>
              <w:tabs>
                <w:tab w:val="left" w:pos="422"/>
              </w:tabs>
              <w:spacing w:line="360" w:lineRule="auto"/>
              <w:ind w:right="300"/>
              <w:jc w:val="center"/>
              <w:rPr>
                <w:rFonts w:hint="default" w:ascii="仿宋" w:hAnsi="仿宋" w:eastAsia="仿宋" w:cs="仿宋"/>
                <w:b/>
                <w:color w:val="auto"/>
                <w:sz w:val="24"/>
                <w:szCs w:val="28"/>
                <w:highlight w:val="none"/>
                <w:lang w:val="en-US" w:eastAsia="zh-CN"/>
              </w:rPr>
            </w:pPr>
            <w:r>
              <w:rPr>
                <w:rFonts w:hint="eastAsia" w:ascii="仿宋" w:hAnsi="仿宋" w:eastAsia="仿宋" w:cs="仿宋"/>
                <w:b/>
                <w:color w:val="auto"/>
                <w:sz w:val="24"/>
                <w:szCs w:val="28"/>
                <w:highlight w:val="none"/>
                <w:lang w:val="en-US" w:eastAsia="zh-CN"/>
              </w:rPr>
              <w:t>说明</w:t>
            </w:r>
          </w:p>
        </w:tc>
      </w:tr>
      <w:tr w14:paraId="012CE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5" w:hRule="atLeast"/>
        </w:trPr>
        <w:tc>
          <w:tcPr>
            <w:tcW w:w="1108" w:type="dxa"/>
            <w:noWrap w:val="0"/>
          </w:tcPr>
          <w:p w14:paraId="7876F219">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1</w:t>
            </w:r>
          </w:p>
        </w:tc>
        <w:tc>
          <w:tcPr>
            <w:tcW w:w="3367" w:type="dxa"/>
            <w:noWrap w:val="0"/>
          </w:tcPr>
          <w:p w14:paraId="30A0E7D9">
            <w:pPr>
              <w:pStyle w:val="201"/>
              <w:spacing w:line="360" w:lineRule="auto"/>
              <w:ind w:left="1202" w:right="1191"/>
              <w:jc w:val="center"/>
              <w:rPr>
                <w:rFonts w:hint="eastAsia" w:ascii="仿宋" w:hAnsi="仿宋" w:eastAsia="仿宋" w:cs="仿宋"/>
                <w:color w:val="auto"/>
                <w:sz w:val="24"/>
                <w:szCs w:val="28"/>
                <w:highlight w:val="none"/>
              </w:rPr>
            </w:pPr>
          </w:p>
        </w:tc>
        <w:tc>
          <w:tcPr>
            <w:tcW w:w="3224" w:type="dxa"/>
            <w:noWrap w:val="0"/>
          </w:tcPr>
          <w:p w14:paraId="792C272C">
            <w:pPr>
              <w:pStyle w:val="201"/>
              <w:spacing w:line="360" w:lineRule="auto"/>
              <w:rPr>
                <w:rFonts w:hint="eastAsia" w:ascii="仿宋" w:hAnsi="仿宋" w:eastAsia="仿宋" w:cs="仿宋"/>
                <w:color w:val="auto"/>
                <w:szCs w:val="28"/>
                <w:highlight w:val="none"/>
              </w:rPr>
            </w:pPr>
          </w:p>
        </w:tc>
        <w:tc>
          <w:tcPr>
            <w:tcW w:w="2060" w:type="dxa"/>
            <w:noWrap w:val="0"/>
          </w:tcPr>
          <w:p w14:paraId="0250AD4E">
            <w:pPr>
              <w:pStyle w:val="201"/>
              <w:spacing w:line="360" w:lineRule="auto"/>
              <w:rPr>
                <w:rFonts w:hint="eastAsia" w:ascii="仿宋" w:hAnsi="仿宋" w:eastAsia="仿宋" w:cs="仿宋"/>
                <w:color w:val="auto"/>
                <w:szCs w:val="28"/>
                <w:highlight w:val="none"/>
              </w:rPr>
            </w:pPr>
          </w:p>
        </w:tc>
      </w:tr>
      <w:tr w14:paraId="6A6B8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500ABD15">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2</w:t>
            </w:r>
          </w:p>
        </w:tc>
        <w:tc>
          <w:tcPr>
            <w:tcW w:w="3367" w:type="dxa"/>
            <w:noWrap w:val="0"/>
          </w:tcPr>
          <w:p w14:paraId="11EEB88C">
            <w:pPr>
              <w:pStyle w:val="201"/>
              <w:spacing w:line="360" w:lineRule="auto"/>
              <w:ind w:left="594"/>
              <w:rPr>
                <w:rFonts w:hint="eastAsia" w:ascii="仿宋" w:hAnsi="仿宋" w:eastAsia="仿宋" w:cs="仿宋"/>
                <w:color w:val="auto"/>
                <w:sz w:val="24"/>
                <w:szCs w:val="28"/>
                <w:highlight w:val="none"/>
              </w:rPr>
            </w:pPr>
          </w:p>
        </w:tc>
        <w:tc>
          <w:tcPr>
            <w:tcW w:w="3224" w:type="dxa"/>
            <w:noWrap w:val="0"/>
          </w:tcPr>
          <w:p w14:paraId="13350027">
            <w:pPr>
              <w:pStyle w:val="201"/>
              <w:spacing w:line="360" w:lineRule="auto"/>
              <w:rPr>
                <w:rFonts w:hint="eastAsia" w:ascii="仿宋" w:hAnsi="仿宋" w:eastAsia="仿宋" w:cs="仿宋"/>
                <w:color w:val="auto"/>
                <w:szCs w:val="28"/>
                <w:highlight w:val="none"/>
              </w:rPr>
            </w:pPr>
          </w:p>
        </w:tc>
        <w:tc>
          <w:tcPr>
            <w:tcW w:w="2060" w:type="dxa"/>
            <w:noWrap w:val="0"/>
          </w:tcPr>
          <w:p w14:paraId="61E77E36">
            <w:pPr>
              <w:pStyle w:val="201"/>
              <w:spacing w:line="360" w:lineRule="auto"/>
              <w:rPr>
                <w:rFonts w:hint="eastAsia" w:ascii="仿宋" w:hAnsi="仿宋" w:eastAsia="仿宋" w:cs="仿宋"/>
                <w:color w:val="auto"/>
                <w:szCs w:val="28"/>
                <w:highlight w:val="none"/>
              </w:rPr>
            </w:pPr>
          </w:p>
        </w:tc>
      </w:tr>
      <w:tr w14:paraId="371C6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0730133F">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3</w:t>
            </w:r>
          </w:p>
        </w:tc>
        <w:tc>
          <w:tcPr>
            <w:tcW w:w="3367" w:type="dxa"/>
            <w:noWrap w:val="0"/>
          </w:tcPr>
          <w:p w14:paraId="7A136CEF">
            <w:pPr>
              <w:pStyle w:val="201"/>
              <w:spacing w:line="360" w:lineRule="auto"/>
              <w:ind w:left="909"/>
              <w:rPr>
                <w:rFonts w:hint="eastAsia" w:ascii="仿宋" w:hAnsi="仿宋" w:eastAsia="仿宋" w:cs="仿宋"/>
                <w:color w:val="auto"/>
                <w:sz w:val="24"/>
                <w:szCs w:val="28"/>
                <w:highlight w:val="none"/>
              </w:rPr>
            </w:pPr>
          </w:p>
        </w:tc>
        <w:tc>
          <w:tcPr>
            <w:tcW w:w="3224" w:type="dxa"/>
            <w:noWrap w:val="0"/>
          </w:tcPr>
          <w:p w14:paraId="00ED1E70">
            <w:pPr>
              <w:pStyle w:val="201"/>
              <w:spacing w:line="360" w:lineRule="auto"/>
              <w:rPr>
                <w:rFonts w:hint="eastAsia" w:ascii="仿宋" w:hAnsi="仿宋" w:eastAsia="仿宋" w:cs="仿宋"/>
                <w:color w:val="auto"/>
                <w:szCs w:val="28"/>
                <w:highlight w:val="none"/>
              </w:rPr>
            </w:pPr>
          </w:p>
        </w:tc>
        <w:tc>
          <w:tcPr>
            <w:tcW w:w="2060" w:type="dxa"/>
            <w:noWrap w:val="0"/>
          </w:tcPr>
          <w:p w14:paraId="5ABEC0AB">
            <w:pPr>
              <w:pStyle w:val="201"/>
              <w:spacing w:line="360" w:lineRule="auto"/>
              <w:rPr>
                <w:rFonts w:hint="eastAsia" w:ascii="仿宋" w:hAnsi="仿宋" w:eastAsia="仿宋" w:cs="仿宋"/>
                <w:color w:val="auto"/>
                <w:szCs w:val="28"/>
                <w:highlight w:val="none"/>
              </w:rPr>
            </w:pPr>
          </w:p>
        </w:tc>
      </w:tr>
      <w:tr w14:paraId="7F922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3D52D2CF">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4</w:t>
            </w:r>
          </w:p>
        </w:tc>
        <w:tc>
          <w:tcPr>
            <w:tcW w:w="3367" w:type="dxa"/>
            <w:noWrap w:val="0"/>
          </w:tcPr>
          <w:p w14:paraId="636B1D99">
            <w:pPr>
              <w:pStyle w:val="201"/>
              <w:spacing w:line="360" w:lineRule="auto"/>
              <w:ind w:left="1202" w:right="1194"/>
              <w:jc w:val="center"/>
              <w:rPr>
                <w:rFonts w:hint="eastAsia" w:ascii="仿宋" w:hAnsi="仿宋" w:eastAsia="仿宋" w:cs="仿宋"/>
                <w:color w:val="auto"/>
                <w:sz w:val="24"/>
                <w:szCs w:val="28"/>
                <w:highlight w:val="none"/>
              </w:rPr>
            </w:pPr>
          </w:p>
        </w:tc>
        <w:tc>
          <w:tcPr>
            <w:tcW w:w="3224" w:type="dxa"/>
            <w:noWrap w:val="0"/>
          </w:tcPr>
          <w:p w14:paraId="26040829">
            <w:pPr>
              <w:pStyle w:val="201"/>
              <w:spacing w:line="360" w:lineRule="auto"/>
              <w:rPr>
                <w:rFonts w:hint="eastAsia" w:ascii="仿宋" w:hAnsi="仿宋" w:eastAsia="仿宋" w:cs="仿宋"/>
                <w:color w:val="auto"/>
                <w:szCs w:val="28"/>
                <w:highlight w:val="none"/>
              </w:rPr>
            </w:pPr>
          </w:p>
        </w:tc>
        <w:tc>
          <w:tcPr>
            <w:tcW w:w="2060" w:type="dxa"/>
            <w:noWrap w:val="0"/>
          </w:tcPr>
          <w:p w14:paraId="3FC2AD0E">
            <w:pPr>
              <w:pStyle w:val="201"/>
              <w:spacing w:line="360" w:lineRule="auto"/>
              <w:rPr>
                <w:rFonts w:hint="eastAsia" w:ascii="仿宋" w:hAnsi="仿宋" w:eastAsia="仿宋" w:cs="仿宋"/>
                <w:color w:val="auto"/>
                <w:szCs w:val="28"/>
                <w:highlight w:val="none"/>
              </w:rPr>
            </w:pPr>
          </w:p>
        </w:tc>
      </w:tr>
      <w:tr w14:paraId="01A3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7A0BFBB1">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5</w:t>
            </w:r>
          </w:p>
        </w:tc>
        <w:tc>
          <w:tcPr>
            <w:tcW w:w="3367" w:type="dxa"/>
            <w:noWrap w:val="0"/>
          </w:tcPr>
          <w:p w14:paraId="1E5E3A8A">
            <w:pPr>
              <w:pStyle w:val="201"/>
              <w:spacing w:line="360" w:lineRule="auto"/>
              <w:rPr>
                <w:rFonts w:hint="eastAsia" w:ascii="仿宋" w:hAnsi="仿宋" w:eastAsia="仿宋" w:cs="仿宋"/>
                <w:color w:val="auto"/>
                <w:szCs w:val="28"/>
                <w:highlight w:val="none"/>
              </w:rPr>
            </w:pPr>
          </w:p>
        </w:tc>
        <w:tc>
          <w:tcPr>
            <w:tcW w:w="3224" w:type="dxa"/>
            <w:noWrap w:val="0"/>
          </w:tcPr>
          <w:p w14:paraId="7157C537">
            <w:pPr>
              <w:pStyle w:val="201"/>
              <w:spacing w:line="360" w:lineRule="auto"/>
              <w:rPr>
                <w:rFonts w:hint="eastAsia" w:ascii="仿宋" w:hAnsi="仿宋" w:eastAsia="仿宋" w:cs="仿宋"/>
                <w:color w:val="auto"/>
                <w:szCs w:val="28"/>
                <w:highlight w:val="none"/>
              </w:rPr>
            </w:pPr>
          </w:p>
        </w:tc>
        <w:tc>
          <w:tcPr>
            <w:tcW w:w="2060" w:type="dxa"/>
            <w:noWrap w:val="0"/>
          </w:tcPr>
          <w:p w14:paraId="2841E7CF">
            <w:pPr>
              <w:pStyle w:val="201"/>
              <w:spacing w:line="360" w:lineRule="auto"/>
              <w:rPr>
                <w:rFonts w:hint="eastAsia" w:ascii="仿宋" w:hAnsi="仿宋" w:eastAsia="仿宋" w:cs="仿宋"/>
                <w:color w:val="auto"/>
                <w:szCs w:val="28"/>
                <w:highlight w:val="none"/>
              </w:rPr>
            </w:pPr>
          </w:p>
        </w:tc>
      </w:tr>
      <w:tr w14:paraId="65281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6638094C">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6</w:t>
            </w:r>
          </w:p>
        </w:tc>
        <w:tc>
          <w:tcPr>
            <w:tcW w:w="3367" w:type="dxa"/>
            <w:noWrap w:val="0"/>
          </w:tcPr>
          <w:p w14:paraId="6161475F">
            <w:pPr>
              <w:pStyle w:val="201"/>
              <w:spacing w:line="360" w:lineRule="auto"/>
              <w:rPr>
                <w:rFonts w:hint="eastAsia" w:ascii="仿宋" w:hAnsi="仿宋" w:eastAsia="仿宋" w:cs="仿宋"/>
                <w:color w:val="auto"/>
                <w:szCs w:val="28"/>
                <w:highlight w:val="none"/>
              </w:rPr>
            </w:pPr>
          </w:p>
        </w:tc>
        <w:tc>
          <w:tcPr>
            <w:tcW w:w="3224" w:type="dxa"/>
            <w:noWrap w:val="0"/>
          </w:tcPr>
          <w:p w14:paraId="1BB7BEBF">
            <w:pPr>
              <w:pStyle w:val="201"/>
              <w:spacing w:line="360" w:lineRule="auto"/>
              <w:rPr>
                <w:rFonts w:hint="eastAsia" w:ascii="仿宋" w:hAnsi="仿宋" w:eastAsia="仿宋" w:cs="仿宋"/>
                <w:color w:val="auto"/>
                <w:szCs w:val="28"/>
                <w:highlight w:val="none"/>
              </w:rPr>
            </w:pPr>
          </w:p>
        </w:tc>
        <w:tc>
          <w:tcPr>
            <w:tcW w:w="2060" w:type="dxa"/>
            <w:noWrap w:val="0"/>
          </w:tcPr>
          <w:p w14:paraId="6AA937BA">
            <w:pPr>
              <w:pStyle w:val="201"/>
              <w:spacing w:line="360" w:lineRule="auto"/>
              <w:rPr>
                <w:rFonts w:hint="eastAsia" w:ascii="仿宋" w:hAnsi="仿宋" w:eastAsia="仿宋" w:cs="仿宋"/>
                <w:color w:val="auto"/>
                <w:szCs w:val="28"/>
                <w:highlight w:val="none"/>
              </w:rPr>
            </w:pPr>
          </w:p>
        </w:tc>
      </w:tr>
      <w:tr w14:paraId="2DDDF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3203EF99">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7</w:t>
            </w:r>
          </w:p>
        </w:tc>
        <w:tc>
          <w:tcPr>
            <w:tcW w:w="3367" w:type="dxa"/>
            <w:noWrap w:val="0"/>
          </w:tcPr>
          <w:p w14:paraId="7CFBB8FA">
            <w:pPr>
              <w:pStyle w:val="201"/>
              <w:spacing w:line="360" w:lineRule="auto"/>
              <w:rPr>
                <w:rFonts w:hint="eastAsia" w:ascii="仿宋" w:hAnsi="仿宋" w:eastAsia="仿宋" w:cs="仿宋"/>
                <w:color w:val="auto"/>
                <w:szCs w:val="28"/>
                <w:highlight w:val="none"/>
              </w:rPr>
            </w:pPr>
          </w:p>
        </w:tc>
        <w:tc>
          <w:tcPr>
            <w:tcW w:w="3224" w:type="dxa"/>
            <w:noWrap w:val="0"/>
          </w:tcPr>
          <w:p w14:paraId="63EFB114">
            <w:pPr>
              <w:pStyle w:val="201"/>
              <w:spacing w:line="360" w:lineRule="auto"/>
              <w:rPr>
                <w:rFonts w:hint="eastAsia" w:ascii="仿宋" w:hAnsi="仿宋" w:eastAsia="仿宋" w:cs="仿宋"/>
                <w:color w:val="auto"/>
                <w:szCs w:val="28"/>
                <w:highlight w:val="none"/>
              </w:rPr>
            </w:pPr>
          </w:p>
        </w:tc>
        <w:tc>
          <w:tcPr>
            <w:tcW w:w="2060" w:type="dxa"/>
            <w:noWrap w:val="0"/>
          </w:tcPr>
          <w:p w14:paraId="5C0C19AB">
            <w:pPr>
              <w:pStyle w:val="201"/>
              <w:spacing w:line="360" w:lineRule="auto"/>
              <w:rPr>
                <w:rFonts w:hint="eastAsia" w:ascii="仿宋" w:hAnsi="仿宋" w:eastAsia="仿宋" w:cs="仿宋"/>
                <w:color w:val="auto"/>
                <w:szCs w:val="28"/>
                <w:highlight w:val="none"/>
              </w:rPr>
            </w:pPr>
          </w:p>
        </w:tc>
      </w:tr>
      <w:tr w14:paraId="543B0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08492DBF">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8</w:t>
            </w:r>
          </w:p>
        </w:tc>
        <w:tc>
          <w:tcPr>
            <w:tcW w:w="3367" w:type="dxa"/>
            <w:noWrap w:val="0"/>
          </w:tcPr>
          <w:p w14:paraId="40780993">
            <w:pPr>
              <w:pStyle w:val="201"/>
              <w:spacing w:line="360" w:lineRule="auto"/>
              <w:rPr>
                <w:rFonts w:hint="eastAsia" w:ascii="仿宋" w:hAnsi="仿宋" w:eastAsia="仿宋" w:cs="仿宋"/>
                <w:color w:val="auto"/>
                <w:szCs w:val="28"/>
                <w:highlight w:val="none"/>
              </w:rPr>
            </w:pPr>
          </w:p>
        </w:tc>
        <w:tc>
          <w:tcPr>
            <w:tcW w:w="3224" w:type="dxa"/>
            <w:noWrap w:val="0"/>
          </w:tcPr>
          <w:p w14:paraId="188DDDBF">
            <w:pPr>
              <w:pStyle w:val="201"/>
              <w:spacing w:line="360" w:lineRule="auto"/>
              <w:rPr>
                <w:rFonts w:hint="eastAsia" w:ascii="仿宋" w:hAnsi="仿宋" w:eastAsia="仿宋" w:cs="仿宋"/>
                <w:color w:val="auto"/>
                <w:szCs w:val="28"/>
                <w:highlight w:val="none"/>
              </w:rPr>
            </w:pPr>
          </w:p>
        </w:tc>
        <w:tc>
          <w:tcPr>
            <w:tcW w:w="2060" w:type="dxa"/>
            <w:noWrap w:val="0"/>
          </w:tcPr>
          <w:p w14:paraId="7C3341DB">
            <w:pPr>
              <w:pStyle w:val="201"/>
              <w:spacing w:line="360" w:lineRule="auto"/>
              <w:rPr>
                <w:rFonts w:hint="eastAsia" w:ascii="仿宋" w:hAnsi="仿宋" w:eastAsia="仿宋" w:cs="仿宋"/>
                <w:color w:val="auto"/>
                <w:szCs w:val="28"/>
                <w:highlight w:val="none"/>
              </w:rPr>
            </w:pPr>
          </w:p>
        </w:tc>
      </w:tr>
      <w:tr w14:paraId="06AC5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7453984B">
            <w:pPr>
              <w:pStyle w:val="201"/>
              <w:spacing w:line="360" w:lineRule="auto"/>
              <w:ind w:left="13"/>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9</w:t>
            </w:r>
          </w:p>
        </w:tc>
        <w:tc>
          <w:tcPr>
            <w:tcW w:w="3367" w:type="dxa"/>
            <w:noWrap w:val="0"/>
          </w:tcPr>
          <w:p w14:paraId="25BE1410">
            <w:pPr>
              <w:pStyle w:val="201"/>
              <w:spacing w:line="360" w:lineRule="auto"/>
              <w:rPr>
                <w:rFonts w:hint="eastAsia" w:ascii="仿宋" w:hAnsi="仿宋" w:eastAsia="仿宋" w:cs="仿宋"/>
                <w:color w:val="auto"/>
                <w:szCs w:val="28"/>
                <w:highlight w:val="none"/>
              </w:rPr>
            </w:pPr>
          </w:p>
        </w:tc>
        <w:tc>
          <w:tcPr>
            <w:tcW w:w="3224" w:type="dxa"/>
            <w:noWrap w:val="0"/>
          </w:tcPr>
          <w:p w14:paraId="79126554">
            <w:pPr>
              <w:pStyle w:val="201"/>
              <w:spacing w:line="360" w:lineRule="auto"/>
              <w:rPr>
                <w:rFonts w:hint="eastAsia" w:ascii="仿宋" w:hAnsi="仿宋" w:eastAsia="仿宋" w:cs="仿宋"/>
                <w:color w:val="auto"/>
                <w:szCs w:val="28"/>
                <w:highlight w:val="none"/>
              </w:rPr>
            </w:pPr>
          </w:p>
        </w:tc>
        <w:tc>
          <w:tcPr>
            <w:tcW w:w="2060" w:type="dxa"/>
            <w:noWrap w:val="0"/>
          </w:tcPr>
          <w:p w14:paraId="3C5078BF">
            <w:pPr>
              <w:pStyle w:val="201"/>
              <w:spacing w:line="360" w:lineRule="auto"/>
              <w:rPr>
                <w:rFonts w:hint="eastAsia" w:ascii="仿宋" w:hAnsi="仿宋" w:eastAsia="仿宋" w:cs="仿宋"/>
                <w:color w:val="auto"/>
                <w:szCs w:val="28"/>
                <w:highlight w:val="none"/>
              </w:rPr>
            </w:pPr>
          </w:p>
        </w:tc>
      </w:tr>
      <w:tr w14:paraId="20627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1108" w:type="dxa"/>
            <w:noWrap w:val="0"/>
          </w:tcPr>
          <w:p w14:paraId="49D672A9">
            <w:pPr>
              <w:pStyle w:val="201"/>
              <w:spacing w:line="360" w:lineRule="auto"/>
              <w:ind w:right="138"/>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c>
          <w:tcPr>
            <w:tcW w:w="3367" w:type="dxa"/>
            <w:noWrap w:val="0"/>
          </w:tcPr>
          <w:p w14:paraId="53380E43">
            <w:pPr>
              <w:pStyle w:val="201"/>
              <w:spacing w:line="360" w:lineRule="auto"/>
              <w:ind w:left="431"/>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c>
          <w:tcPr>
            <w:tcW w:w="3224" w:type="dxa"/>
            <w:noWrap w:val="0"/>
          </w:tcPr>
          <w:p w14:paraId="63A4BEED">
            <w:pPr>
              <w:pStyle w:val="201"/>
              <w:spacing w:line="360" w:lineRule="auto"/>
              <w:ind w:left="431"/>
              <w:jc w:val="center"/>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c>
          <w:tcPr>
            <w:tcW w:w="2060" w:type="dxa"/>
            <w:noWrap w:val="0"/>
          </w:tcPr>
          <w:p w14:paraId="3DD5A100">
            <w:pPr>
              <w:pStyle w:val="201"/>
              <w:spacing w:line="360" w:lineRule="auto"/>
              <w:ind w:right="302"/>
              <w:jc w:val="righ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w:t>
            </w:r>
          </w:p>
        </w:tc>
      </w:tr>
      <w:tr w14:paraId="6F4D4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1108" w:type="dxa"/>
            <w:noWrap w:val="0"/>
          </w:tcPr>
          <w:p w14:paraId="5169D14F">
            <w:pPr>
              <w:pStyle w:val="201"/>
              <w:spacing w:line="360" w:lineRule="auto"/>
              <w:rPr>
                <w:rFonts w:hint="eastAsia" w:ascii="仿宋" w:hAnsi="仿宋" w:eastAsia="仿宋" w:cs="仿宋"/>
                <w:color w:val="auto"/>
                <w:szCs w:val="28"/>
                <w:highlight w:val="none"/>
              </w:rPr>
            </w:pPr>
          </w:p>
        </w:tc>
        <w:tc>
          <w:tcPr>
            <w:tcW w:w="3367" w:type="dxa"/>
            <w:noWrap w:val="0"/>
          </w:tcPr>
          <w:p w14:paraId="6D0292BE">
            <w:pPr>
              <w:pStyle w:val="201"/>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（行数不够，自行添加）</w:t>
            </w:r>
          </w:p>
        </w:tc>
        <w:tc>
          <w:tcPr>
            <w:tcW w:w="3224" w:type="dxa"/>
            <w:noWrap w:val="0"/>
          </w:tcPr>
          <w:p w14:paraId="0CD190C3">
            <w:pPr>
              <w:pStyle w:val="201"/>
              <w:spacing w:line="360" w:lineRule="auto"/>
              <w:rPr>
                <w:rFonts w:hint="eastAsia" w:ascii="仿宋" w:hAnsi="仿宋" w:eastAsia="仿宋" w:cs="仿宋"/>
                <w:color w:val="auto"/>
                <w:szCs w:val="28"/>
                <w:highlight w:val="none"/>
              </w:rPr>
            </w:pPr>
          </w:p>
        </w:tc>
        <w:tc>
          <w:tcPr>
            <w:tcW w:w="2060" w:type="dxa"/>
            <w:noWrap w:val="0"/>
          </w:tcPr>
          <w:p w14:paraId="1B359314">
            <w:pPr>
              <w:pStyle w:val="201"/>
              <w:spacing w:line="360" w:lineRule="auto"/>
              <w:rPr>
                <w:rFonts w:hint="eastAsia" w:ascii="仿宋" w:hAnsi="仿宋" w:eastAsia="仿宋" w:cs="仿宋"/>
                <w:color w:val="auto"/>
                <w:szCs w:val="28"/>
                <w:highlight w:val="none"/>
              </w:rPr>
            </w:pPr>
          </w:p>
        </w:tc>
      </w:tr>
    </w:tbl>
    <w:p w14:paraId="33A2BAF3">
      <w:pPr>
        <w:spacing w:line="360" w:lineRule="auto"/>
        <w:ind w:right="1630"/>
        <w:jc w:val="righ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投标单位（盖章）：</w:t>
      </w:r>
    </w:p>
    <w:p w14:paraId="78BB8038">
      <w:pPr>
        <w:spacing w:line="360" w:lineRule="auto"/>
        <w:ind w:right="1630"/>
        <w:jc w:val="righ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授权代表（签字）：</w:t>
      </w:r>
    </w:p>
    <w:p w14:paraId="57A60E4A">
      <w:pPr>
        <w:spacing w:line="360" w:lineRule="auto"/>
        <w:ind w:right="1630"/>
        <w:jc w:val="righ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日</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期：</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t>日</w:t>
      </w:r>
    </w:p>
    <w:p w14:paraId="149EFC92">
      <w:pPr>
        <w:spacing w:line="360" w:lineRule="auto"/>
        <w:jc w:val="both"/>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注：请投标供应商根据实际情况填写。</w:t>
      </w:r>
    </w:p>
    <w:p w14:paraId="069D7941">
      <w:pPr>
        <w:spacing w:line="360" w:lineRule="auto"/>
        <w:ind w:left="1007" w:hanging="1007"/>
        <w:outlineLvl w:val="1"/>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4"/>
          <w:szCs w:val="28"/>
          <w:highlight w:val="none"/>
        </w:rPr>
        <w:t>附件</w:t>
      </w:r>
      <w:r>
        <w:rPr>
          <w:rFonts w:hint="eastAsia" w:ascii="仿宋" w:hAnsi="仿宋" w:eastAsia="仿宋" w:cs="仿宋"/>
          <w:b/>
          <w:color w:val="auto"/>
          <w:sz w:val="24"/>
          <w:szCs w:val="28"/>
          <w:highlight w:val="none"/>
          <w:lang w:val="en-US" w:eastAsia="zh-CN"/>
        </w:rPr>
        <w:t>十</w:t>
      </w:r>
      <w:r>
        <w:rPr>
          <w:rFonts w:hint="eastAsia" w:ascii="仿宋" w:hAnsi="仿宋" w:eastAsia="仿宋" w:cs="仿宋"/>
          <w:b/>
          <w:color w:val="auto"/>
          <w:sz w:val="24"/>
          <w:szCs w:val="28"/>
          <w:highlight w:val="none"/>
        </w:rPr>
        <w:t>、</w:t>
      </w:r>
      <w:r>
        <w:rPr>
          <w:rFonts w:hint="eastAsia" w:ascii="仿宋" w:hAnsi="仿宋" w:eastAsia="仿宋" w:cs="仿宋"/>
          <w:b/>
          <w:color w:val="auto"/>
          <w:sz w:val="24"/>
          <w:szCs w:val="28"/>
          <w:highlight w:val="none"/>
          <w:lang w:val="en-US" w:eastAsia="zh-CN"/>
        </w:rPr>
        <w:t>移动式联体压缩箱配置及产权归属承诺书</w:t>
      </w:r>
    </w:p>
    <w:p w14:paraId="5AE8A402">
      <w:pPr>
        <w:spacing w:line="360" w:lineRule="auto"/>
        <w:ind w:left="1007" w:hanging="1007"/>
        <w:jc w:val="center"/>
        <w:outlineLvl w:val="1"/>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移动式联体压缩箱配置及产权归属承诺书</w:t>
      </w:r>
    </w:p>
    <w:p w14:paraId="599F0928">
      <w:pPr>
        <w:spacing w:line="360" w:lineRule="auto"/>
        <w:ind w:firstLine="240" w:firstLineChars="100"/>
        <w:outlineLvl w:val="1"/>
        <w:rPr>
          <w:rFonts w:hint="eastAsia" w:ascii="仿宋" w:hAnsi="仿宋" w:eastAsia="仿宋" w:cs="仿宋"/>
          <w:b w:val="0"/>
          <w:bCs/>
          <w:color w:val="auto"/>
          <w:sz w:val="24"/>
          <w:szCs w:val="28"/>
          <w:highlight w:val="none"/>
          <w:u w:val="single"/>
          <w:lang w:val="en-US" w:eastAsia="zh-CN"/>
        </w:rPr>
      </w:pPr>
      <w:r>
        <w:rPr>
          <w:rFonts w:hint="eastAsia" w:ascii="仿宋" w:hAnsi="仿宋" w:eastAsia="仿宋" w:cs="仿宋"/>
          <w:b w:val="0"/>
          <w:bCs/>
          <w:color w:val="auto"/>
          <w:sz w:val="24"/>
          <w:szCs w:val="28"/>
          <w:highlight w:val="none"/>
          <w:u w:val="single"/>
          <w:lang w:val="en-US" w:eastAsia="zh-CN"/>
        </w:rPr>
        <w:t>南京市江宁区人民政府禄口街道办事处</w:t>
      </w:r>
    </w:p>
    <w:p w14:paraId="4D34A485">
      <w:pPr>
        <w:spacing w:line="360" w:lineRule="auto"/>
        <w:ind w:firstLine="720" w:firstLineChars="300"/>
        <w:outlineLvl w:val="1"/>
        <w:rPr>
          <w:rFonts w:hint="eastAsia" w:ascii="仿宋" w:hAnsi="仿宋" w:eastAsia="仿宋" w:cs="仿宋"/>
          <w:b w:val="0"/>
          <w:bCs/>
          <w:color w:val="auto"/>
          <w:sz w:val="24"/>
          <w:szCs w:val="28"/>
          <w:highlight w:val="none"/>
          <w:lang w:val="en-US" w:eastAsia="zh-CN"/>
        </w:rPr>
      </w:pPr>
      <w:r>
        <w:rPr>
          <w:rFonts w:hint="eastAsia" w:ascii="仿宋" w:hAnsi="仿宋" w:eastAsia="仿宋" w:cs="仿宋"/>
          <w:b w:val="0"/>
          <w:bCs/>
          <w:color w:val="auto"/>
          <w:sz w:val="24"/>
          <w:szCs w:val="28"/>
          <w:highlight w:val="none"/>
          <w:lang w:val="en-US" w:eastAsia="zh-CN"/>
        </w:rPr>
        <w:t>为保障本项目顺利实施，确保项目垃圾清运等相关服务工作有序开展，我方作为本项目服务承接单位，针对移动式联体压缩箱配置、使用及产权归属等相关事宜，郑重作出如下承诺：</w:t>
      </w:r>
    </w:p>
    <w:p w14:paraId="2CAB9717">
      <w:pPr>
        <w:spacing w:line="360" w:lineRule="auto"/>
        <w:ind w:left="0" w:leftChars="0" w:firstLine="480" w:firstLineChars="200"/>
        <w:jc w:val="both"/>
        <w:outlineLvl w:val="1"/>
        <w:rPr>
          <w:rFonts w:hint="eastAsia" w:ascii="仿宋" w:hAnsi="仿宋" w:eastAsia="仿宋" w:cs="仿宋"/>
          <w:b w:val="0"/>
          <w:bCs/>
          <w:color w:val="auto"/>
          <w:sz w:val="24"/>
          <w:szCs w:val="28"/>
          <w:highlight w:val="none"/>
          <w:lang w:val="en-US" w:eastAsia="zh-CN"/>
        </w:rPr>
      </w:pPr>
      <w:r>
        <w:rPr>
          <w:rFonts w:hint="eastAsia" w:ascii="仿宋" w:hAnsi="仿宋" w:eastAsia="仿宋" w:cs="仿宋"/>
          <w:b w:val="0"/>
          <w:bCs/>
          <w:color w:val="auto"/>
          <w:sz w:val="24"/>
          <w:szCs w:val="28"/>
          <w:highlight w:val="none"/>
          <w:lang w:val="en-US" w:eastAsia="zh-CN"/>
        </w:rPr>
        <w:t>1.在本项目全实施周期内，我方将全额自行配置8个自有产权的移动式联体压缩箱，所有设备手续齐全、性能完好、符合项目作业标准及行业规范，可正常投入项目清运处置作业。我方承诺移动式联体压缩箱的数量、规格、性能完全满足本项目日常清运、应急处置等全部服务需求，全程保障项目作业正常运转，不出现因移动式联体压缩箱不足、移动式联体压缩箱故障、移动式联体压缩箱权属问题影响项目服务开展的情况。</w:t>
      </w:r>
    </w:p>
    <w:p w14:paraId="23AC2933">
      <w:pPr>
        <w:spacing w:line="360" w:lineRule="auto"/>
        <w:ind w:left="0" w:leftChars="0" w:firstLine="480" w:firstLineChars="200"/>
        <w:jc w:val="both"/>
        <w:outlineLvl w:val="1"/>
        <w:rPr>
          <w:rFonts w:hint="eastAsia" w:ascii="仿宋" w:hAnsi="仿宋" w:eastAsia="仿宋" w:cs="仿宋"/>
          <w:b w:val="0"/>
          <w:bCs/>
          <w:color w:val="auto"/>
          <w:sz w:val="24"/>
          <w:szCs w:val="28"/>
          <w:highlight w:val="none"/>
          <w:lang w:val="en-US" w:eastAsia="zh-CN"/>
        </w:rPr>
      </w:pPr>
      <w:r>
        <w:rPr>
          <w:rFonts w:hint="eastAsia" w:ascii="仿宋" w:hAnsi="仿宋" w:eastAsia="仿宋" w:cs="仿宋"/>
          <w:b w:val="0"/>
          <w:bCs/>
          <w:color w:val="auto"/>
          <w:sz w:val="24"/>
          <w:szCs w:val="28"/>
          <w:highlight w:val="none"/>
          <w:lang w:val="en-US" w:eastAsia="zh-CN"/>
        </w:rPr>
        <w:t>2.本项目整体服务周期结束后，我方自愿无条件将上述8个移动式联体压缩箱的全部产权、所有权无偿移交给南京市江宁区人民政府禄口街道办事处，不再主张任何权利，不索要任何费用，全力配合街道完成移动式联体压缩箱盘点、交接、过户等全部相关手续。</w:t>
      </w:r>
    </w:p>
    <w:p w14:paraId="4474D462">
      <w:pPr>
        <w:spacing w:line="360" w:lineRule="auto"/>
        <w:ind w:left="0" w:leftChars="0" w:firstLine="480" w:firstLineChars="200"/>
        <w:jc w:val="both"/>
        <w:outlineLvl w:val="1"/>
        <w:rPr>
          <w:rFonts w:hint="eastAsia" w:ascii="仿宋" w:hAnsi="仿宋" w:eastAsia="仿宋" w:cs="仿宋"/>
          <w:b w:val="0"/>
          <w:bCs/>
          <w:color w:val="auto"/>
          <w:sz w:val="24"/>
          <w:szCs w:val="28"/>
          <w:highlight w:val="none"/>
          <w:lang w:val="en-US" w:eastAsia="zh-CN"/>
        </w:rPr>
      </w:pPr>
    </w:p>
    <w:p w14:paraId="552DD765">
      <w:pPr>
        <w:pStyle w:val="213"/>
        <w:spacing w:line="360" w:lineRule="auto"/>
        <w:ind w:left="3860" w:firstLine="1532"/>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企业名称（盖章）： </w:t>
      </w:r>
    </w:p>
    <w:p w14:paraId="75A3E1FE">
      <w:pPr>
        <w:pStyle w:val="15"/>
        <w:tabs>
          <w:tab w:val="left" w:pos="6967"/>
        </w:tabs>
        <w:spacing w:line="360" w:lineRule="auto"/>
        <w:ind w:right="3247"/>
        <w:jc w:val="righ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日期：</w:t>
      </w:r>
    </w:p>
    <w:p w14:paraId="6DAF0F95">
      <w:pPr>
        <w:spacing w:line="360" w:lineRule="auto"/>
        <w:ind w:left="1007" w:hanging="1007"/>
        <w:outlineLvl w:val="1"/>
        <w:rPr>
          <w:rFonts w:hint="eastAsia" w:ascii="仿宋" w:hAnsi="仿宋" w:eastAsia="仿宋" w:cs="仿宋"/>
          <w:b/>
          <w:color w:val="auto"/>
          <w:sz w:val="24"/>
          <w:szCs w:val="28"/>
          <w:highlight w:val="none"/>
          <w:lang w:val="en-US" w:eastAsia="zh-CN"/>
        </w:rPr>
      </w:pPr>
    </w:p>
    <w:p w14:paraId="45780485">
      <w:pPr>
        <w:spacing w:line="360" w:lineRule="auto"/>
        <w:ind w:left="1007" w:hanging="1007"/>
        <w:outlineLvl w:val="1"/>
        <w:rPr>
          <w:rFonts w:hint="eastAsia" w:ascii="仿宋" w:hAnsi="仿宋" w:eastAsia="仿宋" w:cs="仿宋"/>
          <w:b/>
          <w:color w:val="auto"/>
          <w:sz w:val="24"/>
          <w:szCs w:val="28"/>
          <w:highlight w:val="none"/>
        </w:rPr>
      </w:pPr>
    </w:p>
    <w:p w14:paraId="3B600598">
      <w:pPr>
        <w:spacing w:line="360" w:lineRule="auto"/>
        <w:ind w:left="1007" w:hanging="1007"/>
        <w:outlineLvl w:val="1"/>
        <w:rPr>
          <w:rFonts w:hint="eastAsia" w:ascii="仿宋" w:hAnsi="仿宋" w:eastAsia="仿宋" w:cs="仿宋"/>
          <w:b/>
          <w:color w:val="auto"/>
          <w:sz w:val="24"/>
          <w:szCs w:val="28"/>
          <w:highlight w:val="none"/>
        </w:rPr>
      </w:pPr>
    </w:p>
    <w:p w14:paraId="5F0B1F95">
      <w:pPr>
        <w:spacing w:line="360" w:lineRule="auto"/>
        <w:ind w:left="1007" w:hanging="1007"/>
        <w:outlineLvl w:val="1"/>
        <w:rPr>
          <w:rFonts w:hint="eastAsia" w:ascii="仿宋" w:hAnsi="仿宋" w:eastAsia="仿宋" w:cs="仿宋"/>
          <w:b/>
          <w:color w:val="auto"/>
          <w:sz w:val="24"/>
          <w:szCs w:val="28"/>
          <w:highlight w:val="none"/>
        </w:rPr>
      </w:pPr>
    </w:p>
    <w:p w14:paraId="55BA4F6D">
      <w:pPr>
        <w:spacing w:line="360" w:lineRule="auto"/>
        <w:ind w:left="1007" w:hanging="1007"/>
        <w:outlineLvl w:val="1"/>
        <w:rPr>
          <w:rFonts w:hint="eastAsia" w:ascii="仿宋" w:hAnsi="仿宋" w:eastAsia="仿宋" w:cs="仿宋"/>
          <w:b/>
          <w:color w:val="auto"/>
          <w:sz w:val="24"/>
          <w:szCs w:val="28"/>
          <w:highlight w:val="none"/>
        </w:rPr>
      </w:pPr>
    </w:p>
    <w:p w14:paraId="5685CFE6">
      <w:pPr>
        <w:spacing w:line="360" w:lineRule="auto"/>
        <w:outlineLvl w:val="1"/>
        <w:rPr>
          <w:rFonts w:hint="eastAsia" w:ascii="仿宋" w:hAnsi="仿宋" w:eastAsia="仿宋" w:cs="仿宋"/>
          <w:b/>
          <w:color w:val="auto"/>
          <w:sz w:val="24"/>
          <w:szCs w:val="28"/>
          <w:highlight w:val="none"/>
        </w:rPr>
      </w:pPr>
    </w:p>
    <w:p w14:paraId="24F9E5ED">
      <w:pPr>
        <w:spacing w:line="360" w:lineRule="auto"/>
        <w:ind w:left="1007" w:hanging="1007"/>
        <w:outlineLvl w:val="1"/>
        <w:rPr>
          <w:rFonts w:hint="eastAsia" w:ascii="仿宋" w:hAnsi="仿宋" w:eastAsia="仿宋" w:cs="仿宋"/>
          <w:b/>
          <w:color w:val="auto"/>
          <w:sz w:val="24"/>
          <w:szCs w:val="28"/>
          <w:highlight w:val="none"/>
        </w:rPr>
      </w:pPr>
    </w:p>
    <w:p w14:paraId="6D6473EE">
      <w:pPr>
        <w:spacing w:line="360" w:lineRule="auto"/>
        <w:ind w:left="1007" w:hanging="1007"/>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附件</w:t>
      </w:r>
      <w:r>
        <w:rPr>
          <w:rFonts w:hint="eastAsia" w:ascii="仿宋" w:hAnsi="仿宋" w:eastAsia="仿宋" w:cs="仿宋"/>
          <w:b/>
          <w:color w:val="auto"/>
          <w:sz w:val="24"/>
          <w:szCs w:val="28"/>
          <w:highlight w:val="none"/>
          <w:lang w:val="en-US" w:eastAsia="zh-CN"/>
        </w:rPr>
        <w:t>十一</w:t>
      </w:r>
      <w:r>
        <w:rPr>
          <w:rFonts w:hint="eastAsia" w:ascii="仿宋" w:hAnsi="仿宋" w:eastAsia="仿宋" w:cs="仿宋"/>
          <w:b/>
          <w:color w:val="auto"/>
          <w:sz w:val="24"/>
          <w:szCs w:val="28"/>
          <w:highlight w:val="none"/>
        </w:rPr>
        <w:t>、中小企业声明函格式</w:t>
      </w:r>
      <w:bookmarkEnd w:id="62"/>
    </w:p>
    <w:p w14:paraId="25BA7765">
      <w:pPr>
        <w:pStyle w:val="15"/>
        <w:spacing w:line="360" w:lineRule="auto"/>
        <w:rPr>
          <w:rFonts w:hint="eastAsia" w:ascii="仿宋" w:hAnsi="仿宋" w:eastAsia="仿宋" w:cs="仿宋"/>
          <w:b/>
          <w:color w:val="auto"/>
          <w:sz w:val="20"/>
          <w:szCs w:val="24"/>
          <w:highlight w:val="none"/>
        </w:rPr>
      </w:pPr>
    </w:p>
    <w:p w14:paraId="611235CA">
      <w:pPr>
        <w:spacing w:line="360" w:lineRule="auto"/>
        <w:ind w:left="6" w:right="21"/>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中小企业声明函</w:t>
      </w:r>
    </w:p>
    <w:p w14:paraId="615698B5">
      <w:pPr>
        <w:pStyle w:val="15"/>
        <w:spacing w:line="360" w:lineRule="auto"/>
        <w:rPr>
          <w:rFonts w:hint="eastAsia" w:ascii="仿宋" w:hAnsi="仿宋" w:eastAsia="仿宋" w:cs="仿宋"/>
          <w:b/>
          <w:color w:val="auto"/>
          <w:sz w:val="24"/>
          <w:szCs w:val="24"/>
          <w:highlight w:val="none"/>
        </w:rPr>
      </w:pPr>
    </w:p>
    <w:p w14:paraId="09D30EC4">
      <w:pPr>
        <w:pStyle w:val="213"/>
        <w:spacing w:line="360" w:lineRule="auto"/>
        <w:ind w:firstLine="6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lang w:eastAsia="zh-CN"/>
        </w:rPr>
        <w:t>（单位名称）</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u w:val="single"/>
          <w:lang w:eastAsia="zh-CN"/>
        </w:rPr>
        <w:t>（项目名</w:t>
      </w:r>
      <w:r>
        <w:rPr>
          <w:rFonts w:hint="eastAsia" w:ascii="仿宋" w:hAnsi="仿宋" w:eastAsia="仿宋" w:cs="仿宋"/>
          <w:color w:val="auto"/>
          <w:sz w:val="24"/>
          <w:szCs w:val="24"/>
          <w:highlight w:val="none"/>
          <w:u w:val="single"/>
          <w:lang w:val="en-US" w:eastAsia="zh-CN"/>
        </w:rPr>
        <w:t>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lang w:eastAsia="zh-CN"/>
        </w:rPr>
        <w:t>采购活动，提供的货物全部由符合政策要求的中小企业制造。相关企业（含联合体中的中小企业、签订分包意向协议的中小企业）的具体情况如下：</w:t>
      </w:r>
    </w:p>
    <w:p w14:paraId="7CB945A8">
      <w:pPr>
        <w:pStyle w:val="213"/>
        <w:tabs>
          <w:tab w:val="left" w:pos="1246"/>
          <w:tab w:val="left" w:pos="4483"/>
          <w:tab w:val="left" w:pos="6739"/>
        </w:tabs>
        <w:spacing w:line="360" w:lineRule="auto"/>
        <w:ind w:firstLine="865"/>
        <w:jc w:val="both"/>
        <w:rPr>
          <w:rFonts w:hint="eastAsia" w:ascii="仿宋" w:hAnsi="仿宋" w:eastAsia="仿宋" w:cs="仿宋"/>
          <w:color w:val="auto"/>
          <w:sz w:val="24"/>
          <w:szCs w:val="24"/>
          <w:highlight w:val="none"/>
          <w:lang w:val="en-US" w:eastAsia="zh-CN"/>
        </w:rPr>
      </w:pPr>
      <w:bookmarkStart w:id="63" w:name="bookmark42"/>
      <w:bookmarkEnd w:id="63"/>
      <w:r>
        <w:rPr>
          <w:rFonts w:hint="eastAsia" w:ascii="仿宋" w:hAnsi="仿宋" w:eastAsia="仿宋" w:cs="仿宋"/>
          <w:i/>
          <w:iCs/>
          <w:color w:val="auto"/>
          <w:sz w:val="24"/>
          <w:szCs w:val="24"/>
          <w:highlight w:val="none"/>
          <w:u w:val="single"/>
          <w:lang w:eastAsia="zh-CN"/>
        </w:rPr>
        <w:t>（标的名称），</w:t>
      </w:r>
      <w:r>
        <w:rPr>
          <w:rFonts w:hint="eastAsia" w:ascii="仿宋" w:hAnsi="仿宋" w:eastAsia="仿宋" w:cs="仿宋"/>
          <w:color w:val="auto"/>
          <w:sz w:val="24"/>
          <w:szCs w:val="24"/>
          <w:highlight w:val="none"/>
          <w:lang w:eastAsia="zh-CN"/>
        </w:rPr>
        <w:t>属于</w:t>
      </w:r>
      <w:r>
        <w:rPr>
          <w:rFonts w:hint="eastAsia" w:ascii="仿宋" w:hAnsi="仿宋" w:eastAsia="仿宋" w:cs="仿宋"/>
          <w:i/>
          <w:iCs/>
          <w:color w:val="auto"/>
          <w:sz w:val="24"/>
          <w:szCs w:val="24"/>
          <w:highlight w:val="none"/>
          <w:u w:val="single"/>
          <w:lang w:eastAsia="zh-CN"/>
        </w:rPr>
        <w:t xml:space="preserve"> </w:t>
      </w:r>
      <w:r>
        <w:rPr>
          <w:rFonts w:hint="eastAsia" w:ascii="仿宋" w:hAnsi="仿宋" w:eastAsia="仿宋" w:cs="仿宋"/>
          <w:i/>
          <w:iCs/>
          <w:color w:val="auto"/>
          <w:sz w:val="24"/>
          <w:szCs w:val="24"/>
          <w:highlight w:val="none"/>
          <w:u w:val="single"/>
          <w:lang w:val="en-US" w:eastAsia="zh-CN"/>
        </w:rPr>
        <w:t>暂未列明</w:t>
      </w:r>
      <w:r>
        <w:rPr>
          <w:rFonts w:hint="eastAsia" w:ascii="仿宋" w:hAnsi="仿宋" w:eastAsia="仿宋" w:cs="仿宋"/>
          <w:i/>
          <w:iCs/>
          <w:color w:val="auto"/>
          <w:sz w:val="24"/>
          <w:szCs w:val="24"/>
          <w:highlight w:val="none"/>
          <w:u w:val="single"/>
          <w:lang w:eastAsia="zh-CN"/>
        </w:rPr>
        <w:t>行业；</w:t>
      </w:r>
      <w:r>
        <w:rPr>
          <w:rFonts w:hint="eastAsia" w:ascii="仿宋" w:hAnsi="仿宋" w:eastAsia="仿宋" w:cs="仿宋"/>
          <w:color w:val="auto"/>
          <w:sz w:val="24"/>
          <w:szCs w:val="24"/>
          <w:highlight w:val="none"/>
          <w:lang w:eastAsia="zh-CN"/>
        </w:rPr>
        <w:t>制造商为</w:t>
      </w:r>
      <w:r>
        <w:rPr>
          <w:rFonts w:hint="eastAsia" w:ascii="仿宋" w:hAnsi="仿宋" w:eastAsia="仿宋" w:cs="仿宋"/>
          <w:i/>
          <w:iCs/>
          <w:color w:val="auto"/>
          <w:sz w:val="24"/>
          <w:szCs w:val="24"/>
          <w:highlight w:val="none"/>
          <w:u w:val="single"/>
          <w:lang w:eastAsia="zh-CN"/>
        </w:rPr>
        <w:t>（企业名称），</w:t>
      </w:r>
      <w:r>
        <w:rPr>
          <w:rFonts w:hint="eastAsia" w:ascii="仿宋" w:hAnsi="仿宋" w:eastAsia="仿宋" w:cs="仿宋"/>
          <w:color w:val="auto"/>
          <w:sz w:val="24"/>
          <w:szCs w:val="24"/>
          <w:highlight w:val="none"/>
          <w:lang w:eastAsia="zh-CN"/>
        </w:rPr>
        <w:t>从业人员</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人，营业收入为</w:t>
      </w:r>
      <w:r>
        <w:rPr>
          <w:rFonts w:hint="eastAsia" w:ascii="仿宋" w:hAnsi="仿宋" w:eastAsia="仿宋" w:cs="仿宋"/>
          <w:color w:val="auto"/>
          <w:sz w:val="24"/>
          <w:szCs w:val="24"/>
          <w:highlight w:val="none"/>
          <w:lang w:val="zh-CN" w:eastAsia="zh-CN" w:bidi="zh-CN"/>
        </w:rPr>
        <w:t>—</w:t>
      </w:r>
      <w:r>
        <w:rPr>
          <w:rFonts w:hint="eastAsia" w:ascii="仿宋" w:hAnsi="仿宋" w:eastAsia="仿宋" w:cs="仿宋"/>
          <w:color w:val="auto"/>
          <w:sz w:val="24"/>
          <w:szCs w:val="24"/>
          <w:highlight w:val="none"/>
          <w:lang w:eastAsia="zh-CN"/>
        </w:rPr>
        <w:t>万元，资产总额为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eastAsia="zh-CN"/>
        </w:rPr>
        <w:tab/>
      </w:r>
      <w:r>
        <w:rPr>
          <w:rFonts w:hint="eastAsia" w:ascii="仿宋" w:hAnsi="仿宋" w:eastAsia="仿宋" w:cs="仿宋"/>
          <w:color w:val="auto"/>
          <w:sz w:val="24"/>
          <w:szCs w:val="24"/>
          <w:highlight w:val="none"/>
          <w:lang w:eastAsia="zh-CN"/>
        </w:rPr>
        <w:t>万元，属于</w:t>
      </w:r>
      <w:r>
        <w:rPr>
          <w:rFonts w:hint="eastAsia" w:ascii="仿宋" w:hAnsi="仿宋" w:eastAsia="仿宋" w:cs="仿宋"/>
          <w:i/>
          <w:iCs/>
          <w:color w:val="auto"/>
          <w:sz w:val="24"/>
          <w:szCs w:val="24"/>
          <w:highlight w:val="none"/>
          <w:u w:val="single"/>
          <w:lang w:eastAsia="zh-CN"/>
        </w:rPr>
        <w:t>（中型企业、小型企业、微型企业）</w:t>
      </w:r>
      <w:r>
        <w:rPr>
          <w:rFonts w:hint="eastAsia" w:ascii="仿宋" w:hAnsi="仿宋" w:eastAsia="仿宋" w:cs="仿宋"/>
          <w:i/>
          <w:iCs/>
          <w:color w:val="auto"/>
          <w:sz w:val="24"/>
          <w:szCs w:val="24"/>
          <w:highlight w:val="none"/>
          <w:u w:val="single"/>
          <w:lang w:val="en-US" w:eastAsia="zh-CN"/>
        </w:rPr>
        <w:t>；</w:t>
      </w:r>
    </w:p>
    <w:p w14:paraId="4425D04D">
      <w:pPr>
        <w:pStyle w:val="214"/>
        <w:tabs>
          <w:tab w:val="left" w:leader="dot" w:pos="-1047"/>
        </w:tabs>
        <w:spacing w:line="360" w:lineRule="auto"/>
        <w:rPr>
          <w:rFonts w:hint="eastAsia" w:ascii="仿宋" w:hAnsi="仿宋" w:eastAsia="仿宋" w:cs="仿宋"/>
          <w:color w:val="auto"/>
          <w:sz w:val="24"/>
          <w:szCs w:val="24"/>
          <w:highlight w:val="none"/>
          <w:lang w:eastAsia="zh-CN"/>
        </w:rPr>
      </w:pPr>
      <w:bookmarkStart w:id="64" w:name="bookmark43"/>
      <w:bookmarkEnd w:id="64"/>
      <w:r>
        <w:rPr>
          <w:rFonts w:hint="eastAsia" w:ascii="仿宋" w:hAnsi="仿宋" w:eastAsia="仿宋" w:cs="仿宋"/>
          <w:color w:val="auto"/>
          <w:sz w:val="24"/>
          <w:szCs w:val="24"/>
          <w:highlight w:val="none"/>
          <w:lang w:val="en-US" w:eastAsia="zh-CN" w:bidi="en-US"/>
        </w:rPr>
        <w:tab/>
      </w:r>
    </w:p>
    <w:p w14:paraId="3ED3A94E">
      <w:pPr>
        <w:pStyle w:val="213"/>
        <w:spacing w:line="360" w:lineRule="auto"/>
        <w:ind w:firstLine="6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以上企业，不属于大企业的分支机构，不存在控股股东为大企业的情形，也不存在与大企业的负责人为同一人的情形。</w:t>
      </w:r>
    </w:p>
    <w:p w14:paraId="177D4203">
      <w:pPr>
        <w:pStyle w:val="213"/>
        <w:spacing w:line="360" w:lineRule="auto"/>
        <w:ind w:firstLine="6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本企业对上述声明内容的真实性负责。如有虚假，将依 法承担相应责任。</w:t>
      </w:r>
    </w:p>
    <w:p w14:paraId="27E62F93">
      <w:pPr>
        <w:pStyle w:val="213"/>
        <w:spacing w:line="360" w:lineRule="auto"/>
        <w:ind w:left="3860" w:firstLine="100"/>
        <w:jc w:val="center"/>
        <w:rPr>
          <w:rFonts w:hint="eastAsia" w:ascii="仿宋" w:hAnsi="仿宋" w:eastAsia="仿宋" w:cs="仿宋"/>
          <w:color w:val="auto"/>
          <w:sz w:val="28"/>
          <w:szCs w:val="28"/>
          <w:highlight w:val="none"/>
          <w:lang w:eastAsia="zh-CN"/>
        </w:rPr>
      </w:pPr>
    </w:p>
    <w:p w14:paraId="749BEB8E">
      <w:pPr>
        <w:pStyle w:val="213"/>
        <w:spacing w:line="360" w:lineRule="auto"/>
        <w:ind w:left="3860" w:firstLine="1532"/>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企业名称（盖章）： </w:t>
      </w:r>
    </w:p>
    <w:p w14:paraId="7DDEA2F7">
      <w:pPr>
        <w:pStyle w:val="15"/>
        <w:tabs>
          <w:tab w:val="left" w:pos="6967"/>
        </w:tabs>
        <w:spacing w:line="360" w:lineRule="auto"/>
        <w:ind w:right="3247"/>
        <w:jc w:val="righ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日期：</w:t>
      </w:r>
    </w:p>
    <w:p w14:paraId="5C422B09">
      <w:pPr>
        <w:pStyle w:val="214"/>
        <w:spacing w:line="360" w:lineRule="auto"/>
        <w:ind w:firstLine="0"/>
        <w:rPr>
          <w:rFonts w:hint="eastAsia" w:ascii="仿宋" w:hAnsi="仿宋" w:eastAsia="仿宋" w:cs="仿宋"/>
          <w:color w:val="auto"/>
          <w:sz w:val="20"/>
          <w:szCs w:val="20"/>
          <w:highlight w:val="none"/>
          <w:lang w:val="en-US" w:eastAsia="zh-CN"/>
        </w:rPr>
      </w:pPr>
    </w:p>
    <w:p w14:paraId="71FB93CD">
      <w:pPr>
        <w:pStyle w:val="214"/>
        <w:spacing w:line="360" w:lineRule="auto"/>
        <w:ind w:firstLine="0"/>
        <w:rPr>
          <w:rFonts w:hint="eastAsia" w:ascii="仿宋" w:hAnsi="仿宋" w:eastAsia="仿宋" w:cs="仿宋"/>
          <w:color w:val="auto"/>
          <w:sz w:val="20"/>
          <w:szCs w:val="20"/>
          <w:highlight w:val="none"/>
          <w:lang w:val="en-US" w:eastAsia="zh-CN"/>
        </w:rPr>
      </w:pPr>
    </w:p>
    <w:p w14:paraId="6403AD1D">
      <w:pPr>
        <w:pStyle w:val="214"/>
        <w:spacing w:line="360" w:lineRule="auto"/>
        <w:ind w:firstLine="0"/>
        <w:rPr>
          <w:rFonts w:hint="eastAsia" w:ascii="仿宋" w:hAnsi="仿宋" w:eastAsia="仿宋" w:cs="仿宋"/>
          <w:color w:val="auto"/>
          <w:sz w:val="20"/>
          <w:szCs w:val="20"/>
          <w:highlight w:val="none"/>
          <w:lang w:val="en-US" w:eastAsia="zh-CN"/>
        </w:rPr>
      </w:pPr>
    </w:p>
    <w:p w14:paraId="5529FDF0">
      <w:pPr>
        <w:pStyle w:val="214"/>
        <w:spacing w:line="360" w:lineRule="auto"/>
        <w:ind w:firstLine="0"/>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注：</w:t>
      </w:r>
      <w:r>
        <w:rPr>
          <w:rFonts w:hint="eastAsia" w:ascii="仿宋" w:hAnsi="仿宋" w:eastAsia="仿宋" w:cs="仿宋"/>
          <w:color w:val="auto"/>
          <w:sz w:val="20"/>
          <w:szCs w:val="20"/>
          <w:highlight w:val="none"/>
          <w:lang w:eastAsia="zh-CN"/>
        </w:rPr>
        <w:t>从业人员、营业收入、资产总额填报上一年度数据，无上一年度数据的新成立企业可不填报。</w:t>
      </w:r>
    </w:p>
    <w:p w14:paraId="24942E19">
      <w:pPr>
        <w:spacing w:line="360" w:lineRule="auto"/>
        <w:ind w:left="754" w:hanging="754"/>
        <w:outlineLvl w:val="1"/>
        <w:rPr>
          <w:rFonts w:hint="eastAsia" w:ascii="仿宋" w:hAnsi="仿宋" w:eastAsia="仿宋" w:cs="仿宋"/>
          <w:b/>
          <w:color w:val="auto"/>
          <w:sz w:val="24"/>
          <w:szCs w:val="28"/>
          <w:highlight w:val="none"/>
        </w:rPr>
      </w:pPr>
      <w:bookmarkStart w:id="65" w:name="_Toc13161"/>
    </w:p>
    <w:p w14:paraId="2BD2C2DB">
      <w:pPr>
        <w:spacing w:line="360" w:lineRule="auto"/>
        <w:ind w:left="754" w:hanging="754"/>
        <w:outlineLvl w:val="1"/>
        <w:rPr>
          <w:rFonts w:hint="eastAsia" w:ascii="仿宋" w:hAnsi="仿宋" w:eastAsia="仿宋" w:cs="仿宋"/>
          <w:b/>
          <w:color w:val="auto"/>
          <w:sz w:val="24"/>
          <w:szCs w:val="28"/>
          <w:highlight w:val="none"/>
        </w:rPr>
      </w:pPr>
    </w:p>
    <w:p w14:paraId="2AA77176">
      <w:pPr>
        <w:spacing w:line="360" w:lineRule="auto"/>
        <w:ind w:left="754" w:hanging="754"/>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附件十</w:t>
      </w:r>
      <w:r>
        <w:rPr>
          <w:rFonts w:hint="eastAsia" w:ascii="仿宋" w:hAnsi="仿宋" w:eastAsia="仿宋" w:cs="仿宋"/>
          <w:b/>
          <w:color w:val="auto"/>
          <w:sz w:val="24"/>
          <w:szCs w:val="28"/>
          <w:highlight w:val="none"/>
          <w:lang w:val="en-US" w:eastAsia="zh-CN"/>
        </w:rPr>
        <w:t>二</w:t>
      </w:r>
      <w:r>
        <w:rPr>
          <w:rFonts w:hint="eastAsia" w:ascii="仿宋" w:hAnsi="仿宋" w:eastAsia="仿宋" w:cs="仿宋"/>
          <w:b/>
          <w:color w:val="auto"/>
          <w:sz w:val="24"/>
          <w:szCs w:val="28"/>
          <w:highlight w:val="none"/>
        </w:rPr>
        <w:t>、无重大违法记录声明格式</w:t>
      </w:r>
      <w:bookmarkEnd w:id="65"/>
    </w:p>
    <w:p w14:paraId="3BA519B3">
      <w:pPr>
        <w:pStyle w:val="15"/>
        <w:spacing w:line="360" w:lineRule="auto"/>
        <w:rPr>
          <w:rFonts w:hint="eastAsia" w:ascii="仿宋" w:hAnsi="仿宋" w:eastAsia="仿宋" w:cs="仿宋"/>
          <w:b/>
          <w:color w:val="auto"/>
          <w:sz w:val="24"/>
          <w:szCs w:val="24"/>
          <w:highlight w:val="none"/>
        </w:rPr>
      </w:pPr>
    </w:p>
    <w:p w14:paraId="4C0CEC08">
      <w:pPr>
        <w:spacing w:line="360" w:lineRule="auto"/>
        <w:ind w:right="21"/>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无重大违法记录声明</w:t>
      </w:r>
    </w:p>
    <w:p w14:paraId="508C1E28">
      <w:pPr>
        <w:pStyle w:val="15"/>
        <w:keepNext w:val="0"/>
        <w:keepLines w:val="0"/>
        <w:pageBreakBefore w:val="0"/>
        <w:widowControl w:val="0"/>
        <w:kinsoku/>
        <w:wordWrap/>
        <w:overflowPunct/>
        <w:topLinePunct w:val="0"/>
        <w:autoSpaceDE/>
        <w:autoSpaceDN/>
        <w:bidi w:val="0"/>
        <w:adjustRightInd/>
        <w:snapToGrid/>
        <w:spacing w:after="0" w:line="360" w:lineRule="auto"/>
        <w:ind w:left="0" w:right="0"/>
        <w:textAlignment w:val="auto"/>
        <w:rPr>
          <w:rFonts w:hint="eastAsia" w:ascii="仿宋" w:hAnsi="仿宋" w:eastAsia="仿宋" w:cs="仿宋"/>
          <w:color w:val="auto"/>
          <w:sz w:val="28"/>
          <w:szCs w:val="24"/>
          <w:highlight w:val="none"/>
        </w:rPr>
      </w:pPr>
      <w:r>
        <w:rPr>
          <w:rFonts w:hint="eastAsia" w:ascii="仿宋" w:hAnsi="仿宋" w:eastAsia="仿宋" w:cs="仿宋"/>
          <w:color w:val="auto"/>
          <w:sz w:val="24"/>
          <w:szCs w:val="24"/>
          <w:highlight w:val="none"/>
          <w:lang w:eastAsia="zh-CN"/>
        </w:rPr>
        <w:t>南京市江宁区人民政府禄口街道办事处</w:t>
      </w:r>
      <w:r>
        <w:rPr>
          <w:rFonts w:hint="eastAsia" w:ascii="仿宋" w:hAnsi="仿宋" w:eastAsia="仿宋" w:cs="仿宋"/>
          <w:color w:val="auto"/>
          <w:sz w:val="24"/>
          <w:szCs w:val="24"/>
          <w:highlight w:val="none"/>
        </w:rPr>
        <w:t>：</w:t>
      </w:r>
    </w:p>
    <w:p w14:paraId="52EB8380">
      <w:pPr>
        <w:pStyle w:val="15"/>
        <w:keepNext w:val="0"/>
        <w:keepLines w:val="0"/>
        <w:pageBreakBefore w:val="0"/>
        <w:widowControl w:val="0"/>
        <w:kinsoku/>
        <w:wordWrap/>
        <w:overflowPunct/>
        <w:topLinePunct w:val="0"/>
        <w:autoSpaceDE/>
        <w:autoSpaceDN/>
        <w:bidi w:val="0"/>
        <w:adjustRightInd/>
        <w:snapToGrid/>
        <w:spacing w:after="0" w:line="36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（供应商名称）郑重声明：</w:t>
      </w:r>
    </w:p>
    <w:p w14:paraId="54E32C0D">
      <w:pPr>
        <w:pStyle w:val="15"/>
        <w:keepNext w:val="0"/>
        <w:keepLines w:val="0"/>
        <w:pageBreakBefore w:val="0"/>
        <w:widowControl w:val="0"/>
        <w:kinsoku/>
        <w:wordWrap/>
        <w:overflowPunct/>
        <w:topLinePunct w:val="0"/>
        <w:autoSpaceDE/>
        <w:autoSpaceDN/>
        <w:bidi w:val="0"/>
        <w:adjustRightInd/>
        <w:snapToGrid/>
        <w:spacing w:after="0" w:line="360" w:lineRule="auto"/>
        <w:ind w:left="0" w:right="0"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参加政府采购活动前 3 年内在经营活动中</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在下划线上如实填写：有或没有）重大违法记录。</w:t>
      </w:r>
    </w:p>
    <w:p w14:paraId="53E1C852">
      <w:pPr>
        <w:pStyle w:val="15"/>
        <w:keepNext w:val="0"/>
        <w:keepLines w:val="0"/>
        <w:pageBreakBefore w:val="0"/>
        <w:widowControl w:val="0"/>
        <w:kinsoku/>
        <w:wordWrap/>
        <w:overflowPunct/>
        <w:topLinePunct w:val="0"/>
        <w:autoSpaceDE/>
        <w:autoSpaceDN/>
        <w:bidi w:val="0"/>
        <w:adjustRightInd/>
        <w:snapToGrid/>
        <w:spacing w:after="0" w:line="36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76674B32">
      <w:pPr>
        <w:pStyle w:val="15"/>
        <w:spacing w:line="360" w:lineRule="auto"/>
        <w:rPr>
          <w:rFonts w:hint="eastAsia" w:ascii="仿宋" w:hAnsi="仿宋" w:eastAsia="仿宋" w:cs="仿宋"/>
          <w:color w:val="auto"/>
          <w:sz w:val="22"/>
          <w:szCs w:val="24"/>
          <w:highlight w:val="none"/>
        </w:rPr>
      </w:pPr>
    </w:p>
    <w:p w14:paraId="52EE17C2">
      <w:pPr>
        <w:pStyle w:val="15"/>
        <w:spacing w:line="360" w:lineRule="auto"/>
        <w:ind w:left="87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声明人：（公章）</w:t>
      </w:r>
    </w:p>
    <w:p w14:paraId="7BC15CF3">
      <w:pPr>
        <w:pStyle w:val="15"/>
        <w:spacing w:line="360" w:lineRule="auto"/>
        <w:rPr>
          <w:rFonts w:hint="eastAsia" w:ascii="仿宋" w:hAnsi="仿宋" w:eastAsia="仿宋" w:cs="仿宋"/>
          <w:color w:val="auto"/>
          <w:sz w:val="22"/>
          <w:szCs w:val="24"/>
          <w:highlight w:val="none"/>
        </w:rPr>
      </w:pPr>
    </w:p>
    <w:p w14:paraId="1AAACFE9">
      <w:pPr>
        <w:pStyle w:val="15"/>
        <w:spacing w:line="360" w:lineRule="auto"/>
        <w:rPr>
          <w:rFonts w:hint="eastAsia" w:ascii="仿宋" w:hAnsi="仿宋" w:eastAsia="仿宋" w:cs="仿宋"/>
          <w:color w:val="auto"/>
          <w:sz w:val="28"/>
          <w:szCs w:val="24"/>
          <w:highlight w:val="none"/>
        </w:rPr>
      </w:pPr>
    </w:p>
    <w:p w14:paraId="4AE5FD11">
      <w:pPr>
        <w:pStyle w:val="15"/>
        <w:tabs>
          <w:tab w:val="left" w:pos="839"/>
          <w:tab w:val="left" w:pos="1679"/>
        </w:tabs>
        <w:spacing w:line="360" w:lineRule="auto"/>
        <w:ind w:right="898"/>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日</w:t>
      </w:r>
    </w:p>
    <w:p w14:paraId="74CA3333">
      <w:pPr>
        <w:spacing w:line="360" w:lineRule="auto"/>
        <w:jc w:val="right"/>
        <w:rPr>
          <w:rFonts w:hint="eastAsia" w:ascii="仿宋" w:hAnsi="仿宋" w:eastAsia="仿宋" w:cs="仿宋"/>
          <w:color w:val="auto"/>
          <w:sz w:val="28"/>
          <w:szCs w:val="28"/>
          <w:highlight w:val="none"/>
        </w:rPr>
        <w:sectPr>
          <w:pgSz w:w="11910" w:h="16840"/>
          <w:pgMar w:top="1701" w:right="1134" w:bottom="1701" w:left="1134" w:header="0" w:footer="992" w:gutter="0"/>
          <w:cols w:space="425" w:num="1"/>
          <w:docGrid w:linePitch="360" w:charSpace="0"/>
        </w:sectPr>
      </w:pPr>
    </w:p>
    <w:p w14:paraId="2D66F462">
      <w:pPr>
        <w:spacing w:line="360" w:lineRule="auto"/>
        <w:outlineLvl w:val="1"/>
        <w:rPr>
          <w:rFonts w:hint="eastAsia" w:ascii="仿宋" w:hAnsi="仿宋" w:eastAsia="仿宋" w:cs="仿宋"/>
          <w:b/>
          <w:color w:val="auto"/>
          <w:sz w:val="24"/>
          <w:szCs w:val="28"/>
          <w:highlight w:val="none"/>
        </w:rPr>
      </w:pPr>
      <w:bookmarkStart w:id="66" w:name="_Toc3517"/>
      <w:r>
        <w:rPr>
          <w:rFonts w:hint="eastAsia" w:ascii="仿宋" w:hAnsi="仿宋" w:eastAsia="仿宋" w:cs="仿宋"/>
          <w:b/>
          <w:color w:val="auto"/>
          <w:sz w:val="24"/>
          <w:szCs w:val="28"/>
          <w:highlight w:val="none"/>
        </w:rPr>
        <w:t>附件十</w:t>
      </w:r>
      <w:r>
        <w:rPr>
          <w:rFonts w:hint="eastAsia" w:ascii="仿宋" w:hAnsi="仿宋" w:eastAsia="仿宋" w:cs="仿宋"/>
          <w:b/>
          <w:color w:val="auto"/>
          <w:sz w:val="24"/>
          <w:szCs w:val="28"/>
          <w:highlight w:val="none"/>
          <w:lang w:val="en-US" w:eastAsia="zh-CN"/>
        </w:rPr>
        <w:t>三</w:t>
      </w:r>
      <w:r>
        <w:rPr>
          <w:rFonts w:hint="eastAsia" w:ascii="仿宋" w:hAnsi="仿宋" w:eastAsia="仿宋" w:cs="仿宋"/>
          <w:b/>
          <w:color w:val="auto"/>
          <w:sz w:val="24"/>
          <w:szCs w:val="28"/>
          <w:highlight w:val="none"/>
        </w:rPr>
        <w:t>、具备履行合同所必需的设备和专业技术能力的书面声明</w:t>
      </w:r>
      <w:bookmarkEnd w:id="66"/>
    </w:p>
    <w:p w14:paraId="143ADEA1">
      <w:pPr>
        <w:pStyle w:val="15"/>
        <w:spacing w:line="360" w:lineRule="auto"/>
        <w:ind w:left="878" w:right="898" w:firstLine="49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我公司郑重声明：我公司具备履行本项采购合同所必需的设备和专业技术能力，为履行本项采购合同我公司具备如下主要设备和主要专业技术能力：</w:t>
      </w:r>
    </w:p>
    <w:p w14:paraId="59592F7E">
      <w:pPr>
        <w:pStyle w:val="15"/>
        <w:tabs>
          <w:tab w:val="left" w:pos="4099"/>
        </w:tabs>
        <w:spacing w:line="360" w:lineRule="auto"/>
        <w:ind w:left="13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主要设备有：</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w:t>
      </w:r>
    </w:p>
    <w:p w14:paraId="5C78A9B7">
      <w:pPr>
        <w:pStyle w:val="15"/>
        <w:tabs>
          <w:tab w:val="left" w:pos="4099"/>
        </w:tabs>
        <w:spacing w:line="360" w:lineRule="auto"/>
        <w:ind w:left="1370"/>
        <w:rPr>
          <w:rFonts w:hint="eastAsia" w:ascii="仿宋" w:hAnsi="仿宋" w:eastAsia="仿宋" w:cs="仿宋"/>
          <w:color w:val="auto"/>
          <w:sz w:val="22"/>
          <w:szCs w:val="24"/>
          <w:highlight w:val="none"/>
        </w:rPr>
      </w:pPr>
      <w:r>
        <w:rPr>
          <w:rFonts w:hint="eastAsia" w:ascii="仿宋" w:hAnsi="仿宋" w:eastAsia="仿宋" w:cs="仿宋"/>
          <w:color w:val="auto"/>
          <w:sz w:val="24"/>
          <w:szCs w:val="24"/>
          <w:highlight w:val="none"/>
        </w:rPr>
        <w:t>主要专业技术能力有：</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0F5D2EAB">
      <w:pPr>
        <w:pStyle w:val="15"/>
        <w:spacing w:line="360" w:lineRule="auto"/>
        <w:rPr>
          <w:rFonts w:hint="eastAsia" w:ascii="仿宋" w:hAnsi="仿宋" w:eastAsia="仿宋" w:cs="仿宋"/>
          <w:color w:val="auto"/>
          <w:sz w:val="22"/>
          <w:szCs w:val="24"/>
          <w:highlight w:val="none"/>
        </w:rPr>
      </w:pPr>
    </w:p>
    <w:p w14:paraId="36DEC378">
      <w:pPr>
        <w:pStyle w:val="15"/>
        <w:spacing w:line="360" w:lineRule="auto"/>
        <w:rPr>
          <w:rFonts w:hint="eastAsia" w:ascii="仿宋" w:hAnsi="仿宋" w:eastAsia="仿宋" w:cs="仿宋"/>
          <w:color w:val="auto"/>
          <w:sz w:val="16"/>
          <w:szCs w:val="24"/>
          <w:highlight w:val="none"/>
        </w:rPr>
      </w:pPr>
    </w:p>
    <w:p w14:paraId="66C10DAE">
      <w:pPr>
        <w:pStyle w:val="15"/>
        <w:spacing w:line="360" w:lineRule="auto"/>
        <w:ind w:right="898"/>
        <w:jc w:val="right"/>
        <w:rPr>
          <w:rFonts w:hint="eastAsia" w:ascii="仿宋" w:hAnsi="仿宋" w:eastAsia="仿宋" w:cs="仿宋"/>
          <w:color w:val="auto"/>
          <w:spacing w:val="-7"/>
          <w:sz w:val="24"/>
          <w:szCs w:val="24"/>
          <w:highlight w:val="none"/>
        </w:rPr>
      </w:pPr>
      <w:r>
        <w:rPr>
          <w:rFonts w:hint="eastAsia" w:ascii="仿宋" w:hAnsi="仿宋" w:eastAsia="仿宋" w:cs="仿宋"/>
          <w:color w:val="auto"/>
          <w:sz w:val="24"/>
          <w:szCs w:val="24"/>
          <w:highlight w:val="none"/>
        </w:rPr>
        <w:t>授权代表（盖章或签字</w:t>
      </w:r>
      <w:r>
        <w:rPr>
          <w:rFonts w:hint="eastAsia" w:ascii="仿宋" w:hAnsi="仿宋" w:eastAsia="仿宋" w:cs="仿宋"/>
          <w:color w:val="auto"/>
          <w:spacing w:val="-7"/>
          <w:sz w:val="24"/>
          <w:szCs w:val="24"/>
          <w:highlight w:val="none"/>
        </w:rPr>
        <w:t>）：</w:t>
      </w:r>
    </w:p>
    <w:p w14:paraId="692E9D4A">
      <w:pPr>
        <w:pStyle w:val="15"/>
        <w:spacing w:line="360" w:lineRule="auto"/>
        <w:ind w:right="898"/>
        <w:jc w:val="righ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投标人全称</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加盖公章</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w:t>
      </w:r>
    </w:p>
    <w:p w14:paraId="1BB81B44">
      <w:pPr>
        <w:pStyle w:val="15"/>
        <w:tabs>
          <w:tab w:val="left" w:pos="1259"/>
          <w:tab w:val="left" w:pos="1891"/>
          <w:tab w:val="left" w:pos="2519"/>
        </w:tabs>
        <w:spacing w:line="360" w:lineRule="auto"/>
        <w:ind w:right="898"/>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年</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rPr>
        <w:tab/>
      </w:r>
      <w:r>
        <w:rPr>
          <w:rFonts w:hint="eastAsia" w:ascii="仿宋" w:hAnsi="仿宋" w:eastAsia="仿宋" w:cs="仿宋"/>
          <w:color w:val="auto"/>
          <w:spacing w:val="-1"/>
          <w:sz w:val="24"/>
          <w:szCs w:val="24"/>
          <w:highlight w:val="none"/>
          <w:u w:val="single"/>
        </w:rPr>
        <w:t>日</w:t>
      </w:r>
    </w:p>
    <w:p w14:paraId="217E4990">
      <w:pPr>
        <w:pStyle w:val="15"/>
        <w:spacing w:line="360" w:lineRule="auto"/>
        <w:rPr>
          <w:rFonts w:hint="eastAsia" w:ascii="仿宋" w:hAnsi="仿宋" w:eastAsia="仿宋" w:cs="仿宋"/>
          <w:color w:val="auto"/>
          <w:sz w:val="32"/>
          <w:szCs w:val="24"/>
          <w:highlight w:val="none"/>
        </w:rPr>
      </w:pPr>
    </w:p>
    <w:p w14:paraId="5EBC51EE">
      <w:pPr>
        <w:rPr>
          <w:rFonts w:hint="eastAsia" w:ascii="仿宋" w:hAnsi="仿宋" w:eastAsia="仿宋" w:cs="仿宋"/>
          <w:b/>
          <w:color w:val="auto"/>
          <w:sz w:val="24"/>
          <w:szCs w:val="28"/>
          <w:highlight w:val="none"/>
        </w:rPr>
      </w:pPr>
      <w:bookmarkStart w:id="67" w:name="附件十二、残疾人福利性单位声明函"/>
      <w:bookmarkEnd w:id="67"/>
      <w:r>
        <w:rPr>
          <w:rFonts w:hint="eastAsia" w:ascii="仿宋" w:hAnsi="仿宋" w:eastAsia="仿宋" w:cs="仿宋"/>
          <w:b/>
          <w:color w:val="auto"/>
          <w:sz w:val="24"/>
          <w:szCs w:val="28"/>
          <w:highlight w:val="none"/>
        </w:rPr>
        <w:br w:type="page" w:clear="all"/>
      </w:r>
    </w:p>
    <w:p w14:paraId="47E373FD">
      <w:pPr>
        <w:spacing w:line="360" w:lineRule="auto"/>
        <w:outlineLvl w:val="1"/>
        <w:rPr>
          <w:rFonts w:hint="eastAsia" w:ascii="仿宋" w:hAnsi="仿宋" w:eastAsia="仿宋" w:cs="仿宋"/>
          <w:b/>
          <w:color w:val="auto"/>
          <w:sz w:val="24"/>
          <w:szCs w:val="28"/>
          <w:highlight w:val="none"/>
        </w:rPr>
      </w:pPr>
      <w:bookmarkStart w:id="68" w:name="_Toc25288"/>
      <w:r>
        <w:rPr>
          <w:rFonts w:hint="eastAsia" w:ascii="仿宋" w:hAnsi="仿宋" w:eastAsia="仿宋" w:cs="仿宋"/>
          <w:b/>
          <w:color w:val="auto"/>
          <w:sz w:val="24"/>
          <w:szCs w:val="28"/>
          <w:highlight w:val="none"/>
        </w:rPr>
        <w:t>附件十</w:t>
      </w:r>
      <w:r>
        <w:rPr>
          <w:rFonts w:hint="eastAsia" w:ascii="仿宋" w:hAnsi="仿宋" w:eastAsia="仿宋" w:cs="仿宋"/>
          <w:b/>
          <w:color w:val="auto"/>
          <w:sz w:val="24"/>
          <w:szCs w:val="28"/>
          <w:highlight w:val="none"/>
          <w:lang w:val="en-US" w:eastAsia="zh-CN"/>
        </w:rPr>
        <w:t>四</w:t>
      </w:r>
      <w:r>
        <w:rPr>
          <w:rFonts w:hint="eastAsia" w:ascii="仿宋" w:hAnsi="仿宋" w:eastAsia="仿宋" w:cs="仿宋"/>
          <w:b/>
          <w:color w:val="auto"/>
          <w:sz w:val="24"/>
          <w:szCs w:val="28"/>
          <w:highlight w:val="none"/>
        </w:rPr>
        <w:t>、残疾人福利性单位声明函</w:t>
      </w:r>
      <w:bookmarkEnd w:id="68"/>
    </w:p>
    <w:p w14:paraId="1D0E5F12">
      <w:pPr>
        <w:pStyle w:val="15"/>
        <w:spacing w:line="360" w:lineRule="auto"/>
        <w:rPr>
          <w:rFonts w:hint="eastAsia" w:ascii="仿宋" w:hAnsi="仿宋" w:eastAsia="仿宋" w:cs="仿宋"/>
          <w:b/>
          <w:color w:val="auto"/>
          <w:sz w:val="36"/>
          <w:szCs w:val="24"/>
          <w:highlight w:val="none"/>
        </w:rPr>
      </w:pPr>
    </w:p>
    <w:p w14:paraId="13DAF386">
      <w:pPr>
        <w:spacing w:line="360" w:lineRule="auto"/>
        <w:ind w:left="560" w:right="21"/>
        <w:jc w:val="center"/>
        <w:rPr>
          <w:rFonts w:hint="eastAsia" w:ascii="仿宋" w:hAnsi="仿宋" w:eastAsia="仿宋" w:cs="仿宋"/>
          <w:b/>
          <w:color w:val="auto"/>
          <w:sz w:val="36"/>
          <w:szCs w:val="28"/>
          <w:highlight w:val="none"/>
        </w:rPr>
      </w:pPr>
      <w:r>
        <w:rPr>
          <w:rFonts w:hint="eastAsia" w:ascii="仿宋" w:hAnsi="仿宋" w:eastAsia="仿宋" w:cs="仿宋"/>
          <w:b/>
          <w:color w:val="auto"/>
          <w:sz w:val="36"/>
          <w:szCs w:val="28"/>
          <w:highlight w:val="none"/>
        </w:rPr>
        <w:t>残疾人福利性单位声明函</w:t>
      </w:r>
    </w:p>
    <w:p w14:paraId="55B9C40F">
      <w:pPr>
        <w:pStyle w:val="15"/>
        <w:keepNext w:val="0"/>
        <w:keepLines w:val="0"/>
        <w:pageBreakBefore w:val="0"/>
        <w:widowControl w:val="0"/>
        <w:tabs>
          <w:tab w:val="left" w:leader="underscore" w:pos="6395"/>
        </w:tabs>
        <w:kinsoku/>
        <w:wordWrap/>
        <w:overflowPunct/>
        <w:topLinePunct w:val="0"/>
        <w:autoSpaceDE/>
        <w:autoSpaceDN/>
        <w:bidi w:val="0"/>
        <w:adjustRightInd/>
        <w:snapToGrid/>
        <w:spacing w:after="0" w:line="360" w:lineRule="auto"/>
        <w:ind w:left="0" w:leftChars="0" w:right="0" w:rightChars="0" w:firstLine="444"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本</w:t>
      </w:r>
      <w:r>
        <w:rPr>
          <w:rFonts w:hint="eastAsia" w:ascii="仿宋" w:hAnsi="仿宋" w:eastAsia="仿宋" w:cs="仿宋"/>
          <w:color w:val="auto"/>
          <w:spacing w:val="14"/>
          <w:sz w:val="24"/>
          <w:szCs w:val="24"/>
          <w:highlight w:val="none"/>
        </w:rPr>
        <w:t>单</w:t>
      </w:r>
      <w:r>
        <w:rPr>
          <w:rFonts w:hint="eastAsia" w:ascii="仿宋" w:hAnsi="仿宋" w:eastAsia="仿宋" w:cs="仿宋"/>
          <w:color w:val="auto"/>
          <w:spacing w:val="11"/>
          <w:sz w:val="24"/>
          <w:szCs w:val="24"/>
          <w:highlight w:val="none"/>
        </w:rPr>
        <w:t>位</w:t>
      </w:r>
      <w:r>
        <w:rPr>
          <w:rFonts w:hint="eastAsia" w:ascii="仿宋" w:hAnsi="仿宋" w:eastAsia="仿宋" w:cs="仿宋"/>
          <w:color w:val="auto"/>
          <w:spacing w:val="14"/>
          <w:sz w:val="24"/>
          <w:szCs w:val="24"/>
          <w:highlight w:val="none"/>
        </w:rPr>
        <w:t>郑</w:t>
      </w:r>
      <w:r>
        <w:rPr>
          <w:rFonts w:hint="eastAsia" w:ascii="仿宋" w:hAnsi="仿宋" w:eastAsia="仿宋" w:cs="仿宋"/>
          <w:color w:val="auto"/>
          <w:spacing w:val="11"/>
          <w:sz w:val="24"/>
          <w:szCs w:val="24"/>
          <w:highlight w:val="none"/>
        </w:rPr>
        <w:t>重</w:t>
      </w:r>
      <w:r>
        <w:rPr>
          <w:rFonts w:hint="eastAsia" w:ascii="仿宋" w:hAnsi="仿宋" w:eastAsia="仿宋" w:cs="仿宋"/>
          <w:color w:val="auto"/>
          <w:spacing w:val="14"/>
          <w:sz w:val="24"/>
          <w:szCs w:val="24"/>
          <w:highlight w:val="none"/>
        </w:rPr>
        <w:t>声</w:t>
      </w:r>
      <w:r>
        <w:rPr>
          <w:rFonts w:hint="eastAsia" w:ascii="仿宋" w:hAnsi="仿宋" w:eastAsia="仿宋" w:cs="仿宋"/>
          <w:color w:val="auto"/>
          <w:spacing w:val="11"/>
          <w:sz w:val="24"/>
          <w:szCs w:val="24"/>
          <w:highlight w:val="none"/>
        </w:rPr>
        <w:t>明</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11"/>
          <w:sz w:val="24"/>
          <w:szCs w:val="24"/>
          <w:highlight w:val="none"/>
        </w:rPr>
        <w:t>根</w:t>
      </w:r>
      <w:r>
        <w:rPr>
          <w:rFonts w:hint="eastAsia" w:ascii="仿宋" w:hAnsi="仿宋" w:eastAsia="仿宋" w:cs="仿宋"/>
          <w:color w:val="auto"/>
          <w:spacing w:val="-10"/>
          <w:sz w:val="24"/>
          <w:szCs w:val="24"/>
          <w:highlight w:val="none"/>
        </w:rPr>
        <w:t>据</w:t>
      </w:r>
      <w:r>
        <w:rPr>
          <w:rFonts w:hint="eastAsia" w:ascii="仿宋" w:hAnsi="仿宋" w:eastAsia="仿宋" w:cs="仿宋"/>
          <w:color w:val="auto"/>
          <w:spacing w:val="14"/>
          <w:sz w:val="24"/>
          <w:szCs w:val="24"/>
          <w:highlight w:val="none"/>
        </w:rPr>
        <w:t>《</w:t>
      </w:r>
      <w:r>
        <w:rPr>
          <w:rFonts w:hint="eastAsia" w:ascii="仿宋" w:hAnsi="仿宋" w:eastAsia="仿宋" w:cs="仿宋"/>
          <w:color w:val="auto"/>
          <w:spacing w:val="11"/>
          <w:sz w:val="24"/>
          <w:szCs w:val="24"/>
          <w:highlight w:val="none"/>
        </w:rPr>
        <w:t>财</w:t>
      </w:r>
      <w:r>
        <w:rPr>
          <w:rFonts w:hint="eastAsia" w:ascii="仿宋" w:hAnsi="仿宋" w:eastAsia="仿宋" w:cs="仿宋"/>
          <w:color w:val="auto"/>
          <w:spacing w:val="14"/>
          <w:sz w:val="24"/>
          <w:szCs w:val="24"/>
          <w:highlight w:val="none"/>
        </w:rPr>
        <w:t>政</w:t>
      </w:r>
      <w:r>
        <w:rPr>
          <w:rFonts w:hint="eastAsia" w:ascii="仿宋" w:hAnsi="仿宋" w:eastAsia="仿宋" w:cs="仿宋"/>
          <w:color w:val="auto"/>
          <w:sz w:val="24"/>
          <w:szCs w:val="24"/>
          <w:highlight w:val="none"/>
        </w:rPr>
        <w:t>部</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1"/>
          <w:sz w:val="24"/>
          <w:szCs w:val="24"/>
          <w:highlight w:val="none"/>
        </w:rPr>
        <w:t>民</w:t>
      </w:r>
      <w:r>
        <w:rPr>
          <w:rFonts w:hint="eastAsia" w:ascii="仿宋" w:hAnsi="仿宋" w:eastAsia="仿宋" w:cs="仿宋"/>
          <w:color w:val="auto"/>
          <w:spacing w:val="14"/>
          <w:sz w:val="24"/>
          <w:szCs w:val="24"/>
          <w:highlight w:val="none"/>
        </w:rPr>
        <w:t>政</w:t>
      </w:r>
      <w:r>
        <w:rPr>
          <w:rFonts w:hint="eastAsia" w:ascii="仿宋" w:hAnsi="仿宋" w:eastAsia="仿宋" w:cs="仿宋"/>
          <w:color w:val="auto"/>
          <w:sz w:val="24"/>
          <w:szCs w:val="24"/>
          <w:highlight w:val="none"/>
        </w:rPr>
        <w:t>部</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11"/>
          <w:sz w:val="24"/>
          <w:szCs w:val="24"/>
          <w:highlight w:val="none"/>
        </w:rPr>
        <w:t>中</w:t>
      </w:r>
      <w:r>
        <w:rPr>
          <w:rFonts w:hint="eastAsia" w:ascii="仿宋" w:hAnsi="仿宋" w:eastAsia="仿宋" w:cs="仿宋"/>
          <w:color w:val="auto"/>
          <w:spacing w:val="14"/>
          <w:sz w:val="24"/>
          <w:szCs w:val="24"/>
          <w:highlight w:val="none"/>
        </w:rPr>
        <w:t>国</w:t>
      </w:r>
      <w:r>
        <w:rPr>
          <w:rFonts w:hint="eastAsia" w:ascii="仿宋" w:hAnsi="仿宋" w:eastAsia="仿宋" w:cs="仿宋"/>
          <w:color w:val="auto"/>
          <w:spacing w:val="11"/>
          <w:sz w:val="24"/>
          <w:szCs w:val="24"/>
          <w:highlight w:val="none"/>
        </w:rPr>
        <w:t>残</w:t>
      </w:r>
      <w:r>
        <w:rPr>
          <w:rFonts w:hint="eastAsia" w:ascii="仿宋" w:hAnsi="仿宋" w:eastAsia="仿宋" w:cs="仿宋"/>
          <w:color w:val="auto"/>
          <w:spacing w:val="14"/>
          <w:sz w:val="24"/>
          <w:szCs w:val="24"/>
          <w:highlight w:val="none"/>
        </w:rPr>
        <w:t>疾</w:t>
      </w:r>
      <w:r>
        <w:rPr>
          <w:rFonts w:hint="eastAsia" w:ascii="仿宋" w:hAnsi="仿宋" w:eastAsia="仿宋" w:cs="仿宋"/>
          <w:color w:val="auto"/>
          <w:spacing w:val="11"/>
          <w:sz w:val="24"/>
          <w:szCs w:val="24"/>
          <w:highlight w:val="none"/>
        </w:rPr>
        <w:t>人</w:t>
      </w:r>
      <w:r>
        <w:rPr>
          <w:rFonts w:hint="eastAsia" w:ascii="仿宋" w:hAnsi="仿宋" w:eastAsia="仿宋" w:cs="仿宋"/>
          <w:color w:val="auto"/>
          <w:spacing w:val="14"/>
          <w:sz w:val="24"/>
          <w:szCs w:val="24"/>
          <w:highlight w:val="none"/>
        </w:rPr>
        <w:t>联</w:t>
      </w:r>
      <w:r>
        <w:rPr>
          <w:rFonts w:hint="eastAsia" w:ascii="仿宋" w:hAnsi="仿宋" w:eastAsia="仿宋" w:cs="仿宋"/>
          <w:color w:val="auto"/>
          <w:spacing w:val="11"/>
          <w:sz w:val="24"/>
          <w:szCs w:val="24"/>
          <w:highlight w:val="none"/>
        </w:rPr>
        <w:t>合</w:t>
      </w:r>
      <w:r>
        <w:rPr>
          <w:rFonts w:hint="eastAsia" w:ascii="仿宋" w:hAnsi="仿宋" w:eastAsia="仿宋" w:cs="仿宋"/>
          <w:color w:val="auto"/>
          <w:spacing w:val="14"/>
          <w:sz w:val="24"/>
          <w:szCs w:val="24"/>
          <w:highlight w:val="none"/>
        </w:rPr>
        <w:t>会</w:t>
      </w:r>
      <w:r>
        <w:rPr>
          <w:rFonts w:hint="eastAsia" w:ascii="仿宋" w:hAnsi="仿宋" w:eastAsia="仿宋" w:cs="仿宋"/>
          <w:color w:val="auto"/>
          <w:spacing w:val="11"/>
          <w:sz w:val="24"/>
          <w:szCs w:val="24"/>
          <w:highlight w:val="none"/>
        </w:rPr>
        <w:t>关</w:t>
      </w:r>
      <w:r>
        <w:rPr>
          <w:rFonts w:hint="eastAsia" w:ascii="仿宋" w:hAnsi="仿宋" w:eastAsia="仿宋" w:cs="仿宋"/>
          <w:color w:val="auto"/>
          <w:spacing w:val="14"/>
          <w:sz w:val="24"/>
          <w:szCs w:val="24"/>
          <w:highlight w:val="none"/>
        </w:rPr>
        <w:t>于</w:t>
      </w:r>
      <w:r>
        <w:rPr>
          <w:rFonts w:hint="eastAsia" w:ascii="仿宋" w:hAnsi="仿宋" w:eastAsia="仿宋" w:cs="仿宋"/>
          <w:color w:val="auto"/>
          <w:spacing w:val="11"/>
          <w:sz w:val="24"/>
          <w:szCs w:val="24"/>
          <w:highlight w:val="none"/>
        </w:rPr>
        <w:t>促</w:t>
      </w:r>
      <w:r>
        <w:rPr>
          <w:rFonts w:hint="eastAsia" w:ascii="仿宋" w:hAnsi="仿宋" w:eastAsia="仿宋" w:cs="仿宋"/>
          <w:color w:val="auto"/>
          <w:spacing w:val="14"/>
          <w:sz w:val="24"/>
          <w:szCs w:val="24"/>
          <w:highlight w:val="none"/>
        </w:rPr>
        <w:t>进</w:t>
      </w:r>
      <w:r>
        <w:rPr>
          <w:rFonts w:hint="eastAsia" w:ascii="仿宋" w:hAnsi="仿宋" w:eastAsia="仿宋" w:cs="仿宋"/>
          <w:color w:val="auto"/>
          <w:spacing w:val="11"/>
          <w:sz w:val="24"/>
          <w:szCs w:val="24"/>
          <w:highlight w:val="none"/>
        </w:rPr>
        <w:t>残</w:t>
      </w:r>
      <w:r>
        <w:rPr>
          <w:rFonts w:hint="eastAsia" w:ascii="仿宋" w:hAnsi="仿宋" w:eastAsia="仿宋" w:cs="仿宋"/>
          <w:color w:val="auto"/>
          <w:spacing w:val="14"/>
          <w:sz w:val="24"/>
          <w:szCs w:val="24"/>
          <w:highlight w:val="none"/>
        </w:rPr>
        <w:t>疾</w:t>
      </w:r>
      <w:r>
        <w:rPr>
          <w:rFonts w:hint="eastAsia" w:ascii="仿宋" w:hAnsi="仿宋" w:eastAsia="仿宋" w:cs="仿宋"/>
          <w:color w:val="auto"/>
          <w:spacing w:val="11"/>
          <w:sz w:val="24"/>
          <w:szCs w:val="24"/>
          <w:highlight w:val="none"/>
        </w:rPr>
        <w:t>人</w:t>
      </w:r>
      <w:r>
        <w:rPr>
          <w:rFonts w:hint="eastAsia" w:ascii="仿宋" w:hAnsi="仿宋" w:eastAsia="仿宋" w:cs="仿宋"/>
          <w:color w:val="auto"/>
          <w:spacing w:val="14"/>
          <w:sz w:val="24"/>
          <w:szCs w:val="24"/>
          <w:highlight w:val="none"/>
        </w:rPr>
        <w:t>就</w:t>
      </w:r>
      <w:r>
        <w:rPr>
          <w:rFonts w:hint="eastAsia" w:ascii="仿宋" w:hAnsi="仿宋" w:eastAsia="仿宋" w:cs="仿宋"/>
          <w:color w:val="auto"/>
          <w:spacing w:val="11"/>
          <w:sz w:val="24"/>
          <w:szCs w:val="24"/>
          <w:highlight w:val="none"/>
        </w:rPr>
        <w:t>业</w:t>
      </w:r>
      <w:r>
        <w:rPr>
          <w:rFonts w:hint="eastAsia" w:ascii="仿宋" w:hAnsi="仿宋" w:eastAsia="仿宋" w:cs="仿宋"/>
          <w:color w:val="auto"/>
          <w:spacing w:val="14"/>
          <w:sz w:val="24"/>
          <w:szCs w:val="24"/>
          <w:highlight w:val="none"/>
        </w:rPr>
        <w:t>政</w:t>
      </w:r>
      <w:r>
        <w:rPr>
          <w:rFonts w:hint="eastAsia" w:ascii="仿宋" w:hAnsi="仿宋" w:eastAsia="仿宋" w:cs="仿宋"/>
          <w:color w:val="auto"/>
          <w:spacing w:val="11"/>
          <w:sz w:val="24"/>
          <w:szCs w:val="24"/>
          <w:highlight w:val="none"/>
        </w:rPr>
        <w:t>府</w:t>
      </w:r>
      <w:r>
        <w:rPr>
          <w:rFonts w:hint="eastAsia" w:ascii="仿宋" w:hAnsi="仿宋" w:eastAsia="仿宋" w:cs="仿宋"/>
          <w:color w:val="auto"/>
          <w:spacing w:val="14"/>
          <w:sz w:val="24"/>
          <w:szCs w:val="24"/>
          <w:highlight w:val="none"/>
        </w:rPr>
        <w:t>采</w:t>
      </w:r>
      <w:r>
        <w:rPr>
          <w:rFonts w:hint="eastAsia" w:ascii="仿宋" w:hAnsi="仿宋" w:eastAsia="仿宋" w:cs="仿宋"/>
          <w:color w:val="auto"/>
          <w:sz w:val="24"/>
          <w:szCs w:val="24"/>
          <w:highlight w:val="none"/>
        </w:rPr>
        <w:t>购</w:t>
      </w:r>
      <w:r>
        <w:rPr>
          <w:rFonts w:hint="eastAsia" w:ascii="仿宋" w:hAnsi="仿宋" w:eastAsia="仿宋" w:cs="仿宋"/>
          <w:color w:val="auto"/>
          <w:spacing w:val="14"/>
          <w:sz w:val="24"/>
          <w:szCs w:val="24"/>
          <w:highlight w:val="none"/>
        </w:rPr>
        <w:t>政策的通知</w:t>
      </w:r>
      <w:r>
        <w:rPr>
          <w:rFonts w:hint="eastAsia" w:ascii="仿宋" w:hAnsi="仿宋" w:eastAsia="仿宋" w:cs="仿宋"/>
          <w:color w:val="auto"/>
          <w:spacing w:val="16"/>
          <w:sz w:val="24"/>
          <w:szCs w:val="24"/>
          <w:highlight w:val="none"/>
        </w:rPr>
        <w:t>》</w:t>
      </w:r>
      <w:r>
        <w:rPr>
          <w:rFonts w:hint="eastAsia" w:ascii="仿宋" w:hAnsi="仿宋" w:eastAsia="仿宋" w:cs="仿宋"/>
          <w:color w:val="auto"/>
          <w:spacing w:val="14"/>
          <w:sz w:val="24"/>
          <w:szCs w:val="24"/>
          <w:highlight w:val="none"/>
        </w:rPr>
        <w:t>（财库〔</w:t>
      </w:r>
      <w:r>
        <w:rPr>
          <w:rFonts w:hint="eastAsia" w:ascii="仿宋" w:hAnsi="仿宋" w:eastAsia="仿宋" w:cs="仿宋"/>
          <w:color w:val="auto"/>
          <w:spacing w:val="5"/>
          <w:sz w:val="24"/>
          <w:szCs w:val="24"/>
          <w:highlight w:val="none"/>
        </w:rPr>
        <w:t>2017</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rPr>
        <w:t>141</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4"/>
          <w:sz w:val="24"/>
          <w:szCs w:val="24"/>
          <w:highlight w:val="none"/>
        </w:rPr>
        <w:t>号）的规定</w:t>
      </w:r>
      <w:r>
        <w:rPr>
          <w:rFonts w:hint="eastAsia" w:ascii="仿宋" w:hAnsi="仿宋" w:eastAsia="仿宋" w:cs="仿宋"/>
          <w:color w:val="auto"/>
          <w:spacing w:val="16"/>
          <w:sz w:val="24"/>
          <w:szCs w:val="24"/>
          <w:highlight w:val="none"/>
        </w:rPr>
        <w:t>，</w:t>
      </w:r>
      <w:r>
        <w:rPr>
          <w:rFonts w:hint="eastAsia" w:ascii="仿宋" w:hAnsi="仿宋" w:eastAsia="仿宋" w:cs="仿宋"/>
          <w:color w:val="auto"/>
          <w:spacing w:val="14"/>
          <w:sz w:val="24"/>
          <w:szCs w:val="24"/>
          <w:highlight w:val="none"/>
        </w:rPr>
        <w:t>本单位</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pacing w:val="104"/>
          <w:sz w:val="24"/>
          <w:szCs w:val="24"/>
          <w:highlight w:val="none"/>
          <w:u w:val="single"/>
        </w:rPr>
        <w:t xml:space="preserve"> </w:t>
      </w:r>
      <w:r>
        <w:rPr>
          <w:rFonts w:hint="eastAsia" w:ascii="仿宋" w:hAnsi="仿宋" w:eastAsia="仿宋" w:cs="仿宋"/>
          <w:color w:val="auto"/>
          <w:spacing w:val="14"/>
          <w:sz w:val="24"/>
          <w:szCs w:val="24"/>
          <w:highlight w:val="none"/>
        </w:rPr>
        <w:t>（符合</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14"/>
          <w:sz w:val="24"/>
          <w:szCs w:val="24"/>
          <w:highlight w:val="none"/>
        </w:rPr>
        <w:t>不符合</w:t>
      </w:r>
      <w:r>
        <w:rPr>
          <w:rFonts w:hint="eastAsia" w:ascii="仿宋" w:hAnsi="仿宋" w:eastAsia="仿宋" w:cs="仿宋"/>
          <w:color w:val="auto"/>
          <w:sz w:val="24"/>
          <w:szCs w:val="24"/>
          <w:highlight w:val="none"/>
        </w:rPr>
        <w:t>）</w:t>
      </w:r>
      <w:r>
        <w:rPr>
          <w:rFonts w:hint="eastAsia" w:ascii="仿宋" w:hAnsi="仿宋" w:eastAsia="仿宋" w:cs="仿宋"/>
          <w:color w:val="auto"/>
          <w:spacing w:val="14"/>
          <w:sz w:val="24"/>
          <w:szCs w:val="24"/>
          <w:highlight w:val="none"/>
        </w:rPr>
        <w:t>条</w:t>
      </w:r>
      <w:r>
        <w:rPr>
          <w:rFonts w:hint="eastAsia" w:ascii="仿宋" w:hAnsi="仿宋" w:eastAsia="仿宋" w:cs="仿宋"/>
          <w:color w:val="auto"/>
          <w:sz w:val="24"/>
          <w:szCs w:val="24"/>
          <w:highlight w:val="none"/>
        </w:rPr>
        <w:t>件</w:t>
      </w:r>
      <w:r>
        <w:rPr>
          <w:rFonts w:hint="eastAsia" w:ascii="仿宋" w:hAnsi="仿宋" w:eastAsia="仿宋" w:cs="仿宋"/>
          <w:color w:val="auto"/>
          <w:spacing w:val="11"/>
          <w:sz w:val="24"/>
          <w:szCs w:val="24"/>
          <w:highlight w:val="none"/>
        </w:rPr>
        <w:t>的</w:t>
      </w:r>
      <w:r>
        <w:rPr>
          <w:rFonts w:hint="eastAsia" w:ascii="仿宋" w:hAnsi="仿宋" w:eastAsia="仿宋" w:cs="仿宋"/>
          <w:color w:val="auto"/>
          <w:spacing w:val="14"/>
          <w:sz w:val="24"/>
          <w:szCs w:val="24"/>
          <w:highlight w:val="none"/>
        </w:rPr>
        <w:t>残</w:t>
      </w:r>
      <w:r>
        <w:rPr>
          <w:rFonts w:hint="eastAsia" w:ascii="仿宋" w:hAnsi="仿宋" w:eastAsia="仿宋" w:cs="仿宋"/>
          <w:color w:val="auto"/>
          <w:spacing w:val="11"/>
          <w:sz w:val="24"/>
          <w:szCs w:val="24"/>
          <w:highlight w:val="none"/>
        </w:rPr>
        <w:t>疾</w:t>
      </w:r>
      <w:r>
        <w:rPr>
          <w:rFonts w:hint="eastAsia" w:ascii="仿宋" w:hAnsi="仿宋" w:eastAsia="仿宋" w:cs="仿宋"/>
          <w:color w:val="auto"/>
          <w:spacing w:val="14"/>
          <w:sz w:val="24"/>
          <w:szCs w:val="24"/>
          <w:highlight w:val="none"/>
        </w:rPr>
        <w:t>人</w:t>
      </w:r>
      <w:r>
        <w:rPr>
          <w:rFonts w:hint="eastAsia" w:ascii="仿宋" w:hAnsi="仿宋" w:eastAsia="仿宋" w:cs="仿宋"/>
          <w:color w:val="auto"/>
          <w:spacing w:val="11"/>
          <w:sz w:val="24"/>
          <w:szCs w:val="24"/>
          <w:highlight w:val="none"/>
        </w:rPr>
        <w:t>福</w:t>
      </w:r>
      <w:r>
        <w:rPr>
          <w:rFonts w:hint="eastAsia" w:ascii="仿宋" w:hAnsi="仿宋" w:eastAsia="仿宋" w:cs="仿宋"/>
          <w:color w:val="auto"/>
          <w:spacing w:val="14"/>
          <w:sz w:val="24"/>
          <w:szCs w:val="24"/>
          <w:highlight w:val="none"/>
        </w:rPr>
        <w:t>利</w:t>
      </w:r>
      <w:r>
        <w:rPr>
          <w:rFonts w:hint="eastAsia" w:ascii="仿宋" w:hAnsi="仿宋" w:eastAsia="仿宋" w:cs="仿宋"/>
          <w:color w:val="auto"/>
          <w:spacing w:val="11"/>
          <w:sz w:val="24"/>
          <w:szCs w:val="24"/>
          <w:highlight w:val="none"/>
        </w:rPr>
        <w:t>性</w:t>
      </w:r>
      <w:r>
        <w:rPr>
          <w:rFonts w:hint="eastAsia" w:ascii="仿宋" w:hAnsi="仿宋" w:eastAsia="仿宋" w:cs="仿宋"/>
          <w:color w:val="auto"/>
          <w:spacing w:val="14"/>
          <w:sz w:val="24"/>
          <w:szCs w:val="24"/>
          <w:highlight w:val="none"/>
        </w:rPr>
        <w:t>单</w:t>
      </w:r>
      <w:r>
        <w:rPr>
          <w:rFonts w:hint="eastAsia" w:ascii="仿宋" w:hAnsi="仿宋" w:eastAsia="仿宋" w:cs="仿宋"/>
          <w:color w:val="auto"/>
          <w:spacing w:val="11"/>
          <w:sz w:val="24"/>
          <w:szCs w:val="24"/>
          <w:highlight w:val="none"/>
        </w:rPr>
        <w:t>位</w:t>
      </w:r>
      <w:r>
        <w:rPr>
          <w:rFonts w:hint="eastAsia" w:ascii="仿宋" w:hAnsi="仿宋" w:eastAsia="仿宋" w:cs="仿宋"/>
          <w:color w:val="auto"/>
          <w:spacing w:val="-20"/>
          <w:sz w:val="24"/>
          <w:szCs w:val="24"/>
          <w:highlight w:val="none"/>
        </w:rPr>
        <w:t>，</w:t>
      </w:r>
      <w:r>
        <w:rPr>
          <w:rFonts w:hint="eastAsia" w:ascii="仿宋" w:hAnsi="仿宋" w:eastAsia="仿宋" w:cs="仿宋"/>
          <w:color w:val="auto"/>
          <w:spacing w:val="11"/>
          <w:sz w:val="24"/>
          <w:szCs w:val="24"/>
          <w:highlight w:val="none"/>
        </w:rPr>
        <w:t>且</w:t>
      </w:r>
      <w:r>
        <w:rPr>
          <w:rFonts w:hint="eastAsia" w:ascii="仿宋" w:hAnsi="仿宋" w:eastAsia="仿宋" w:cs="仿宋"/>
          <w:color w:val="auto"/>
          <w:spacing w:val="14"/>
          <w:sz w:val="24"/>
          <w:szCs w:val="24"/>
          <w:highlight w:val="none"/>
        </w:rPr>
        <w:t>本</w:t>
      </w:r>
      <w:r>
        <w:rPr>
          <w:rFonts w:hint="eastAsia" w:ascii="仿宋" w:hAnsi="仿宋" w:eastAsia="仿宋" w:cs="仿宋"/>
          <w:color w:val="auto"/>
          <w:spacing w:val="11"/>
          <w:sz w:val="24"/>
          <w:szCs w:val="24"/>
          <w:highlight w:val="none"/>
        </w:rPr>
        <w:t>单</w:t>
      </w:r>
      <w:r>
        <w:rPr>
          <w:rFonts w:hint="eastAsia" w:ascii="仿宋" w:hAnsi="仿宋" w:eastAsia="仿宋" w:cs="仿宋"/>
          <w:color w:val="auto"/>
          <w:spacing w:val="14"/>
          <w:sz w:val="24"/>
          <w:szCs w:val="24"/>
          <w:highlight w:val="none"/>
        </w:rPr>
        <w:t>位</w:t>
      </w:r>
      <w:r>
        <w:rPr>
          <w:rFonts w:hint="eastAsia" w:ascii="仿宋" w:hAnsi="仿宋" w:eastAsia="仿宋" w:cs="仿宋"/>
          <w:color w:val="auto"/>
          <w:spacing w:val="11"/>
          <w:sz w:val="24"/>
          <w:szCs w:val="24"/>
          <w:highlight w:val="none"/>
        </w:rPr>
        <w:t>参</w:t>
      </w:r>
      <w:r>
        <w:rPr>
          <w:rFonts w:hint="eastAsia" w:ascii="仿宋" w:hAnsi="仿宋" w:eastAsia="仿宋" w:cs="仿宋"/>
          <w:color w:val="auto"/>
          <w:spacing w:val="14"/>
          <w:sz w:val="24"/>
          <w:szCs w:val="24"/>
          <w:highlight w:val="none"/>
        </w:rPr>
        <w:t>加</w:t>
      </w:r>
      <w:r>
        <w:rPr>
          <w:rFonts w:hint="eastAsia" w:ascii="仿宋" w:hAnsi="仿宋" w:eastAsia="仿宋" w:cs="仿宋"/>
          <w:color w:val="auto"/>
          <w:spacing w:val="14"/>
          <w:sz w:val="24"/>
          <w:szCs w:val="24"/>
          <w:highlight w:val="none"/>
          <w:u w:val="single"/>
          <w:lang w:val="en-US" w:eastAsia="zh-CN"/>
        </w:rPr>
        <w:t xml:space="preserve">           </w:t>
      </w:r>
      <w:r>
        <w:rPr>
          <w:rFonts w:hint="eastAsia" w:ascii="仿宋" w:hAnsi="仿宋" w:eastAsia="仿宋" w:cs="仿宋"/>
          <w:color w:val="auto"/>
          <w:spacing w:val="14"/>
          <w:sz w:val="24"/>
          <w:szCs w:val="24"/>
          <w:highlight w:val="none"/>
          <w:lang w:val="en-US" w:eastAsia="zh-CN"/>
        </w:rPr>
        <w:t xml:space="preserve"> </w:t>
      </w:r>
      <w:r>
        <w:rPr>
          <w:rFonts w:hint="eastAsia" w:ascii="仿宋" w:hAnsi="仿宋" w:eastAsia="仿宋" w:cs="仿宋"/>
          <w:color w:val="auto"/>
          <w:spacing w:val="11"/>
          <w:sz w:val="24"/>
          <w:szCs w:val="24"/>
          <w:highlight w:val="none"/>
        </w:rPr>
        <w:t>单</w:t>
      </w:r>
      <w:r>
        <w:rPr>
          <w:rFonts w:hint="eastAsia" w:ascii="仿宋" w:hAnsi="仿宋" w:eastAsia="仿宋" w:cs="仿宋"/>
          <w:color w:val="auto"/>
          <w:spacing w:val="14"/>
          <w:sz w:val="24"/>
          <w:szCs w:val="24"/>
          <w:highlight w:val="none"/>
        </w:rPr>
        <w:t>位</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11"/>
          <w:sz w:val="24"/>
          <w:szCs w:val="24"/>
          <w:highlight w:val="none"/>
        </w:rPr>
        <w:t>项</w:t>
      </w:r>
      <w:r>
        <w:rPr>
          <w:rFonts w:hint="eastAsia" w:ascii="仿宋" w:hAnsi="仿宋" w:eastAsia="仿宋" w:cs="仿宋"/>
          <w:color w:val="auto"/>
          <w:spacing w:val="14"/>
          <w:sz w:val="24"/>
          <w:szCs w:val="24"/>
          <w:highlight w:val="none"/>
        </w:rPr>
        <w:t>目</w:t>
      </w:r>
      <w:r>
        <w:rPr>
          <w:rFonts w:hint="eastAsia" w:ascii="仿宋" w:hAnsi="仿宋" w:eastAsia="仿宋" w:cs="仿宋"/>
          <w:color w:val="auto"/>
          <w:spacing w:val="11"/>
          <w:sz w:val="24"/>
          <w:szCs w:val="24"/>
          <w:highlight w:val="none"/>
        </w:rPr>
        <w:t>采</w:t>
      </w:r>
      <w:r>
        <w:rPr>
          <w:rFonts w:hint="eastAsia" w:ascii="仿宋" w:hAnsi="仿宋" w:eastAsia="仿宋" w:cs="仿宋"/>
          <w:color w:val="auto"/>
          <w:spacing w:val="14"/>
          <w:sz w:val="24"/>
          <w:szCs w:val="24"/>
          <w:highlight w:val="none"/>
        </w:rPr>
        <w:t>购</w:t>
      </w:r>
      <w:r>
        <w:rPr>
          <w:rFonts w:hint="eastAsia" w:ascii="仿宋" w:hAnsi="仿宋" w:eastAsia="仿宋" w:cs="仿宋"/>
          <w:color w:val="auto"/>
          <w:spacing w:val="11"/>
          <w:sz w:val="24"/>
          <w:szCs w:val="24"/>
          <w:highlight w:val="none"/>
        </w:rPr>
        <w:t>活</w:t>
      </w:r>
      <w:r>
        <w:rPr>
          <w:rFonts w:hint="eastAsia" w:ascii="仿宋" w:hAnsi="仿宋" w:eastAsia="仿宋" w:cs="仿宋"/>
          <w:color w:val="auto"/>
          <w:spacing w:val="14"/>
          <w:sz w:val="24"/>
          <w:szCs w:val="24"/>
          <w:highlight w:val="none"/>
        </w:rPr>
        <w:t>动</w:t>
      </w:r>
      <w:r>
        <w:rPr>
          <w:rFonts w:hint="eastAsia" w:ascii="仿宋" w:hAnsi="仿宋" w:eastAsia="仿宋" w:cs="仿宋"/>
          <w:color w:val="auto"/>
          <w:spacing w:val="11"/>
          <w:sz w:val="24"/>
          <w:szCs w:val="24"/>
          <w:highlight w:val="none"/>
        </w:rPr>
        <w:t>提</w:t>
      </w:r>
      <w:r>
        <w:rPr>
          <w:rFonts w:hint="eastAsia" w:ascii="仿宋" w:hAnsi="仿宋" w:eastAsia="仿宋" w:cs="仿宋"/>
          <w:color w:val="auto"/>
          <w:spacing w:val="14"/>
          <w:sz w:val="24"/>
          <w:szCs w:val="24"/>
          <w:highlight w:val="none"/>
        </w:rPr>
        <w:t>供</w:t>
      </w:r>
      <w:r>
        <w:rPr>
          <w:rFonts w:hint="eastAsia" w:ascii="仿宋" w:hAnsi="仿宋" w:eastAsia="仿宋" w:cs="仿宋"/>
          <w:color w:val="auto"/>
          <w:spacing w:val="11"/>
          <w:sz w:val="24"/>
          <w:szCs w:val="24"/>
          <w:highlight w:val="none"/>
        </w:rPr>
        <w:t>本</w:t>
      </w:r>
      <w:r>
        <w:rPr>
          <w:rFonts w:hint="eastAsia" w:ascii="仿宋" w:hAnsi="仿宋" w:eastAsia="仿宋" w:cs="仿宋"/>
          <w:color w:val="auto"/>
          <w:spacing w:val="14"/>
          <w:sz w:val="24"/>
          <w:szCs w:val="24"/>
          <w:highlight w:val="none"/>
        </w:rPr>
        <w:t>单</w:t>
      </w:r>
      <w:r>
        <w:rPr>
          <w:rFonts w:hint="eastAsia" w:ascii="仿宋" w:hAnsi="仿宋" w:eastAsia="仿宋" w:cs="仿宋"/>
          <w:color w:val="auto"/>
          <w:spacing w:val="11"/>
          <w:sz w:val="24"/>
          <w:szCs w:val="24"/>
          <w:highlight w:val="none"/>
        </w:rPr>
        <w:t>位</w:t>
      </w:r>
      <w:r>
        <w:rPr>
          <w:rFonts w:hint="eastAsia" w:ascii="仿宋" w:hAnsi="仿宋" w:eastAsia="仿宋" w:cs="仿宋"/>
          <w:color w:val="auto"/>
          <w:spacing w:val="14"/>
          <w:sz w:val="24"/>
          <w:szCs w:val="24"/>
          <w:highlight w:val="none"/>
        </w:rPr>
        <w:t>制</w:t>
      </w:r>
      <w:r>
        <w:rPr>
          <w:rFonts w:hint="eastAsia" w:ascii="仿宋" w:hAnsi="仿宋" w:eastAsia="仿宋" w:cs="仿宋"/>
          <w:color w:val="auto"/>
          <w:spacing w:val="11"/>
          <w:sz w:val="24"/>
          <w:szCs w:val="24"/>
          <w:highlight w:val="none"/>
        </w:rPr>
        <w:t>造</w:t>
      </w:r>
      <w:r>
        <w:rPr>
          <w:rFonts w:hint="eastAsia" w:ascii="仿宋" w:hAnsi="仿宋" w:eastAsia="仿宋" w:cs="仿宋"/>
          <w:color w:val="auto"/>
          <w:spacing w:val="14"/>
          <w:sz w:val="24"/>
          <w:szCs w:val="24"/>
          <w:highlight w:val="none"/>
        </w:rPr>
        <w:t>的</w:t>
      </w:r>
      <w:r>
        <w:rPr>
          <w:rFonts w:hint="eastAsia" w:ascii="仿宋" w:hAnsi="仿宋" w:eastAsia="仿宋" w:cs="仿宋"/>
          <w:color w:val="auto"/>
          <w:spacing w:val="11"/>
          <w:sz w:val="24"/>
          <w:szCs w:val="24"/>
          <w:highlight w:val="none"/>
        </w:rPr>
        <w:t>货</w:t>
      </w:r>
      <w:r>
        <w:rPr>
          <w:rFonts w:hint="eastAsia" w:ascii="仿宋" w:hAnsi="仿宋" w:eastAsia="仿宋" w:cs="仿宋"/>
          <w:color w:val="auto"/>
          <w:sz w:val="24"/>
          <w:szCs w:val="24"/>
          <w:highlight w:val="none"/>
        </w:rPr>
        <w:t>物</w:t>
      </w:r>
      <w:r>
        <w:rPr>
          <w:rFonts w:hint="eastAsia" w:ascii="仿宋" w:hAnsi="仿宋" w:eastAsia="仿宋" w:cs="仿宋"/>
          <w:color w:val="auto"/>
          <w:spacing w:val="14"/>
          <w:sz w:val="24"/>
          <w:szCs w:val="24"/>
          <w:highlight w:val="none"/>
        </w:rPr>
        <w:t>（</w:t>
      </w:r>
      <w:r>
        <w:rPr>
          <w:rFonts w:hint="eastAsia" w:ascii="仿宋" w:hAnsi="仿宋" w:eastAsia="仿宋" w:cs="仿宋"/>
          <w:color w:val="auto"/>
          <w:spacing w:val="13"/>
          <w:sz w:val="24"/>
          <w:szCs w:val="24"/>
          <w:highlight w:val="none"/>
        </w:rPr>
        <w:t>由本单位承担工程</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14"/>
          <w:sz w:val="24"/>
          <w:szCs w:val="24"/>
          <w:highlight w:val="none"/>
        </w:rPr>
        <w:t>提供服务</w:t>
      </w:r>
      <w:r>
        <w:rPr>
          <w:rFonts w:hint="eastAsia" w:ascii="仿宋" w:hAnsi="仿宋" w:eastAsia="仿宋" w:cs="仿宋"/>
          <w:color w:val="auto"/>
          <w:spacing w:val="15"/>
          <w:sz w:val="24"/>
          <w:szCs w:val="24"/>
          <w:highlight w:val="none"/>
        </w:rPr>
        <w:t>）</w:t>
      </w:r>
      <w:r>
        <w:rPr>
          <w:rFonts w:hint="eastAsia" w:ascii="仿宋" w:hAnsi="仿宋" w:eastAsia="仿宋" w:cs="仿宋"/>
          <w:color w:val="auto"/>
          <w:spacing w:val="14"/>
          <w:sz w:val="24"/>
          <w:szCs w:val="24"/>
          <w:highlight w:val="none"/>
        </w:rPr>
        <w:t>，或者提供其他残疾人福利性单位制造的货物（</w:t>
      </w:r>
      <w:r>
        <w:rPr>
          <w:rFonts w:hint="eastAsia" w:ascii="仿宋" w:hAnsi="仿宋" w:eastAsia="仿宋" w:cs="仿宋"/>
          <w:color w:val="auto"/>
          <w:spacing w:val="11"/>
          <w:sz w:val="24"/>
          <w:szCs w:val="24"/>
          <w:highlight w:val="none"/>
        </w:rPr>
        <w:t>不包括使用  非残疾人福利性单位注册商标的货物）</w:t>
      </w:r>
      <w:r>
        <w:rPr>
          <w:rFonts w:hint="eastAsia" w:ascii="仿宋" w:hAnsi="仿宋" w:eastAsia="仿宋" w:cs="仿宋"/>
          <w:color w:val="auto"/>
          <w:sz w:val="24"/>
          <w:szCs w:val="24"/>
          <w:highlight w:val="none"/>
        </w:rPr>
        <w:t>。</w:t>
      </w:r>
    </w:p>
    <w:p w14:paraId="5542A51F">
      <w:pPr>
        <w:pStyle w:val="15"/>
        <w:keepNext w:val="0"/>
        <w:keepLines w:val="0"/>
        <w:pageBreakBefore w:val="0"/>
        <w:widowControl w:val="0"/>
        <w:kinsoku/>
        <w:wordWrap/>
        <w:overflowPunct/>
        <w:topLinePunct w:val="0"/>
        <w:autoSpaceDE/>
        <w:autoSpaceDN/>
        <w:bidi w:val="0"/>
        <w:adjustRightInd/>
        <w:snapToGrid/>
        <w:spacing w:after="0" w:line="36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11065E0C">
      <w:pPr>
        <w:pStyle w:val="15"/>
        <w:spacing w:line="360" w:lineRule="auto"/>
        <w:ind w:left="7113" w:right="970" w:hanging="10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 </w:t>
      </w:r>
    </w:p>
    <w:p w14:paraId="4A6B5E90">
      <w:pPr>
        <w:pStyle w:val="15"/>
        <w:spacing w:line="360" w:lineRule="auto"/>
        <w:ind w:left="7113" w:right="970" w:hanging="10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授权代表签字：</w:t>
      </w:r>
    </w:p>
    <w:p w14:paraId="029AB590">
      <w:pPr>
        <w:pStyle w:val="15"/>
        <w:tabs>
          <w:tab w:val="left" w:pos="7742"/>
          <w:tab w:val="left" w:pos="8582"/>
          <w:tab w:val="left" w:pos="9213"/>
          <w:tab w:val="left" w:pos="9736"/>
        </w:tabs>
        <w:spacing w:line="360" w:lineRule="auto"/>
        <w:ind w:left="71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日</w:t>
      </w:r>
    </w:p>
    <w:p w14:paraId="78E88959">
      <w:pPr>
        <w:pStyle w:val="15"/>
        <w:tabs>
          <w:tab w:val="left" w:pos="7742"/>
          <w:tab w:val="left" w:pos="8582"/>
          <w:tab w:val="left" w:pos="9213"/>
          <w:tab w:val="left" w:pos="9736"/>
        </w:tabs>
        <w:spacing w:line="360" w:lineRule="auto"/>
        <w:ind w:left="7113"/>
        <w:rPr>
          <w:rFonts w:hint="eastAsia" w:ascii="仿宋" w:hAnsi="仿宋" w:eastAsia="仿宋" w:cs="仿宋"/>
          <w:color w:val="auto"/>
          <w:sz w:val="24"/>
          <w:szCs w:val="24"/>
          <w:highlight w:val="none"/>
        </w:rPr>
      </w:pPr>
    </w:p>
    <w:p w14:paraId="4B9E867F">
      <w:pPr>
        <w:rPr>
          <w:rFonts w:hint="eastAsia" w:ascii="仿宋" w:hAnsi="仿宋" w:eastAsia="仿宋" w:cs="仿宋"/>
          <w:b/>
          <w:color w:val="auto"/>
          <w:sz w:val="24"/>
          <w:szCs w:val="28"/>
          <w:highlight w:val="none"/>
        </w:rPr>
      </w:pPr>
      <w:bookmarkStart w:id="69" w:name="附件十五、南京市政府采购供应商信用记录表"/>
      <w:bookmarkEnd w:id="69"/>
      <w:bookmarkStart w:id="70" w:name="_bookmark19"/>
      <w:bookmarkEnd w:id="70"/>
      <w:bookmarkStart w:id="71" w:name="附件十四、投标保证金退还账户信息"/>
      <w:bookmarkEnd w:id="71"/>
      <w:r>
        <w:rPr>
          <w:rFonts w:hint="eastAsia" w:ascii="仿宋" w:hAnsi="仿宋" w:eastAsia="仿宋" w:cs="仿宋"/>
          <w:b/>
          <w:color w:val="auto"/>
          <w:sz w:val="24"/>
          <w:szCs w:val="28"/>
          <w:highlight w:val="none"/>
        </w:rPr>
        <w:br w:type="page" w:clear="all"/>
      </w:r>
    </w:p>
    <w:p w14:paraId="1C0B9022">
      <w:pPr>
        <w:spacing w:line="360" w:lineRule="auto"/>
        <w:outlineLvl w:val="1"/>
        <w:rPr>
          <w:rFonts w:hint="eastAsia" w:ascii="仿宋" w:hAnsi="仿宋" w:eastAsia="仿宋" w:cs="仿宋"/>
          <w:b/>
          <w:color w:val="auto"/>
          <w:sz w:val="24"/>
          <w:szCs w:val="28"/>
          <w:highlight w:val="none"/>
        </w:rPr>
      </w:pPr>
      <w:bookmarkStart w:id="72" w:name="_Toc3653"/>
      <w:r>
        <w:rPr>
          <w:rFonts w:hint="eastAsia" w:ascii="仿宋" w:hAnsi="仿宋" w:eastAsia="仿宋" w:cs="仿宋"/>
          <w:b/>
          <w:color w:val="auto"/>
          <w:sz w:val="24"/>
          <w:szCs w:val="28"/>
          <w:highlight w:val="none"/>
        </w:rPr>
        <w:t>附件十</w:t>
      </w:r>
      <w:r>
        <w:rPr>
          <w:rFonts w:hint="eastAsia" w:ascii="仿宋" w:hAnsi="仿宋" w:eastAsia="仿宋" w:cs="仿宋"/>
          <w:b/>
          <w:color w:val="auto"/>
          <w:sz w:val="24"/>
          <w:szCs w:val="28"/>
          <w:highlight w:val="none"/>
          <w:lang w:val="en-US" w:eastAsia="zh-CN"/>
        </w:rPr>
        <w:t>五</w:t>
      </w:r>
      <w:r>
        <w:rPr>
          <w:rFonts w:hint="eastAsia" w:ascii="仿宋" w:hAnsi="仿宋" w:eastAsia="仿宋" w:cs="仿宋"/>
          <w:b/>
          <w:color w:val="auto"/>
          <w:sz w:val="24"/>
          <w:szCs w:val="28"/>
          <w:highlight w:val="none"/>
        </w:rPr>
        <w:t>、南京市政府采购供应商信用记录表暨信用承诺书</w:t>
      </w:r>
      <w:bookmarkEnd w:id="72"/>
    </w:p>
    <w:tbl>
      <w:tblPr>
        <w:tblStyle w:val="39"/>
        <w:tblW w:w="10559" w:type="dxa"/>
        <w:jc w:val="center"/>
        <w:tblLayout w:type="fixed"/>
        <w:tblCellMar>
          <w:top w:w="15" w:type="dxa"/>
          <w:left w:w="15" w:type="dxa"/>
          <w:bottom w:w="15" w:type="dxa"/>
          <w:right w:w="15" w:type="dxa"/>
        </w:tblCellMar>
      </w:tblPr>
      <w:tblGrid>
        <w:gridCol w:w="37"/>
        <w:gridCol w:w="1871"/>
        <w:gridCol w:w="2275"/>
        <w:gridCol w:w="2610"/>
        <w:gridCol w:w="3557"/>
        <w:gridCol w:w="209"/>
      </w:tblGrid>
      <w:tr w14:paraId="2CA78B76">
        <w:tblPrEx>
          <w:tblCellMar>
            <w:top w:w="15" w:type="dxa"/>
            <w:left w:w="15" w:type="dxa"/>
            <w:bottom w:w="15" w:type="dxa"/>
            <w:right w:w="15" w:type="dxa"/>
          </w:tblCellMar>
        </w:tblPrEx>
        <w:trPr>
          <w:trHeight w:val="570" w:hRule="atLeast"/>
          <w:jc w:val="center"/>
        </w:trPr>
        <w:tc>
          <w:tcPr>
            <w:tcW w:w="10559" w:type="dxa"/>
            <w:gridSpan w:val="6"/>
            <w:noWrap w:val="0"/>
            <w:vAlign w:val="center"/>
          </w:tcPr>
          <w:p w14:paraId="69613239">
            <w:pPr>
              <w:jc w:val="center"/>
              <w:rPr>
                <w:rFonts w:hint="eastAsia"/>
                <w:color w:val="auto"/>
                <w:highlight w:val="none"/>
              </w:rPr>
            </w:pPr>
            <w:r>
              <w:rPr>
                <w:rFonts w:hint="eastAsia"/>
                <w:color w:val="auto"/>
                <w:highlight w:val="none"/>
              </w:rPr>
              <w:t>（仅为示范格式，直接填写无效，需至“南京政府采购供应商诚信档案管理系统”在线打印）</w:t>
            </w:r>
          </w:p>
        </w:tc>
      </w:tr>
      <w:tr w14:paraId="590230FE">
        <w:tblPrEx>
          <w:tblCellMar>
            <w:top w:w="15" w:type="dxa"/>
            <w:left w:w="15" w:type="dxa"/>
            <w:bottom w:w="15" w:type="dxa"/>
            <w:right w:w="15" w:type="dxa"/>
          </w:tblCellMar>
        </w:tblPrEx>
        <w:trPr>
          <w:gridBefore w:val="1"/>
          <w:gridAfter w:val="1"/>
          <w:wBefore w:w="37" w:type="dxa"/>
          <w:wAfter w:w="209" w:type="dxa"/>
          <w:trHeight w:val="739" w:hRule="atLeast"/>
          <w:jc w:val="center"/>
        </w:trPr>
        <w:tc>
          <w:tcPr>
            <w:tcW w:w="1871" w:type="dxa"/>
            <w:tcBorders>
              <w:top w:val="single" w:color="auto" w:sz="4" w:space="0"/>
              <w:left w:val="single" w:color="auto" w:sz="4" w:space="0"/>
              <w:bottom w:val="single" w:color="auto" w:sz="4" w:space="0"/>
              <w:right w:val="single" w:color="auto" w:sz="4" w:space="0"/>
            </w:tcBorders>
            <w:noWrap w:val="0"/>
          </w:tcPr>
          <w:p w14:paraId="21471A21">
            <w:pPr>
              <w:pStyle w:val="201"/>
              <w:spacing w:before="3"/>
              <w:rPr>
                <w:rFonts w:hint="eastAsia"/>
                <w:color w:val="auto"/>
                <w:sz w:val="18"/>
                <w:highlight w:val="none"/>
              </w:rPr>
            </w:pPr>
          </w:p>
          <w:p w14:paraId="43FC8899">
            <w:pPr>
              <w:pStyle w:val="201"/>
              <w:spacing w:before="1"/>
              <w:ind w:left="20"/>
              <w:rPr>
                <w:rFonts w:hint="eastAsia"/>
                <w:b/>
                <w:color w:val="auto"/>
                <w:highlight w:val="none"/>
              </w:rPr>
            </w:pPr>
            <w:r>
              <w:rPr>
                <w:b/>
                <w:color w:val="auto"/>
                <w:highlight w:val="none"/>
              </w:rPr>
              <w:t>单位名称</w:t>
            </w:r>
          </w:p>
        </w:tc>
        <w:tc>
          <w:tcPr>
            <w:tcW w:w="2275" w:type="dxa"/>
            <w:tcBorders>
              <w:top w:val="single" w:color="auto" w:sz="4" w:space="0"/>
              <w:left w:val="single" w:color="auto" w:sz="4" w:space="0"/>
              <w:bottom w:val="single" w:color="auto" w:sz="4" w:space="0"/>
              <w:right w:val="single" w:color="auto" w:sz="4" w:space="0"/>
            </w:tcBorders>
            <w:noWrap w:val="0"/>
          </w:tcPr>
          <w:p w14:paraId="29B29B9F">
            <w:pPr>
              <w:pStyle w:val="201"/>
              <w:rPr>
                <w:rFonts w:hint="eastAsia" w:ascii="Times New Roman"/>
                <w:color w:val="auto"/>
                <w:highlight w:val="none"/>
              </w:rPr>
            </w:pPr>
          </w:p>
        </w:tc>
        <w:tc>
          <w:tcPr>
            <w:tcW w:w="2610" w:type="dxa"/>
            <w:tcBorders>
              <w:top w:val="single" w:color="auto" w:sz="4" w:space="0"/>
              <w:left w:val="single" w:color="auto" w:sz="4" w:space="0"/>
              <w:bottom w:val="single" w:color="auto" w:sz="4" w:space="0"/>
              <w:right w:val="single" w:color="auto" w:sz="4" w:space="0"/>
            </w:tcBorders>
            <w:noWrap w:val="0"/>
          </w:tcPr>
          <w:p w14:paraId="2A63ED8C">
            <w:pPr>
              <w:pStyle w:val="201"/>
              <w:spacing w:before="3"/>
              <w:rPr>
                <w:rFonts w:hint="eastAsia"/>
                <w:color w:val="auto"/>
                <w:sz w:val="18"/>
                <w:highlight w:val="none"/>
              </w:rPr>
            </w:pPr>
          </w:p>
          <w:p w14:paraId="21767049">
            <w:pPr>
              <w:pStyle w:val="201"/>
              <w:spacing w:before="1"/>
              <w:ind w:left="32"/>
              <w:rPr>
                <w:rFonts w:hint="eastAsia"/>
                <w:b/>
                <w:color w:val="auto"/>
                <w:highlight w:val="none"/>
              </w:rPr>
            </w:pPr>
            <w:r>
              <w:rPr>
                <w:b/>
                <w:color w:val="auto"/>
                <w:highlight w:val="none"/>
              </w:rPr>
              <w:t>统一社会信用代码</w:t>
            </w:r>
          </w:p>
        </w:tc>
        <w:tc>
          <w:tcPr>
            <w:tcW w:w="3557" w:type="dxa"/>
            <w:tcBorders>
              <w:top w:val="single" w:color="auto" w:sz="4" w:space="0"/>
              <w:left w:val="single" w:color="auto" w:sz="4" w:space="0"/>
              <w:bottom w:val="single" w:color="auto" w:sz="4" w:space="0"/>
              <w:right w:val="single" w:color="auto" w:sz="4" w:space="0"/>
            </w:tcBorders>
            <w:noWrap w:val="0"/>
          </w:tcPr>
          <w:p w14:paraId="30642F2E">
            <w:pPr>
              <w:pStyle w:val="201"/>
              <w:rPr>
                <w:rFonts w:hint="eastAsia" w:ascii="Times New Roman"/>
                <w:color w:val="auto"/>
                <w:highlight w:val="none"/>
              </w:rPr>
            </w:pPr>
          </w:p>
        </w:tc>
      </w:tr>
      <w:tr w14:paraId="5868989B">
        <w:tblPrEx>
          <w:tblCellMar>
            <w:top w:w="15" w:type="dxa"/>
            <w:left w:w="15" w:type="dxa"/>
            <w:bottom w:w="15" w:type="dxa"/>
            <w:right w:w="15" w:type="dxa"/>
          </w:tblCellMar>
        </w:tblPrEx>
        <w:trPr>
          <w:gridBefore w:val="1"/>
          <w:gridAfter w:val="1"/>
          <w:wBefore w:w="37" w:type="dxa"/>
          <w:wAfter w:w="209" w:type="dxa"/>
          <w:trHeight w:val="770" w:hRule="atLeast"/>
          <w:jc w:val="center"/>
        </w:trPr>
        <w:tc>
          <w:tcPr>
            <w:tcW w:w="1871" w:type="dxa"/>
            <w:tcBorders>
              <w:top w:val="single" w:color="auto" w:sz="4" w:space="0"/>
              <w:left w:val="single" w:color="auto" w:sz="4" w:space="0"/>
              <w:bottom w:val="single" w:color="auto" w:sz="4" w:space="0"/>
              <w:right w:val="single" w:color="auto" w:sz="4" w:space="0"/>
            </w:tcBorders>
            <w:noWrap w:val="0"/>
          </w:tcPr>
          <w:p w14:paraId="799E8E20">
            <w:pPr>
              <w:pStyle w:val="201"/>
              <w:spacing w:before="5"/>
              <w:rPr>
                <w:rFonts w:hint="eastAsia"/>
                <w:color w:val="auto"/>
                <w:sz w:val="16"/>
                <w:highlight w:val="none"/>
              </w:rPr>
            </w:pPr>
          </w:p>
          <w:p w14:paraId="155A6607">
            <w:pPr>
              <w:pStyle w:val="201"/>
              <w:ind w:left="20"/>
              <w:rPr>
                <w:rFonts w:hint="eastAsia"/>
                <w:b/>
                <w:color w:val="auto"/>
                <w:highlight w:val="none"/>
              </w:rPr>
            </w:pPr>
            <w:r>
              <w:rPr>
                <w:b/>
                <w:color w:val="auto"/>
                <w:highlight w:val="none"/>
              </w:rPr>
              <w:t>法定代表人</w:t>
            </w:r>
          </w:p>
        </w:tc>
        <w:tc>
          <w:tcPr>
            <w:tcW w:w="2275" w:type="dxa"/>
            <w:tcBorders>
              <w:top w:val="single" w:color="auto" w:sz="4" w:space="0"/>
              <w:left w:val="single" w:color="auto" w:sz="4" w:space="0"/>
              <w:bottom w:val="single" w:color="auto" w:sz="4" w:space="0"/>
              <w:right w:val="single" w:color="auto" w:sz="4" w:space="0"/>
            </w:tcBorders>
            <w:noWrap w:val="0"/>
          </w:tcPr>
          <w:p w14:paraId="5F2AB496">
            <w:pPr>
              <w:pStyle w:val="201"/>
              <w:rPr>
                <w:rFonts w:hint="eastAsia" w:ascii="Times New Roman"/>
                <w:color w:val="auto"/>
                <w:highlight w:val="none"/>
              </w:rPr>
            </w:pPr>
          </w:p>
        </w:tc>
        <w:tc>
          <w:tcPr>
            <w:tcW w:w="2610" w:type="dxa"/>
            <w:tcBorders>
              <w:top w:val="single" w:color="auto" w:sz="4" w:space="0"/>
              <w:left w:val="single" w:color="auto" w:sz="4" w:space="0"/>
              <w:bottom w:val="single" w:color="auto" w:sz="4" w:space="0"/>
              <w:right w:val="single" w:color="auto" w:sz="4" w:space="0"/>
            </w:tcBorders>
            <w:noWrap w:val="0"/>
          </w:tcPr>
          <w:p w14:paraId="78C2FF9E">
            <w:pPr>
              <w:pStyle w:val="201"/>
              <w:spacing w:before="5"/>
              <w:rPr>
                <w:rFonts w:hint="eastAsia"/>
                <w:color w:val="auto"/>
                <w:sz w:val="16"/>
                <w:highlight w:val="none"/>
              </w:rPr>
            </w:pPr>
          </w:p>
          <w:p w14:paraId="0512C9E8">
            <w:pPr>
              <w:pStyle w:val="201"/>
              <w:ind w:left="32"/>
              <w:rPr>
                <w:rFonts w:hint="eastAsia"/>
                <w:b/>
                <w:color w:val="auto"/>
                <w:highlight w:val="none"/>
              </w:rPr>
            </w:pPr>
            <w:r>
              <w:rPr>
                <w:b/>
                <w:color w:val="auto"/>
                <w:highlight w:val="none"/>
              </w:rPr>
              <w:t>联系人</w:t>
            </w:r>
          </w:p>
        </w:tc>
        <w:tc>
          <w:tcPr>
            <w:tcW w:w="3557" w:type="dxa"/>
            <w:tcBorders>
              <w:top w:val="single" w:color="auto" w:sz="4" w:space="0"/>
              <w:left w:val="single" w:color="auto" w:sz="4" w:space="0"/>
              <w:bottom w:val="single" w:color="auto" w:sz="4" w:space="0"/>
              <w:right w:val="single" w:color="auto" w:sz="4" w:space="0"/>
            </w:tcBorders>
            <w:noWrap w:val="0"/>
          </w:tcPr>
          <w:p w14:paraId="0B74B08A">
            <w:pPr>
              <w:pStyle w:val="201"/>
              <w:rPr>
                <w:rFonts w:hint="eastAsia" w:ascii="Times New Roman"/>
                <w:color w:val="auto"/>
                <w:highlight w:val="none"/>
              </w:rPr>
            </w:pPr>
          </w:p>
        </w:tc>
      </w:tr>
      <w:tr w14:paraId="2A9EBC0C">
        <w:tblPrEx>
          <w:tblCellMar>
            <w:top w:w="15" w:type="dxa"/>
            <w:left w:w="15" w:type="dxa"/>
            <w:bottom w:w="15" w:type="dxa"/>
            <w:right w:w="15" w:type="dxa"/>
          </w:tblCellMar>
        </w:tblPrEx>
        <w:trPr>
          <w:gridBefore w:val="1"/>
          <w:gridAfter w:val="1"/>
          <w:wBefore w:w="37" w:type="dxa"/>
          <w:wAfter w:w="209" w:type="dxa"/>
          <w:trHeight w:val="536" w:hRule="atLeast"/>
          <w:jc w:val="center"/>
        </w:trPr>
        <w:tc>
          <w:tcPr>
            <w:tcW w:w="1871" w:type="dxa"/>
            <w:tcBorders>
              <w:top w:val="single" w:color="auto" w:sz="4" w:space="0"/>
              <w:left w:val="single" w:color="auto" w:sz="4" w:space="0"/>
              <w:bottom w:val="single" w:color="auto" w:sz="4" w:space="0"/>
              <w:right w:val="single" w:color="auto" w:sz="4" w:space="0"/>
            </w:tcBorders>
            <w:noWrap w:val="0"/>
          </w:tcPr>
          <w:p w14:paraId="0CFD0D20">
            <w:pPr>
              <w:pStyle w:val="201"/>
              <w:spacing w:before="4"/>
              <w:rPr>
                <w:rFonts w:hint="eastAsia"/>
                <w:color w:val="auto"/>
                <w:sz w:val="18"/>
                <w:highlight w:val="none"/>
              </w:rPr>
            </w:pPr>
          </w:p>
          <w:p w14:paraId="5D8AB94F">
            <w:pPr>
              <w:pStyle w:val="201"/>
              <w:ind w:left="20"/>
              <w:rPr>
                <w:rFonts w:hint="eastAsia"/>
                <w:b/>
                <w:color w:val="auto"/>
                <w:highlight w:val="none"/>
              </w:rPr>
            </w:pPr>
            <w:r>
              <w:rPr>
                <w:b/>
                <w:color w:val="auto"/>
                <w:highlight w:val="none"/>
              </w:rPr>
              <w:t>联系地址</w:t>
            </w:r>
          </w:p>
        </w:tc>
        <w:tc>
          <w:tcPr>
            <w:tcW w:w="2275" w:type="dxa"/>
            <w:tcBorders>
              <w:top w:val="single" w:color="auto" w:sz="4" w:space="0"/>
              <w:left w:val="single" w:color="auto" w:sz="4" w:space="0"/>
              <w:bottom w:val="single" w:color="auto" w:sz="4" w:space="0"/>
              <w:right w:val="single" w:color="auto" w:sz="4" w:space="0"/>
            </w:tcBorders>
            <w:noWrap w:val="0"/>
          </w:tcPr>
          <w:p w14:paraId="34580528">
            <w:pPr>
              <w:pStyle w:val="201"/>
              <w:rPr>
                <w:rFonts w:hint="eastAsia" w:ascii="Times New Roman"/>
                <w:color w:val="auto"/>
                <w:highlight w:val="none"/>
              </w:rPr>
            </w:pPr>
          </w:p>
        </w:tc>
        <w:tc>
          <w:tcPr>
            <w:tcW w:w="2610" w:type="dxa"/>
            <w:tcBorders>
              <w:top w:val="single" w:color="auto" w:sz="4" w:space="0"/>
              <w:left w:val="single" w:color="auto" w:sz="4" w:space="0"/>
              <w:bottom w:val="single" w:color="auto" w:sz="4" w:space="0"/>
              <w:right w:val="single" w:color="auto" w:sz="4" w:space="0"/>
            </w:tcBorders>
            <w:noWrap w:val="0"/>
          </w:tcPr>
          <w:p w14:paraId="576841F1">
            <w:pPr>
              <w:pStyle w:val="201"/>
              <w:spacing w:before="4"/>
              <w:rPr>
                <w:rFonts w:hint="eastAsia"/>
                <w:color w:val="auto"/>
                <w:sz w:val="18"/>
                <w:highlight w:val="none"/>
              </w:rPr>
            </w:pPr>
          </w:p>
          <w:p w14:paraId="333F6077">
            <w:pPr>
              <w:pStyle w:val="201"/>
              <w:ind w:left="32"/>
              <w:rPr>
                <w:rFonts w:hint="eastAsia"/>
                <w:b/>
                <w:color w:val="auto"/>
                <w:highlight w:val="none"/>
              </w:rPr>
            </w:pPr>
            <w:r>
              <w:rPr>
                <w:b/>
                <w:color w:val="auto"/>
                <w:highlight w:val="none"/>
              </w:rPr>
              <w:t>联系电话</w:t>
            </w:r>
          </w:p>
        </w:tc>
        <w:tc>
          <w:tcPr>
            <w:tcW w:w="3557" w:type="dxa"/>
            <w:tcBorders>
              <w:top w:val="single" w:color="auto" w:sz="4" w:space="0"/>
              <w:left w:val="single" w:color="auto" w:sz="4" w:space="0"/>
              <w:bottom w:val="single" w:color="auto" w:sz="4" w:space="0"/>
              <w:right w:val="single" w:color="auto" w:sz="4" w:space="0"/>
            </w:tcBorders>
            <w:noWrap w:val="0"/>
          </w:tcPr>
          <w:p w14:paraId="23D5C2B3">
            <w:pPr>
              <w:pStyle w:val="201"/>
              <w:rPr>
                <w:rFonts w:hint="eastAsia" w:ascii="Times New Roman"/>
                <w:color w:val="auto"/>
                <w:highlight w:val="none"/>
              </w:rPr>
            </w:pPr>
          </w:p>
        </w:tc>
      </w:tr>
      <w:tr w14:paraId="4244D5B9">
        <w:tblPrEx>
          <w:tblCellMar>
            <w:top w:w="15" w:type="dxa"/>
            <w:left w:w="15" w:type="dxa"/>
            <w:bottom w:w="15" w:type="dxa"/>
            <w:right w:w="15" w:type="dxa"/>
          </w:tblCellMar>
        </w:tblPrEx>
        <w:trPr>
          <w:gridBefore w:val="1"/>
          <w:gridAfter w:val="1"/>
          <w:wBefore w:w="37" w:type="dxa"/>
          <w:wAfter w:w="209" w:type="dxa"/>
          <w:trHeight w:val="643" w:hRule="atLeast"/>
          <w:jc w:val="center"/>
        </w:trPr>
        <w:tc>
          <w:tcPr>
            <w:tcW w:w="1871" w:type="dxa"/>
            <w:tcBorders>
              <w:top w:val="single" w:color="auto" w:sz="4" w:space="0"/>
              <w:left w:val="single" w:color="auto" w:sz="4" w:space="0"/>
              <w:bottom w:val="single" w:color="auto" w:sz="4" w:space="0"/>
              <w:right w:val="single" w:color="auto" w:sz="4" w:space="0"/>
            </w:tcBorders>
            <w:noWrap w:val="0"/>
          </w:tcPr>
          <w:p w14:paraId="4DB1C9EE">
            <w:pPr>
              <w:pStyle w:val="201"/>
              <w:spacing w:before="8"/>
              <w:rPr>
                <w:rFonts w:hint="eastAsia"/>
                <w:color w:val="auto"/>
                <w:sz w:val="20"/>
                <w:highlight w:val="none"/>
              </w:rPr>
            </w:pPr>
          </w:p>
          <w:p w14:paraId="69251BCF">
            <w:pPr>
              <w:pStyle w:val="201"/>
              <w:ind w:left="20"/>
              <w:rPr>
                <w:rFonts w:hint="eastAsia"/>
                <w:b/>
                <w:color w:val="auto"/>
                <w:highlight w:val="none"/>
              </w:rPr>
            </w:pPr>
            <w:r>
              <w:rPr>
                <w:b/>
                <w:color w:val="auto"/>
                <w:highlight w:val="none"/>
              </w:rPr>
              <w:t>信用得分</w:t>
            </w:r>
          </w:p>
        </w:tc>
        <w:tc>
          <w:tcPr>
            <w:tcW w:w="2275" w:type="dxa"/>
            <w:tcBorders>
              <w:top w:val="single" w:color="auto" w:sz="4" w:space="0"/>
              <w:left w:val="single" w:color="auto" w:sz="4" w:space="0"/>
              <w:bottom w:val="single" w:color="auto" w:sz="4" w:space="0"/>
              <w:right w:val="single" w:color="auto" w:sz="4" w:space="0"/>
            </w:tcBorders>
            <w:noWrap w:val="0"/>
          </w:tcPr>
          <w:p w14:paraId="6F5A31D3">
            <w:pPr>
              <w:pStyle w:val="201"/>
              <w:rPr>
                <w:rFonts w:hint="eastAsia" w:ascii="Times New Roman"/>
                <w:color w:val="auto"/>
                <w:highlight w:val="none"/>
              </w:rPr>
            </w:pPr>
          </w:p>
        </w:tc>
        <w:tc>
          <w:tcPr>
            <w:tcW w:w="2610" w:type="dxa"/>
            <w:tcBorders>
              <w:top w:val="single" w:color="auto" w:sz="4" w:space="0"/>
              <w:left w:val="single" w:color="auto" w:sz="4" w:space="0"/>
              <w:bottom w:val="single" w:color="auto" w:sz="4" w:space="0"/>
              <w:right w:val="single" w:color="auto" w:sz="4" w:space="0"/>
            </w:tcBorders>
            <w:noWrap w:val="0"/>
          </w:tcPr>
          <w:p w14:paraId="18DC1608">
            <w:pPr>
              <w:pStyle w:val="201"/>
              <w:spacing w:before="8"/>
              <w:rPr>
                <w:rFonts w:hint="eastAsia"/>
                <w:color w:val="auto"/>
                <w:sz w:val="20"/>
                <w:highlight w:val="none"/>
              </w:rPr>
            </w:pPr>
          </w:p>
          <w:p w14:paraId="5B5A7DAD">
            <w:pPr>
              <w:pStyle w:val="201"/>
              <w:ind w:left="32"/>
              <w:rPr>
                <w:rFonts w:hint="eastAsia"/>
                <w:b/>
                <w:color w:val="auto"/>
                <w:highlight w:val="none"/>
              </w:rPr>
            </w:pPr>
            <w:r>
              <w:rPr>
                <w:b/>
                <w:color w:val="auto"/>
                <w:highlight w:val="none"/>
              </w:rPr>
              <w:t>星级</w:t>
            </w:r>
          </w:p>
        </w:tc>
        <w:tc>
          <w:tcPr>
            <w:tcW w:w="3557" w:type="dxa"/>
            <w:tcBorders>
              <w:top w:val="single" w:color="auto" w:sz="4" w:space="0"/>
              <w:left w:val="single" w:color="auto" w:sz="4" w:space="0"/>
              <w:bottom w:val="single" w:color="auto" w:sz="4" w:space="0"/>
              <w:right w:val="single" w:color="auto" w:sz="4" w:space="0"/>
            </w:tcBorders>
            <w:noWrap w:val="0"/>
          </w:tcPr>
          <w:p w14:paraId="4F2B01BA">
            <w:pPr>
              <w:pStyle w:val="201"/>
              <w:rPr>
                <w:rFonts w:hint="eastAsia" w:ascii="Times New Roman"/>
                <w:color w:val="auto"/>
                <w:highlight w:val="none"/>
              </w:rPr>
            </w:pPr>
          </w:p>
        </w:tc>
      </w:tr>
      <w:tr w14:paraId="1EECDAC0">
        <w:tblPrEx>
          <w:tblCellMar>
            <w:top w:w="15" w:type="dxa"/>
            <w:left w:w="15" w:type="dxa"/>
            <w:bottom w:w="15" w:type="dxa"/>
            <w:right w:w="15" w:type="dxa"/>
          </w:tblCellMar>
        </w:tblPrEx>
        <w:trPr>
          <w:gridBefore w:val="1"/>
          <w:gridAfter w:val="1"/>
          <w:wBefore w:w="37" w:type="dxa"/>
          <w:wAfter w:w="209" w:type="dxa"/>
          <w:trHeight w:val="598" w:hRule="atLeast"/>
          <w:jc w:val="center"/>
        </w:trPr>
        <w:tc>
          <w:tcPr>
            <w:tcW w:w="1871" w:type="dxa"/>
            <w:tcBorders>
              <w:top w:val="single" w:color="auto" w:sz="4" w:space="0"/>
              <w:left w:val="single" w:color="auto" w:sz="4" w:space="0"/>
              <w:bottom w:val="single" w:color="auto" w:sz="4" w:space="0"/>
              <w:right w:val="single" w:color="auto" w:sz="4" w:space="0"/>
            </w:tcBorders>
            <w:noWrap w:val="0"/>
          </w:tcPr>
          <w:p w14:paraId="608E5999">
            <w:pPr>
              <w:pStyle w:val="201"/>
              <w:ind w:left="20"/>
              <w:jc w:val="center"/>
              <w:rPr>
                <w:rFonts w:hint="eastAsia"/>
                <w:b/>
                <w:color w:val="auto"/>
                <w:highlight w:val="none"/>
              </w:rPr>
            </w:pPr>
            <w:r>
              <w:rPr>
                <w:b/>
                <w:color w:val="auto"/>
                <w:highlight w:val="none"/>
              </w:rPr>
              <w:t>诚信档案记录情况</w:t>
            </w:r>
          </w:p>
        </w:tc>
        <w:tc>
          <w:tcPr>
            <w:tcW w:w="8442" w:type="dxa"/>
            <w:gridSpan w:val="3"/>
            <w:tcBorders>
              <w:top w:val="single" w:color="auto" w:sz="4" w:space="0"/>
              <w:left w:val="single" w:color="auto" w:sz="4" w:space="0"/>
              <w:bottom w:val="single" w:color="auto" w:sz="4" w:space="0"/>
              <w:right w:val="single" w:color="auto" w:sz="4" w:space="0"/>
            </w:tcBorders>
            <w:noWrap w:val="0"/>
          </w:tcPr>
          <w:p w14:paraId="4D7ABA58">
            <w:pPr>
              <w:pStyle w:val="201"/>
              <w:rPr>
                <w:rFonts w:hint="eastAsia" w:ascii="Times New Roman"/>
                <w:color w:val="auto"/>
                <w:highlight w:val="none"/>
              </w:rPr>
            </w:pPr>
          </w:p>
        </w:tc>
      </w:tr>
      <w:tr w14:paraId="56969A82">
        <w:tblPrEx>
          <w:tblCellMar>
            <w:top w:w="15" w:type="dxa"/>
            <w:left w:w="15" w:type="dxa"/>
            <w:bottom w:w="15" w:type="dxa"/>
            <w:right w:w="15" w:type="dxa"/>
          </w:tblCellMar>
        </w:tblPrEx>
        <w:trPr>
          <w:gridBefore w:val="1"/>
          <w:gridAfter w:val="1"/>
          <w:wBefore w:w="37" w:type="dxa"/>
          <w:wAfter w:w="209" w:type="dxa"/>
          <w:trHeight w:val="7050" w:hRule="atLeast"/>
          <w:jc w:val="center"/>
        </w:trPr>
        <w:tc>
          <w:tcPr>
            <w:tcW w:w="1871" w:type="dxa"/>
            <w:tcBorders>
              <w:top w:val="single" w:color="auto" w:sz="4" w:space="0"/>
              <w:left w:val="single" w:color="auto" w:sz="4" w:space="0"/>
              <w:bottom w:val="single" w:color="auto" w:sz="4" w:space="0"/>
              <w:right w:val="single" w:color="auto" w:sz="4" w:space="0"/>
            </w:tcBorders>
            <w:noWrap w:val="0"/>
          </w:tcPr>
          <w:p w14:paraId="60AD1FE8">
            <w:pPr>
              <w:pStyle w:val="201"/>
              <w:rPr>
                <w:rFonts w:hint="eastAsia"/>
                <w:color w:val="auto"/>
                <w:highlight w:val="none"/>
              </w:rPr>
            </w:pPr>
          </w:p>
          <w:p w14:paraId="03FC4AE7">
            <w:pPr>
              <w:pStyle w:val="201"/>
              <w:rPr>
                <w:rFonts w:hint="eastAsia"/>
                <w:color w:val="auto"/>
                <w:highlight w:val="none"/>
              </w:rPr>
            </w:pPr>
          </w:p>
          <w:p w14:paraId="16812D72">
            <w:pPr>
              <w:pStyle w:val="201"/>
              <w:rPr>
                <w:rFonts w:hint="eastAsia"/>
                <w:color w:val="auto"/>
                <w:highlight w:val="none"/>
              </w:rPr>
            </w:pPr>
          </w:p>
          <w:p w14:paraId="17864275">
            <w:pPr>
              <w:pStyle w:val="201"/>
              <w:rPr>
                <w:rFonts w:hint="eastAsia"/>
                <w:color w:val="auto"/>
                <w:highlight w:val="none"/>
              </w:rPr>
            </w:pPr>
          </w:p>
          <w:p w14:paraId="7BE8A022">
            <w:pPr>
              <w:pStyle w:val="201"/>
              <w:rPr>
                <w:rFonts w:hint="eastAsia"/>
                <w:color w:val="auto"/>
                <w:highlight w:val="none"/>
              </w:rPr>
            </w:pPr>
          </w:p>
          <w:p w14:paraId="4F86DC96">
            <w:pPr>
              <w:pStyle w:val="201"/>
              <w:rPr>
                <w:rFonts w:hint="eastAsia"/>
                <w:color w:val="auto"/>
                <w:highlight w:val="none"/>
              </w:rPr>
            </w:pPr>
          </w:p>
          <w:p w14:paraId="3AF67DB6">
            <w:pPr>
              <w:pStyle w:val="201"/>
              <w:rPr>
                <w:rFonts w:hint="eastAsia"/>
                <w:color w:val="auto"/>
                <w:highlight w:val="none"/>
              </w:rPr>
            </w:pPr>
          </w:p>
          <w:p w14:paraId="17F7257A">
            <w:pPr>
              <w:pStyle w:val="201"/>
              <w:rPr>
                <w:rFonts w:hint="eastAsia"/>
                <w:color w:val="auto"/>
                <w:highlight w:val="none"/>
              </w:rPr>
            </w:pPr>
          </w:p>
          <w:p w14:paraId="26FA2AEE">
            <w:pPr>
              <w:pStyle w:val="201"/>
              <w:rPr>
                <w:rFonts w:hint="eastAsia"/>
                <w:color w:val="auto"/>
                <w:highlight w:val="none"/>
              </w:rPr>
            </w:pPr>
          </w:p>
          <w:p w14:paraId="15B04D08">
            <w:pPr>
              <w:pStyle w:val="201"/>
              <w:rPr>
                <w:rFonts w:hint="eastAsia"/>
                <w:color w:val="auto"/>
                <w:highlight w:val="none"/>
              </w:rPr>
            </w:pPr>
          </w:p>
          <w:p w14:paraId="6F50C234">
            <w:pPr>
              <w:pStyle w:val="201"/>
              <w:spacing w:before="175"/>
              <w:ind w:left="20"/>
              <w:rPr>
                <w:rFonts w:hint="eastAsia"/>
                <w:b/>
                <w:color w:val="auto"/>
                <w:highlight w:val="none"/>
              </w:rPr>
            </w:pPr>
            <w:r>
              <w:rPr>
                <w:b/>
                <w:color w:val="auto"/>
                <w:highlight w:val="none"/>
              </w:rPr>
              <w:t>信用承诺</w:t>
            </w:r>
          </w:p>
        </w:tc>
        <w:tc>
          <w:tcPr>
            <w:tcW w:w="8442" w:type="dxa"/>
            <w:gridSpan w:val="3"/>
            <w:tcBorders>
              <w:top w:val="single" w:color="auto" w:sz="4" w:space="0"/>
              <w:left w:val="single" w:color="auto" w:sz="4" w:space="0"/>
              <w:bottom w:val="single" w:color="auto" w:sz="4" w:space="0"/>
              <w:right w:val="single" w:color="auto" w:sz="4" w:space="0"/>
            </w:tcBorders>
            <w:noWrap w:val="0"/>
          </w:tcPr>
          <w:p w14:paraId="5D209000">
            <w:pPr>
              <w:pStyle w:val="201"/>
              <w:spacing w:before="9"/>
              <w:rPr>
                <w:rFonts w:hint="eastAsia"/>
                <w:color w:val="auto"/>
                <w:sz w:val="26"/>
                <w:highlight w:val="none"/>
              </w:rPr>
            </w:pPr>
          </w:p>
          <w:p w14:paraId="0EED830E">
            <w:pPr>
              <w:pStyle w:val="201"/>
              <w:spacing w:line="242" w:lineRule="auto"/>
              <w:ind w:left="32" w:right="-29" w:firstLine="480"/>
              <w:rPr>
                <w:rFonts w:hint="eastAsia"/>
                <w:color w:val="auto"/>
                <w:sz w:val="24"/>
                <w:highlight w:val="none"/>
              </w:rPr>
            </w:pPr>
            <w:r>
              <w:rPr>
                <w:color w:val="auto"/>
                <w:spacing w:val="-8"/>
                <w:sz w:val="24"/>
                <w:highlight w:val="none"/>
              </w:rPr>
              <w:t>我公司自愿参加</w:t>
            </w:r>
            <w:r>
              <w:rPr>
                <w:rFonts w:hint="eastAsia"/>
                <w:color w:val="auto"/>
                <w:spacing w:val="-8"/>
                <w:sz w:val="24"/>
                <w:highlight w:val="none"/>
              </w:rPr>
              <w:t>贵中心（公司）组织的本次采购活动，严格遵守《中华人民政府采购法》及相关法律法规，坚守公开、公平、公正和诚实信用的原则，依法诚信经营，无条件遵守本次政府采购活动的各项规定。我们郑重承诺，本公司符合</w:t>
            </w:r>
            <w:r>
              <w:rPr>
                <w:rFonts w:hint="eastAsia"/>
                <w:color w:val="auto"/>
                <w:spacing w:val="-8"/>
                <w:sz w:val="24"/>
                <w:highlight w:val="none"/>
                <w:lang w:eastAsia="zh-CN"/>
              </w:rPr>
              <w:t>《中华人民共和国政府采购法》</w:t>
            </w:r>
            <w:r>
              <w:rPr>
                <w:rFonts w:hint="eastAsia"/>
                <w:color w:val="auto"/>
                <w:spacing w:val="-8"/>
                <w:sz w:val="24"/>
                <w:highlight w:val="none"/>
              </w:rPr>
              <w:t>第二十二条规定的条件，包括：具有独立承担民事责任的能力；具有良好的商业信誉和健全的财务会计制度</w:t>
            </w:r>
            <w:r>
              <w:rPr>
                <w:rFonts w:hint="eastAsia"/>
                <w:color w:val="auto"/>
                <w:spacing w:val="-8"/>
                <w:sz w:val="24"/>
                <w:highlight w:val="none"/>
                <w:lang w:eastAsia="zh-CN"/>
              </w:rPr>
              <w:t>；具</w:t>
            </w:r>
            <w:r>
              <w:rPr>
                <w:rFonts w:hint="eastAsia"/>
                <w:color w:val="auto"/>
                <w:spacing w:val="-8"/>
                <w:sz w:val="24"/>
                <w:highlight w:val="none"/>
              </w:rPr>
              <w:t>有履行合同所必需的设备和专业技术能力</w:t>
            </w:r>
            <w:r>
              <w:rPr>
                <w:rFonts w:hint="eastAsia"/>
                <w:color w:val="auto"/>
                <w:spacing w:val="-8"/>
                <w:sz w:val="24"/>
                <w:highlight w:val="none"/>
                <w:lang w:eastAsia="zh-CN"/>
              </w:rPr>
              <w:t>；具</w:t>
            </w:r>
            <w:r>
              <w:rPr>
                <w:rFonts w:hint="eastAsia"/>
                <w:color w:val="auto"/>
                <w:spacing w:val="-8"/>
                <w:sz w:val="24"/>
                <w:highlight w:val="none"/>
              </w:rPr>
              <w:t>有依法缴纳税收和社会保障资金的良好记录；参加政府采购活动前三年，在经营活动中没有重大违法记录；符合法律、行政法规和采购文件规定的其他条件。如有弄虚作假或其他违法违规行为</w:t>
            </w:r>
            <w:r>
              <w:rPr>
                <w:rFonts w:hint="eastAsia"/>
                <w:color w:val="auto"/>
                <w:spacing w:val="-8"/>
                <w:sz w:val="24"/>
                <w:highlight w:val="none"/>
                <w:lang w:eastAsia="zh-CN"/>
              </w:rPr>
              <w:t>，自</w:t>
            </w:r>
            <w:r>
              <w:rPr>
                <w:rFonts w:hint="eastAsia"/>
                <w:color w:val="auto"/>
                <w:spacing w:val="-8"/>
                <w:sz w:val="24"/>
                <w:highlight w:val="none"/>
              </w:rPr>
              <w:t>愿承担一切法律责任，接受各级政府采购监管部门和有权机关的审查和处罚。</w:t>
            </w:r>
          </w:p>
          <w:p w14:paraId="6CA10520">
            <w:pPr>
              <w:pStyle w:val="201"/>
              <w:rPr>
                <w:rFonts w:hint="eastAsia"/>
                <w:color w:val="auto"/>
                <w:sz w:val="24"/>
                <w:highlight w:val="none"/>
              </w:rPr>
            </w:pPr>
          </w:p>
          <w:p w14:paraId="5DAC0919">
            <w:pPr>
              <w:pStyle w:val="201"/>
              <w:spacing w:before="5"/>
              <w:rPr>
                <w:rFonts w:hint="eastAsia"/>
                <w:color w:val="auto"/>
                <w:sz w:val="25"/>
                <w:highlight w:val="none"/>
              </w:rPr>
            </w:pPr>
          </w:p>
          <w:p w14:paraId="17AEE2DF">
            <w:pPr>
              <w:pStyle w:val="201"/>
              <w:spacing w:line="487" w:lineRule="auto"/>
              <w:ind w:left="2672" w:right="2256"/>
              <w:jc w:val="both"/>
              <w:rPr>
                <w:rFonts w:hint="eastAsia"/>
                <w:color w:val="auto"/>
                <w:sz w:val="24"/>
                <w:highlight w:val="none"/>
              </w:rPr>
            </w:pPr>
            <w:r>
              <w:rPr>
                <w:color w:val="auto"/>
                <w:sz w:val="24"/>
                <w:highlight w:val="none"/>
              </w:rPr>
              <w:t>供应商名称（盖章）：</w:t>
            </w:r>
          </w:p>
          <w:p w14:paraId="5A340BF4">
            <w:pPr>
              <w:pStyle w:val="201"/>
              <w:spacing w:line="487" w:lineRule="auto"/>
              <w:ind w:left="2672" w:right="2256"/>
              <w:jc w:val="both"/>
              <w:rPr>
                <w:rFonts w:hint="eastAsia"/>
                <w:color w:val="auto"/>
                <w:sz w:val="24"/>
                <w:highlight w:val="none"/>
              </w:rPr>
            </w:pPr>
            <w:r>
              <w:rPr>
                <w:color w:val="auto"/>
                <w:sz w:val="24"/>
                <w:highlight w:val="none"/>
              </w:rPr>
              <w:t>法定代表人（签字）：</w:t>
            </w:r>
          </w:p>
          <w:p w14:paraId="47C50903">
            <w:pPr>
              <w:pStyle w:val="201"/>
              <w:spacing w:line="487" w:lineRule="auto"/>
              <w:ind w:left="2672" w:right="2256"/>
              <w:jc w:val="both"/>
              <w:rPr>
                <w:rFonts w:hint="eastAsia"/>
                <w:color w:val="auto"/>
                <w:sz w:val="24"/>
                <w:highlight w:val="none"/>
              </w:rPr>
            </w:pPr>
            <w:r>
              <w:rPr>
                <w:color w:val="auto"/>
                <w:sz w:val="24"/>
                <w:highlight w:val="none"/>
              </w:rPr>
              <w:t xml:space="preserve"> 二 〇 年 月 日</w:t>
            </w:r>
          </w:p>
        </w:tc>
      </w:tr>
    </w:tbl>
    <w:p w14:paraId="44B017A1">
      <w:pPr>
        <w:pStyle w:val="199"/>
        <w:spacing w:line="360" w:lineRule="auto"/>
        <w:ind w:left="0" w:leftChars="0" w:firstLine="0" w:firstLineChars="0"/>
        <w:rPr>
          <w:rFonts w:hint="eastAsia" w:ascii="仿宋" w:hAnsi="仿宋" w:eastAsia="仿宋" w:cs="仿宋"/>
          <w:color w:val="auto"/>
          <w:highlight w:val="none"/>
        </w:rPr>
      </w:pPr>
    </w:p>
    <w:sectPr>
      <w:footerReference r:id="rId9" w:type="default"/>
      <w:pgSz w:w="11910" w:h="16840"/>
      <w:pgMar w:top="1701" w:right="850" w:bottom="1701" w:left="1134" w:header="0"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E148F">
    <w:pPr>
      <w:pStyle w:val="25"/>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947C94D">
                          <w:pPr>
                            <w:pStyle w:val="25"/>
                            <w:rPr>
                              <w:rFonts w:hint="eastAsia"/>
                            </w:rPr>
                          </w:pPr>
                          <w:r>
                            <w:fldChar w:fldCharType="begin"/>
                          </w:r>
                          <w:r>
                            <w:instrText xml:space="preserve"> PAGE  \* MERGEFORMAT </w:instrText>
                          </w:r>
                          <w:r>
                            <w:fldChar w:fldCharType="separate"/>
                          </w:r>
                          <w:r>
                            <w:t>- 22 -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nO+X48AgAAcg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MnO+X48AgAAcgQAAA4AAAAAAAAAAQAgAAAAHwEAAGRycy9lMm9E&#10;b2MueG1sUEsFBgAAAAAGAAYAWQEAAM0FAAAAAA==&#10;">
              <v:fill on="f" focussize="0,0"/>
              <v:stroke on="f" weight="0.5pt"/>
              <v:imagedata o:title=""/>
              <o:lock v:ext="edit" aspectratio="f"/>
              <v:textbox inset="0mm,0mm,0mm,0mm" style="mso-fit-shape-to-text:t;">
                <w:txbxContent>
                  <w:p w14:paraId="4947C94D">
                    <w:pPr>
                      <w:pStyle w:val="25"/>
                      <w:rPr>
                        <w:rFonts w:hint="eastAsia"/>
                      </w:rPr>
                    </w:pPr>
                    <w:r>
                      <w:fldChar w:fldCharType="begin"/>
                    </w:r>
                    <w:r>
                      <w:instrText xml:space="preserve"> PAGE  \* MERGEFORMAT </w:instrText>
                    </w:r>
                    <w:r>
                      <w:fldChar w:fldCharType="separate"/>
                    </w:r>
                    <w:r>
                      <w:t>- 22 -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F1228">
    <w:pPr>
      <w:pStyle w:val="15"/>
      <w:spacing w:line="14" w:lineRule="auto"/>
      <w:rPr>
        <w:rFonts w:hint="eastAsia"/>
        <w:sz w:val="20"/>
      </w:rPr>
    </w:pPr>
    <w:r>
      <w:rPr>
        <w:rFonts w:hint="eastAsia"/>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44CFC48">
                          <w:pPr>
                            <w:pStyle w:val="25"/>
                            <w:rPr>
                              <w:rFonts w:hint="eastAsia"/>
                            </w:rPr>
                          </w:pPr>
                          <w:r>
                            <w:fldChar w:fldCharType="begin"/>
                          </w:r>
                          <w:r>
                            <w:instrText xml:space="preserve"> PAGE  \* MERGEFORMAT </w:instrText>
                          </w:r>
                          <w:r>
                            <w:fldChar w:fldCharType="separate"/>
                          </w:r>
                          <w:r>
                            <w:t>- 35 -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E1bAxPQIAAHIEAAAOAAAAAAAAAAEAIAAAAB8BAABkcnMvZTJv&#10;RG9jLnhtbFBLBQYAAAAABgAGAFkBAADOBQAAAAA=&#10;">
              <v:fill on="f" focussize="0,0"/>
              <v:stroke on="f" weight="0.5pt"/>
              <v:imagedata o:title=""/>
              <o:lock v:ext="edit" aspectratio="f"/>
              <v:textbox inset="0mm,0mm,0mm,0mm" style="mso-fit-shape-to-text:t;">
                <w:txbxContent>
                  <w:p w14:paraId="244CFC48">
                    <w:pPr>
                      <w:pStyle w:val="25"/>
                      <w:rPr>
                        <w:rFonts w:hint="eastAsia"/>
                      </w:rPr>
                    </w:pPr>
                    <w:r>
                      <w:fldChar w:fldCharType="begin"/>
                    </w:r>
                    <w:r>
                      <w:instrText xml:space="preserve"> PAGE  \* MERGEFORMAT </w:instrText>
                    </w:r>
                    <w:r>
                      <w:fldChar w:fldCharType="separate"/>
                    </w:r>
                    <w:r>
                      <w:t>- 35 -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24681">
    <w:pPr>
      <w:pStyle w:val="15"/>
      <w:spacing w:line="14" w:lineRule="auto"/>
      <w:rPr>
        <w:rFonts w:hint="eastAsia"/>
        <w:sz w:val="20"/>
      </w:rPr>
    </w:pPr>
    <w:r>
      <w:rPr>
        <w:rFonts w:hint="eastAsia"/>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0569F15">
                          <w:pPr>
                            <w:pStyle w:val="25"/>
                            <w:rPr>
                              <w:rFonts w:hint="eastAsia"/>
                            </w:rPr>
                          </w:pPr>
                          <w:r>
                            <w:fldChar w:fldCharType="begin"/>
                          </w:r>
                          <w:r>
                            <w:instrText xml:space="preserve"> PAGE  \* MERGEFORMAT </w:instrText>
                          </w:r>
                          <w:r>
                            <w:fldChar w:fldCharType="separate"/>
                          </w:r>
                          <w:r>
                            <w:t>- 46 -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caGM8AgAAcg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FMcaGM8AgAAcgQAAA4AAAAAAAAAAQAgAAAAHwEAAGRycy9lMm9E&#10;b2MueG1sUEsFBgAAAAAGAAYAWQEAAM0FAAAAAA==&#10;">
              <v:fill on="f" focussize="0,0"/>
              <v:stroke on="f" weight="0.5pt"/>
              <v:imagedata o:title=""/>
              <o:lock v:ext="edit" aspectratio="f"/>
              <v:textbox inset="0mm,0mm,0mm,0mm" style="mso-fit-shape-to-text:t;">
                <w:txbxContent>
                  <w:p w14:paraId="10569F15">
                    <w:pPr>
                      <w:pStyle w:val="25"/>
                      <w:rPr>
                        <w:rFonts w:hint="eastAsia"/>
                      </w:rPr>
                    </w:pPr>
                    <w:r>
                      <w:fldChar w:fldCharType="begin"/>
                    </w:r>
                    <w:r>
                      <w:instrText xml:space="preserve"> PAGE  \* MERGEFORMAT </w:instrText>
                    </w:r>
                    <w:r>
                      <w:fldChar w:fldCharType="separate"/>
                    </w:r>
                    <w:r>
                      <w:t>- 46 -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040F8">
    <w:pPr>
      <w:pStyle w:val="15"/>
      <w:spacing w:line="14" w:lineRule="auto"/>
      <w:rPr>
        <w:rFonts w:hint="eastAsia"/>
        <w:sz w:val="20"/>
      </w:rPr>
    </w:pPr>
    <w:r>
      <w:rPr>
        <w:rFonts w:hint="eastAsia"/>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752E07D">
                          <w:pPr>
                            <w:pStyle w:val="25"/>
                            <w:rPr>
                              <w:rFonts w:hint="eastAsia"/>
                            </w:rPr>
                          </w:pPr>
                          <w:r>
                            <w:fldChar w:fldCharType="begin"/>
                          </w:r>
                          <w:r>
                            <w:instrText xml:space="preserve"> PAGE  \* MERGEFORMAT </w:instrText>
                          </w:r>
                          <w:r>
                            <w:fldChar w:fldCharType="separate"/>
                          </w:r>
                          <w:r>
                            <w:t>- 49 -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l0PVSPQIAAHIEAAAOAAAAAAAAAAEAIAAAAB8BAABkcnMvZTJv&#10;RG9jLnhtbFBLBQYAAAAABgAGAFkBAADOBQAAAAA=&#10;">
              <v:fill on="f" focussize="0,0"/>
              <v:stroke on="f" weight="0.5pt"/>
              <v:imagedata o:title=""/>
              <o:lock v:ext="edit" aspectratio="f"/>
              <v:textbox inset="0mm,0mm,0mm,0mm" style="mso-fit-shape-to-text:t;">
                <w:txbxContent>
                  <w:p w14:paraId="4752E07D">
                    <w:pPr>
                      <w:pStyle w:val="25"/>
                      <w:rPr>
                        <w:rFonts w:hint="eastAsia"/>
                      </w:rPr>
                    </w:pPr>
                    <w:r>
                      <w:fldChar w:fldCharType="begin"/>
                    </w:r>
                    <w:r>
                      <w:instrText xml:space="preserve"> PAGE  \* MERGEFORMAT </w:instrText>
                    </w:r>
                    <w:r>
                      <w:fldChar w:fldCharType="separate"/>
                    </w:r>
                    <w:r>
                      <w:t>- 49 -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5A5F4">
    <w:pPr>
      <w:pStyle w:val="26"/>
      <w:rPr>
        <w:rFonts w:hint="eastAsia"/>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022DD2"/>
    <w:multiLevelType w:val="multilevel"/>
    <w:tmpl w:val="8C022DD2"/>
    <w:lvl w:ilvl="0" w:tentative="0">
      <w:start w:val="2"/>
      <w:numFmt w:val="decimal"/>
      <w:lvlText w:val="%1."/>
      <w:lvlJc w:val="left"/>
      <w:pPr>
        <w:ind w:left="878" w:hanging="212"/>
      </w:pPr>
      <w:rPr>
        <w:rFonts w:hint="default" w:ascii="宋体" w:hAnsi="宋体" w:eastAsia="宋体" w:cs="宋体"/>
        <w:spacing w:val="-2"/>
        <w:sz w:val="19"/>
        <w:szCs w:val="19"/>
        <w:lang w:val="zh-CN" w:eastAsia="zh-CN" w:bidi="zh-CN"/>
      </w:rPr>
    </w:lvl>
    <w:lvl w:ilvl="1" w:tentative="0">
      <w:start w:val="0"/>
      <w:numFmt w:val="bullet"/>
      <w:lvlText w:val="•"/>
      <w:lvlJc w:val="left"/>
      <w:pPr>
        <w:ind w:left="1876" w:hanging="212"/>
      </w:pPr>
      <w:rPr>
        <w:rFonts w:hint="default"/>
        <w:lang w:val="zh-CN" w:eastAsia="zh-CN" w:bidi="zh-CN"/>
      </w:rPr>
    </w:lvl>
    <w:lvl w:ilvl="2" w:tentative="0">
      <w:start w:val="0"/>
      <w:numFmt w:val="bullet"/>
      <w:lvlText w:val="•"/>
      <w:lvlJc w:val="left"/>
      <w:pPr>
        <w:ind w:left="2873" w:hanging="212"/>
      </w:pPr>
      <w:rPr>
        <w:rFonts w:hint="default"/>
        <w:lang w:val="zh-CN" w:eastAsia="zh-CN" w:bidi="zh-CN"/>
      </w:rPr>
    </w:lvl>
    <w:lvl w:ilvl="3" w:tentative="0">
      <w:start w:val="0"/>
      <w:numFmt w:val="bullet"/>
      <w:lvlText w:val="•"/>
      <w:lvlJc w:val="left"/>
      <w:pPr>
        <w:ind w:left="3869" w:hanging="212"/>
      </w:pPr>
      <w:rPr>
        <w:rFonts w:hint="default"/>
        <w:lang w:val="zh-CN" w:eastAsia="zh-CN" w:bidi="zh-CN"/>
      </w:rPr>
    </w:lvl>
    <w:lvl w:ilvl="4" w:tentative="0">
      <w:start w:val="0"/>
      <w:numFmt w:val="bullet"/>
      <w:lvlText w:val="•"/>
      <w:lvlJc w:val="left"/>
      <w:pPr>
        <w:ind w:left="4866" w:hanging="212"/>
      </w:pPr>
      <w:rPr>
        <w:rFonts w:hint="default"/>
        <w:lang w:val="zh-CN" w:eastAsia="zh-CN" w:bidi="zh-CN"/>
      </w:rPr>
    </w:lvl>
    <w:lvl w:ilvl="5" w:tentative="0">
      <w:start w:val="0"/>
      <w:numFmt w:val="bullet"/>
      <w:lvlText w:val="•"/>
      <w:lvlJc w:val="left"/>
      <w:pPr>
        <w:ind w:left="5863" w:hanging="212"/>
      </w:pPr>
      <w:rPr>
        <w:rFonts w:hint="default"/>
        <w:lang w:val="zh-CN" w:eastAsia="zh-CN" w:bidi="zh-CN"/>
      </w:rPr>
    </w:lvl>
    <w:lvl w:ilvl="6" w:tentative="0">
      <w:start w:val="0"/>
      <w:numFmt w:val="bullet"/>
      <w:lvlText w:val="•"/>
      <w:lvlJc w:val="left"/>
      <w:pPr>
        <w:ind w:left="6859" w:hanging="212"/>
      </w:pPr>
      <w:rPr>
        <w:rFonts w:hint="default"/>
        <w:lang w:val="zh-CN" w:eastAsia="zh-CN" w:bidi="zh-CN"/>
      </w:rPr>
    </w:lvl>
    <w:lvl w:ilvl="7" w:tentative="0">
      <w:start w:val="0"/>
      <w:numFmt w:val="bullet"/>
      <w:lvlText w:val="•"/>
      <w:lvlJc w:val="left"/>
      <w:pPr>
        <w:ind w:left="7856" w:hanging="212"/>
      </w:pPr>
      <w:rPr>
        <w:rFonts w:hint="default"/>
        <w:lang w:val="zh-CN" w:eastAsia="zh-CN" w:bidi="zh-CN"/>
      </w:rPr>
    </w:lvl>
    <w:lvl w:ilvl="8" w:tentative="0">
      <w:start w:val="0"/>
      <w:numFmt w:val="bullet"/>
      <w:lvlText w:val="•"/>
      <w:lvlJc w:val="left"/>
      <w:pPr>
        <w:ind w:left="8852" w:hanging="212"/>
      </w:pPr>
      <w:rPr>
        <w:rFonts w:hint="default"/>
        <w:lang w:val="zh-CN" w:eastAsia="zh-CN" w:bidi="zh-CN"/>
      </w:rPr>
    </w:lvl>
  </w:abstractNum>
  <w:abstractNum w:abstractNumId="1">
    <w:nsid w:val="BABDE735"/>
    <w:multiLevelType w:val="multilevel"/>
    <w:tmpl w:val="BABDE735"/>
    <w:lvl w:ilvl="0" w:tentative="0">
      <w:start w:val="6"/>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E0E6754"/>
    <w:multiLevelType w:val="singleLevel"/>
    <w:tmpl w:val="CE0E6754"/>
    <w:lvl w:ilvl="0" w:tentative="0">
      <w:start w:val="1"/>
      <w:numFmt w:val="decimal"/>
      <w:suff w:val="nothing"/>
      <w:lvlText w:val="%1、"/>
      <w:lvlJc w:val="left"/>
    </w:lvl>
  </w:abstractNum>
  <w:abstractNum w:abstractNumId="3">
    <w:nsid w:val="CF092B84"/>
    <w:multiLevelType w:val="multilevel"/>
    <w:tmpl w:val="CF092B84"/>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931"/>
        </w:tabs>
        <w:ind w:left="1418" w:hanging="567"/>
      </w:pPr>
      <w:rPr>
        <w:rFonts w:hint="eastAsia"/>
      </w:rPr>
    </w:lvl>
    <w:lvl w:ilvl="3" w:tentative="0">
      <w:start w:val="1"/>
      <w:numFmt w:val="decimal"/>
      <w:pStyle w:val="205"/>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CF8A8DF1"/>
    <w:multiLevelType w:val="singleLevel"/>
    <w:tmpl w:val="CF8A8DF1"/>
    <w:lvl w:ilvl="0" w:tentative="0">
      <w:start w:val="1"/>
      <w:numFmt w:val="decimal"/>
      <w:suff w:val="nothing"/>
      <w:lvlText w:val="%1、"/>
      <w:lvlJc w:val="left"/>
    </w:lvl>
  </w:abstractNum>
  <w:abstractNum w:abstractNumId="5">
    <w:nsid w:val="F51DC5AB"/>
    <w:multiLevelType w:val="singleLevel"/>
    <w:tmpl w:val="F51DC5AB"/>
    <w:lvl w:ilvl="0" w:tentative="0">
      <w:start w:val="1"/>
      <w:numFmt w:val="decimal"/>
      <w:suff w:val="nothing"/>
      <w:lvlText w:val="（%1）"/>
      <w:lvlJc w:val="left"/>
    </w:lvl>
  </w:abstractNum>
  <w:abstractNum w:abstractNumId="6">
    <w:nsid w:val="0053208E"/>
    <w:multiLevelType w:val="multilevel"/>
    <w:tmpl w:val="0053208E"/>
    <w:lvl w:ilvl="0" w:tentative="0">
      <w:start w:val="1"/>
      <w:numFmt w:val="decimal"/>
      <w:lvlText w:val="%1."/>
      <w:lvlJc w:val="left"/>
      <w:pPr>
        <w:tabs>
          <w:tab w:val="left" w:pos="425"/>
        </w:tabs>
        <w:ind w:left="425" w:hanging="425"/>
      </w:pPr>
    </w:lvl>
    <w:lvl w:ilvl="1" w:tentative="0">
      <w:start w:val="1"/>
      <w:numFmt w:val="decimal"/>
      <w:pStyle w:val="203"/>
      <w:lvlText w:val="%1.%2."/>
      <w:lvlJc w:val="left"/>
      <w:pPr>
        <w:tabs>
          <w:tab w:val="left" w:pos="0"/>
        </w:tabs>
        <w:ind w:left="0" w:firstLine="0"/>
      </w:pPr>
      <w:rPr>
        <w:rFonts w:hint="default"/>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0"/>
        </w:tabs>
        <w:ind w:left="0" w:firstLine="0"/>
      </w:pPr>
      <w:rPr>
        <w:rFonts w:hint="default" w:ascii="宋体" w:hAnsi="宋体" w:eastAsia="宋体" w:cs="宋体"/>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7">
    <w:nsid w:val="0F4CB219"/>
    <w:multiLevelType w:val="singleLevel"/>
    <w:tmpl w:val="0F4CB219"/>
    <w:lvl w:ilvl="0" w:tentative="0">
      <w:start w:val="3"/>
      <w:numFmt w:val="chineseCounting"/>
      <w:suff w:val="nothing"/>
      <w:lvlText w:val="%1、"/>
      <w:lvlJc w:val="left"/>
      <w:rPr>
        <w:rFonts w:hint="eastAsia"/>
      </w:rPr>
    </w:lvl>
  </w:abstractNum>
  <w:abstractNum w:abstractNumId="8">
    <w:nsid w:val="1F3CA14C"/>
    <w:multiLevelType w:val="singleLevel"/>
    <w:tmpl w:val="1F3CA14C"/>
    <w:lvl w:ilvl="0" w:tentative="0">
      <w:start w:val="1"/>
      <w:numFmt w:val="decimal"/>
      <w:suff w:val="nothing"/>
      <w:lvlText w:val="%1、"/>
      <w:lvlJc w:val="left"/>
    </w:lvl>
  </w:abstractNum>
  <w:abstractNum w:abstractNumId="9">
    <w:nsid w:val="2C402E5B"/>
    <w:multiLevelType w:val="multilevel"/>
    <w:tmpl w:val="2C402E5B"/>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36BF8A3"/>
    <w:multiLevelType w:val="singleLevel"/>
    <w:tmpl w:val="536BF8A3"/>
    <w:lvl w:ilvl="0" w:tentative="0">
      <w:start w:val="1"/>
      <w:numFmt w:val="decimal"/>
      <w:suff w:val="nothing"/>
      <w:lvlText w:val="%1、"/>
      <w:lvlJc w:val="left"/>
    </w:lvl>
  </w:abstractNum>
  <w:num w:numId="1">
    <w:abstractNumId w:val="6"/>
  </w:num>
  <w:num w:numId="2">
    <w:abstractNumId w:val="3"/>
  </w:num>
  <w:num w:numId="3">
    <w:abstractNumId w:val="9"/>
  </w:num>
  <w:num w:numId="4">
    <w:abstractNumId w:val="5"/>
  </w:num>
  <w:num w:numId="5">
    <w:abstractNumId w:val="2"/>
  </w:num>
  <w:num w:numId="6">
    <w:abstractNumId w:val="8"/>
  </w:num>
  <w:num w:numId="7">
    <w:abstractNumId w:val="10"/>
  </w:num>
  <w:num w:numId="8">
    <w:abstractNumId w:val="4"/>
  </w:num>
  <w:num w:numId="9">
    <w:abstractNumId w:val="7"/>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27035"/>
    <w:rsid w:val="01396E1E"/>
    <w:rsid w:val="01910A08"/>
    <w:rsid w:val="031E5E95"/>
    <w:rsid w:val="03E017D2"/>
    <w:rsid w:val="04277401"/>
    <w:rsid w:val="05776166"/>
    <w:rsid w:val="081465CD"/>
    <w:rsid w:val="0817778D"/>
    <w:rsid w:val="089B216C"/>
    <w:rsid w:val="098858B6"/>
    <w:rsid w:val="09DE7E5F"/>
    <w:rsid w:val="0AF91141"/>
    <w:rsid w:val="0B50723E"/>
    <w:rsid w:val="0C085D6A"/>
    <w:rsid w:val="0CF2780A"/>
    <w:rsid w:val="0D091D9A"/>
    <w:rsid w:val="0DA10224"/>
    <w:rsid w:val="0EF34AB0"/>
    <w:rsid w:val="0F7475AE"/>
    <w:rsid w:val="10D73F5D"/>
    <w:rsid w:val="11F34DC7"/>
    <w:rsid w:val="12D93FBD"/>
    <w:rsid w:val="13975121"/>
    <w:rsid w:val="13AC32B4"/>
    <w:rsid w:val="14397409"/>
    <w:rsid w:val="143A4F2F"/>
    <w:rsid w:val="14787805"/>
    <w:rsid w:val="165C73DE"/>
    <w:rsid w:val="18890233"/>
    <w:rsid w:val="19BD0194"/>
    <w:rsid w:val="1B18764C"/>
    <w:rsid w:val="1B356450"/>
    <w:rsid w:val="1C042CFE"/>
    <w:rsid w:val="1C632B49"/>
    <w:rsid w:val="211508B6"/>
    <w:rsid w:val="2181419D"/>
    <w:rsid w:val="21A47E8B"/>
    <w:rsid w:val="221C2118"/>
    <w:rsid w:val="229F5341"/>
    <w:rsid w:val="23E34C9B"/>
    <w:rsid w:val="2423153B"/>
    <w:rsid w:val="24D82326"/>
    <w:rsid w:val="28A8200F"/>
    <w:rsid w:val="29F80D74"/>
    <w:rsid w:val="2A0239A1"/>
    <w:rsid w:val="2A2141B2"/>
    <w:rsid w:val="2B006133"/>
    <w:rsid w:val="2B764647"/>
    <w:rsid w:val="2B844556"/>
    <w:rsid w:val="2B942D1F"/>
    <w:rsid w:val="2BC37160"/>
    <w:rsid w:val="2BC97C98"/>
    <w:rsid w:val="2E224612"/>
    <w:rsid w:val="2F2B74F6"/>
    <w:rsid w:val="31156B5B"/>
    <w:rsid w:val="31CA5AFA"/>
    <w:rsid w:val="31E87920"/>
    <w:rsid w:val="33154745"/>
    <w:rsid w:val="33197253"/>
    <w:rsid w:val="33896EE1"/>
    <w:rsid w:val="341B3FDD"/>
    <w:rsid w:val="341D7D55"/>
    <w:rsid w:val="343A0036"/>
    <w:rsid w:val="34434707"/>
    <w:rsid w:val="34E76749"/>
    <w:rsid w:val="357339A5"/>
    <w:rsid w:val="359C2EFC"/>
    <w:rsid w:val="36FB1F52"/>
    <w:rsid w:val="38A263A6"/>
    <w:rsid w:val="38D330D8"/>
    <w:rsid w:val="3942200C"/>
    <w:rsid w:val="3B11613A"/>
    <w:rsid w:val="3B5D79C6"/>
    <w:rsid w:val="3BCD02B3"/>
    <w:rsid w:val="3D840E45"/>
    <w:rsid w:val="3E193F16"/>
    <w:rsid w:val="3E3A1FCA"/>
    <w:rsid w:val="3E6D3687"/>
    <w:rsid w:val="3E7C1B1C"/>
    <w:rsid w:val="3F3C566A"/>
    <w:rsid w:val="3F6045C7"/>
    <w:rsid w:val="4105404B"/>
    <w:rsid w:val="410D73A4"/>
    <w:rsid w:val="432033BE"/>
    <w:rsid w:val="43456A2A"/>
    <w:rsid w:val="437D697B"/>
    <w:rsid w:val="438970F8"/>
    <w:rsid w:val="44F248E6"/>
    <w:rsid w:val="44F3065E"/>
    <w:rsid w:val="45682DFA"/>
    <w:rsid w:val="46156C4A"/>
    <w:rsid w:val="462F3918"/>
    <w:rsid w:val="46F663C7"/>
    <w:rsid w:val="478C7274"/>
    <w:rsid w:val="481827E8"/>
    <w:rsid w:val="4AEC1DD8"/>
    <w:rsid w:val="4B481704"/>
    <w:rsid w:val="4C1635B0"/>
    <w:rsid w:val="4D155616"/>
    <w:rsid w:val="4D8207D1"/>
    <w:rsid w:val="4DC95567"/>
    <w:rsid w:val="4ED137BE"/>
    <w:rsid w:val="4FA52B0B"/>
    <w:rsid w:val="511B6F73"/>
    <w:rsid w:val="51570E40"/>
    <w:rsid w:val="51A76B98"/>
    <w:rsid w:val="51DD06CC"/>
    <w:rsid w:val="5264494A"/>
    <w:rsid w:val="52F60580"/>
    <w:rsid w:val="54D77655"/>
    <w:rsid w:val="577B69BD"/>
    <w:rsid w:val="5A292701"/>
    <w:rsid w:val="5AC24903"/>
    <w:rsid w:val="5B4377F2"/>
    <w:rsid w:val="5B484E08"/>
    <w:rsid w:val="5B5F7A7D"/>
    <w:rsid w:val="5BB95E08"/>
    <w:rsid w:val="5D467A6D"/>
    <w:rsid w:val="5E1A0EFA"/>
    <w:rsid w:val="5E391FA9"/>
    <w:rsid w:val="5FD517CA"/>
    <w:rsid w:val="603E74DE"/>
    <w:rsid w:val="606F72DB"/>
    <w:rsid w:val="60F11A9E"/>
    <w:rsid w:val="617D1968"/>
    <w:rsid w:val="61EA4E6B"/>
    <w:rsid w:val="6271733B"/>
    <w:rsid w:val="628D1982"/>
    <w:rsid w:val="634C3904"/>
    <w:rsid w:val="63934D50"/>
    <w:rsid w:val="63A1155A"/>
    <w:rsid w:val="6524505E"/>
    <w:rsid w:val="654165DC"/>
    <w:rsid w:val="66990C0E"/>
    <w:rsid w:val="669F7765"/>
    <w:rsid w:val="675F3C06"/>
    <w:rsid w:val="67B839E0"/>
    <w:rsid w:val="680472F2"/>
    <w:rsid w:val="69011258"/>
    <w:rsid w:val="69DF102E"/>
    <w:rsid w:val="6A582B8E"/>
    <w:rsid w:val="6A5F3F1C"/>
    <w:rsid w:val="6AEB57B0"/>
    <w:rsid w:val="6B453112"/>
    <w:rsid w:val="6D7777CF"/>
    <w:rsid w:val="6DAF0D17"/>
    <w:rsid w:val="6E0077C5"/>
    <w:rsid w:val="6E7A488E"/>
    <w:rsid w:val="6F182142"/>
    <w:rsid w:val="6FEA4F48"/>
    <w:rsid w:val="71022949"/>
    <w:rsid w:val="729F75AC"/>
    <w:rsid w:val="72C45265"/>
    <w:rsid w:val="72E95458"/>
    <w:rsid w:val="730B2E93"/>
    <w:rsid w:val="73C137FF"/>
    <w:rsid w:val="74153036"/>
    <w:rsid w:val="74E72035"/>
    <w:rsid w:val="75630B78"/>
    <w:rsid w:val="7B256ECC"/>
    <w:rsid w:val="7BC2255D"/>
    <w:rsid w:val="7C016BE2"/>
    <w:rsid w:val="7C1D5BE5"/>
    <w:rsid w:val="7C2858FA"/>
    <w:rsid w:val="7C292277"/>
    <w:rsid w:val="7CFF1427"/>
    <w:rsid w:val="7DC205F3"/>
    <w:rsid w:val="7E665422"/>
    <w:rsid w:val="7E9C0E44"/>
    <w:rsid w:val="7EC30AC6"/>
    <w:rsid w:val="7FB9729D"/>
    <w:rsid w:val="7FC44AF6"/>
    <w:rsid w:val="7FF5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99" w:name="HTML Keyboard"/>
    <w:lsdException w:uiPriority="99" w:name="HTML Preformatted"/>
    <w:lsdException w:uiPriority="99" w:name="HTML Sample"/>
    <w:lsdException w:uiPriority="99"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160" w:line="278" w:lineRule="auto"/>
    </w:pPr>
    <w:rPr>
      <w:rFonts w:hint="default" w:ascii="宋体" w:hAnsi="宋体" w:eastAsia="宋体" w:cs="宋体"/>
      <w:sz w:val="22"/>
      <w:szCs w:val="22"/>
      <w:lang w:val="zh-CN" w:eastAsia="zh-CN" w:bidi="zh-CN"/>
    </w:rPr>
  </w:style>
  <w:style w:type="paragraph" w:styleId="2">
    <w:name w:val="heading 1"/>
    <w:basedOn w:val="1"/>
    <w:next w:val="1"/>
    <w:qFormat/>
    <w:uiPriority w:val="1"/>
    <w:pPr>
      <w:spacing w:before="20"/>
      <w:ind w:left="6" w:right="21"/>
      <w:jc w:val="center"/>
      <w:outlineLvl w:val="0"/>
    </w:pPr>
    <w:rPr>
      <w:b/>
      <w:bCs/>
      <w:sz w:val="36"/>
      <w:szCs w:val="36"/>
    </w:rPr>
  </w:style>
  <w:style w:type="paragraph" w:styleId="3">
    <w:name w:val="heading 2"/>
    <w:basedOn w:val="1"/>
    <w:next w:val="1"/>
    <w:qFormat/>
    <w:uiPriority w:val="0"/>
    <w:pPr>
      <w:keepNext/>
      <w:keepLines/>
      <w:spacing w:before="260" w:after="260" w:line="413" w:lineRule="auto"/>
      <w:jc w:val="both"/>
      <w:outlineLvl w:val="1"/>
    </w:pPr>
    <w:rPr>
      <w:rFonts w:ascii="Arial" w:hAnsi="Arial" w:eastAsia="黑体" w:cs="Times New Roman"/>
      <w:b/>
      <w:bCs/>
      <w:sz w:val="32"/>
      <w:szCs w:val="32"/>
      <w:lang w:val="en-US" w:bidi="ar-SA"/>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120" w:after="120"/>
      <w:jc w:val="both"/>
      <w:outlineLvl w:val="3"/>
    </w:pPr>
    <w:rPr>
      <w:rFonts w:ascii="Arial" w:hAnsi="Arial" w:eastAsia="黑体" w:cs="Times New Roman"/>
      <w:b/>
      <w:sz w:val="28"/>
      <w:szCs w:val="20"/>
      <w:lang w:val="en-US" w:bidi="ar-SA"/>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qFormat/>
    <w:uiPriority w:val="0"/>
    <w:pPr>
      <w:widowControl w:val="0"/>
      <w:spacing w:after="160" w:line="278" w:lineRule="auto"/>
      <w:ind w:firstLine="420"/>
      <w:jc w:val="both"/>
    </w:pPr>
    <w:rPr>
      <w:rFonts w:hint="default" w:ascii="Times New Roman" w:hAnsi="Times New Roman" w:eastAsia="宋体" w:cs="Times New Roman"/>
      <w:sz w:val="21"/>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style>
  <w:style w:type="paragraph" w:styleId="15">
    <w:name w:val="Body Text"/>
    <w:basedOn w:val="1"/>
    <w:qFormat/>
    <w:uiPriority w:val="1"/>
    <w:rPr>
      <w:sz w:val="21"/>
      <w:szCs w:val="21"/>
    </w:rPr>
  </w:style>
  <w:style w:type="paragraph" w:styleId="16">
    <w:name w:val="Body Text Indent"/>
    <w:basedOn w:val="1"/>
    <w:next w:val="17"/>
    <w:qFormat/>
    <w:uiPriority w:val="0"/>
    <w:pPr>
      <w:spacing w:after="120"/>
      <w:ind w:left="200"/>
    </w:pPr>
    <w:rPr>
      <w:rFonts w:eastAsia="Calibri"/>
      <w:sz w:val="20"/>
      <w:szCs w:val="20"/>
    </w:r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26"/>
    <w:qFormat/>
    <w:uiPriority w:val="0"/>
    <w:rPr>
      <w:rFonts w:hAnsi="Courier New"/>
      <w:sz w:val="24"/>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next w:val="1"/>
    <w:qFormat/>
    <w:uiPriority w:val="0"/>
    <w:pPr>
      <w:spacing w:line="400" w:lineRule="exact"/>
      <w:ind w:firstLine="480"/>
    </w:pPr>
    <w:rPr>
      <w:sz w:val="24"/>
    </w:rPr>
  </w:style>
  <w:style w:type="paragraph" w:styleId="23">
    <w:name w:val="endnote text"/>
    <w:basedOn w:val="1"/>
    <w:link w:val="197"/>
    <w:semiHidden/>
    <w:unhideWhenUsed/>
    <w:qFormat/>
    <w:uiPriority w:val="99"/>
    <w:pPr>
      <w:spacing w:after="0" w:line="240" w:lineRule="auto"/>
    </w:pPr>
    <w:rPr>
      <w:sz w:val="20"/>
    </w:rPr>
  </w:style>
  <w:style w:type="paragraph" w:styleId="24">
    <w:name w:val="Balloon Text"/>
    <w:basedOn w:val="1"/>
    <w:link w:val="235"/>
    <w:qFormat/>
    <w:uiPriority w:val="0"/>
    <w:pPr>
      <w:spacing w:after="0" w:line="240" w:lineRule="auto"/>
    </w:pPr>
    <w:rPr>
      <w:sz w:val="18"/>
      <w:szCs w:val="18"/>
    </w:rPr>
  </w:style>
  <w:style w:type="paragraph" w:styleId="25">
    <w:name w:val="footer"/>
    <w:basedOn w:val="1"/>
    <w:link w:val="227"/>
    <w:qFormat/>
    <w:uiPriority w:val="0"/>
    <w:pPr>
      <w:tabs>
        <w:tab w:val="center" w:pos="4153"/>
        <w:tab w:val="right" w:pos="8306"/>
      </w:tabs>
    </w:pPr>
    <w:rPr>
      <w:sz w:val="18"/>
    </w:rPr>
  </w:style>
  <w:style w:type="paragraph" w:styleId="2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7">
    <w:name w:val="toc 1"/>
    <w:basedOn w:val="1"/>
    <w:next w:val="1"/>
    <w:qFormat/>
    <w:uiPriority w:val="1"/>
    <w:pPr>
      <w:spacing w:before="43"/>
      <w:ind w:right="781"/>
      <w:jc w:val="right"/>
    </w:pPr>
    <w:rPr>
      <w:sz w:val="21"/>
      <w:szCs w:val="21"/>
    </w:r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3"/>
    <w:qFormat/>
    <w:uiPriority w:val="11"/>
    <w:pPr>
      <w:spacing w:before="200" w:after="200"/>
    </w:pPr>
    <w:rPr>
      <w:sz w:val="24"/>
      <w:szCs w:val="24"/>
    </w:rPr>
  </w:style>
  <w:style w:type="paragraph" w:styleId="30">
    <w:name w:val="footnote text"/>
    <w:basedOn w:val="1"/>
    <w:link w:val="196"/>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qFormat/>
    <w:uiPriority w:val="0"/>
    <w:pPr>
      <w:ind w:left="42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0"/>
    <w:rPr>
      <w:rFonts w:cs="Times New Roman"/>
      <w:sz w:val="24"/>
      <w:lang w:val="en-US" w:bidi="ar-SA"/>
    </w:rPr>
  </w:style>
  <w:style w:type="paragraph" w:styleId="36">
    <w:name w:val="Title"/>
    <w:basedOn w:val="1"/>
    <w:next w:val="1"/>
    <w:qFormat/>
    <w:uiPriority w:val="0"/>
    <w:pPr>
      <w:widowControl/>
      <w:spacing w:line="420" w:lineRule="exact"/>
      <w:jc w:val="center"/>
    </w:pPr>
    <w:rPr>
      <w:rFonts w:ascii="Times New Roman" w:hAnsi="Times New Roman" w:eastAsia="黑体" w:cs="Times New Roman"/>
      <w:b/>
      <w:sz w:val="28"/>
      <w:szCs w:val="20"/>
      <w:lang w:val="en-GB" w:bidi="ar-SA"/>
    </w:rPr>
  </w:style>
  <w:style w:type="paragraph" w:styleId="37">
    <w:name w:val="Body Text First Indent"/>
    <w:basedOn w:val="15"/>
    <w:unhideWhenUsed/>
    <w:qFormat/>
    <w:uiPriority w:val="0"/>
    <w:pPr>
      <w:ind w:firstLine="420"/>
    </w:pPr>
  </w:style>
  <w:style w:type="paragraph" w:styleId="38">
    <w:name w:val="Body Text First Indent 2"/>
    <w:basedOn w:val="16"/>
    <w:next w:val="1"/>
    <w:qFormat/>
    <w:uiPriority w:val="99"/>
    <w:pPr>
      <w:ind w:firstLine="420"/>
    </w:pPr>
  </w:style>
  <w:style w:type="table" w:styleId="40">
    <w:name w:val="Table Grid"/>
    <w:basedOn w:val="3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FollowedHyperlink"/>
    <w:basedOn w:val="41"/>
    <w:qFormat/>
    <w:uiPriority w:val="0"/>
    <w:rPr>
      <w:color w:val="000000"/>
      <w:u w:val="none"/>
    </w:rPr>
  </w:style>
  <w:style w:type="character" w:styleId="45">
    <w:name w:val="Emphasis"/>
    <w:basedOn w:val="41"/>
    <w:qFormat/>
    <w:uiPriority w:val="0"/>
    <w:rPr>
      <w:color w:val="CC0000"/>
    </w:rPr>
  </w:style>
  <w:style w:type="character" w:styleId="46">
    <w:name w:val="HTML Definition"/>
    <w:basedOn w:val="41"/>
    <w:qFormat/>
    <w:uiPriority w:val="0"/>
  </w:style>
  <w:style w:type="character" w:styleId="47">
    <w:name w:val="HTML Variable"/>
    <w:basedOn w:val="41"/>
    <w:qFormat/>
    <w:uiPriority w:val="0"/>
  </w:style>
  <w:style w:type="character" w:styleId="48">
    <w:name w:val="Hyperlink"/>
    <w:basedOn w:val="41"/>
    <w:qFormat/>
    <w:uiPriority w:val="0"/>
    <w:rPr>
      <w:color w:val="000000"/>
      <w:u w:val="none"/>
    </w:rPr>
  </w:style>
  <w:style w:type="character" w:styleId="49">
    <w:name w:val="HTML Code"/>
    <w:basedOn w:val="41"/>
    <w:qFormat/>
    <w:uiPriority w:val="0"/>
    <w:rPr>
      <w:rFonts w:ascii="Courier New" w:hAnsi="Courier New"/>
      <w:sz w:val="20"/>
    </w:rPr>
  </w:style>
  <w:style w:type="character" w:styleId="50">
    <w:name w:val="HTML Cite"/>
    <w:basedOn w:val="41"/>
    <w:qFormat/>
    <w:uiPriority w:val="0"/>
    <w:rPr>
      <w:color w:val="008000"/>
    </w:rPr>
  </w:style>
  <w:style w:type="character" w:styleId="51">
    <w:name w:val="footnote reference"/>
    <w:basedOn w:val="41"/>
    <w:unhideWhenUsed/>
    <w:qFormat/>
    <w:uiPriority w:val="99"/>
    <w:rPr>
      <w:vertAlign w:val="superscript"/>
    </w:rPr>
  </w:style>
  <w:style w:type="character" w:customStyle="1" w:styleId="52">
    <w:name w:val="Heading 1 Char"/>
    <w:basedOn w:val="41"/>
    <w:qFormat/>
    <w:uiPriority w:val="9"/>
    <w:rPr>
      <w:rFonts w:ascii="Arial" w:hAnsi="Arial" w:eastAsia="Arial" w:cs="Arial"/>
      <w:sz w:val="40"/>
      <w:szCs w:val="40"/>
    </w:rPr>
  </w:style>
  <w:style w:type="character" w:customStyle="1" w:styleId="53">
    <w:name w:val="Heading 2 Char"/>
    <w:basedOn w:val="41"/>
    <w:qFormat/>
    <w:uiPriority w:val="9"/>
    <w:rPr>
      <w:rFonts w:ascii="Arial" w:hAnsi="Arial" w:eastAsia="Arial" w:cs="Arial"/>
      <w:sz w:val="34"/>
    </w:rPr>
  </w:style>
  <w:style w:type="character" w:customStyle="1" w:styleId="54">
    <w:name w:val="Heading 3 Char"/>
    <w:basedOn w:val="41"/>
    <w:link w:val="4"/>
    <w:qFormat/>
    <w:uiPriority w:val="9"/>
    <w:rPr>
      <w:rFonts w:ascii="Arial" w:hAnsi="Arial" w:eastAsia="Arial" w:cs="Arial"/>
      <w:sz w:val="30"/>
      <w:szCs w:val="30"/>
    </w:rPr>
  </w:style>
  <w:style w:type="character" w:customStyle="1" w:styleId="55">
    <w:name w:val="Heading 4 Char"/>
    <w:basedOn w:val="41"/>
    <w:qFormat/>
    <w:uiPriority w:val="9"/>
    <w:rPr>
      <w:rFonts w:ascii="Arial" w:hAnsi="Arial" w:eastAsia="Arial" w:cs="Arial"/>
      <w:b/>
      <w:bCs/>
      <w:sz w:val="26"/>
      <w:szCs w:val="26"/>
    </w:rPr>
  </w:style>
  <w:style w:type="character" w:customStyle="1" w:styleId="56">
    <w:name w:val="Heading 5 Char"/>
    <w:basedOn w:val="41"/>
    <w:link w:val="6"/>
    <w:qFormat/>
    <w:uiPriority w:val="9"/>
    <w:rPr>
      <w:rFonts w:ascii="Arial" w:hAnsi="Arial" w:eastAsia="Arial" w:cs="Arial"/>
      <w:b/>
      <w:bCs/>
      <w:sz w:val="24"/>
      <w:szCs w:val="24"/>
    </w:rPr>
  </w:style>
  <w:style w:type="character" w:customStyle="1" w:styleId="57">
    <w:name w:val="Heading 6 Char"/>
    <w:basedOn w:val="41"/>
    <w:link w:val="7"/>
    <w:qFormat/>
    <w:uiPriority w:val="9"/>
    <w:rPr>
      <w:rFonts w:ascii="Arial" w:hAnsi="Arial" w:eastAsia="Arial" w:cs="Arial"/>
      <w:b/>
      <w:bCs/>
      <w:sz w:val="22"/>
      <w:szCs w:val="22"/>
    </w:rPr>
  </w:style>
  <w:style w:type="character" w:customStyle="1" w:styleId="58">
    <w:name w:val="Heading 7 Char"/>
    <w:basedOn w:val="41"/>
    <w:link w:val="8"/>
    <w:qFormat/>
    <w:uiPriority w:val="9"/>
    <w:rPr>
      <w:rFonts w:ascii="Arial" w:hAnsi="Arial" w:eastAsia="Arial" w:cs="Arial"/>
      <w:b/>
      <w:bCs/>
      <w:i/>
      <w:iCs/>
      <w:sz w:val="22"/>
      <w:szCs w:val="22"/>
    </w:rPr>
  </w:style>
  <w:style w:type="character" w:customStyle="1" w:styleId="59">
    <w:name w:val="Heading 8 Char"/>
    <w:basedOn w:val="41"/>
    <w:link w:val="9"/>
    <w:qFormat/>
    <w:uiPriority w:val="9"/>
    <w:rPr>
      <w:rFonts w:ascii="Arial" w:hAnsi="Arial" w:eastAsia="Arial" w:cs="Arial"/>
      <w:i/>
      <w:iCs/>
      <w:sz w:val="22"/>
      <w:szCs w:val="22"/>
    </w:rPr>
  </w:style>
  <w:style w:type="character" w:customStyle="1" w:styleId="60">
    <w:name w:val="Heading 9 Char"/>
    <w:basedOn w:val="41"/>
    <w:link w:val="10"/>
    <w:qFormat/>
    <w:uiPriority w:val="9"/>
    <w:rPr>
      <w:rFonts w:ascii="Arial" w:hAnsi="Arial" w:eastAsia="Arial" w:cs="Arial"/>
      <w:i/>
      <w:iCs/>
      <w:sz w:val="21"/>
      <w:szCs w:val="21"/>
    </w:rPr>
  </w:style>
  <w:style w:type="paragraph" w:styleId="61">
    <w:name w:val="No Spacing"/>
    <w:qFormat/>
    <w:uiPriority w:val="1"/>
    <w:pPr>
      <w:spacing w:before="0" w:after="0" w:line="240" w:lineRule="auto"/>
    </w:pPr>
    <w:rPr>
      <w:rFonts w:hint="default" w:ascii="Times New Roman" w:hAnsi="Times New Roman" w:eastAsia="宋体" w:cs="Times New Roman"/>
    </w:rPr>
  </w:style>
  <w:style w:type="character" w:customStyle="1" w:styleId="62">
    <w:name w:val="Title Char"/>
    <w:basedOn w:val="41"/>
    <w:qFormat/>
    <w:uiPriority w:val="10"/>
    <w:rPr>
      <w:sz w:val="48"/>
      <w:szCs w:val="48"/>
    </w:rPr>
  </w:style>
  <w:style w:type="character" w:customStyle="1" w:styleId="63">
    <w:name w:val="Subtitle Char"/>
    <w:basedOn w:val="41"/>
    <w:link w:val="29"/>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basedOn w:val="41"/>
    <w:qFormat/>
    <w:uiPriority w:val="99"/>
  </w:style>
  <w:style w:type="character" w:customStyle="1" w:styleId="69">
    <w:name w:val="Footer Char"/>
    <w:basedOn w:val="41"/>
    <w:qFormat/>
    <w:uiPriority w:val="99"/>
  </w:style>
  <w:style w:type="character" w:customStyle="1" w:styleId="70">
    <w:name w:val="Caption Char"/>
    <w:qFormat/>
    <w:uiPriority w:val="99"/>
  </w:style>
  <w:style w:type="table" w:customStyle="1" w:styleId="71">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3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3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3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3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3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3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3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3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3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3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3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3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3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3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3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3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3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3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3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3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3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3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3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3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3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3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3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3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3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3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3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3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3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3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3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3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3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3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3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3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3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3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3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3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3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3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3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3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3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3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3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3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3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3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3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3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3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3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3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3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3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3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3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3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3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3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3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3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30"/>
    <w:qFormat/>
    <w:uiPriority w:val="99"/>
    <w:rPr>
      <w:sz w:val="18"/>
    </w:rPr>
  </w:style>
  <w:style w:type="character" w:customStyle="1" w:styleId="197">
    <w:name w:val="Endnote Text Char"/>
    <w:link w:val="23"/>
    <w:qFormat/>
    <w:uiPriority w:val="99"/>
    <w:rPr>
      <w:sz w:val="20"/>
    </w:rPr>
  </w:style>
  <w:style w:type="paragraph" w:customStyle="1" w:styleId="198">
    <w:name w:val="TOC Heading"/>
    <w:unhideWhenUsed/>
    <w:qFormat/>
    <w:uiPriority w:val="39"/>
    <w:rPr>
      <w:rFonts w:hint="default" w:ascii="Times New Roman" w:hAnsi="Times New Roman" w:eastAsia="宋体" w:cs="Times New Roman"/>
    </w:rPr>
  </w:style>
  <w:style w:type="paragraph" w:customStyle="1" w:styleId="199">
    <w:name w:val="列表段落1"/>
    <w:basedOn w:val="1"/>
    <w:next w:val="1"/>
    <w:qFormat/>
    <w:uiPriority w:val="99"/>
    <w:pPr>
      <w:ind w:left="878" w:firstLine="420"/>
    </w:pPr>
  </w:style>
  <w:style w:type="table" w:customStyle="1" w:styleId="200">
    <w:name w:val="Table Normal"/>
    <w:unhideWhenUsed/>
    <w:qFormat/>
    <w:uiPriority w:val="2"/>
    <w:tblPr>
      <w:tblCellMar>
        <w:top w:w="0" w:type="dxa"/>
        <w:left w:w="0" w:type="dxa"/>
        <w:bottom w:w="0" w:type="dxa"/>
        <w:right w:w="0" w:type="dxa"/>
      </w:tblCellMar>
    </w:tblPr>
  </w:style>
  <w:style w:type="paragraph" w:customStyle="1" w:styleId="201">
    <w:name w:val="Table Paragraph"/>
    <w:basedOn w:val="1"/>
    <w:qFormat/>
    <w:uiPriority w:val="1"/>
  </w:style>
  <w:style w:type="paragraph" w:customStyle="1" w:styleId="202">
    <w:name w:val="p0"/>
    <w:basedOn w:val="1"/>
    <w:qFormat/>
    <w:uiPriority w:val="0"/>
    <w:pPr>
      <w:widowControl/>
    </w:pPr>
    <w:rPr>
      <w:szCs w:val="21"/>
    </w:rPr>
  </w:style>
  <w:style w:type="paragraph" w:customStyle="1" w:styleId="203">
    <w:name w:val="！标题2"/>
    <w:next w:val="204"/>
    <w:qFormat/>
    <w:uiPriority w:val="0"/>
    <w:pPr>
      <w:keepNext/>
      <w:keepLines/>
      <w:widowControl w:val="0"/>
      <w:numPr>
        <w:ilvl w:val="1"/>
        <w:numId w:val="1"/>
      </w:numPr>
      <w:tabs>
        <w:tab w:val="left" w:pos="360"/>
        <w:tab w:val="left" w:pos="1560"/>
      </w:tabs>
      <w:spacing w:before="260" w:after="260" w:line="413" w:lineRule="auto"/>
      <w:jc w:val="both"/>
      <w:outlineLvl w:val="1"/>
    </w:pPr>
    <w:rPr>
      <w:rFonts w:hint="default" w:ascii="Arial" w:hAnsi="Arial" w:eastAsia="黑体" w:cs="Times New Roman"/>
      <w:b/>
      <w:bCs/>
      <w:sz w:val="32"/>
      <w:szCs w:val="32"/>
      <w:lang w:val="en-US" w:eastAsia="zh-CN" w:bidi="ar-SA"/>
    </w:rPr>
  </w:style>
  <w:style w:type="paragraph" w:customStyle="1" w:styleId="204">
    <w:name w:val="！正文"/>
    <w:qFormat/>
    <w:uiPriority w:val="0"/>
    <w:pPr>
      <w:widowControl w:val="0"/>
      <w:spacing w:after="160" w:line="360" w:lineRule="auto"/>
      <w:ind w:firstLine="420"/>
      <w:jc w:val="both"/>
    </w:pPr>
    <w:rPr>
      <w:rFonts w:hint="default" w:ascii="Times New Roman" w:hAnsi="Times New Roman" w:eastAsia="宋体" w:cs="Times New Roman"/>
      <w:sz w:val="18"/>
      <w:lang w:val="en-US" w:eastAsia="zh-CN" w:bidi="ar-SA"/>
    </w:rPr>
  </w:style>
  <w:style w:type="paragraph" w:customStyle="1" w:styleId="205">
    <w:name w:val="！标题4"/>
    <w:next w:val="1"/>
    <w:qFormat/>
    <w:uiPriority w:val="0"/>
    <w:pPr>
      <w:keepNext/>
      <w:keepLines/>
      <w:widowControl w:val="0"/>
      <w:numPr>
        <w:ilvl w:val="3"/>
        <w:numId w:val="2"/>
      </w:numPr>
      <w:tabs>
        <w:tab w:val="left" w:pos="0"/>
        <w:tab w:val="left" w:pos="360"/>
        <w:tab w:val="left" w:pos="1135"/>
      </w:tabs>
      <w:spacing w:before="280" w:after="290" w:line="372" w:lineRule="auto"/>
      <w:ind w:left="0"/>
      <w:jc w:val="both"/>
      <w:outlineLvl w:val="3"/>
    </w:pPr>
    <w:rPr>
      <w:rFonts w:hint="default" w:ascii="Arial" w:hAnsi="Arial" w:eastAsia="黑体" w:cs="Times New Roman"/>
      <w:sz w:val="28"/>
      <w:szCs w:val="28"/>
      <w:lang w:val="en-US" w:eastAsia="zh-CN" w:bidi="ar-SA"/>
    </w:rPr>
  </w:style>
  <w:style w:type="paragraph" w:customStyle="1" w:styleId="206">
    <w:name w:val="列出段落11"/>
    <w:basedOn w:val="1"/>
    <w:qFormat/>
    <w:uiPriority w:val="0"/>
    <w:pPr>
      <w:ind w:firstLine="420"/>
    </w:pPr>
    <w:rPr>
      <w:rFonts w:ascii="Calibri" w:hAnsi="Calibri"/>
    </w:rPr>
  </w:style>
  <w:style w:type="paragraph" w:customStyle="1" w:styleId="207">
    <w:name w:val="表"/>
    <w:basedOn w:val="1"/>
    <w:qFormat/>
    <w:uiPriority w:val="0"/>
    <w:pPr>
      <w:jc w:val="center"/>
    </w:pPr>
    <w:rPr>
      <w:color w:val="000000"/>
      <w:sz w:val="21"/>
      <w:szCs w:val="21"/>
    </w:rPr>
  </w:style>
  <w:style w:type="paragraph" w:customStyle="1" w:styleId="208">
    <w:name w:val="表格"/>
    <w:basedOn w:val="1"/>
    <w:next w:val="1"/>
    <w:qFormat/>
    <w:uiPriority w:val="0"/>
    <w:pPr>
      <w:jc w:val="center"/>
    </w:pPr>
    <w:rPr>
      <w:rFonts w:eastAsiaTheme="minorEastAsia" w:cstheme="minorBidi"/>
      <w:sz w:val="21"/>
    </w:rPr>
  </w:style>
  <w:style w:type="character" w:customStyle="1" w:styleId="209">
    <w:name w:val="hover18"/>
    <w:basedOn w:val="41"/>
    <w:qFormat/>
    <w:uiPriority w:val="0"/>
  </w:style>
  <w:style w:type="character" w:customStyle="1" w:styleId="210">
    <w:name w:val="hover19"/>
    <w:basedOn w:val="41"/>
    <w:qFormat/>
    <w:uiPriority w:val="0"/>
    <w:rPr>
      <w:color w:val="315EFB"/>
    </w:rPr>
  </w:style>
  <w:style w:type="character" w:customStyle="1" w:styleId="211">
    <w:name w:val="c-icon28"/>
    <w:basedOn w:val="41"/>
    <w:qFormat/>
    <w:uiPriority w:val="0"/>
  </w:style>
  <w:style w:type="character" w:customStyle="1" w:styleId="212">
    <w:name w:val="15"/>
    <w:basedOn w:val="41"/>
    <w:qFormat/>
    <w:uiPriority w:val="0"/>
    <w:rPr>
      <w:rFonts w:hint="default" w:ascii="Times New Roman" w:hAnsi="Times New Roman" w:cs="Times New Roman"/>
    </w:rPr>
  </w:style>
  <w:style w:type="paragraph" w:customStyle="1" w:styleId="213">
    <w:name w:val="Body text|1"/>
    <w:basedOn w:val="1"/>
    <w:qFormat/>
    <w:uiPriority w:val="0"/>
    <w:pPr>
      <w:spacing w:line="377" w:lineRule="auto"/>
      <w:ind w:firstLine="400"/>
    </w:pPr>
    <w:rPr>
      <w:lang w:val="zh-TW" w:eastAsia="zh-TW" w:bidi="zh-TW"/>
    </w:rPr>
  </w:style>
  <w:style w:type="paragraph" w:customStyle="1" w:styleId="214">
    <w:name w:val="Body text|2"/>
    <w:basedOn w:val="1"/>
    <w:qFormat/>
    <w:uiPriority w:val="0"/>
    <w:pPr>
      <w:ind w:hanging="1580"/>
    </w:pPr>
    <w:rPr>
      <w:sz w:val="17"/>
      <w:szCs w:val="17"/>
      <w:lang w:val="zh-TW" w:eastAsia="zh-TW" w:bidi="zh-TW"/>
    </w:rPr>
  </w:style>
  <w:style w:type="paragraph" w:customStyle="1" w:styleId="215">
    <w:name w:val="p"/>
    <w:basedOn w:val="1"/>
    <w:qFormat/>
    <w:uiPriority w:val="0"/>
    <w:pPr>
      <w:widowControl/>
      <w:spacing w:before="100" w:beforeAutospacing="1" w:after="100" w:afterAutospacing="1"/>
    </w:pPr>
    <w:rPr>
      <w:sz w:val="24"/>
      <w:szCs w:val="24"/>
      <w:lang w:val="en-US" w:bidi="ar-SA"/>
    </w:rPr>
  </w:style>
  <w:style w:type="paragraph" w:customStyle="1" w:styleId="216">
    <w:name w:val="表格文本"/>
    <w:basedOn w:val="1"/>
    <w:qFormat/>
    <w:uiPriority w:val="0"/>
    <w:pPr>
      <w:jc w:val="center"/>
    </w:pPr>
    <w:rPr>
      <w:bCs/>
      <w:szCs w:val="21"/>
    </w:rPr>
  </w:style>
  <w:style w:type="paragraph" w:customStyle="1" w:styleId="217">
    <w:name w:val="正文（文本）"/>
    <w:qFormat/>
    <w:uiPriority w:val="0"/>
    <w:pPr>
      <w:widowControl w:val="0"/>
      <w:spacing w:after="160" w:line="360" w:lineRule="auto"/>
      <w:jc w:val="center"/>
    </w:pPr>
    <w:rPr>
      <w:rFonts w:hint="default" w:ascii="Calibri" w:hAnsi="宋体" w:eastAsia="宋体" w:cs="Times New Roman"/>
      <w:sz w:val="28"/>
      <w:szCs w:val="28"/>
      <w:lang w:val="en-US" w:eastAsia="zh-CN" w:bidi="ar-SA"/>
    </w:rPr>
  </w:style>
  <w:style w:type="paragraph" w:customStyle="1" w:styleId="218">
    <w:name w:val="首行缩进"/>
    <w:basedOn w:val="1"/>
    <w:qFormat/>
    <w:uiPriority w:val="0"/>
    <w:pPr>
      <w:ind w:firstLine="480"/>
    </w:pPr>
    <w:rPr>
      <w:rFonts w:ascii="Calibri" w:hAnsi="Calibri" w:cs="Times New Roman"/>
      <w:szCs w:val="20"/>
    </w:rPr>
  </w:style>
  <w:style w:type="character" w:customStyle="1" w:styleId="219">
    <w:name w:val="font91"/>
    <w:basedOn w:val="41"/>
    <w:qFormat/>
    <w:uiPriority w:val="0"/>
    <w:rPr>
      <w:rFonts w:hint="eastAsia" w:ascii="宋体" w:hAnsi="宋体" w:eastAsia="宋体" w:cs="宋体"/>
      <w:color w:val="000000"/>
      <w:sz w:val="20"/>
      <w:szCs w:val="20"/>
      <w:u w:val="none"/>
    </w:rPr>
  </w:style>
  <w:style w:type="character" w:customStyle="1" w:styleId="220">
    <w:name w:val="font112"/>
    <w:basedOn w:val="41"/>
    <w:qFormat/>
    <w:uiPriority w:val="0"/>
    <w:rPr>
      <w:rFonts w:ascii="Calibri" w:hAnsi="Calibri" w:cs="Calibri"/>
      <w:color w:val="000000"/>
      <w:sz w:val="20"/>
      <w:szCs w:val="20"/>
      <w:u w:val="none"/>
    </w:rPr>
  </w:style>
  <w:style w:type="character" w:customStyle="1" w:styleId="221">
    <w:name w:val="font61"/>
    <w:basedOn w:val="41"/>
    <w:qFormat/>
    <w:uiPriority w:val="0"/>
    <w:rPr>
      <w:rFonts w:hint="eastAsia" w:ascii="宋体" w:hAnsi="宋体" w:eastAsia="宋体" w:cs="宋体"/>
      <w:color w:val="000000"/>
      <w:sz w:val="20"/>
      <w:szCs w:val="20"/>
      <w:u w:val="none"/>
    </w:rPr>
  </w:style>
  <w:style w:type="character" w:customStyle="1" w:styleId="222">
    <w:name w:val="font101"/>
    <w:basedOn w:val="41"/>
    <w:qFormat/>
    <w:uiPriority w:val="0"/>
    <w:rPr>
      <w:rFonts w:ascii="Calibri" w:hAnsi="Calibri" w:cs="Calibri"/>
      <w:color w:val="000000"/>
      <w:sz w:val="20"/>
      <w:szCs w:val="20"/>
      <w:u w:val="none"/>
    </w:rPr>
  </w:style>
  <w:style w:type="paragraph" w:customStyle="1" w:styleId="223">
    <w:name w:val="WPSOffice手动目录 1"/>
    <w:qFormat/>
    <w:uiPriority w:val="0"/>
    <w:pPr>
      <w:spacing w:after="160" w:line="278" w:lineRule="auto"/>
    </w:pPr>
    <w:rPr>
      <w:rFonts w:hint="default" w:ascii="Times New Roman" w:hAnsi="Times New Roman" w:eastAsia="宋体" w:cs="Times New Roman"/>
      <w:lang w:val="en-US" w:eastAsia="zh-CN" w:bidi="ar-SA"/>
    </w:rPr>
  </w:style>
  <w:style w:type="paragraph" w:customStyle="1" w:styleId="224">
    <w:name w:val="WPSOffice手动目录 2"/>
    <w:qFormat/>
    <w:uiPriority w:val="0"/>
    <w:pPr>
      <w:spacing w:after="160" w:line="278" w:lineRule="auto"/>
      <w:ind w:left="200"/>
    </w:pPr>
    <w:rPr>
      <w:rFonts w:hint="default" w:ascii="Times New Roman" w:hAnsi="Times New Roman" w:eastAsia="宋体" w:cs="Times New Roman"/>
      <w:lang w:val="en-US" w:eastAsia="zh-CN" w:bidi="ar-SA"/>
    </w:rPr>
  </w:style>
  <w:style w:type="paragraph" w:customStyle="1" w:styleId="225">
    <w:name w:val="WPSOffice手动目录 3"/>
    <w:qFormat/>
    <w:uiPriority w:val="0"/>
    <w:pPr>
      <w:spacing w:after="160" w:line="278" w:lineRule="auto"/>
      <w:ind w:left="400"/>
    </w:pPr>
    <w:rPr>
      <w:rFonts w:hint="default" w:ascii="Times New Roman" w:hAnsi="Times New Roman" w:eastAsia="宋体" w:cs="Times New Roman"/>
      <w:lang w:val="en-US" w:eastAsia="zh-CN" w:bidi="ar-SA"/>
    </w:rPr>
  </w:style>
  <w:style w:type="character" w:customStyle="1" w:styleId="226">
    <w:name w:val="纯文本 字符"/>
    <w:link w:val="20"/>
    <w:qFormat/>
    <w:uiPriority w:val="0"/>
    <w:rPr>
      <w:rFonts w:ascii="宋体" w:hAnsi="Courier New" w:cs="宋体"/>
      <w:sz w:val="24"/>
      <w:szCs w:val="22"/>
      <w:lang w:val="zh-CN" w:bidi="zh-CN"/>
    </w:rPr>
  </w:style>
  <w:style w:type="character" w:customStyle="1" w:styleId="227">
    <w:name w:val="页脚 字符"/>
    <w:link w:val="25"/>
    <w:qFormat/>
    <w:uiPriority w:val="0"/>
    <w:rPr>
      <w:rFonts w:ascii="宋体" w:hAnsi="宋体" w:cs="宋体"/>
      <w:sz w:val="18"/>
      <w:szCs w:val="22"/>
      <w:lang w:val="zh-CN" w:bidi="zh-CN"/>
    </w:rPr>
  </w:style>
  <w:style w:type="paragraph" w:styleId="228">
    <w:name w:val="List Paragraph"/>
    <w:basedOn w:val="1"/>
    <w:next w:val="1"/>
    <w:qFormat/>
    <w:uiPriority w:val="0"/>
    <w:pPr>
      <w:spacing w:after="0" w:line="240" w:lineRule="auto"/>
      <w:ind w:firstLine="420"/>
      <w:jc w:val="both"/>
    </w:pPr>
    <w:rPr>
      <w:rFonts w:ascii="Calibri" w:hAnsi="Calibri" w:cs="Times New Roman"/>
      <w:sz w:val="21"/>
      <w:szCs w:val="24"/>
      <w:lang w:val="en-US" w:bidi="ar-SA"/>
    </w:rPr>
  </w:style>
  <w:style w:type="character" w:customStyle="1" w:styleId="229">
    <w:name w:val="NormalCharacter"/>
    <w:semiHidden/>
    <w:qFormat/>
    <w:uiPriority w:val="0"/>
  </w:style>
  <w:style w:type="paragraph" w:customStyle="1" w:styleId="230">
    <w:name w:val="Heading31"/>
    <w:basedOn w:val="1"/>
    <w:next w:val="1"/>
    <w:qFormat/>
    <w:uiPriority w:val="0"/>
    <w:rPr>
      <w:rFonts w:ascii="黑体" w:hAnsi="黑体" w:eastAsia="黑体"/>
      <w:sz w:val="32"/>
      <w:szCs w:val="32"/>
    </w:rPr>
  </w:style>
  <w:style w:type="character" w:customStyle="1" w:styleId="231">
    <w:name w:val="NormalCharacter1"/>
    <w:qFormat/>
    <w:uiPriority w:val="0"/>
    <w:rPr>
      <w:rFonts w:ascii="宋体" w:hAnsi="宋体" w:eastAsia="宋体" w:cs="宋体"/>
      <w:sz w:val="22"/>
      <w:szCs w:val="22"/>
      <w:lang w:val="zh-CN" w:eastAsia="zh-CN" w:bidi="zh-CN"/>
    </w:rPr>
  </w:style>
  <w:style w:type="paragraph" w:customStyle="1" w:styleId="232">
    <w:name w:val="UserStyle_0"/>
    <w:basedOn w:val="1"/>
    <w:qFormat/>
    <w:uiPriority w:val="0"/>
    <w:pPr>
      <w:spacing w:line="360" w:lineRule="auto"/>
      <w:ind w:firstLine="480"/>
    </w:pPr>
    <w:rPr>
      <w:rFonts w:eastAsia="Calibri"/>
      <w:sz w:val="24"/>
      <w:szCs w:val="24"/>
      <w:lang w:val="en-US" w:eastAsia="en-US" w:bidi="ar-SA"/>
    </w:rPr>
  </w:style>
  <w:style w:type="paragraph" w:customStyle="1" w:styleId="233">
    <w:name w:val="标题 21"/>
    <w:basedOn w:val="1"/>
    <w:next w:val="1"/>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customStyle="1" w:styleId="234">
    <w:name w:val="列出段落1"/>
    <w:basedOn w:val="1"/>
    <w:qFormat/>
    <w:uiPriority w:val="0"/>
    <w:pPr>
      <w:ind w:firstLine="420"/>
      <w:jc w:val="both"/>
    </w:pPr>
    <w:rPr>
      <w:rFonts w:ascii="Calibri" w:hAnsi="Calibri"/>
      <w:color w:val="000000"/>
      <w:szCs w:val="20"/>
    </w:rPr>
  </w:style>
  <w:style w:type="character" w:customStyle="1" w:styleId="235">
    <w:name w:val="批注框文本 字符"/>
    <w:basedOn w:val="41"/>
    <w:link w:val="24"/>
    <w:qFormat/>
    <w:uiPriority w:val="0"/>
    <w:rPr>
      <w:rFonts w:ascii="宋体" w:hAnsi="宋体" w:cs="宋体"/>
      <w:sz w:val="18"/>
      <w:szCs w:val="18"/>
      <w:lang w:val="zh-CN" w:bidi="zh-CN"/>
    </w:rPr>
  </w:style>
  <w:style w:type="paragraph" w:customStyle="1" w:styleId="236">
    <w:name w:val="修订1"/>
    <w:hidden/>
    <w:unhideWhenUsed/>
    <w:qFormat/>
    <w:uiPriority w:val="99"/>
    <w:rPr>
      <w:rFonts w:hint="default" w:ascii="宋体" w:hAnsi="宋体" w:eastAsia="宋体" w:cs="宋体"/>
      <w:sz w:val="22"/>
      <w:szCs w:val="22"/>
      <w:lang w:val="zh-CN" w:eastAsia="zh-CN" w:bidi="zh-CN"/>
    </w:rPr>
  </w:style>
  <w:style w:type="paragraph" w:customStyle="1" w:styleId="237">
    <w:name w:val="样式5"/>
    <w:basedOn w:val="1"/>
    <w:qFormat/>
    <w:uiPriority w:val="0"/>
    <w:pPr>
      <w:widowControl/>
      <w:spacing w:line="360" w:lineRule="auto"/>
      <w:ind w:firstLine="482"/>
    </w:pPr>
    <w:rPr>
      <w:rFonts w:ascii="仿宋" w:hAnsi="仿宋" w:eastAsia="仿宋" w:cs="仿宋"/>
      <w:sz w:val="24"/>
      <w:szCs w:val="21"/>
    </w:rPr>
  </w:style>
  <w:style w:type="paragraph" w:customStyle="1" w:styleId="238">
    <w:name w:val="索引 41"/>
    <w:basedOn w:val="1"/>
    <w:next w:val="1"/>
    <w:qFormat/>
    <w:uiPriority w:val="0"/>
    <w:pPr>
      <w:ind w:left="1260"/>
    </w:pPr>
    <w:rPr>
      <w:rFonts w:ascii="Calibri" w:hAnsi="Calibri" w:eastAsia="Calibri"/>
      <w:sz w:val="20"/>
    </w:rPr>
  </w:style>
  <w:style w:type="table" w:customStyle="1" w:styleId="239">
    <w:name w:val="Table Normal_0"/>
    <w:qFormat/>
    <w:uiPriority w:val="0"/>
    <w:tblPr>
      <w:tblCellMar>
        <w:top w:w="0" w:type="dxa"/>
        <w:left w:w="0" w:type="dxa"/>
        <w:bottom w:w="0" w:type="dxa"/>
        <w:right w:w="0" w:type="dxa"/>
      </w:tblCellMar>
    </w:tblPr>
  </w:style>
  <w:style w:type="character" w:customStyle="1" w:styleId="240">
    <w:name w:val="默认段落字体11"/>
    <w:unhideWhenUsed/>
    <w:qFormat/>
    <w:uiPriority w:val="1"/>
    <w:rPr>
      <w:rFonts w:ascii="宋体" w:hAnsi="宋体" w:eastAsia="宋体" w:cs="宋体"/>
      <w:sz w:val="22"/>
      <w:szCs w:val="22"/>
      <w:lang w:val="zh-CN" w:eastAsia="zh-CN" w:bidi="zh-CN"/>
    </w:rPr>
  </w:style>
  <w:style w:type="paragraph" w:customStyle="1" w:styleId="241">
    <w:name w:val="Table Text"/>
    <w:basedOn w:val="1"/>
    <w:semiHidden/>
    <w:qFormat/>
    <w:uiPriority w:val="0"/>
    <w:rPr>
      <w:rFonts w:ascii="仿宋" w:hAnsi="仿宋" w:eastAsia="仿宋" w:cs="仿宋"/>
      <w:sz w:val="12"/>
      <w:szCs w:val="12"/>
      <w:lang w:val="en-US" w:eastAsia="en-US" w:bidi="ar-SA"/>
    </w:rPr>
  </w:style>
  <w:style w:type="paragraph" w:customStyle="1" w:styleId="242">
    <w:name w:val="批注文字1"/>
    <w:basedOn w:val="1"/>
    <w:semiHidden/>
    <w:qFormat/>
    <w:uiPriority w:val="0"/>
    <w:rPr>
      <w:sz w:val="20"/>
    </w:rPr>
  </w:style>
  <w:style w:type="character" w:customStyle="1" w:styleId="243">
    <w:name w:val="font41"/>
    <w:basedOn w:val="41"/>
    <w:qFormat/>
    <w:uiPriority w:val="0"/>
    <w:rPr>
      <w:rFonts w:hint="eastAsia" w:ascii="仿宋" w:hAnsi="仿宋" w:eastAsia="仿宋" w:cs="仿宋"/>
      <w:color w:val="000000"/>
      <w:sz w:val="22"/>
      <w:szCs w:val="22"/>
      <w:u w:val="none"/>
    </w:rPr>
  </w:style>
  <w:style w:type="character" w:customStyle="1" w:styleId="244">
    <w:name w:val="font51"/>
    <w:basedOn w:val="4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8e2f7e22-70f2-4e1f-8e53-47bdb527c06c</errorID>
      <errorWord>（</errorWord>
      <group>L1_Punc</group>
      <groupName>标点问题</groupName>
      <ability>L2_Punc</ability>
      <abilityName>标点符号检查</abilityName>
      <candidateList/>
      <explain>同一形式括号套用。</explain>
      <paraID>792A5049</paraID>
      <start>82</start>
      <end>83</end>
      <status>ignored</status>
      <modifiedWord/>
      <trackRevisions>false</trackRevisions>
    </reviewItem>
    <reviewItem>
      <errorID>c050348a-2aee-4bef-94a4-8466181c7afc</errorID>
      <errorWord>）</errorWord>
      <group>L1_Punc</group>
      <groupName>标点问题</groupName>
      <ability>L2_Punc</ability>
      <abilityName>标点符号检查</abilityName>
      <candidateList/>
      <explain>同一形式括号套用。</explain>
      <paraID>792A5049</paraID>
      <start>95</start>
      <end>96</end>
      <status>ignored</status>
      <modifiedWord/>
      <trackRevisions>false</trackRevisions>
    </reviewItem>
    <reviewItem>
      <errorID>5f2d5f6c-9d7f-492b-9ccf-e1bb0756839e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792A5146</paraID>
      <start>0</start>
      <end>1</end>
      <status>ignored</status>
      <modifiedWord/>
      <trackRevisions>false</trackRevisions>
    </reviewItem>
    <reviewItem>
      <errorID>6a03dfa7-6b5a-4ee5-ac7d-434db5271a4f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23FDCD1E</paraID>
      <start>128</start>
      <end>129</end>
      <status>ignored</status>
      <modifiedWord/>
      <trackRevisions>false</trackRevisions>
    </reviewItem>
    <reviewItem>
      <errorID>f5969b57-e348-4d49-8880-e8a0f4d8c7c2</errorID>
      <errorWord>（</errorWord>
      <group>L1_Punc</group>
      <groupName>标点问题</groupName>
      <ability>L2_Punc</ability>
      <abilityName>标点符号检查</abilityName>
      <candidateList/>
      <explain>同一形式括号套用。</explain>
      <paraID>5FDE2EC4</paraID>
      <start>83</start>
      <end>84</end>
      <status>ignored</status>
      <modifiedWord/>
      <trackRevisions>false</trackRevisions>
    </reviewItem>
    <reviewItem>
      <errorID>d32e5db0-eb0d-447a-904d-854ba3700f94</errorID>
      <errorWord>）</errorWord>
      <group>L1_Punc</group>
      <groupName>标点问题</groupName>
      <ability>L2_Punc</ability>
      <abilityName>标点符号检查</abilityName>
      <candidateList/>
      <explain>同一形式括号套用。</explain>
      <paraID>5FDE2EC4</paraID>
      <start>86</start>
      <end>87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4028D0-2D64-4CF7-BAA6-361F2114527D}">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22661</Words>
  <Characters>23861</Characters>
  <TotalTime>37</TotalTime>
  <ScaleCrop>false</ScaleCrop>
  <LinksUpToDate>false</LinksUpToDate>
  <CharactersWithSpaces>24838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2025-07-03T02:35:00Z</dcterms:created>
  <dc:creator>nanjingshi</dc:creator>
  <cp:lastModifiedBy>Zxy211156</cp:lastModifiedBy>
  <cp:lastPrinted>2026-06-30T01:13:00Z</cp:lastPrinted>
  <dcterms:modified xsi:type="dcterms:W3CDTF">2026-07-29T02:28:45Z</dcterms:modified>
  <dc:title>招 标 文 件</dc:title>
  <cp:revision>237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2052-12.1.0.26895</vt:lpwstr>
  </property>
  <property fmtid="{D5CDD505-2E9C-101B-9397-08002B2CF9AE}" pid="6" name="ICV">
    <vt:lpwstr>C0A3199FE32E44079C82EA14616EDADC_13</vt:lpwstr>
  </property>
  <property fmtid="{D5CDD505-2E9C-101B-9397-08002B2CF9AE}" pid="7" name="KSOTemplateDocerSaveRecord">
    <vt:lpwstr>eyJoZGlkIjoiNmMyZDY5YmZjYWQxOThkYWU3Njk1NGExZDE0YzUyNTUiLCJ1c2VySWQiOiIxMzE5NTc3NDE2In0=</vt:lpwstr>
  </property>
</Properties>
</file>