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spacing w:line="360" w:lineRule="auto"/>
        <w:rPr>
          <w:rFonts w:hint="eastAsia"/>
          <w:sz w:val="60"/>
          <w:szCs w:val="60"/>
        </w:rPr>
      </w:pPr>
      <w:r>
        <w:rPr>
          <w:rFonts w:hint="eastAsia"/>
          <w:sz w:val="60"/>
          <w:szCs w:val="60"/>
        </w:rPr>
      </w:r>
      <w:r/>
    </w:p>
    <w:p>
      <w:pPr>
        <w:pStyle w:val="1028"/>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pStyle w:val="1028"/>
        <w:jc w:val="center"/>
        <w:rPr>
          <w:b/>
          <w:bCs/>
          <w:sz w:val="60"/>
          <w:szCs w:val="60"/>
        </w:rPr>
      </w:pPr>
      <w:r>
        <w:rPr>
          <w:b/>
          <w:bCs/>
          <w:sz w:val="60"/>
          <w:szCs w:val="60"/>
        </w:rPr>
      </w:r>
      <w:r/>
    </w:p>
    <w:p>
      <w:pPr>
        <w:pStyle w:val="1028"/>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pStyle w:val="1028"/>
        <w:jc w:val="center"/>
        <w:rPr>
          <w:b/>
          <w:bCs/>
          <w:sz w:val="60"/>
          <w:szCs w:val="60"/>
        </w:rPr>
      </w:pPr>
      <w:r>
        <w:rPr>
          <w:b/>
          <w:bCs/>
          <w:sz w:val="60"/>
          <w:szCs w:val="60"/>
        </w:rPr>
      </w:r>
      <w:r/>
    </w:p>
    <w:p>
      <w:pPr>
        <w:pStyle w:val="1028"/>
        <w:jc w:val="center"/>
        <w:rPr>
          <w:b/>
          <w:bCs/>
          <w:sz w:val="60"/>
          <w:szCs w:val="60"/>
        </w:rPr>
      </w:pPr>
      <w:r>
        <w:rPr>
          <w:b/>
          <w:bCs/>
          <w:sz w:val="60"/>
          <w:szCs w:val="60"/>
        </w:rPr>
      </w:r>
      <w:r/>
    </w:p>
    <w:p>
      <w:pPr>
        <w:pStyle w:val="1028"/>
        <w:jc w:val="center"/>
        <w:rPr>
          <w:b/>
          <w:bCs/>
          <w:sz w:val="60"/>
          <w:szCs w:val="60"/>
        </w:rPr>
      </w:pPr>
      <w:r>
        <w:rPr>
          <w:b/>
          <w:bCs/>
          <w:sz w:val="60"/>
          <w:szCs w:val="60"/>
        </w:rPr>
      </w:r>
      <w:r/>
    </w:p>
    <w:p>
      <w:pPr>
        <w:pStyle w:val="1109"/>
        <w:rPr>
          <w:color w:val="000000"/>
        </w:rPr>
      </w:pPr>
      <w:r>
        <w:rPr>
          <w:color w:val="000000"/>
        </w:rPr>
      </w:r>
      <w:r/>
    </w:p>
    <w:p>
      <w:pPr>
        <w:pStyle w:val="1028"/>
        <w:jc w:val="center"/>
        <w:spacing w:line="360" w:lineRule="auto"/>
        <w:rPr>
          <w:sz w:val="60"/>
          <w:szCs w:val="60"/>
        </w:rPr>
      </w:pPr>
      <w:r>
        <w:rPr>
          <w:sz w:val="60"/>
          <w:szCs w:val="60"/>
        </w:rPr>
      </w:r>
      <w:r/>
    </w:p>
    <w:p>
      <w:pPr>
        <w:pStyle w:val="1028"/>
        <w:ind w:left="2622" w:hanging="1690"/>
        <w:jc w:val="left"/>
        <w:spacing w:line="360" w:lineRule="auto"/>
        <w:tabs>
          <w:tab w:val="left" w:pos="3240" w:leader="none"/>
          <w:tab w:val="left" w:pos="3420" w:leader="none"/>
        </w:tabs>
        <w:rPr>
          <w:bCs/>
          <w:sz w:val="32"/>
          <w:szCs w:val="32"/>
        </w:rPr>
      </w:pPr>
      <w:r>
        <w:rPr>
          <w:bCs/>
          <w:sz w:val="32"/>
          <w:szCs w:val="32"/>
        </w:rPr>
        <w:t xml:space="preserve">项目名称：</w:t>
      </w:r>
      <w:r>
        <w:rPr>
          <w:rFonts w:hint="eastAsia"/>
          <w:bCs/>
          <w:sz w:val="32"/>
          <w:szCs w:val="32"/>
        </w:rPr>
        <w:t xml:space="preserve">金坛第一人民医院全院医疗设备托管服务项目</w:t>
      </w:r>
      <w:r>
        <w:rPr>
          <w:bCs/>
          <w:sz w:val="32"/>
          <w:szCs w:val="32"/>
        </w:rPr>
      </w:r>
      <w:r/>
    </w:p>
    <w:p>
      <w:pPr>
        <w:pStyle w:val="1028"/>
        <w:ind w:left="2622" w:hanging="1690"/>
        <w:jc w:val="left"/>
        <w:spacing w:line="360" w:lineRule="auto"/>
        <w:tabs>
          <w:tab w:val="left" w:pos="3240" w:leader="none"/>
          <w:tab w:val="left" w:pos="3420" w:leader="none"/>
        </w:tabs>
        <w:rPr>
          <w:rFonts w:ascii="Arial" w:hAnsi="Arial"/>
          <w:b/>
          <w:bCs/>
          <w:sz w:val="28"/>
          <w:szCs w:val="22"/>
        </w:rPr>
      </w:pPr>
      <w:r>
        <w:rPr>
          <w:bCs/>
          <w:sz w:val="32"/>
          <w:szCs w:val="32"/>
        </w:rPr>
        <w:t xml:space="preserve">项目编号：</w:t>
      </w:r>
      <w:r>
        <w:rPr>
          <w:bCs/>
          <w:sz w:val="32"/>
          <w:szCs w:val="32"/>
        </w:rPr>
        <w:t xml:space="preserve">JSZC-320413-ZZNF-G2026-0006</w:t>
      </w:r>
      <w:r>
        <w:rPr>
          <w:rFonts w:ascii="Arial" w:hAnsi="Arial"/>
          <w:b/>
          <w:bCs/>
          <w:sz w:val="28"/>
          <w:szCs w:val="22"/>
        </w:rPr>
      </w:r>
      <w:r/>
    </w:p>
    <w:p>
      <w:pPr>
        <w:pStyle w:val="1028"/>
        <w:ind w:left="2622" w:hanging="1690"/>
        <w:jc w:val="left"/>
        <w:spacing w:line="360" w:lineRule="auto"/>
        <w:tabs>
          <w:tab w:val="left" w:pos="3240" w:leader="none"/>
          <w:tab w:val="left" w:pos="3420" w:leader="none"/>
        </w:tabs>
        <w:rPr>
          <w:bCs/>
          <w:sz w:val="32"/>
          <w:szCs w:val="32"/>
        </w:rPr>
      </w:pPr>
      <w:r>
        <w:rPr>
          <w:bCs/>
          <w:sz w:val="32"/>
          <w:szCs w:val="32"/>
        </w:rPr>
        <w:t xml:space="preserve">采 购 人：</w:t>
      </w:r>
      <w:r>
        <w:rPr>
          <w:rFonts w:hint="eastAsia"/>
          <w:bCs/>
          <w:sz w:val="32"/>
          <w:szCs w:val="32"/>
        </w:rPr>
        <w:t xml:space="preserve">常州市金坛第一人民医院</w:t>
      </w:r>
      <w:r>
        <w:rPr>
          <w:bCs/>
          <w:sz w:val="32"/>
          <w:szCs w:val="32"/>
        </w:rPr>
      </w:r>
      <w:r/>
    </w:p>
    <w:p>
      <w:pPr>
        <w:pStyle w:val="1028"/>
        <w:ind w:left="2622" w:hanging="1690"/>
        <w:jc w:val="left"/>
        <w:spacing w:line="360" w:lineRule="auto"/>
        <w:tabs>
          <w:tab w:val="left" w:pos="3240" w:leader="none"/>
          <w:tab w:val="left" w:pos="3420" w:leader="none"/>
        </w:tabs>
        <w:rPr>
          <w:bCs/>
          <w:sz w:val="32"/>
          <w:szCs w:val="32"/>
        </w:rPr>
      </w:pPr>
      <w:r>
        <w:rPr>
          <w:rFonts w:hint="eastAsia"/>
          <w:bCs/>
          <w:sz w:val="32"/>
          <w:szCs w:val="32"/>
        </w:rPr>
        <w:t xml:space="preserve">采购</w:t>
      </w:r>
      <w:r>
        <w:rPr>
          <w:bCs/>
          <w:sz w:val="32"/>
          <w:szCs w:val="32"/>
        </w:rPr>
        <w:t xml:space="preserve">代理机构：</w:t>
      </w:r>
      <w:bookmarkStart w:id="0" w:name="OLE_LINK14"/>
      <w:r>
        <w:rPr>
          <w:rFonts w:hint="eastAsia" w:ascii="Arial" w:hAnsi="Arial"/>
          <w:b/>
          <w:bCs/>
          <w:sz w:val="28"/>
          <w:szCs w:val="22"/>
        </w:rPr>
        <w:t xml:space="preserve">常州市智泽南福工程招投标咨询有限公司</w:t>
      </w:r>
      <w:bookmarkEnd w:id="0"/>
      <w:r>
        <w:rPr>
          <w:rFonts w:ascii="Arial" w:hAnsi="Arial"/>
          <w:b/>
          <w:bCs/>
          <w:sz w:val="28"/>
          <w:szCs w:val="22"/>
        </w:rPr>
        <w:t xml:space="preserve"> </w:t>
      </w:r>
      <w:r>
        <w:rPr>
          <w:bCs/>
          <w:sz w:val="32"/>
          <w:szCs w:val="32"/>
        </w:rPr>
      </w:r>
      <w:r/>
    </w:p>
    <w:p>
      <w:pPr>
        <w:pStyle w:val="1028"/>
        <w:jc w:val="center"/>
        <w:spacing w:line="360" w:lineRule="auto"/>
        <w:rPr>
          <w:rFonts w:hint="eastAsia"/>
          <w:b/>
          <w:sz w:val="36"/>
          <w:szCs w:val="36"/>
        </w:rPr>
        <w:outlineLvl w:val="0"/>
      </w:pPr>
      <w:r>
        <w:rPr>
          <w:b/>
          <w:bCs/>
          <w:sz w:val="44"/>
        </w:rPr>
        <w:br w:type="page" w:clear="all"/>
      </w:r>
      <w:bookmarkStart w:id="1" w:name="_Toc99301418"/>
      <w:r>
        <w:rPr>
          <w:b/>
          <w:sz w:val="36"/>
          <w:szCs w:val="36"/>
        </w:rPr>
        <w:t xml:space="preserve">目      录</w:t>
      </w:r>
      <w:bookmarkEnd w:id="1"/>
      <w:r>
        <w:rPr>
          <w:rFonts w:hint="eastAsia"/>
          <w:b/>
          <w:sz w:val="36"/>
          <w:szCs w:val="36"/>
        </w:rPr>
      </w:r>
      <w:r/>
    </w:p>
    <w:p>
      <w:pPr>
        <w:pStyle w:val="1081"/>
        <w:spacing w:line="360" w:lineRule="auto"/>
        <w:rPr>
          <w:rFonts w:ascii="Calibri" w:hAnsi="Calibri"/>
          <w:b w:val="0"/>
          <w:sz w:val="21"/>
          <w:szCs w:val="22"/>
        </w:rPr>
      </w:pPr>
      <w:r>
        <w:rPr>
          <w:rFonts w:ascii="Calibri" w:hAnsi="Calibri"/>
          <w:b w:val="0"/>
          <w:sz w:val="21"/>
          <w:szCs w:val="22"/>
        </w:rPr>
      </w:r>
      <w:r/>
    </w:p>
    <w:p>
      <w:pPr>
        <w:pStyle w:val="1081"/>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1028"/>
        <w:rPr>
          <w:rFonts w:hint="eastAsia"/>
        </w:rPr>
      </w:pPr>
      <w:r>
        <w:rPr>
          <w:rFonts w:hint="eastAsia"/>
        </w:rPr>
      </w:r>
      <w:r/>
    </w:p>
    <w:p>
      <w:pPr>
        <w:pStyle w:val="1028"/>
        <w:numPr>
          <w:ilvl w:val="0"/>
          <w:numId w:val="8"/>
        </w:numPr>
        <w:rPr>
          <w:b/>
          <w:bCs/>
          <w:sz w:val="30"/>
          <w:szCs w:val="30"/>
        </w:rPr>
      </w:pPr>
      <w:r>
        <w:rPr>
          <w:rFonts w:hint="eastAsia"/>
          <w:b/>
          <w:bCs/>
          <w:sz w:val="30"/>
          <w:szCs w:val="30"/>
        </w:rPr>
        <w:t xml:space="preserve"> 投标人须知</w:t>
      </w:r>
      <w:r>
        <w:rPr>
          <w:b/>
          <w:bCs/>
          <w:sz w:val="30"/>
          <w:szCs w:val="30"/>
        </w:rPr>
      </w:r>
      <w:r/>
    </w:p>
    <w:p>
      <w:pPr>
        <w:pStyle w:val="1109"/>
        <w:rPr>
          <w:color w:val="000000"/>
        </w:rPr>
      </w:pPr>
      <w:r>
        <w:rPr>
          <w:color w:val="000000"/>
        </w:rPr>
      </w:r>
      <w:r/>
    </w:p>
    <w:p>
      <w:pPr>
        <w:pStyle w:val="1109"/>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1109"/>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109"/>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1109"/>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109"/>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1109"/>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109"/>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1109"/>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1028"/>
        <w:widowControl/>
        <w:rPr>
          <w:b/>
          <w:bCs/>
          <w:sz w:val="30"/>
          <w:szCs w:val="30"/>
        </w:rPr>
      </w:pPr>
      <w:r>
        <w:rPr>
          <w:rFonts w:hint="eastAsia"/>
          <w:b/>
          <w:bCs/>
          <w:sz w:val="30"/>
          <w:szCs w:val="30"/>
        </w:rPr>
        <w:t xml:space="preserve">第七章  投标文件的组成及提交须知</w:t>
      </w:r>
      <w:r>
        <w:rPr>
          <w:b/>
          <w:bCs/>
          <w:sz w:val="30"/>
          <w:szCs w:val="30"/>
        </w:rPr>
      </w:r>
      <w:r/>
    </w:p>
    <w:p>
      <w:pPr>
        <w:pStyle w:val="1109"/>
        <w:rPr>
          <w:color w:val="000000"/>
        </w:rPr>
      </w:pPr>
      <w:r>
        <w:rPr>
          <w:color w:val="000000"/>
        </w:rPr>
      </w:r>
      <w:r/>
    </w:p>
    <w:p>
      <w:pPr>
        <w:pStyle w:val="1109"/>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1109"/>
        <w:spacing w:line="360" w:lineRule="auto"/>
        <w:rPr>
          <w:color w:val="000000"/>
        </w:rPr>
      </w:pPr>
      <w:r>
        <w:rPr>
          <w:color w:val="000000"/>
        </w:rPr>
      </w:r>
      <w:r/>
    </w:p>
    <w:p>
      <w:pPr>
        <w:pStyle w:val="1028"/>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1028"/>
        <w:ind w:firstLine="480"/>
        <w:spacing w:line="360" w:lineRule="auto"/>
        <w:rPr>
          <w:rFonts w:ascii="宋体" w:hAnsi="宋体"/>
          <w:sz w:val="24"/>
        </w:rPr>
      </w:pPr>
      <w:r/>
      <w:bookmarkStart w:id="3" w:name="_Toc28359002"/>
      <w:r/>
      <w:bookmarkStart w:id="4" w:name="_Toc35393621"/>
      <w:r/>
      <w:bookmarkStart w:id="5" w:name="_Toc35393790"/>
      <w:r/>
      <w:bookmarkStart w:id="6" w:name="_Toc28359079"/>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常州市金坛第一人民医院</w:t>
      </w:r>
      <w:r>
        <w:rPr>
          <w:rFonts w:hint="eastAsia" w:ascii="宋体" w:hAnsi="宋体"/>
          <w:sz w:val="24"/>
        </w:rPr>
        <w:t xml:space="preserve">的委托，常州市智泽南福工程招投标咨询有限公司就</w:t>
      </w:r>
      <w:bookmarkStart w:id="9" w:name="OLE_LINK13"/>
      <w:r>
        <w:rPr>
          <w:rFonts w:hint="eastAsia" w:ascii="宋体" w:hAnsi="宋体"/>
          <w:sz w:val="24"/>
          <w:u w:val="single"/>
        </w:rPr>
        <w:t xml:space="preserve">金坛第一人民医院全院医疗设备托管服务项目</w:t>
      </w:r>
      <w:bookmarkEnd w:id="9"/>
      <w:r>
        <w:rPr>
          <w:rFonts w:hint="eastAsia" w:ascii="宋体" w:hAnsi="宋体"/>
          <w:sz w:val="24"/>
        </w:rPr>
        <w:t xml:space="preserve">进行公开招标采购，各潜在投标人可在“苏采云”平台自行免费下载招标文件，并于</w:t>
      </w:r>
      <w:r>
        <w:rPr>
          <w:rFonts w:ascii="宋体" w:hAnsi="宋体"/>
          <w:sz w:val="24"/>
          <w:u w:val="single"/>
        </w:rPr>
        <w:t xml:space="preserve"> </w:t>
      </w:r>
      <w:r>
        <w:rPr>
          <w:rFonts w:hint="eastAsia" w:ascii="宋体" w:hAnsi="宋体"/>
          <w:sz w:val="24"/>
          <w:u w:val="single"/>
        </w:rPr>
        <w:t xml:space="preserve">2026</w:t>
      </w:r>
      <w:r>
        <w:rPr>
          <w:rFonts w:hint="eastAsia" w:ascii="宋体" w:hAnsi="宋体"/>
          <w:bCs/>
          <w:sz w:val="24"/>
          <w:u w:val="single"/>
        </w:rPr>
        <w:t xml:space="preserve">年8月6</w:t>
      </w:r>
      <w:r>
        <w:rPr>
          <w:rFonts w:hint="eastAsia" w:ascii="宋体" w:hAnsi="宋体"/>
          <w:bCs/>
          <w:sz w:val="24"/>
          <w:u w:val="single"/>
        </w:rPr>
        <w:t xml:space="preserve">日14:</w:t>
      </w:r>
      <w:r>
        <w:rPr>
          <w:rFonts w:hint="eastAsia" w:ascii="宋体" w:hAnsi="宋体"/>
          <w:bCs/>
          <w:sz w:val="24"/>
          <w:u w:val="single"/>
        </w:rPr>
        <w:t xml:space="preserve">30</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1030"/>
        <w:ind w:firstLine="482"/>
        <w:jc w:val="left"/>
        <w:spacing w:before="0" w:line="360" w:lineRule="auto"/>
        <w:rPr>
          <w:rFonts w:ascii="Times New Roman" w:hAnsi="Times New Roman" w:eastAsia="宋体"/>
          <w:sz w:val="24"/>
          <w:szCs w:val="24"/>
        </w:rPr>
      </w:pPr>
      <w:r/>
      <w:bookmarkStart w:id="10" w:name="_Hlk233627045"/>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1028"/>
        <w:ind w:firstLine="480"/>
        <w:spacing w:line="360" w:lineRule="auto"/>
        <w:rPr>
          <w:sz w:val="24"/>
        </w:rPr>
      </w:pPr>
      <w:r>
        <w:rPr>
          <w:sz w:val="24"/>
        </w:rPr>
        <w:t xml:space="preserve">1.项目编号：</w:t>
      </w:r>
      <w:r>
        <w:rPr>
          <w:sz w:val="24"/>
        </w:rPr>
        <w:t xml:space="preserve">JSZC-320413-ZZNF-G2026-0006</w:t>
      </w:r>
      <w:r>
        <w:rPr>
          <w:sz w:val="24"/>
        </w:rPr>
      </w:r>
      <w:r/>
    </w:p>
    <w:p>
      <w:pPr>
        <w:pStyle w:val="1028"/>
        <w:ind w:firstLine="480"/>
        <w:spacing w:line="360" w:lineRule="auto"/>
        <w:rPr>
          <w:sz w:val="24"/>
        </w:rPr>
      </w:pPr>
      <w:r>
        <w:rPr>
          <w:sz w:val="24"/>
        </w:rPr>
        <w:t xml:space="preserve">2.项目名称：</w:t>
      </w:r>
      <w:bookmarkEnd w:id="7"/>
      <w:r>
        <w:rPr>
          <w:rFonts w:hint="eastAsia"/>
          <w:sz w:val="24"/>
        </w:rPr>
        <w:t xml:space="preserve">金坛第一人民医院全院医疗设备托管服务项目</w:t>
      </w:r>
      <w:r>
        <w:rPr>
          <w:sz w:val="24"/>
        </w:rPr>
      </w:r>
      <w:r/>
    </w:p>
    <w:p>
      <w:pPr>
        <w:pStyle w:val="1028"/>
        <w:ind w:firstLine="480"/>
        <w:spacing w:line="360" w:lineRule="auto"/>
        <w:rPr>
          <w:rFonts w:hint="eastAsia"/>
          <w:sz w:val="24"/>
        </w:rPr>
      </w:pPr>
      <w:r>
        <w:rPr>
          <w:sz w:val="24"/>
        </w:rPr>
        <w:t xml:space="preserve">3.项目预算金额：</w:t>
      </w:r>
      <w:bookmarkStart w:id="11" w:name="OLE_LINK4"/>
      <w:r>
        <w:rPr>
          <w:rFonts w:hint="eastAsia"/>
          <w:sz w:val="24"/>
        </w:rPr>
        <w:t xml:space="preserve">1900万元（950万/年）</w:t>
      </w:r>
      <w:bookmarkEnd w:id="11"/>
      <w:r>
        <w:rPr>
          <w:rFonts w:hint="eastAsia"/>
          <w:sz w:val="24"/>
        </w:rPr>
        <w:t xml:space="preserve">。</w:t>
      </w:r>
      <w:r/>
    </w:p>
    <w:p>
      <w:pPr>
        <w:pStyle w:val="1028"/>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1900万元（950万/年）。</w:t>
      </w:r>
      <w:r/>
    </w:p>
    <w:p>
      <w:pPr>
        <w:pStyle w:val="1028"/>
        <w:ind w:firstLine="480"/>
        <w:spacing w:line="360" w:lineRule="auto"/>
        <w:rPr>
          <w:sz w:val="24"/>
        </w:rPr>
      </w:pPr>
      <w:r>
        <w:rPr>
          <w:rFonts w:hint="eastAsia"/>
          <w:sz w:val="24"/>
        </w:rPr>
        <w:t xml:space="preserve">5</w:t>
      </w:r>
      <w:r>
        <w:rPr>
          <w:sz w:val="24"/>
        </w:rPr>
        <w:t xml:space="preserve">.采购需求：</w:t>
      </w:r>
      <w:bookmarkStart w:id="12" w:name="OLE_LINK67"/>
      <w:r/>
      <w:bookmarkStart w:id="13" w:name="_Hlk78806779"/>
      <w:r>
        <w:rPr>
          <w:rFonts w:hint="eastAsia"/>
          <w:sz w:val="24"/>
        </w:rPr>
        <w:t xml:space="preserve">本项目为金坛第一人民医院全院医疗设备托管服务，对全院医用设备实施全生命周期管理，</w:t>
      </w:r>
      <w:bookmarkEnd w:id="12"/>
      <w:r>
        <w:rPr>
          <w:rFonts w:hint="eastAsia"/>
          <w:sz w:val="24"/>
        </w:rPr>
        <w:t xml:space="preserve">具体详见采购文件第五章采购需求。</w:t>
      </w:r>
      <w:r>
        <w:rPr>
          <w:sz w:val="24"/>
        </w:rPr>
      </w:r>
      <w:r/>
    </w:p>
    <w:p>
      <w:pPr>
        <w:pStyle w:val="1028"/>
        <w:ind w:firstLine="480"/>
        <w:spacing w:line="360" w:lineRule="auto"/>
        <w:rPr>
          <w:rFonts w:hint="eastAsia"/>
          <w:sz w:val="24"/>
        </w:rPr>
      </w:pPr>
      <w:r/>
      <w:bookmarkEnd w:id="13"/>
      <w:r>
        <w:rPr>
          <w:rFonts w:hint="eastAsia"/>
          <w:sz w:val="24"/>
        </w:rPr>
        <w:t xml:space="preserve">6.服务期限：</w:t>
      </w:r>
      <w:bookmarkStart w:id="14" w:name="OLE_LINK68"/>
      <w:r>
        <w:rPr>
          <w:rFonts w:hint="eastAsia"/>
          <w:sz w:val="24"/>
        </w:rPr>
        <w:t xml:space="preserve">本项目服务期限为2年。协议一年一签，服务期中标人经考核合格后，可续签下一年(周期或轮)合同</w:t>
      </w:r>
      <w:bookmarkEnd w:id="14"/>
      <w:r>
        <w:rPr>
          <w:rFonts w:hint="eastAsia"/>
          <w:sz w:val="24"/>
        </w:rPr>
        <w:t xml:space="preserve">。</w:t>
      </w:r>
      <w:r/>
    </w:p>
    <w:p>
      <w:pPr>
        <w:pStyle w:val="1028"/>
        <w:ind w:firstLine="480"/>
        <w:spacing w:line="360" w:lineRule="auto"/>
        <w:rPr>
          <w:rFonts w:hint="eastAsia"/>
          <w:sz w:val="24"/>
        </w:rPr>
      </w:pPr>
      <w:r>
        <w:rPr>
          <w:rFonts w:hint="eastAsia"/>
          <w:sz w:val="24"/>
        </w:rPr>
        <w:t xml:space="preserve">7</w:t>
      </w:r>
      <w:r>
        <w:rPr>
          <w:sz w:val="24"/>
        </w:rPr>
        <w:t xml:space="preserve">.本项目是否接受联合体投标：否</w:t>
      </w:r>
      <w:r>
        <w:rPr>
          <w:rFonts w:hint="eastAsia"/>
          <w:sz w:val="24"/>
        </w:rPr>
        <w:t xml:space="preserve">。</w:t>
      </w:r>
      <w:r/>
    </w:p>
    <w:p>
      <w:pPr>
        <w:pStyle w:val="1028"/>
        <w:ind w:firstLine="480"/>
        <w:spacing w:line="360" w:lineRule="auto"/>
        <w:rPr>
          <w:rFonts w:hint="eastAsia"/>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1030"/>
        <w:ind w:firstLine="482"/>
        <w:jc w:val="left"/>
        <w:spacing w:before="0" w:line="360" w:lineRule="auto"/>
        <w:rPr>
          <w:rFonts w:ascii="Times New Roman" w:hAnsi="Times New Roman" w:eastAsia="宋体"/>
          <w:sz w:val="24"/>
          <w:szCs w:val="24"/>
        </w:rPr>
      </w:pPr>
      <w:r/>
      <w:bookmarkStart w:id="15" w:name="_Toc35393791"/>
      <w:r/>
      <w:bookmarkStart w:id="16" w:name="_Toc28359080"/>
      <w:r/>
      <w:bookmarkStart w:id="17" w:name="_Toc35393622"/>
      <w:r/>
      <w:bookmarkStart w:id="18" w:name="_Toc28359003"/>
      <w:r>
        <w:rPr>
          <w:rFonts w:ascii="Times New Roman" w:hAnsi="Times New Roman" w:eastAsia="宋体"/>
          <w:sz w:val="24"/>
          <w:szCs w:val="24"/>
        </w:rPr>
        <w:t xml:space="preserve">二、申请人的资格要求</w:t>
      </w:r>
      <w:bookmarkEnd w:id="15"/>
      <w:r/>
      <w:bookmarkEnd w:id="16"/>
      <w:r/>
      <w:bookmarkEnd w:id="17"/>
      <w:r/>
      <w:bookmarkEnd w:id="18"/>
      <w:r>
        <w:rPr>
          <w:rFonts w:ascii="Times New Roman" w:hAnsi="Times New Roman" w:eastAsia="宋体"/>
          <w:sz w:val="24"/>
          <w:szCs w:val="24"/>
        </w:rPr>
        <w:t xml:space="preserve">（须同时满足）</w:t>
      </w:r>
      <w:r/>
    </w:p>
    <w:p>
      <w:pPr>
        <w:pStyle w:val="1028"/>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28"/>
        <w:ind w:firstLine="480"/>
        <w:spacing w:line="360" w:lineRule="auto"/>
        <w:rPr>
          <w:sz w:val="24"/>
        </w:rPr>
      </w:pPr>
      <w:r>
        <w:rPr>
          <w:rFonts w:hint="eastAsia"/>
          <w:sz w:val="24"/>
        </w:rPr>
        <w:t xml:space="preserve">1.1未被“信用中国”网站或“中国政府采购网”网站列入失信被执行人、重大税收违法案件当事人名单、政</w:t>
      </w:r>
      <w:r>
        <w:rPr>
          <w:rFonts w:hint="eastAsia"/>
          <w:sz w:val="24"/>
        </w:rPr>
        <w:t xml:space="preserve">府采购严重失信行为记录名单；</w:t>
      </w:r>
      <w:r>
        <w:rPr>
          <w:sz w:val="24"/>
        </w:rPr>
      </w:r>
      <w:r/>
    </w:p>
    <w:p>
      <w:pPr>
        <w:pStyle w:val="1028"/>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28"/>
        <w:ind w:firstLine="480"/>
        <w:spacing w:line="360" w:lineRule="auto"/>
        <w:rPr>
          <w:sz w:val="24"/>
        </w:rPr>
      </w:pPr>
      <w:r/>
      <w:bookmarkStart w:id="19" w:name="_Toc28359004"/>
      <w:r/>
      <w:bookmarkStart w:id="20" w:name="_Toc28359081"/>
      <w:r>
        <w:rPr>
          <w:sz w:val="24"/>
        </w:rPr>
        <w:t xml:space="preserve">2.落实政府采购政策需满足的资格要求：</w:t>
      </w:r>
      <w:r/>
    </w:p>
    <w:p>
      <w:pPr>
        <w:pStyle w:val="1028"/>
        <w:ind w:firstLine="480"/>
        <w:spacing w:line="360" w:lineRule="auto"/>
        <w:rPr>
          <w:sz w:val="24"/>
        </w:rPr>
      </w:pPr>
      <w:r>
        <w:rPr>
          <w:sz w:val="24"/>
        </w:rPr>
        <w:t xml:space="preserve">2.1 中小企业政策</w:t>
      </w:r>
      <w:r/>
    </w:p>
    <w:p>
      <w:pPr>
        <w:pStyle w:val="1028"/>
        <w:ind w:firstLine="480"/>
        <w:spacing w:line="360" w:lineRule="auto"/>
        <w:rPr>
          <w:sz w:val="24"/>
        </w:rPr>
      </w:pPr>
      <w:r/>
      <w:bookmarkStart w:id="21" w:name="OLE_LINK1"/>
      <w:r>
        <w:rPr>
          <w:rFonts w:hint="eastAsia"/>
          <w:sz w:val="24"/>
        </w:rPr>
        <w:t xml:space="preserve">本项目</w:t>
      </w:r>
      <w:r>
        <w:rPr>
          <w:rFonts w:hint="eastAsia"/>
          <w:sz w:val="24"/>
        </w:rPr>
        <w:t xml:space="preserve">专门面向中小企业</w:t>
      </w:r>
      <w:r>
        <w:rPr>
          <w:rFonts w:hint="eastAsia"/>
          <w:sz w:val="24"/>
        </w:rPr>
        <w:t xml:space="preserve">采购</w:t>
      </w:r>
      <w:r>
        <w:rPr>
          <w:rFonts w:hint="eastAsia"/>
          <w:sz w:val="24"/>
        </w:rPr>
        <w:t xml:space="preserve">，即：提供的服务全部由符合政采要求的中小企业承接。</w:t>
      </w:r>
      <w:r>
        <w:rPr>
          <w:sz w:val="24"/>
        </w:rPr>
      </w:r>
      <w:r/>
    </w:p>
    <w:p>
      <w:pPr>
        <w:pStyle w:val="1028"/>
        <w:ind w:firstLine="480"/>
        <w:spacing w:line="360" w:lineRule="auto"/>
        <w:rPr>
          <w:i/>
          <w:iCs/>
          <w:sz w:val="24"/>
          <w:u w:val="single"/>
        </w:rPr>
      </w:pPr>
      <w:r/>
      <w:bookmarkEnd w:id="10"/>
      <w:r/>
      <w:bookmarkEnd w:id="21"/>
      <w:r>
        <w:rPr>
          <w:sz w:val="24"/>
        </w:rPr>
        <w:t xml:space="preserve">3.本项目的特定资格要求：</w:t>
      </w:r>
      <w:r>
        <w:rPr>
          <w:i/>
          <w:iCs/>
          <w:sz w:val="24"/>
          <w:u w:val="single"/>
        </w:rPr>
      </w:r>
      <w:r/>
    </w:p>
    <w:p>
      <w:pPr>
        <w:pStyle w:val="1028"/>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pStyle w:val="1028"/>
        <w:ind w:firstLine="480"/>
        <w:spacing w:line="360" w:lineRule="auto"/>
        <w:rPr>
          <w:rFonts w:hint="eastAsia"/>
          <w:sz w:val="24"/>
        </w:rPr>
      </w:pPr>
      <w:r>
        <w:rPr>
          <w:sz w:val="24"/>
        </w:rPr>
        <w:t xml:space="preserve">3.2本项目是否属于政府购买服务：</w:t>
      </w:r>
      <w:r>
        <w:rPr>
          <w:rFonts w:hint="eastAsia"/>
          <w:sz w:val="24"/>
        </w:rPr>
        <w:t xml:space="preserve">否。</w:t>
      </w:r>
      <w:r/>
    </w:p>
    <w:p>
      <w:pPr>
        <w:pStyle w:val="1028"/>
        <w:ind w:firstLine="480"/>
        <w:spacing w:line="360" w:lineRule="auto"/>
        <w:rPr>
          <w:rFonts w:hint="eastAsia"/>
          <w:sz w:val="24"/>
        </w:rPr>
      </w:pPr>
      <w:r>
        <w:rPr>
          <w:sz w:val="24"/>
        </w:rPr>
        <w:t xml:space="preserve">3.3其他特定资格要求：</w:t>
      </w:r>
      <w:bookmarkStart w:id="22" w:name="OLE_LINK21"/>
      <w:r>
        <w:rPr>
          <w:rFonts w:hint="eastAsia"/>
          <w:sz w:val="24"/>
        </w:rPr>
        <w:t xml:space="preserve">无。</w:t>
      </w:r>
      <w:r/>
    </w:p>
    <w:p>
      <w:pPr>
        <w:pStyle w:val="1030"/>
        <w:ind w:firstLine="482"/>
        <w:jc w:val="left"/>
        <w:spacing w:before="0" w:line="360" w:lineRule="auto"/>
        <w:widowControl/>
        <w:rPr>
          <w:rFonts w:ascii="Times New Roman" w:hAnsi="Times New Roman" w:eastAsia="宋体"/>
          <w:sz w:val="24"/>
          <w:szCs w:val="24"/>
        </w:rPr>
      </w:pPr>
      <w:r/>
      <w:bookmarkEnd w:id="19"/>
      <w:r/>
      <w:bookmarkEnd w:id="20"/>
      <w:r/>
      <w:bookmarkEnd w:id="22"/>
      <w:r/>
      <w:bookmarkStart w:id="23" w:name="_Toc35393623"/>
      <w:r/>
      <w:bookmarkStart w:id="24" w:name="_Toc35393792"/>
      <w:r>
        <w:rPr>
          <w:rFonts w:ascii="Times New Roman" w:hAnsi="Times New Roman" w:eastAsia="宋体"/>
          <w:sz w:val="24"/>
          <w:szCs w:val="24"/>
        </w:rPr>
        <w:t xml:space="preserve">三、获取招标文件</w:t>
      </w:r>
      <w:bookmarkEnd w:id="23"/>
      <w:r/>
      <w:bookmarkEnd w:id="24"/>
      <w:r>
        <w:rPr>
          <w:rFonts w:ascii="Times New Roman" w:hAnsi="Times New Roman" w:eastAsia="宋体"/>
          <w:sz w:val="24"/>
          <w:szCs w:val="24"/>
        </w:rPr>
      </w:r>
      <w:r/>
    </w:p>
    <w:p>
      <w:pPr>
        <w:pStyle w:val="1028"/>
        <w:ind w:firstLine="540"/>
        <w:spacing w:line="360" w:lineRule="auto"/>
        <w:rPr>
          <w:rFonts w:ascii="宋体" w:hAnsi="宋体" w:cs="宋体"/>
          <w:sz w:val="24"/>
        </w:rPr>
      </w:pPr>
      <w:r/>
      <w:bookmarkStart w:id="25" w:name="_Toc28359005"/>
      <w:r/>
      <w:bookmarkStart w:id="26" w:name="_Toc28359082"/>
      <w:r/>
      <w:bookmarkStart w:id="27" w:name="_Toc35393793"/>
      <w:r/>
      <w:bookmarkStart w:id="28" w:name="_Toc35393624"/>
      <w:r>
        <w:rPr>
          <w:rFonts w:hint="eastAsia" w:ascii="宋体" w:hAnsi="宋体" w:cs="宋体"/>
          <w:sz w:val="24"/>
        </w:rPr>
        <w:t xml:space="preserve">1.时间：</w:t>
      </w:r>
      <w:r>
        <w:rPr>
          <w:rFonts w:hint="eastAsia"/>
          <w:sz w:val="24"/>
          <w:lang w:bidi="ar"/>
        </w:rPr>
        <w:t xml:space="preserve">自招标文件公告发布之日起5个工作日</w:t>
      </w:r>
      <w:r>
        <w:rPr>
          <w:rFonts w:hint="eastAsia" w:ascii="宋体" w:hAnsi="宋体" w:cs="宋体"/>
          <w:sz w:val="24"/>
        </w:rPr>
        <w:t xml:space="preserve">。</w:t>
      </w:r>
      <w:r>
        <w:rPr>
          <w:rFonts w:ascii="宋体" w:hAnsi="宋体" w:cs="宋体"/>
          <w:sz w:val="24"/>
        </w:rPr>
      </w:r>
      <w:r/>
    </w:p>
    <w:p>
      <w:pPr>
        <w:pStyle w:val="1028"/>
        <w:ind w:firstLine="540"/>
        <w:spacing w:line="360" w:lineRule="auto"/>
        <w:rPr>
          <w:sz w:val="24"/>
          <w:lang w:bidi="ar"/>
        </w:rPr>
      </w:pPr>
      <w:r>
        <w:rPr>
          <w:rFonts w:hint="eastAsia"/>
          <w:sz w:val="24"/>
          <w:lang w:bidi="ar"/>
        </w:rPr>
        <w:t xml:space="preserve">2.地点：</w:t>
      </w:r>
      <w:bookmarkStart w:id="29" w:name="_Toc38985266"/>
      <w:r>
        <w:rPr>
          <w:rFonts w:hint="eastAsia"/>
          <w:sz w:val="24"/>
          <w:lang w:bidi="ar"/>
        </w:rPr>
        <w:t xml:space="preserve">“苏采云”政府采购一体化平台</w:t>
      </w:r>
      <w:r>
        <w:rPr>
          <w:sz w:val="24"/>
          <w:lang w:bidi="ar"/>
        </w:rPr>
        <w:t xml:space="preserve"> </w:t>
      </w:r>
      <w:r>
        <w:rPr>
          <w:rFonts w:hint="eastAsia"/>
          <w:sz w:val="24"/>
          <w:lang w:bidi="ar"/>
        </w:rPr>
        <w:t xml:space="preserve">。</w:t>
      </w:r>
      <w:bookmarkEnd w:id="29"/>
      <w:r>
        <w:rPr>
          <w:sz w:val="24"/>
          <w:lang w:bidi="ar"/>
        </w:rPr>
      </w:r>
      <w:r/>
    </w:p>
    <w:p>
      <w:pPr>
        <w:pStyle w:val="1109"/>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1109"/>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hint="eastAsia" w:ascii="Times New Roman" w:hAnsi="Times New Roman" w:cs="Times New Roman"/>
          <w:color w:val="000000"/>
          <w:lang w:bidi="ar"/>
        </w:rPr>
      </w:r>
      <w:r/>
    </w:p>
    <w:p>
      <w:pPr>
        <w:pStyle w:val="1030"/>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5"/>
      <w:r/>
      <w:bookmarkEnd w:id="26"/>
      <w:r>
        <w:rPr>
          <w:rFonts w:ascii="Times New Roman" w:hAnsi="Times New Roman" w:eastAsia="宋体"/>
          <w:sz w:val="24"/>
          <w:szCs w:val="24"/>
        </w:rPr>
        <w:t xml:space="preserve">截止时间、开标时间和地点</w:t>
      </w:r>
      <w:bookmarkEnd w:id="27"/>
      <w:r/>
      <w:bookmarkEnd w:id="28"/>
      <w:r>
        <w:rPr>
          <w:rFonts w:ascii="Times New Roman" w:hAnsi="Times New Roman" w:eastAsia="宋体"/>
          <w:sz w:val="24"/>
          <w:szCs w:val="24"/>
        </w:rPr>
      </w:r>
      <w:r/>
    </w:p>
    <w:p>
      <w:pPr>
        <w:pStyle w:val="1028"/>
        <w:ind w:firstLine="480"/>
        <w:spacing w:line="360" w:lineRule="auto"/>
        <w:rPr>
          <w:rFonts w:ascii="宋体" w:hAnsi="宋体"/>
          <w:bCs/>
          <w:sz w:val="24"/>
          <w:u w:val="single"/>
        </w:rPr>
      </w:pPr>
      <w:r/>
      <w:bookmarkStart w:id="30" w:name="_Toc28359084"/>
      <w:r/>
      <w:bookmarkStart w:id="31" w:name="_Toc28359007"/>
      <w:r/>
      <w:bookmarkStart w:id="32" w:name="_Toc35393794"/>
      <w:r/>
      <w:bookmarkStart w:id="33" w:name="_Toc35393625"/>
      <w:r>
        <w:rPr>
          <w:rFonts w:hint="eastAsia"/>
          <w:sz w:val="24"/>
          <w:lang w:bidi="ar"/>
        </w:rPr>
        <w:t xml:space="preserve">1、</w:t>
      </w:r>
      <w:r>
        <w:rPr>
          <w:sz w:val="24"/>
          <w:lang w:bidi="ar"/>
        </w:rPr>
        <w:t xml:space="preserve">投标截止时间、开标时间：</w:t>
      </w:r>
      <w:r>
        <w:rPr>
          <w:rFonts w:hint="eastAsia"/>
          <w:sz w:val="24"/>
          <w:lang w:bidi="ar"/>
        </w:rPr>
        <w:t xml:space="preserve">2026</w:t>
      </w:r>
      <w:r>
        <w:rPr>
          <w:sz w:val="24"/>
          <w:lang w:bidi="ar"/>
        </w:rPr>
        <w:t xml:space="preserve">年</w:t>
      </w:r>
      <w:r>
        <w:rPr>
          <w:rFonts w:hint="eastAsia"/>
          <w:sz w:val="24"/>
          <w:lang w:bidi="ar"/>
        </w:rPr>
        <w:t xml:space="preserve">8</w:t>
      </w:r>
      <w:r>
        <w:rPr>
          <w:sz w:val="24"/>
          <w:lang w:bidi="ar"/>
        </w:rPr>
        <w:t xml:space="preserve">月</w:t>
      </w:r>
      <w:r>
        <w:rPr>
          <w:rFonts w:hint="eastAsia"/>
          <w:sz w:val="24"/>
          <w:lang w:bidi="ar"/>
        </w:rPr>
        <w:t xml:space="preserve">6</w:t>
      </w:r>
      <w:r>
        <w:rPr>
          <w:sz w:val="24"/>
          <w:lang w:bidi="ar"/>
        </w:rPr>
        <w:t xml:space="preserve">日</w:t>
      </w:r>
      <w:r>
        <w:rPr>
          <w:rFonts w:hint="eastAsia"/>
          <w:sz w:val="24"/>
          <w:lang w:bidi="ar"/>
        </w:rPr>
        <w:t xml:space="preserve">14 :</w:t>
      </w:r>
      <w:r>
        <w:rPr>
          <w:rFonts w:hint="eastAsia"/>
          <w:sz w:val="24"/>
          <w:lang w:bidi="ar"/>
        </w:rPr>
        <w:t xml:space="preserve">30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1028"/>
        <w:ind w:firstLine="480"/>
        <w:spacing w:line="360" w:lineRule="auto"/>
        <w:rPr>
          <w:rFonts w:hint="eastAsia" w:ascii="宋体" w:hAnsi="宋体"/>
          <w:bCs/>
          <w:sz w:val="24"/>
          <w:u w:val="single"/>
        </w:rPr>
      </w:pPr>
      <w:r>
        <w:rPr>
          <w:rFonts w:hint="eastAsia" w:ascii="宋体" w:hAnsi="宋体"/>
          <w:sz w:val="24"/>
        </w:rPr>
        <w:t xml:space="preserve">2、地点：</w:t>
      </w:r>
      <w:r>
        <w:rPr>
          <w:rFonts w:hint="eastAsia"/>
          <w:sz w:val="24"/>
          <w:lang w:bidi="ar"/>
        </w:rPr>
        <w:t xml:space="preserve">“苏采云”政府采购一体化平台</w:t>
      </w:r>
      <w:r>
        <w:rPr>
          <w:sz w:val="24"/>
          <w:lang w:bidi="ar"/>
        </w:rPr>
        <w:t xml:space="preserve"> </w:t>
      </w:r>
      <w:r>
        <w:rPr>
          <w:rFonts w:hint="eastAsia" w:ascii="宋体" w:hAnsi="宋体"/>
          <w:sz w:val="24"/>
        </w:rPr>
        <w:t xml:space="preserve">。</w:t>
      </w:r>
      <w:r>
        <w:rPr>
          <w:rFonts w:hint="eastAsia" w:ascii="宋体" w:hAnsi="宋体"/>
          <w:bCs/>
          <w:sz w:val="24"/>
          <w:u w:val="single"/>
        </w:rPr>
      </w:r>
      <w:r/>
    </w:p>
    <w:p>
      <w:pPr>
        <w:pStyle w:val="10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0"/>
      <w:r/>
      <w:bookmarkEnd w:id="31"/>
      <w:r/>
      <w:bookmarkEnd w:id="32"/>
      <w:r/>
      <w:bookmarkEnd w:id="33"/>
      <w:r>
        <w:rPr>
          <w:rFonts w:ascii="Times New Roman" w:hAnsi="Times New Roman" w:eastAsia="宋体"/>
          <w:sz w:val="24"/>
          <w:szCs w:val="24"/>
        </w:rPr>
      </w:r>
      <w:r/>
    </w:p>
    <w:p>
      <w:pPr>
        <w:pStyle w:val="1028"/>
        <w:ind w:firstLine="480"/>
        <w:spacing w:line="360" w:lineRule="auto"/>
        <w:rPr>
          <w:sz w:val="24"/>
        </w:rPr>
      </w:pPr>
      <w:r>
        <w:rPr>
          <w:sz w:val="24"/>
        </w:rPr>
        <w:t xml:space="preserve">自本公告发布之日起5个工作日。</w:t>
      </w:r>
      <w:r/>
    </w:p>
    <w:p>
      <w:pPr>
        <w:pStyle w:val="1030"/>
        <w:ind w:firstLine="482"/>
        <w:jc w:val="left"/>
        <w:spacing w:before="0" w:line="360" w:lineRule="auto"/>
        <w:rPr>
          <w:rFonts w:ascii="Times New Roman" w:hAnsi="Times New Roman" w:eastAsia="宋体"/>
          <w:sz w:val="24"/>
          <w:szCs w:val="24"/>
        </w:rPr>
      </w:pPr>
      <w:r/>
      <w:bookmarkStart w:id="34" w:name="_Toc35393626"/>
      <w:r/>
      <w:bookmarkStart w:id="35" w:name="_Toc35393795"/>
      <w:r>
        <w:rPr>
          <w:rFonts w:ascii="Times New Roman" w:hAnsi="Times New Roman" w:eastAsia="宋体"/>
          <w:sz w:val="24"/>
          <w:szCs w:val="24"/>
        </w:rPr>
        <w:t xml:space="preserve">六、其他补充事宜</w:t>
      </w:r>
      <w:bookmarkEnd w:id="34"/>
      <w:r/>
      <w:bookmarkEnd w:id="35"/>
      <w:r>
        <w:rPr>
          <w:rFonts w:ascii="Times New Roman" w:hAnsi="Times New Roman" w:eastAsia="宋体"/>
          <w:sz w:val="24"/>
          <w:szCs w:val="24"/>
        </w:rPr>
      </w:r>
      <w:r/>
    </w:p>
    <w:p>
      <w:pPr>
        <w:pStyle w:val="1028"/>
        <w:ind w:firstLine="480"/>
        <w:spacing w:line="360" w:lineRule="auto"/>
        <w:rPr>
          <w:sz w:val="24"/>
          <w:lang w:bidi="ar"/>
        </w:rPr>
      </w:pPr>
      <w:r/>
      <w:bookmarkStart w:id="36" w:name="_Toc35393796"/>
      <w:r/>
      <w:bookmarkStart w:id="37" w:name="_Toc28359008"/>
      <w:r/>
      <w:bookmarkStart w:id="38" w:name="_Toc35393627"/>
      <w:r/>
      <w:bookmarkStart w:id="39" w:name="_Toc28359085"/>
      <w:r/>
      <w:bookmarkStart w:id="40" w:name="OLE_LINK17"/>
      <w:r>
        <w:rPr>
          <w:rFonts w:hint="eastAsia"/>
          <w:sz w:val="24"/>
          <w:lang w:bidi="ar"/>
        </w:rPr>
        <w:t xml:space="preserve">1、投标保证金：无需缴纳。</w:t>
      </w:r>
      <w:r>
        <w:rPr>
          <w:sz w:val="24"/>
          <w:lang w:bidi="ar"/>
        </w:rPr>
      </w:r>
      <w:r/>
    </w:p>
    <w:p>
      <w:pPr>
        <w:pStyle w:val="1028"/>
        <w:ind w:firstLine="480"/>
        <w:spacing w:line="360" w:lineRule="auto"/>
        <w:tabs>
          <w:tab w:val="left" w:pos="900" w:leader="none"/>
        </w:tabs>
        <w:rPr>
          <w:rFonts w:hint="eastAsia"/>
          <w:sz w:val="24"/>
          <w:lang w:bidi="ar"/>
        </w:rPr>
      </w:pPr>
      <w:r>
        <w:rPr>
          <w:rFonts w:hint="eastAsia"/>
          <w:sz w:val="24"/>
          <w:lang w:bidi="ar"/>
        </w:rPr>
        <w:t xml:space="preserve">2</w:t>
      </w:r>
      <w:bookmarkStart w:id="41" w:name="_Hlk150161828"/>
      <w:r>
        <w:rPr>
          <w:rFonts w:hint="eastAsia"/>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w:t>
      </w:r>
      <w:r>
        <w:rPr>
          <w:rFonts w:hint="eastAsia"/>
          <w:sz w:val="24"/>
          <w:lang w:bidi="ar"/>
        </w:rPr>
        <w:t xml:space="preserve">、上传电子投标文件。 </w:t>
      </w:r>
      <w:bookmarkEnd w:id="41"/>
      <w:r>
        <w:rPr>
          <w:rFonts w:hint="eastAsia"/>
          <w:sz w:val="24"/>
          <w:lang w:bidi="ar"/>
        </w:rPr>
      </w:r>
      <w:r/>
    </w:p>
    <w:p>
      <w:pPr>
        <w:pStyle w:val="1028"/>
        <w:ind w:firstLine="540"/>
        <w:spacing w:line="360" w:lineRule="auto"/>
        <w:rPr>
          <w:rFonts w:hint="eastAsia"/>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w:t>
      </w:r>
      <w:r>
        <w:rPr>
          <w:rFonts w:hint="eastAsia"/>
          <w:sz w:val="24"/>
          <w:lang w:bidi="ar"/>
        </w:rPr>
        <w:t xml:space="preserve">或中标（成交）合同，为中标（成交）中小企业供应商提供相应额度贷款的融资模式。申请条件及操作流程等事项详见该文件相关内容或者常州市政府采购网--政采融资平台栏目。</w:t>
      </w:r>
      <w:r/>
    </w:p>
    <w:p>
      <w:pPr>
        <w:pStyle w:val="1030"/>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1109"/>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5、电子化招投标技术支持电话：0519-85588210</w:t>
      </w:r>
      <w:r>
        <w:rPr>
          <w:rFonts w:ascii="Times New Roman" w:hAnsi="Times New Roman" w:cs="Times New Roman"/>
          <w:b/>
          <w:color w:val="000000"/>
        </w:rPr>
        <w:t xml:space="preserve">/ 0519-85588163</w:t>
      </w:r>
      <w:r>
        <w:rPr>
          <w:rFonts w:hint="eastAsia" w:ascii="Times New Roman" w:hAnsi="Times New Roman" w:cs="Times New Roman"/>
          <w:b/>
          <w:color w:val="000000"/>
        </w:rPr>
      </w:r>
      <w:r/>
    </w:p>
    <w:p>
      <w:pPr>
        <w:pStyle w:val="1030"/>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6"/>
      <w:r/>
      <w:bookmarkEnd w:id="37"/>
      <w:r/>
      <w:bookmarkEnd w:id="38"/>
      <w:r/>
      <w:bookmarkEnd w:id="39"/>
      <w:r>
        <w:rPr>
          <w:rFonts w:ascii="Times New Roman" w:hAnsi="Times New Roman" w:eastAsia="宋体"/>
          <w:sz w:val="24"/>
          <w:szCs w:val="24"/>
        </w:rPr>
      </w:r>
      <w:r/>
    </w:p>
    <w:p>
      <w:pPr>
        <w:pStyle w:val="1028"/>
        <w:ind w:firstLine="482"/>
        <w:jc w:val="left"/>
        <w:spacing w:line="360" w:lineRule="auto"/>
        <w:widowControl/>
        <w:rPr>
          <w:b/>
          <w:sz w:val="24"/>
        </w:rPr>
      </w:pPr>
      <w:r/>
      <w:bookmarkEnd w:id="8"/>
      <w:r/>
      <w:bookmarkEnd w:id="40"/>
      <w:r/>
      <w:bookmarkStart w:id="42" w:name="_Toc28359010"/>
      <w:r/>
      <w:bookmarkStart w:id="43" w:name="_Toc28359087"/>
      <w:r>
        <w:rPr>
          <w:b/>
          <w:sz w:val="24"/>
        </w:rPr>
        <w:t xml:space="preserve">1</w:t>
      </w:r>
      <w:r>
        <w:rPr>
          <w:rFonts w:hint="eastAsia"/>
          <w:b/>
          <w:sz w:val="24"/>
        </w:rPr>
        <w:t xml:space="preserve">、</w:t>
      </w:r>
      <w:r>
        <w:rPr>
          <w:b/>
          <w:sz w:val="24"/>
        </w:rPr>
        <w:t xml:space="preserve">采购人信息</w:t>
      </w:r>
      <w:r/>
    </w:p>
    <w:p>
      <w:pPr>
        <w:pStyle w:val="1028"/>
        <w:ind w:firstLine="480"/>
        <w:jc w:val="left"/>
        <w:spacing w:line="360" w:lineRule="auto"/>
        <w:rPr>
          <w:rFonts w:hint="eastAsia"/>
          <w:sz w:val="24"/>
        </w:rPr>
      </w:pPr>
      <w:r/>
      <w:bookmarkStart w:id="44" w:name="_Toc28359086"/>
      <w:r/>
      <w:bookmarkStart w:id="45" w:name="_Toc28359009"/>
      <w:r>
        <w:rPr>
          <w:rFonts w:hint="eastAsia"/>
          <w:sz w:val="24"/>
        </w:rPr>
        <w:t xml:space="preserve">名称：常州市金坛第一</w:t>
      </w:r>
      <w:r>
        <w:rPr>
          <w:rFonts w:hint="eastAsia"/>
          <w:sz w:val="24"/>
        </w:rPr>
        <w:t xml:space="preserve">人民医院 </w:t>
      </w:r>
      <w:r/>
    </w:p>
    <w:p>
      <w:pPr>
        <w:pStyle w:val="1028"/>
        <w:ind w:firstLine="480"/>
        <w:jc w:val="left"/>
        <w:spacing w:line="360" w:lineRule="auto"/>
        <w:rPr>
          <w:rFonts w:hint="eastAsia"/>
          <w:sz w:val="24"/>
        </w:rPr>
      </w:pPr>
      <w:r>
        <w:rPr>
          <w:rFonts w:hint="eastAsia"/>
          <w:sz w:val="24"/>
        </w:rPr>
        <w:t xml:space="preserve">地址：常州市金坛区金坛大道500号</w:t>
      </w:r>
      <w:r/>
    </w:p>
    <w:p>
      <w:pPr>
        <w:pStyle w:val="1028"/>
        <w:ind w:firstLine="480"/>
        <w:jc w:val="left"/>
        <w:spacing w:line="360" w:lineRule="auto"/>
        <w:rPr>
          <w:rFonts w:hint="eastAsia"/>
          <w:sz w:val="24"/>
        </w:rPr>
      </w:pPr>
      <w:r>
        <w:rPr>
          <w:rFonts w:hint="eastAsia"/>
          <w:sz w:val="24"/>
        </w:rPr>
        <w:t xml:space="preserve">联系人：司马先生</w:t>
      </w:r>
      <w:r/>
    </w:p>
    <w:p>
      <w:pPr>
        <w:pStyle w:val="1028"/>
        <w:ind w:firstLine="480"/>
        <w:jc w:val="left"/>
        <w:spacing w:line="360" w:lineRule="auto"/>
        <w:rPr>
          <w:sz w:val="24"/>
        </w:rPr>
      </w:pPr>
      <w:r>
        <w:rPr>
          <w:rFonts w:hint="eastAsia"/>
          <w:sz w:val="24"/>
        </w:rPr>
        <w:t xml:space="preserve">联系方式：</w:t>
      </w:r>
      <w:r>
        <w:rPr>
          <w:sz w:val="24"/>
        </w:rPr>
        <w:t xml:space="preserve">0519-82885505</w:t>
      </w:r>
      <w:r/>
    </w:p>
    <w:p>
      <w:pPr>
        <w:pStyle w:val="1028"/>
        <w:ind w:firstLine="482"/>
        <w:jc w:val="left"/>
        <w:spacing w:line="360" w:lineRule="auto"/>
        <w:rPr>
          <w:b/>
          <w:sz w:val="24"/>
        </w:rPr>
      </w:pPr>
      <w:r>
        <w:rPr>
          <w:b/>
          <w:sz w:val="24"/>
        </w:rPr>
        <w:t xml:space="preserve">2</w:t>
      </w:r>
      <w:r>
        <w:rPr>
          <w:rFonts w:hint="eastAsia"/>
          <w:b/>
          <w:sz w:val="24"/>
        </w:rPr>
        <w:t xml:space="preserve">、常州市智泽南福工程招投标咨询有限公司</w:t>
      </w:r>
      <w:r>
        <w:rPr>
          <w:b/>
          <w:sz w:val="24"/>
        </w:rPr>
        <w:t xml:space="preserve">信息</w:t>
      </w:r>
      <w:bookmarkEnd w:id="44"/>
      <w:r/>
      <w:bookmarkEnd w:id="45"/>
      <w:r>
        <w:rPr>
          <w:b/>
          <w:sz w:val="24"/>
        </w:rPr>
      </w:r>
      <w:r/>
    </w:p>
    <w:p>
      <w:pPr>
        <w:pStyle w:val="1028"/>
        <w:ind w:firstLine="480"/>
        <w:jc w:val="left"/>
        <w:spacing w:line="360" w:lineRule="auto"/>
        <w:rPr>
          <w:rFonts w:hint="eastAsia"/>
          <w:sz w:val="24"/>
        </w:rPr>
      </w:pPr>
      <w:r>
        <w:rPr>
          <w:rFonts w:hint="eastAsia"/>
          <w:sz w:val="24"/>
        </w:rPr>
        <w:t xml:space="preserve">地址：常州市武进区湖塘镇武进万达广场2幢1315室</w:t>
      </w:r>
      <w:r/>
    </w:p>
    <w:p>
      <w:pPr>
        <w:pStyle w:val="1028"/>
        <w:ind w:firstLine="480"/>
        <w:jc w:val="left"/>
        <w:spacing w:line="360" w:lineRule="auto"/>
        <w:rPr>
          <w:rFonts w:hint="eastAsia"/>
          <w:sz w:val="24"/>
        </w:rPr>
      </w:pPr>
      <w:r>
        <w:rPr>
          <w:rFonts w:hint="eastAsia"/>
          <w:sz w:val="24"/>
        </w:rPr>
        <w:t xml:space="preserve">联系人：张先生</w:t>
      </w:r>
      <w:r/>
    </w:p>
    <w:p>
      <w:pPr>
        <w:pStyle w:val="1028"/>
        <w:ind w:firstLine="480"/>
        <w:jc w:val="left"/>
        <w:spacing w:line="360" w:lineRule="auto"/>
        <w:rPr>
          <w:rFonts w:hint="eastAsia"/>
          <w:sz w:val="24"/>
        </w:rPr>
      </w:pPr>
      <w:r>
        <w:rPr>
          <w:rFonts w:hint="eastAsia"/>
          <w:sz w:val="24"/>
        </w:rPr>
        <w:t xml:space="preserve">联系方式：</w:t>
      </w:r>
      <w:r>
        <w:rPr>
          <w:sz w:val="24"/>
        </w:rPr>
        <w:t xml:space="preserve">13961472886</w:t>
      </w:r>
      <w:r>
        <w:rPr>
          <w:rFonts w:hint="eastAsia"/>
          <w:sz w:val="24"/>
        </w:rPr>
      </w:r>
      <w:r/>
    </w:p>
    <w:p>
      <w:pPr>
        <w:pStyle w:val="1109"/>
        <w:spacing w:line="360" w:lineRule="auto"/>
        <w:rPr>
          <w:color w:val="000000"/>
        </w:rPr>
      </w:pPr>
      <w:r>
        <w:rPr>
          <w:color w:val="000000"/>
        </w:rPr>
      </w:r>
      <w:r/>
    </w:p>
    <w:p>
      <w:pPr>
        <w:pStyle w:val="1068"/>
        <w:ind w:firstLine="720"/>
        <w:spacing w:line="360" w:lineRule="auto"/>
        <w:rPr>
          <w:rFonts w:ascii="Times New Roman" w:hAnsi="Times New Roman"/>
          <w:sz w:val="24"/>
          <w:szCs w:val="24"/>
        </w:rPr>
      </w:pPr>
      <w:r/>
      <w:bookmarkEnd w:id="42"/>
      <w:r/>
      <w:bookmarkEnd w:id="43"/>
      <w:r>
        <w:rPr>
          <w:rFonts w:ascii="Times New Roman" w:hAnsi="Times New Roman"/>
          <w:sz w:val="24"/>
          <w:szCs w:val="24"/>
        </w:rPr>
        <w:t xml:space="preserve"> </w:t>
      </w:r>
      <w:r/>
    </w:p>
    <w:p>
      <w:pPr>
        <w:pStyle w:val="1028"/>
        <w:ind w:firstLine="5880"/>
        <w:jc w:val="right"/>
        <w:spacing w:line="360" w:lineRule="auto"/>
        <w:rPr>
          <w:sz w:val="24"/>
        </w:rPr>
      </w:pPr>
      <w:r>
        <w:rPr>
          <w:sz w:val="24"/>
        </w:rPr>
      </w:r>
      <w:r/>
    </w:p>
    <w:p>
      <w:pPr>
        <w:pStyle w:val="1028"/>
        <w:jc w:val="center"/>
        <w:spacing w:line="360" w:lineRule="auto"/>
        <w:rPr>
          <w:b/>
          <w:sz w:val="32"/>
          <w:szCs w:val="32"/>
        </w:rPr>
        <w:outlineLvl w:val="0"/>
      </w:pPr>
      <w:r>
        <w:rPr>
          <w:sz w:val="24"/>
        </w:rPr>
        <w:br w:type="page" w:clear="all"/>
      </w:r>
      <w:bookmarkStart w:id="46" w:name="_Toc195842950"/>
      <w:r/>
      <w:bookmarkStart w:id="47" w:name="_Toc512937850"/>
      <w:r/>
      <w:bookmarkStart w:id="48" w:name="_Toc264969275"/>
      <w:r/>
      <w:bookmarkStart w:id="49" w:name="_Toc127151777"/>
      <w:r/>
      <w:bookmarkStart w:id="50" w:name="_Toc150774783"/>
      <w:r/>
      <w:bookmarkStart w:id="51" w:name="_Toc305158854"/>
      <w:r/>
      <w:bookmarkStart w:id="52" w:name="_Toc353825548"/>
      <w:r/>
      <w:bookmarkStart w:id="53" w:name="_Toc305158928"/>
      <w:r/>
      <w:bookmarkStart w:id="54" w:name="_Toc265228423"/>
      <w:r/>
      <w:bookmarkStart w:id="55" w:name="_Toc226965856"/>
      <w:r/>
      <w:bookmarkStart w:id="56" w:name="_Toc127161488"/>
      <w:r/>
      <w:bookmarkStart w:id="57" w:name="_Toc353873938"/>
      <w:r/>
      <w:bookmarkStart w:id="58" w:name="_Toc99301420"/>
      <w:r>
        <w:rPr>
          <w:b/>
          <w:sz w:val="36"/>
          <w:szCs w:val="36"/>
        </w:rPr>
        <w:t xml:space="preserve">第二章   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b/>
          <w:sz w:val="32"/>
          <w:szCs w:val="32"/>
        </w:rPr>
      </w:r>
      <w:r/>
    </w:p>
    <w:p>
      <w:pPr>
        <w:pStyle w:val="1030"/>
        <w:spacing w:before="0" w:line="360" w:lineRule="auto"/>
        <w:tabs>
          <w:tab w:val="center" w:pos="4592" w:leader="none"/>
          <w:tab w:val="left" w:pos="7860" w:leader="none"/>
        </w:tabs>
        <w:rPr>
          <w:rFonts w:ascii="Times New Roman" w:hAnsi="Times New Roman" w:eastAsia="宋体"/>
          <w:sz w:val="32"/>
          <w:szCs w:val="32"/>
        </w:rPr>
      </w:pPr>
      <w:r/>
      <w:bookmarkStart w:id="59" w:name="_Toc520356144"/>
      <w:r/>
      <w:bookmarkStart w:id="60" w:name="_Toc127151519"/>
      <w:r/>
      <w:bookmarkStart w:id="61" w:name="_Toc151193689"/>
      <w:r/>
      <w:bookmarkStart w:id="62" w:name="_Toc127161433"/>
      <w:r/>
      <w:bookmarkStart w:id="63" w:name="_Toc195842884"/>
      <w:r/>
      <w:bookmarkStart w:id="64" w:name="_Toc150774724"/>
      <w:r/>
      <w:bookmarkStart w:id="65" w:name="_Toc164229360"/>
      <w:r/>
      <w:bookmarkStart w:id="66" w:name="_Toc151193761"/>
      <w:r/>
      <w:bookmarkStart w:id="67" w:name="_Toc226337215"/>
      <w:r/>
      <w:bookmarkStart w:id="68" w:name="_Toc164608633"/>
      <w:r/>
      <w:bookmarkStart w:id="69" w:name="_Toc150480757"/>
      <w:r/>
      <w:bookmarkStart w:id="70" w:name="_Toc142311021"/>
      <w:r/>
      <w:bookmarkStart w:id="71" w:name="_Toc150509270"/>
      <w:r/>
      <w:bookmarkStart w:id="72" w:name="_Toc164608788"/>
      <w:r/>
      <w:bookmarkStart w:id="73" w:name="_Toc151193617"/>
      <w:r/>
      <w:bookmarkStart w:id="74" w:name="_Toc226309763"/>
      <w:r/>
      <w:bookmarkStart w:id="75" w:name="_Toc127151720"/>
      <w:r/>
      <w:bookmarkStart w:id="76" w:name="_Toc151190146"/>
      <w:r/>
      <w:bookmarkStart w:id="77" w:name="_Toc164229214"/>
      <w:r/>
      <w:bookmarkStart w:id="78" w:name="_Toc226965709"/>
      <w:r/>
      <w:bookmarkStart w:id="79" w:name="_Toc149720812"/>
      <w:r/>
      <w:bookmarkStart w:id="80" w:name="_Toc151193833"/>
      <w:r/>
      <w:bookmarkStart w:id="81" w:name="_Toc151193907"/>
      <w:r/>
      <w:bookmarkStart w:id="82" w:name="_Toc150774619"/>
      <w:r/>
      <w:bookmarkStart w:id="83" w:name="_Toc164351613"/>
      <w:r/>
      <w:bookmarkStart w:id="84" w:name="_Toc226965792"/>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rPr>
        <w:tc>
          <w:tcPr>
            <w:tcW w:w="988" w:type="dxa"/>
            <w:vAlign w:val="center"/>
            <w:textDirection w:val="lrTb"/>
            <w:noWrap w:val="false"/>
          </w:tcPr>
          <w:p>
            <w:pPr>
              <w:pStyle w:val="1028"/>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1028"/>
              <w:jc w:val="center"/>
              <w:rPr>
                <w:b/>
                <w:bCs/>
                <w:sz w:val="24"/>
              </w:rPr>
            </w:pPr>
            <w:r>
              <w:rPr>
                <w:b/>
                <w:bCs/>
                <w:sz w:val="24"/>
              </w:rPr>
              <w:t xml:space="preserve">条目</w:t>
            </w:r>
            <w:r/>
          </w:p>
        </w:tc>
        <w:tc>
          <w:tcPr>
            <w:tcW w:w="7540" w:type="dxa"/>
            <w:vAlign w:val="center"/>
            <w:textDirection w:val="lrTb"/>
            <w:noWrap w:val="false"/>
          </w:tcPr>
          <w:p>
            <w:pPr>
              <w:pStyle w:val="1028"/>
              <w:jc w:val="center"/>
              <w:rPr>
                <w:b/>
                <w:bCs/>
                <w:sz w:val="24"/>
              </w:rPr>
            </w:pPr>
            <w:r>
              <w:rPr>
                <w:b/>
                <w:bCs/>
                <w:sz w:val="24"/>
              </w:rPr>
              <w:t xml:space="preserve">内容</w:t>
            </w:r>
            <w:r/>
          </w:p>
        </w:tc>
      </w:tr>
      <w:tr>
        <w:trPr>
          <w:trHeight w:val="479"/>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pStyle w:val="1028"/>
              <w:jc w:val="center"/>
              <w:spacing w:line="360" w:lineRule="exact"/>
              <w:rPr>
                <w:sz w:val="24"/>
              </w:rPr>
            </w:pPr>
            <w:r>
              <w:rPr>
                <w:sz w:val="24"/>
              </w:rPr>
              <w:t xml:space="preserve">项目</w:t>
            </w:r>
            <w:r>
              <w:rPr>
                <w:sz w:val="24"/>
              </w:rPr>
              <w:t xml:space="preserve">属性</w:t>
            </w:r>
            <w:r/>
          </w:p>
        </w:tc>
        <w:tc>
          <w:tcPr>
            <w:tcW w:w="7540" w:type="dxa"/>
            <w:vAlign w:val="center"/>
            <w:textDirection w:val="lrTb"/>
            <w:noWrap w:val="false"/>
          </w:tcPr>
          <w:p>
            <w:pPr>
              <w:pStyle w:val="1028"/>
              <w:jc w:val="left"/>
              <w:spacing w:line="360" w:lineRule="exact"/>
              <w:rPr>
                <w:sz w:val="24"/>
                <w:u w:val="single"/>
              </w:rPr>
            </w:pPr>
            <w:r>
              <w:rPr>
                <w:sz w:val="24"/>
              </w:rPr>
              <w:t xml:space="preserve">项目属性：</w:t>
            </w:r>
            <w:r>
              <w:rPr>
                <w:rFonts w:hint="eastAsia"/>
                <w:sz w:val="24"/>
              </w:rPr>
              <w:t xml:space="preserve">服务</w:t>
            </w:r>
            <w:r>
              <w:rPr>
                <w:sz w:val="24"/>
                <w:u w:val="single"/>
              </w:rPr>
            </w:r>
            <w:r/>
          </w:p>
        </w:tc>
      </w:tr>
      <w:tr>
        <w:trPr>
          <w:trHeight w:val="401"/>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pStyle w:val="1028"/>
              <w:jc w:val="center"/>
              <w:spacing w:line="360" w:lineRule="exact"/>
              <w:rPr>
                <w:sz w:val="24"/>
              </w:rPr>
            </w:pPr>
            <w:r>
              <w:rPr>
                <w:sz w:val="24"/>
              </w:rPr>
              <w:t xml:space="preserve">科研仪器设备</w:t>
            </w:r>
            <w:r/>
          </w:p>
        </w:tc>
        <w:tc>
          <w:tcPr>
            <w:tcW w:w="7540" w:type="dxa"/>
            <w:vAlign w:val="center"/>
            <w:textDirection w:val="lrTb"/>
            <w:noWrap w:val="false"/>
          </w:tcPr>
          <w:p>
            <w:pPr>
              <w:pStyle w:val="1028"/>
              <w:jc w:val="left"/>
              <w:spacing w:line="360" w:lineRule="exact"/>
              <w:rPr>
                <w:sz w:val="24"/>
              </w:rPr>
            </w:pPr>
            <w:r>
              <w:rPr>
                <w:sz w:val="24"/>
              </w:rPr>
              <w:t xml:space="preserve">是否属于科研仪器设备采购项目：否</w:t>
            </w:r>
            <w:r/>
          </w:p>
        </w:tc>
      </w:tr>
      <w:tr>
        <w:trPr>
          <w:trHeight w:val="2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pStyle w:val="1028"/>
              <w:jc w:val="center"/>
              <w:spacing w:line="360" w:lineRule="exact"/>
              <w:rPr>
                <w:sz w:val="24"/>
              </w:rPr>
            </w:pPr>
            <w:r>
              <w:rPr>
                <w:sz w:val="24"/>
              </w:rPr>
              <w:t xml:space="preserve">核心产品</w:t>
            </w:r>
            <w:r/>
          </w:p>
        </w:tc>
        <w:tc>
          <w:tcPr>
            <w:tcW w:w="7540" w:type="dxa"/>
            <w:vAlign w:val="center"/>
            <w:textDirection w:val="lrTb"/>
            <w:noWrap w:val="false"/>
          </w:tcPr>
          <w:p>
            <w:pPr>
              <w:pStyle w:val="1028"/>
              <w:jc w:val="left"/>
              <w:spacing w:line="360" w:lineRule="exact"/>
              <w:rPr>
                <w:sz w:val="24"/>
              </w:rPr>
            </w:pPr>
            <w:r>
              <w:rPr>
                <w:sz w:val="24"/>
              </w:rPr>
              <w:t xml:space="preserve">关于核心产品本项目：不适用。</w:t>
            </w:r>
            <w:r/>
          </w:p>
        </w:tc>
      </w:tr>
      <w:tr>
        <w:trPr>
          <w:trHeight w:val="2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1028"/>
              <w:jc w:val="center"/>
              <w:spacing w:line="360" w:lineRule="exact"/>
              <w:rPr>
                <w:sz w:val="24"/>
              </w:rPr>
            </w:pPr>
            <w:r>
              <w:rPr>
                <w:sz w:val="24"/>
              </w:rPr>
              <w:t xml:space="preserve">现场考察</w:t>
            </w:r>
            <w:r/>
          </w:p>
        </w:tc>
        <w:tc>
          <w:tcPr>
            <w:tcW w:w="7540" w:type="dxa"/>
            <w:vAlign w:val="center"/>
            <w:textDirection w:val="lrTb"/>
            <w:noWrap w:val="false"/>
          </w:tcPr>
          <w:p>
            <w:pPr>
              <w:pStyle w:val="1028"/>
              <w:jc w:val="left"/>
              <w:spacing w:line="360" w:lineRule="exact"/>
              <w:rPr>
                <w:rFonts w:hint="eastAsia"/>
                <w:sz w:val="24"/>
              </w:rPr>
            </w:pPr>
            <w:r>
              <w:rPr>
                <w:sz w:val="24"/>
              </w:rPr>
              <w:t xml:space="preserve">不组织</w:t>
            </w:r>
            <w:r>
              <w:rPr>
                <w:rFonts w:hint="eastAsia"/>
                <w:sz w:val="24"/>
              </w:rPr>
            </w:r>
            <w:r/>
          </w:p>
        </w:tc>
      </w:tr>
      <w:tr>
        <w:trPr>
          <w:trHeight w:val="2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1028"/>
              <w:jc w:val="center"/>
              <w:spacing w:line="360" w:lineRule="exact"/>
              <w:rPr>
                <w:sz w:val="24"/>
              </w:rPr>
            </w:pPr>
            <w:r>
              <w:rPr>
                <w:sz w:val="24"/>
              </w:rPr>
              <w:t xml:space="preserve">开标前答疑会</w:t>
            </w:r>
            <w:r/>
          </w:p>
        </w:tc>
        <w:tc>
          <w:tcPr>
            <w:tcW w:w="7540" w:type="dxa"/>
            <w:vAlign w:val="center"/>
            <w:textDirection w:val="lrTb"/>
            <w:noWrap w:val="false"/>
          </w:tcPr>
          <w:p>
            <w:pPr>
              <w:pStyle w:val="1028"/>
              <w:jc w:val="left"/>
              <w:spacing w:line="360" w:lineRule="exact"/>
              <w:rPr>
                <w:rFonts w:hint="eastAsia"/>
                <w:sz w:val="24"/>
              </w:rPr>
            </w:pPr>
            <w:r>
              <w:rPr>
                <w:sz w:val="24"/>
              </w:rPr>
              <w:t xml:space="preserve">不召开</w:t>
            </w:r>
            <w:r>
              <w:rPr>
                <w:rFonts w:hint="eastAsia"/>
                <w:sz w:val="24"/>
              </w:rPr>
            </w:r>
            <w:r/>
          </w:p>
        </w:tc>
      </w:tr>
      <w:tr>
        <w:trPr>
          <w:trHeight w:val="2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pStyle w:val="1028"/>
              <w:jc w:val="center"/>
              <w:spacing w:line="360" w:lineRule="exact"/>
              <w:rPr>
                <w:sz w:val="24"/>
              </w:rPr>
            </w:pPr>
            <w:r>
              <w:rPr>
                <w:sz w:val="24"/>
              </w:rPr>
              <w:t xml:space="preserve">样品</w:t>
            </w:r>
            <w:r/>
          </w:p>
        </w:tc>
        <w:tc>
          <w:tcPr>
            <w:tcW w:w="7540" w:type="dxa"/>
            <w:vAlign w:val="center"/>
            <w:textDirection w:val="lrTb"/>
            <w:noWrap w:val="false"/>
          </w:tcPr>
          <w:p>
            <w:pPr>
              <w:pStyle w:val="1028"/>
              <w:jc w:val="left"/>
              <w:spacing w:line="360" w:lineRule="exact"/>
              <w:rPr>
                <w:sz w:val="24"/>
              </w:rPr>
            </w:pPr>
            <w:r>
              <w:rPr>
                <w:sz w:val="24"/>
              </w:rPr>
              <w:t xml:space="preserve">投标样品递交：</w:t>
            </w:r>
            <w:r/>
          </w:p>
          <w:p>
            <w:pPr>
              <w:pStyle w:val="1028"/>
              <w:jc w:val="left"/>
              <w:spacing w:line="360" w:lineRule="exact"/>
              <w:rPr>
                <w:rFonts w:hint="eastAsia"/>
                <w:sz w:val="24"/>
              </w:rPr>
            </w:pPr>
            <w:r>
              <w:rPr>
                <w:sz w:val="24"/>
              </w:rPr>
              <w:t xml:space="preserve">不需要</w:t>
            </w:r>
            <w:r>
              <w:rPr>
                <w:rFonts w:hint="eastAsia"/>
                <w:sz w:val="24"/>
              </w:rPr>
            </w:r>
            <w:r/>
          </w:p>
        </w:tc>
      </w:tr>
      <w:tr>
        <w:trPr>
          <w:trHeight w:val="120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1028"/>
              <w:jc w:val="center"/>
              <w:spacing w:line="360" w:lineRule="exact"/>
              <w:rPr>
                <w:sz w:val="24"/>
              </w:rPr>
            </w:pPr>
            <w:r>
              <w:rPr>
                <w:sz w:val="24"/>
              </w:rPr>
              <w:t xml:space="preserve">是否专门面向中小企业</w:t>
            </w:r>
            <w:r/>
          </w:p>
        </w:tc>
        <w:tc>
          <w:tcPr>
            <w:tcW w:w="7540" w:type="dxa"/>
            <w:vAlign w:val="center"/>
            <w:textDirection w:val="lrTb"/>
            <w:noWrap w:val="false"/>
          </w:tcPr>
          <w:p>
            <w:pPr>
              <w:pStyle w:val="1028"/>
              <w:jc w:val="left"/>
              <w:spacing w:line="360" w:lineRule="exact"/>
              <w:rPr>
                <w:sz w:val="24"/>
              </w:rPr>
            </w:pPr>
            <w:r>
              <w:rPr>
                <w:rFonts w:hint="eastAsia"/>
                <w:sz w:val="24"/>
              </w:rPr>
              <w:t xml:space="preserve">本项目专门面向中小企业采购，在评审时不在对小微企业执行价格评审优惠政采。</w:t>
            </w:r>
            <w:r>
              <w:rPr>
                <w:sz w:val="24"/>
              </w:rPr>
            </w:r>
            <w:r/>
          </w:p>
        </w:tc>
      </w:tr>
      <w:tr>
        <w:trPr>
          <w:trHeight w:val="120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pStyle w:val="1028"/>
              <w:jc w:val="center"/>
              <w:spacing w:line="360" w:lineRule="exact"/>
              <w:rPr>
                <w:sz w:val="24"/>
              </w:rPr>
            </w:pPr>
            <w:r>
              <w:rPr>
                <w:rFonts w:hint="eastAsia"/>
                <w:sz w:val="24"/>
              </w:rPr>
              <w:t xml:space="preserve">本国产品政策支持</w:t>
            </w:r>
            <w:r>
              <w:rPr>
                <w:sz w:val="24"/>
              </w:rPr>
            </w:r>
            <w:r/>
          </w:p>
        </w:tc>
        <w:tc>
          <w:tcPr>
            <w:tcW w:w="7540" w:type="dxa"/>
            <w:vAlign w:val="center"/>
            <w:textDirection w:val="lrTb"/>
            <w:noWrap w:val="false"/>
          </w:tcPr>
          <w:p>
            <w:pPr>
              <w:pStyle w:val="1028"/>
              <w:jc w:val="left"/>
              <w:spacing w:line="360" w:lineRule="exact"/>
              <w:rPr>
                <w:rFonts w:hint="eastAsia"/>
                <w:sz w:val="24"/>
              </w:rPr>
            </w:pPr>
            <w:r>
              <w:rPr>
                <w:rFonts w:hint="eastAsia"/>
                <w:sz w:val="24"/>
              </w:rPr>
              <w:t xml:space="preserve">关于对采购本国产品给予政策支持，本项目：不适用。</w:t>
            </w:r>
            <w:r/>
          </w:p>
          <w:p>
            <w:pPr>
              <w:pStyle w:val="1028"/>
              <w:jc w:val="left"/>
              <w:spacing w:line="360" w:lineRule="exact"/>
              <w:rPr>
                <w:rFonts w:hint="eastAsia"/>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1535"/>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pStyle w:val="1028"/>
              <w:jc w:val="center"/>
              <w:spacing w:line="360" w:lineRule="exact"/>
              <w:rPr>
                <w:sz w:val="24"/>
              </w:rPr>
            </w:pPr>
            <w:r>
              <w:rPr>
                <w:sz w:val="24"/>
              </w:rPr>
              <w:t xml:space="preserve">标的所属行业</w:t>
            </w:r>
            <w:r/>
          </w:p>
        </w:tc>
        <w:tc>
          <w:tcPr>
            <w:tcW w:w="7540" w:type="dxa"/>
            <w:vAlign w:val="center"/>
            <w:textDirection w:val="lrTb"/>
            <w:noWrap w:val="false"/>
          </w:tcPr>
          <w:p>
            <w:pPr>
              <w:pStyle w:val="1028"/>
              <w:jc w:val="left"/>
              <w:spacing w:line="360" w:lineRule="exact"/>
              <w:rPr>
                <w:sz w:val="24"/>
              </w:rPr>
            </w:pPr>
            <w:r>
              <w:rPr>
                <w:rFonts w:hint="eastAsia"/>
                <w:sz w:val="24"/>
              </w:rPr>
              <w:t xml:space="preserve">本项目属于</w:t>
            </w:r>
            <w:r>
              <w:rPr>
                <w:rFonts w:hint="eastAsia"/>
                <w:b/>
                <w:bCs/>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bookmarkStart w:id="85" w:name="OLE_LINK74"/>
            <w:r>
              <w:rPr>
                <w:rFonts w:hint="eastAsia"/>
                <w:b/>
                <w:bCs/>
                <w:sz w:val="24"/>
                <w:u w:val="single"/>
              </w:rPr>
              <w:t xml:space="preserve">其他未列明行业</w:t>
            </w:r>
            <w:bookmarkEnd w:id="85"/>
            <w:r>
              <w:rPr>
                <w:rFonts w:hint="eastAsia"/>
                <w:sz w:val="24"/>
              </w:rPr>
              <w:t xml:space="preserve">（《关于印发中小企业划型标准规定的通</w:t>
            </w:r>
            <w:r>
              <w:rPr>
                <w:rFonts w:hint="eastAsia"/>
                <w:sz w:val="24"/>
              </w:rPr>
              <w:t xml:space="preserve">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pStyle w:val="1028"/>
              <w:jc w:val="center"/>
              <w:spacing w:line="360" w:lineRule="exact"/>
              <w:rPr>
                <w:sz w:val="24"/>
              </w:rPr>
            </w:pPr>
            <w:r/>
            <w:bookmarkStart w:id="86" w:name="OLE_LINK33"/>
            <w:r>
              <w:rPr>
                <w:rFonts w:hint="eastAsia"/>
                <w:sz w:val="24"/>
              </w:rPr>
              <w:t xml:space="preserve">履约保证金</w:t>
            </w:r>
            <w:bookmarkEnd w:id="86"/>
            <w:r>
              <w:rPr>
                <w:sz w:val="24"/>
              </w:rPr>
            </w:r>
            <w:r/>
          </w:p>
        </w:tc>
        <w:tc>
          <w:tcPr>
            <w:tcW w:w="7540" w:type="dxa"/>
            <w:vAlign w:val="center"/>
            <w:textDirection w:val="lrTb"/>
            <w:noWrap w:val="false"/>
          </w:tcPr>
          <w:p>
            <w:pPr>
              <w:pStyle w:val="1028"/>
              <w:jc w:val="left"/>
              <w:rPr>
                <w:sz w:val="24"/>
              </w:rPr>
            </w:pPr>
            <w:r>
              <w:rPr>
                <w:rFonts w:hint="eastAsia"/>
                <w:sz w:val="24"/>
              </w:rPr>
              <w:t xml:space="preserve">合同金额的</w:t>
            </w:r>
            <w:r>
              <w:rPr>
                <w:sz w:val="24"/>
              </w:rPr>
              <w:t xml:space="preserve">5%</w:t>
            </w:r>
            <w:r>
              <w:rPr>
                <w:rFonts w:hint="eastAsia"/>
                <w:sz w:val="24"/>
              </w:rPr>
              <w:t xml:space="preserve">。按照</w:t>
            </w:r>
            <w:bookmarkStart w:id="87" w:name="OLE_LINK12"/>
            <w:r>
              <w:rPr>
                <w:rFonts w:hint="eastAsia"/>
                <w:sz w:val="24"/>
              </w:rPr>
              <w:t xml:space="preserve">苏财购</w:t>
            </w:r>
            <w:r>
              <w:rPr>
                <w:sz w:val="24"/>
              </w:rPr>
              <w:t xml:space="preserve">[2023]150</w:t>
            </w:r>
            <w:r>
              <w:rPr>
                <w:rFonts w:hint="eastAsia"/>
                <w:sz w:val="24"/>
              </w:rPr>
              <w:t xml:space="preserve">号文</w:t>
            </w:r>
            <w:bookmarkEnd w:id="87"/>
            <w:r>
              <w:rPr>
                <w:rFonts w:hint="eastAsia"/>
                <w:sz w:val="24"/>
              </w:rPr>
              <w:t xml:space="preserve">，鼓励采用电子保函形式。中标人也可以自主选择以支票、汇票、本票、保函等非现金形式缴纳或提交。</w:t>
            </w:r>
            <w:r>
              <w:rPr>
                <w:sz w:val="24"/>
              </w:rPr>
            </w:r>
            <w:r/>
          </w:p>
          <w:p>
            <w:pPr>
              <w:pStyle w:val="1028"/>
              <w:jc w:val="left"/>
              <w:rPr>
                <w:sz w:val="24"/>
              </w:rPr>
            </w:pPr>
            <w:r/>
            <w:bookmarkStart w:id="88" w:name="OLE_LINK15"/>
            <w:r>
              <w:rPr>
                <w:rFonts w:hint="eastAsia"/>
                <w:sz w:val="24"/>
              </w:rPr>
              <w:t xml:space="preserve">履约保证金</w:t>
            </w:r>
            <w:bookmarkEnd w:id="88"/>
            <w:r>
              <w:rPr>
                <w:rFonts w:hint="eastAsia"/>
                <w:sz w:val="24"/>
              </w:rPr>
              <w:t xml:space="preserve">的提交时间：中标人应当在合同签订前向采购人足额提交履约保证金。</w:t>
            </w:r>
            <w:r>
              <w:rPr>
                <w:sz w:val="24"/>
              </w:rPr>
            </w:r>
            <w:r/>
          </w:p>
          <w:p>
            <w:pPr>
              <w:pStyle w:val="1028"/>
              <w:jc w:val="left"/>
              <w:rPr>
                <w:rFonts w:hint="eastAsia"/>
                <w:sz w:val="24"/>
              </w:rPr>
            </w:pPr>
            <w:r/>
            <w:bookmarkStart w:id="89" w:name="OLE_LINK34"/>
            <w:r>
              <w:rPr>
                <w:rFonts w:hint="eastAsia"/>
                <w:sz w:val="24"/>
              </w:rPr>
              <w:t xml:space="preserve">履约保证金期限：两年。</w:t>
            </w:r>
            <w:r/>
          </w:p>
          <w:p>
            <w:pPr>
              <w:pStyle w:val="1028"/>
              <w:jc w:val="left"/>
              <w:rPr>
                <w:sz w:val="24"/>
              </w:rPr>
            </w:pPr>
            <w:r/>
            <w:bookmarkEnd w:id="89"/>
            <w:r>
              <w:rPr>
                <w:rFonts w:hint="eastAsia"/>
                <w:sz w:val="24"/>
              </w:rPr>
              <w:t xml:space="preserve">履约保证金退还方式：支票、汇票、本票或履约保函（保险）形式。</w:t>
            </w:r>
            <w:r>
              <w:rPr>
                <w:sz w:val="24"/>
              </w:rPr>
            </w:r>
            <w:r/>
          </w:p>
          <w:p>
            <w:pPr>
              <w:pStyle w:val="1028"/>
              <w:jc w:val="left"/>
              <w:rPr>
                <w:sz w:val="24"/>
              </w:rPr>
            </w:pPr>
            <w:r>
              <w:rPr>
                <w:rFonts w:hint="eastAsia"/>
                <w:sz w:val="24"/>
              </w:rPr>
              <w:t xml:space="preserve">履约保证金退还时间：采购人应在服务期满验收合格之日起</w:t>
            </w:r>
            <w:r>
              <w:rPr>
                <w:sz w:val="24"/>
              </w:rPr>
              <w:t xml:space="preserve">7</w:t>
            </w:r>
            <w:r>
              <w:rPr>
                <w:rFonts w:hint="eastAsia"/>
                <w:sz w:val="24"/>
              </w:rPr>
              <w:t xml:space="preserve">个工作日内退还剩余的履约保证金（无息）。</w:t>
            </w:r>
            <w:r>
              <w:rPr>
                <w:sz w:val="24"/>
              </w:rPr>
            </w:r>
            <w:r/>
          </w:p>
          <w:p>
            <w:pPr>
              <w:pStyle w:val="1028"/>
              <w:jc w:val="left"/>
              <w:rPr>
                <w:sz w:val="24"/>
              </w:rPr>
            </w:pPr>
            <w:r>
              <w:rPr>
                <w:rFonts w:hint="eastAsia"/>
                <w:sz w:val="24"/>
              </w:rPr>
              <w:t xml:space="preserve">履约保证金退还条件：中标人按合同要求履约</w:t>
            </w:r>
            <w:r>
              <w:rPr>
                <w:rFonts w:hint="eastAsia"/>
                <w:sz w:val="24"/>
              </w:rPr>
              <w:t xml:space="preserve">完成后，经采购人审核后无息退还。</w:t>
            </w:r>
            <w:r>
              <w:rPr>
                <w:sz w:val="24"/>
              </w:rPr>
            </w:r>
            <w:r/>
          </w:p>
          <w:p>
            <w:pPr>
              <w:pStyle w:val="1028"/>
              <w:jc w:val="left"/>
              <w:spacing w:line="360" w:lineRule="exact"/>
              <w:rPr>
                <w:sz w:val="24"/>
              </w:rPr>
            </w:pPr>
            <w:r>
              <w:rPr>
                <w:rFonts w:hint="eastAsia"/>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rPr>
                <w:sz w:val="24"/>
              </w:rPr>
            </w:r>
            <w:r/>
          </w:p>
        </w:tc>
      </w:tr>
      <w:tr>
        <w:trPr>
          <w:trHeight w:val="695"/>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pStyle w:val="1028"/>
              <w:jc w:val="center"/>
              <w:spacing w:line="360" w:lineRule="exact"/>
              <w:rPr>
                <w:sz w:val="24"/>
              </w:rPr>
            </w:pPr>
            <w:r>
              <w:rPr>
                <w:sz w:val="24"/>
              </w:rPr>
              <w:t xml:space="preserve">投标有效期</w:t>
            </w:r>
            <w:r/>
          </w:p>
        </w:tc>
        <w:tc>
          <w:tcPr>
            <w:tcW w:w="7540" w:type="dxa"/>
            <w:vAlign w:val="center"/>
            <w:textDirection w:val="lrTb"/>
            <w:noWrap w:val="false"/>
          </w:tcPr>
          <w:p>
            <w:pPr>
              <w:pStyle w:val="1028"/>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trHeight w:val="823"/>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pStyle w:val="1028"/>
              <w:jc w:val="center"/>
              <w:spacing w:line="360" w:lineRule="exact"/>
              <w:rPr>
                <w:sz w:val="24"/>
              </w:rPr>
            </w:pPr>
            <w:r>
              <w:rPr>
                <w:sz w:val="24"/>
              </w:rPr>
              <w:t xml:space="preserve">分包</w:t>
            </w:r>
            <w:r/>
          </w:p>
        </w:tc>
        <w:tc>
          <w:tcPr>
            <w:tcW w:w="7540" w:type="dxa"/>
            <w:vAlign w:val="center"/>
            <w:textDirection w:val="lrTb"/>
            <w:noWrap w:val="false"/>
          </w:tcPr>
          <w:p>
            <w:pPr>
              <w:pStyle w:val="1028"/>
              <w:jc w:val="left"/>
              <w:spacing w:line="360" w:lineRule="exact"/>
              <w:rPr>
                <w:rFonts w:hint="eastAsia"/>
                <w:sz w:val="24"/>
              </w:rPr>
            </w:pPr>
            <w:r>
              <w:rPr>
                <w:sz w:val="24"/>
              </w:rPr>
              <w:t xml:space="preserve">本项目的非主体、非关键性工作是否允许分包：不允许</w:t>
            </w:r>
            <w:r>
              <w:rPr>
                <w:rFonts w:hint="eastAsia"/>
                <w:sz w:val="24"/>
              </w:rPr>
            </w:r>
            <w:r/>
          </w:p>
        </w:tc>
      </w:tr>
      <w:tr>
        <w:trPr>
          <w:trHeight w:val="20"/>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pStyle w:val="1028"/>
              <w:jc w:val="center"/>
              <w:spacing w:line="360" w:lineRule="exact"/>
              <w:rPr>
                <w:sz w:val="24"/>
              </w:rPr>
            </w:pPr>
            <w:r>
              <w:rPr>
                <w:sz w:val="24"/>
              </w:rPr>
              <w:t xml:space="preserve">询问</w:t>
            </w:r>
            <w:r/>
          </w:p>
        </w:tc>
        <w:tc>
          <w:tcPr>
            <w:tcW w:w="7540" w:type="dxa"/>
            <w:vAlign w:val="center"/>
            <w:textDirection w:val="lrTb"/>
            <w:noWrap w:val="false"/>
          </w:tcPr>
          <w:p>
            <w:pPr>
              <w:pStyle w:val="1028"/>
              <w:ind w:left="240" w:hanging="240"/>
              <w:jc w:val="left"/>
              <w:spacing w:line="360" w:lineRule="exact"/>
              <w:rPr>
                <w:sz w:val="24"/>
              </w:rPr>
            </w:pPr>
            <w:r>
              <w:rPr>
                <w:rFonts w:hint="eastAsia"/>
                <w:sz w:val="24"/>
              </w:rPr>
              <w:t xml:space="preserve">已登记参加本项目的供应商对招标文件如有疑问，可于</w:t>
            </w:r>
            <w:r>
              <w:rPr>
                <w:rFonts w:hint="eastAsia"/>
                <w:sz w:val="24"/>
              </w:rPr>
              <w:t xml:space="preserve">2026</w:t>
            </w:r>
            <w:r>
              <w:rPr>
                <w:sz w:val="24"/>
              </w:rPr>
              <w:t xml:space="preserve">年</w:t>
            </w:r>
            <w:r>
              <w:rPr>
                <w:rFonts w:hint="eastAsia"/>
                <w:sz w:val="24"/>
              </w:rPr>
              <w:t xml:space="preserve">7</w:t>
            </w:r>
            <w:r>
              <w:rPr>
                <w:sz w:val="24"/>
              </w:rPr>
              <w:t xml:space="preserve">月23</w:t>
            </w:r>
            <w:r>
              <w:rPr>
                <w:sz w:val="24"/>
              </w:rPr>
              <w:t xml:space="preserve">日</w:t>
            </w:r>
            <w:r>
              <w:rPr>
                <w:rFonts w:hint="eastAsia"/>
                <w:sz w:val="24"/>
              </w:rPr>
              <w:t xml:space="preserve">17:30前将相关疑问（格式详见招标文件中“关于招标文件的询问内容”）发送至邮箱（</w:t>
            </w:r>
            <w:r>
              <w:rPr>
                <w:sz w:val="24"/>
              </w:rPr>
              <w:t xml:space="preserve">251616277@qq.com</w:t>
            </w:r>
            <w:r>
              <w:rPr>
                <w:rFonts w:hint="eastAsia"/>
                <w:sz w:val="24"/>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rPr>
                <w:sz w:val="24"/>
              </w:rPr>
            </w:r>
            <w:r/>
          </w:p>
        </w:tc>
      </w:tr>
      <w:tr>
        <w:trPr>
          <w:trHeight w:val="2093"/>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pStyle w:val="1028"/>
              <w:jc w:val="center"/>
              <w:spacing w:line="360" w:lineRule="exact"/>
              <w:rPr>
                <w:sz w:val="24"/>
              </w:rPr>
            </w:pPr>
            <w:r>
              <w:rPr>
                <w:sz w:val="24"/>
              </w:rPr>
              <w:t xml:space="preserve">联系方式</w:t>
            </w:r>
            <w:r/>
          </w:p>
        </w:tc>
        <w:tc>
          <w:tcPr>
            <w:tcW w:w="7540" w:type="dxa"/>
            <w:vAlign w:val="center"/>
            <w:textDirection w:val="lrTb"/>
            <w:noWrap w:val="false"/>
          </w:tcPr>
          <w:p>
            <w:pPr>
              <w:pStyle w:val="1028"/>
              <w:jc w:val="left"/>
              <w:spacing w:line="360" w:lineRule="exact"/>
              <w:rPr>
                <w:sz w:val="24"/>
              </w:rPr>
            </w:pPr>
            <w:r>
              <w:rPr>
                <w:sz w:val="24"/>
              </w:rPr>
              <w:t xml:space="preserve">接收质疑的联系方式</w:t>
            </w:r>
            <w:r>
              <w:rPr>
                <w:rFonts w:hint="eastAsia"/>
                <w:sz w:val="24"/>
              </w:rPr>
              <w:t xml:space="preserve">：</w:t>
            </w:r>
            <w:r>
              <w:rPr>
                <w:sz w:val="24"/>
              </w:rPr>
            </w:r>
            <w:r/>
          </w:p>
          <w:p>
            <w:pPr>
              <w:pStyle w:val="1109"/>
              <w:spacing w:line="360" w:lineRule="exact"/>
              <w:rPr>
                <w:color w:val="000000"/>
              </w:rPr>
            </w:pPr>
            <w:r>
              <w:rPr>
                <w:color w:val="000000"/>
              </w:rPr>
              <w:t xml:space="preserve">（）采购人联系电话、通讯地址详见《第一章投标邀请》。</w:t>
            </w:r>
            <w:r/>
          </w:p>
          <w:p>
            <w:pPr>
              <w:pStyle w:val="1028"/>
              <w:jc w:val="left"/>
              <w:spacing w:line="360" w:lineRule="exact"/>
              <w:rPr>
                <w:sz w:val="24"/>
              </w:rPr>
            </w:pPr>
            <w:r>
              <w:rPr>
                <w:rFonts w:hint="eastAsia"/>
                <w:sz w:val="24"/>
              </w:rPr>
              <w:t xml:space="preserve">（</w:t>
            </w:r>
            <w:r>
              <w:rPr>
                <w:sz w:val="24"/>
              </w:rPr>
              <w:t xml:space="preserve">2</w:t>
            </w:r>
            <w:r>
              <w:rPr>
                <w:rFonts w:hint="eastAsia"/>
                <w:sz w:val="24"/>
              </w:rPr>
              <w:t xml:space="preserve">）代</w:t>
            </w:r>
            <w:r>
              <w:rPr>
                <w:rFonts w:hint="eastAsia"/>
                <w:sz w:val="24"/>
              </w:rPr>
              <w:t xml:space="preserve">理机构：常州市智泽南福工程招投标咨询有限公司</w:t>
            </w:r>
            <w:r>
              <w:rPr>
                <w:sz w:val="24"/>
              </w:rPr>
            </w:r>
            <w:r/>
          </w:p>
          <w:p>
            <w:pPr>
              <w:pStyle w:val="1028"/>
              <w:ind w:firstLine="480"/>
              <w:jc w:val="left"/>
              <w:spacing w:line="360" w:lineRule="exact"/>
              <w:rPr>
                <w:sz w:val="24"/>
              </w:rPr>
            </w:pPr>
            <w:r>
              <w:rPr>
                <w:sz w:val="24"/>
              </w:rPr>
              <w:t xml:space="preserve">联系电话：</w:t>
            </w:r>
            <w:r>
              <w:rPr>
                <w:rFonts w:hint="eastAsia"/>
                <w:sz w:val="24"/>
              </w:rPr>
              <w:t xml:space="preserve">13961472886</w:t>
            </w:r>
            <w:r>
              <w:rPr>
                <w:sz w:val="24"/>
              </w:rPr>
              <w:t xml:space="preserve">；</w:t>
            </w:r>
            <w:r/>
          </w:p>
          <w:p>
            <w:pPr>
              <w:pStyle w:val="1028"/>
              <w:ind w:firstLine="480"/>
              <w:jc w:val="left"/>
              <w:spacing w:line="360" w:lineRule="exact"/>
              <w:rPr>
                <w:sz w:val="24"/>
              </w:rPr>
            </w:pPr>
            <w:r>
              <w:rPr>
                <w:sz w:val="24"/>
              </w:rPr>
              <w:t xml:space="preserve">通讯地址：</w:t>
            </w:r>
            <w:r>
              <w:rPr>
                <w:rFonts w:hint="eastAsia" w:ascii="宋体" w:hAnsi="宋体" w:cs="宋体"/>
                <w:sz w:val="24"/>
              </w:rPr>
              <w:t xml:space="preserve">常州市武进区湖塘镇武进万达广场2幢1315室</w:t>
            </w:r>
            <w:r>
              <w:rPr>
                <w:sz w:val="24"/>
              </w:rPr>
              <w:t xml:space="preserve">。</w:t>
            </w:r>
            <w:r/>
          </w:p>
        </w:tc>
      </w:tr>
      <w:tr>
        <w:trPr>
          <w:trHeight w:val="1624"/>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1028"/>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pStyle w:val="1028"/>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r>
              <w:rPr>
                <w:sz w:val="24"/>
              </w:rPr>
            </w:r>
            <w:r/>
          </w:p>
        </w:tc>
      </w:tr>
      <w:tr>
        <w:trPr>
          <w:trHeight w:val="1624"/>
        </w:trPr>
        <w:tc>
          <w:tcPr>
            <w:tcW w:w="988" w:type="dxa"/>
            <w:vAlign w:val="center"/>
            <w:textDirection w:val="lrTb"/>
            <w:noWrap w:val="false"/>
          </w:tcPr>
          <w:p>
            <w:pPr>
              <w:pStyle w:val="1068"/>
              <w:jc w:val="center"/>
              <w:spacing w:line="360" w:lineRule="exact"/>
              <w:rPr>
                <w:rFonts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pStyle w:val="1028"/>
              <w:jc w:val="center"/>
              <w:spacing w:line="360" w:lineRule="exact"/>
              <w:rPr>
                <w:sz w:val="24"/>
              </w:rPr>
            </w:pPr>
            <w:r>
              <w:rPr>
                <w:rFonts w:hint="eastAsia"/>
                <w:sz w:val="24"/>
              </w:rPr>
              <w:t xml:space="preserve">代理费</w:t>
            </w:r>
            <w:r>
              <w:rPr>
                <w:sz w:val="24"/>
              </w:rPr>
            </w:r>
            <w:r/>
          </w:p>
        </w:tc>
        <w:tc>
          <w:tcPr>
            <w:tcW w:w="7540" w:type="dxa"/>
            <w:vAlign w:val="center"/>
            <w:textDirection w:val="lrTb"/>
            <w:noWrap w:val="false"/>
          </w:tcPr>
          <w:p>
            <w:pPr>
              <w:pStyle w:val="1028"/>
              <w:jc w:val="left"/>
              <w:rPr>
                <w:sz w:val="24"/>
              </w:rPr>
            </w:pPr>
            <w:r>
              <w:rPr>
                <w:rFonts w:hint="eastAsia"/>
                <w:sz w:val="24"/>
              </w:rPr>
              <w:t xml:space="preserve">收费对象：中标人，预算金额包含代理费，该费用由中标人承担。</w:t>
            </w:r>
            <w:r>
              <w:rPr>
                <w:sz w:val="24"/>
              </w:rPr>
            </w:r>
            <w:r/>
          </w:p>
          <w:p>
            <w:pPr>
              <w:pStyle w:val="1028"/>
              <w:jc w:val="left"/>
              <w:rPr>
                <w:sz w:val="24"/>
              </w:rPr>
            </w:pPr>
            <w:r>
              <w:rPr>
                <w:rFonts w:hint="eastAsia"/>
                <w:sz w:val="24"/>
              </w:rPr>
              <w:t xml:space="preserve">收费标准：《江苏省政府采购代理服务收费指导意见》(苏政采(2</w:t>
            </w:r>
            <w:r>
              <w:rPr>
                <w:rFonts w:hint="eastAsia"/>
                <w:sz w:val="24"/>
              </w:rPr>
              <w:t xml:space="preserve">024)20号)</w:t>
            </w:r>
            <w:r>
              <w:rPr>
                <w:sz w:val="24"/>
              </w:rPr>
            </w:r>
            <w:r/>
          </w:p>
          <w:tbl>
            <w:tblPr>
              <w:tblW w:w="63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52"/>
              <w:gridCol w:w="3451"/>
            </w:tblGrid>
            <w:tr>
              <w:trPr>
                <w:trHeight w:val="463"/>
              </w:trPr>
              <w:tc>
                <w:tcPr>
                  <w:tcW w:w="2852" w:type="dxa"/>
                  <w:vAlign w:val="top"/>
                  <w:textDirection w:val="lrTb"/>
                  <w:noWrap w:val="false"/>
                </w:tcPr>
                <w:p>
                  <w:pPr>
                    <w:pStyle w:val="1028"/>
                    <w:ind w:firstLine="945"/>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-112394</wp:posOffset>
                            </wp:positionH>
                            <wp:positionV relativeFrom="paragraph">
                              <wp:posOffset>-4444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52;mso-wrap-distance-left:9.0pt;mso-wrap-distance-top:0.0pt;mso-wrap-distance-right:9.0pt;mso-wrap-distance-bottom:0.0pt;visibility:visible;" from="-8.8pt,-0.3pt" to="-8.8pt,-0.3pt" filled="f" strokecolor="#000000"/>
                        </w:pict>
                      </mc:Fallback>
                    </mc:AlternateContent>
                  </w:r>
                  <w:r>
                    <w:rPr>
                      <w:rFonts w:hint="eastAsia" w:ascii="宋体" w:hAnsi="宋体" w:cs="宋体"/>
                      <w:bCs/>
                      <w:szCs w:val="21"/>
                    </w:rPr>
                    <w:t xml:space="preserve">服</w:t>
                  </w:r>
                  <w:r/>
                </w:p>
                <w:p>
                  <w:pPr>
                    <w:pStyle w:val="1028"/>
                    <w:ind w:firstLine="210"/>
                    <w:spacing w:line="400" w:lineRule="exact"/>
                    <w:rPr>
                      <w:rFonts w:hint="eastAsia" w:ascii="宋体" w:hAnsi="宋体" w:cs="宋体"/>
                      <w:bCs/>
                      <w:szCs w:val="21"/>
                    </w:rPr>
                  </w:pPr>
                  <w:r>
                    <w:rPr>
                      <w:rFonts w:hint="eastAsia" w:ascii="宋体" w:hAnsi="宋体" w:cs="宋体"/>
                      <w:bCs/>
                      <w:szCs w:val="21"/>
                    </w:rPr>
                    <w:t xml:space="preserve">费　　 　  务</w:t>
                  </w:r>
                  <w:r/>
                </w:p>
                <w:p>
                  <w:pPr>
                    <w:pStyle w:val="1028"/>
                    <w:ind w:firstLine="1680"/>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-50799</wp:posOffset>
                            </wp:positionH>
                            <wp:positionV relativeFrom="paragraph">
                              <wp:posOffset>40005</wp:posOffset>
                            </wp:positionV>
                            <wp:extent cx="1641475" cy="96710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53;mso-wrap-distance-left:9.0pt;mso-wrap-distance-top:0.0pt;mso-wrap-distance-right:9.0pt;mso-wrap-distance-bottom:0.0pt;flip:xy;visibility:visible;" from="-4.0pt,3.1pt" to="125.3pt,79.3pt" fillcolor="#FFFFFF" strokecolor="#000000"/>
                        </w:pict>
                      </mc:Fallback>
                    </mc:AlternateContent>
                  </w:r>
                  <w:r>
                    <w:rPr>
                      <w:rFonts w:hint="eastAsia" w:ascii="宋体" w:hAnsi="宋体" w:cs="宋体"/>
                      <w:bCs/>
                      <w:szCs w:val="21"/>
                    </w:rPr>
                    <w:t xml:space="preserve">类</w:t>
                  </w:r>
                  <w:r/>
                </w:p>
                <w:p>
                  <w:pPr>
                    <w:pStyle w:val="1028"/>
                    <w:ind w:firstLine="1260"/>
                    <w:spacing w:line="400" w:lineRule="exact"/>
                    <w:rPr>
                      <w:rFonts w:hint="eastAsia" w:ascii="宋体" w:hAnsi="宋体" w:cs="宋体"/>
                      <w:bCs/>
                      <w:szCs w:val="21"/>
                    </w:rPr>
                  </w:pPr>
                  <w:r>
                    <w:rPr>
                      <w:rFonts w:hint="eastAsia" w:ascii="宋体" w:hAnsi="宋体" w:cs="宋体"/>
                      <w:bCs/>
                      <w:szCs w:val="21"/>
                    </w:rPr>
                    <w:t xml:space="preserve">率　    型　</w:t>
                  </w:r>
                  <w:r/>
                </w:p>
                <w:p>
                  <w:pPr>
                    <w:pStyle w:val="1028"/>
                    <w:spacing w:line="400" w:lineRule="exact"/>
                    <w:rPr>
                      <w:rFonts w:hint="eastAsia" w:ascii="宋体" w:hAnsi="宋体" w:cs="宋体"/>
                      <w:bCs/>
                      <w:szCs w:val="21"/>
                    </w:rPr>
                  </w:pPr>
                  <w:r>
                    <w:rPr>
                      <w:rFonts w:hint="eastAsia" w:ascii="宋体" w:hAnsi="宋体" w:cs="宋体"/>
                      <w:bCs/>
                      <w:szCs w:val="21"/>
                    </w:rPr>
                  </w:r>
                  <w:r/>
                </w:p>
                <w:p>
                  <w:pPr>
                    <w:pStyle w:val="1028"/>
                    <w:spacing w:line="400" w:lineRule="exact"/>
                    <w:rPr>
                      <w:rFonts w:hint="eastAsia" w:ascii="宋体" w:hAnsi="宋体" w:cs="宋体"/>
                      <w:bCs/>
                      <w:szCs w:val="21"/>
                    </w:rPr>
                  </w:pPr>
                  <w:r>
                    <w:rPr>
                      <w:rFonts w:hint="eastAsia" w:ascii="宋体" w:hAnsi="宋体" w:cs="宋体"/>
                      <w:szCs w:val="21"/>
                    </w:rPr>
                    <w:t xml:space="preserve">中标金额（万元</w:t>
                  </w:r>
                  <w:r>
                    <w:rPr>
                      <w:rFonts w:hint="eastAsia" w:ascii="宋体" w:hAnsi="宋体" w:cs="宋体"/>
                      <w:bCs/>
                      <w:szCs w:val="21"/>
                    </w:rPr>
                    <w:t xml:space="preserve">）</w:t>
                  </w:r>
                  <w:r/>
                </w:p>
              </w:tc>
              <w:tc>
                <w:tcPr>
                  <w:tcW w:w="3451" w:type="dxa"/>
                  <w:vAlign w:val="center"/>
                  <w:textDirection w:val="lrTb"/>
                  <w:noWrap w:val="false"/>
                </w:tcPr>
                <w:p>
                  <w:pPr>
                    <w:pStyle w:val="1028"/>
                    <w:jc w:val="center"/>
                    <w:spacing w:line="400" w:lineRule="exact"/>
                    <w:rPr>
                      <w:rFonts w:hint="eastAsia" w:ascii="宋体" w:hAnsi="宋体" w:cs="宋体"/>
                      <w:bCs/>
                      <w:szCs w:val="21"/>
                    </w:rPr>
                  </w:pPr>
                  <w:r>
                    <w:rPr>
                      <w:rFonts w:hint="eastAsia" w:ascii="宋体" w:hAnsi="宋体" w:cs="宋体"/>
                      <w:bCs/>
                      <w:szCs w:val="21"/>
                    </w:rPr>
                    <w:t xml:space="preserve">服务招标</w:t>
                  </w:r>
                  <w:r/>
                </w:p>
              </w:tc>
            </w:tr>
            <w:tr>
              <w:trPr>
                <w:trHeight w:val="372"/>
              </w:trPr>
              <w:tc>
                <w:tcPr>
                  <w:tcW w:w="2852" w:type="dxa"/>
                  <w:vAlign w:val="top"/>
                  <w:textDirection w:val="lrTb"/>
                  <w:noWrap w:val="false"/>
                </w:tcPr>
                <w:p>
                  <w:pPr>
                    <w:pStyle w:val="1028"/>
                    <w:jc w:val="center"/>
                    <w:spacing w:line="400" w:lineRule="exact"/>
                    <w:rPr>
                      <w:rFonts w:hint="eastAsia" w:ascii="宋体" w:hAnsi="宋体" w:cs="宋体"/>
                      <w:szCs w:val="21"/>
                    </w:rPr>
                  </w:pPr>
                  <w:r>
                    <w:rPr>
                      <w:rFonts w:hint="eastAsia" w:ascii="宋体" w:hAnsi="宋体" w:cs="宋体"/>
                      <w:szCs w:val="21"/>
                    </w:rPr>
                    <w:t xml:space="preserve">50（含，下同）以下</w:t>
                  </w:r>
                  <w:r/>
                </w:p>
              </w:tc>
              <w:tc>
                <w:tcPr>
                  <w:tcW w:w="3451" w:type="dxa"/>
                  <w:vAlign w:val="top"/>
                  <w:textDirection w:val="lrTb"/>
                  <w:noWrap w:val="false"/>
                </w:tcPr>
                <w:p>
                  <w:pPr>
                    <w:pStyle w:val="1028"/>
                    <w:jc w:val="center"/>
                    <w:spacing w:line="400" w:lineRule="exact"/>
                    <w:rPr>
                      <w:rFonts w:hint="eastAsia" w:ascii="宋体" w:hAnsi="宋体" w:cs="宋体"/>
                      <w:szCs w:val="21"/>
                    </w:rPr>
                  </w:pPr>
                  <w:r>
                    <w:rPr>
                      <w:rFonts w:hint="eastAsia" w:ascii="宋体" w:hAnsi="宋体" w:cs="宋体"/>
                      <w:szCs w:val="21"/>
                    </w:rPr>
                    <w:t xml:space="preserve">1.6%</w:t>
                  </w:r>
                  <w:r/>
                </w:p>
              </w:tc>
            </w:tr>
            <w:tr>
              <w:trPr>
                <w:trHeight w:val="372"/>
              </w:trPr>
              <w:tc>
                <w:tcPr>
                  <w:tcW w:w="2852" w:type="dxa"/>
                  <w:vAlign w:val="top"/>
                  <w:textDirection w:val="lrTb"/>
                  <w:noWrap w:val="false"/>
                </w:tcPr>
                <w:p>
                  <w:pPr>
                    <w:pStyle w:val="1028"/>
                    <w:jc w:val="center"/>
                    <w:spacing w:line="400" w:lineRule="exact"/>
                    <w:rPr>
                      <w:rFonts w:hint="eastAsia" w:ascii="宋体" w:hAnsi="宋体" w:cs="宋体"/>
                      <w:szCs w:val="21"/>
                    </w:rPr>
                  </w:pPr>
                  <w:r>
                    <w:rPr>
                      <w:rFonts w:hint="eastAsia" w:ascii="宋体" w:hAnsi="宋体" w:cs="宋体"/>
                      <w:szCs w:val="21"/>
                    </w:rPr>
                    <w:t xml:space="preserve">50-400</w:t>
                  </w:r>
                  <w:r/>
                </w:p>
              </w:tc>
              <w:tc>
                <w:tcPr>
                  <w:tcW w:w="3451" w:type="dxa"/>
                  <w:vAlign w:val="top"/>
                  <w:textDirection w:val="lrTb"/>
                  <w:noWrap w:val="false"/>
                </w:tcPr>
                <w:p>
                  <w:pPr>
                    <w:pStyle w:val="1028"/>
                    <w:jc w:val="center"/>
                    <w:spacing w:line="400" w:lineRule="exact"/>
                    <w:rPr>
                      <w:rFonts w:hint="eastAsia" w:ascii="宋体" w:hAnsi="宋体" w:cs="宋体"/>
                      <w:szCs w:val="21"/>
                    </w:rPr>
                  </w:pPr>
                  <w:r>
                    <w:rPr>
                      <w:rFonts w:hint="eastAsia" w:ascii="宋体" w:hAnsi="宋体" w:cs="宋体"/>
                      <w:szCs w:val="21"/>
                    </w:rPr>
                    <w:t xml:space="preserve">1.5%</w:t>
                  </w:r>
                  <w:r/>
                </w:p>
              </w:tc>
            </w:tr>
            <w:tr>
              <w:trPr>
                <w:trHeight w:val="372"/>
              </w:trPr>
              <w:tc>
                <w:tcPr>
                  <w:tcW w:w="2852"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400-1000</w:t>
                  </w:r>
                  <w:r/>
                </w:p>
              </w:tc>
              <w:tc>
                <w:tcPr>
                  <w:tcW w:w="3451"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1.1%</w:t>
                  </w:r>
                  <w:r/>
                </w:p>
              </w:tc>
            </w:tr>
            <w:tr>
              <w:trPr>
                <w:trHeight w:val="383"/>
              </w:trPr>
              <w:tc>
                <w:tcPr>
                  <w:tcW w:w="2852"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1000-5000</w:t>
                  </w:r>
                  <w:r/>
                </w:p>
              </w:tc>
              <w:tc>
                <w:tcPr>
                  <w:tcW w:w="3451"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0.8%</w:t>
                  </w:r>
                  <w:r/>
                </w:p>
              </w:tc>
            </w:tr>
            <w:tr>
              <w:trPr>
                <w:trHeight w:val="372"/>
              </w:trPr>
              <w:tc>
                <w:tcPr>
                  <w:tcW w:w="2852"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5000-10000</w:t>
                  </w:r>
                  <w:r/>
                </w:p>
              </w:tc>
              <w:tc>
                <w:tcPr>
                  <w:tcW w:w="3451"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0.25%</w:t>
                  </w:r>
                  <w:r/>
                </w:p>
              </w:tc>
            </w:tr>
            <w:tr>
              <w:trPr>
                <w:trHeight w:val="326"/>
              </w:trPr>
              <w:tc>
                <w:tcPr>
                  <w:tcW w:w="2852"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w:t>
                  </w:r>
                  <w:r/>
                </w:p>
              </w:tc>
              <w:tc>
                <w:tcPr>
                  <w:tcW w:w="3451"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w:t>
                  </w:r>
                  <w:r/>
                </w:p>
              </w:tc>
            </w:tr>
            <w:tr>
              <w:trPr>
                <w:trHeight w:val="326"/>
              </w:trPr>
              <w:tc>
                <w:tcPr>
                  <w:gridSpan w:val="2"/>
                  <w:tcW w:w="6303" w:type="dxa"/>
                  <w:vAlign w:val="top"/>
                  <w:textDirection w:val="lrTb"/>
                  <w:noWrap w:val="false"/>
                </w:tcPr>
                <w:p>
                  <w:pPr>
                    <w:pStyle w:val="1028"/>
                    <w:jc w:val="center"/>
                    <w:spacing w:line="360" w:lineRule="exact"/>
                    <w:rPr>
                      <w:rFonts w:hint="eastAsia" w:ascii="宋体" w:hAnsi="宋体" w:cs="宋体"/>
                      <w:szCs w:val="21"/>
                    </w:rPr>
                  </w:pPr>
                  <w:r>
                    <w:rPr>
                      <w:rFonts w:hint="eastAsia" w:ascii="宋体" w:hAnsi="宋体" w:cs="宋体"/>
                      <w:szCs w:val="21"/>
                    </w:rPr>
                    <w:t xml:space="preserve">按上述计算方法不足5000 元，按5</w:t>
                  </w:r>
                  <w:r>
                    <w:rPr>
                      <w:rFonts w:ascii="宋体" w:hAnsi="宋体" w:cs="宋体"/>
                      <w:szCs w:val="21"/>
                    </w:rPr>
                    <w:t xml:space="preserve">000</w:t>
                  </w:r>
                  <w:r>
                    <w:rPr>
                      <w:rFonts w:hint="eastAsia" w:ascii="宋体" w:hAnsi="宋体" w:cs="宋体"/>
                      <w:szCs w:val="21"/>
                    </w:rPr>
                    <w:t xml:space="preserve">元计算</w:t>
                  </w:r>
                  <w:r/>
                </w:p>
              </w:tc>
            </w:tr>
          </w:tbl>
          <w:p>
            <w:pPr>
              <w:pStyle w:val="1109"/>
              <w:rPr>
                <w:rFonts w:ascii="宋体" w:hAnsi="宋体" w:cs="宋体"/>
              </w:rPr>
            </w:pPr>
            <w:r>
              <w:rPr>
                <w:rFonts w:hint="eastAsia"/>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rPr>
              <w:t xml:space="preserve">=中标单价*</w:t>
            </w:r>
            <w:r>
              <w:rPr>
                <w:rFonts w:hint="eastAsia" w:ascii="宋体" w:hAnsi="宋体" w:cs="宋体"/>
              </w:rPr>
              <w:t xml:space="preserve">具体（或预计）数量。</w:t>
            </w:r>
            <w:r>
              <w:rPr>
                <w:rFonts w:ascii="宋体" w:hAnsi="宋体" w:cs="宋体"/>
              </w:rPr>
            </w:r>
            <w:r/>
          </w:p>
          <w:p>
            <w:pPr>
              <w:pStyle w:val="1109"/>
              <w:rPr>
                <w:rFonts w:ascii="宋体" w:hAnsi="宋体" w:cs="宋体"/>
                <w:color w:val="000000"/>
              </w:rPr>
            </w:pPr>
            <w:r>
              <w:rPr>
                <w:rFonts w:hint="eastAsia" w:ascii="宋体" w:hAnsi="宋体" w:cs="宋体"/>
                <w:color w:val="000000"/>
              </w:rPr>
              <w:t xml:space="preserve">最终中标服务费 = 按上述规则计算的服务费*0.4。</w:t>
            </w:r>
            <w:r>
              <w:rPr>
                <w:rFonts w:ascii="宋体" w:hAnsi="宋体" w:cs="宋体"/>
                <w:color w:val="000000"/>
              </w:rPr>
            </w:r>
            <w:r/>
          </w:p>
          <w:p>
            <w:pPr>
              <w:pStyle w:val="1109"/>
              <w:rPr>
                <w:rFonts w:hint="eastAsia"/>
              </w:rPr>
            </w:pPr>
            <w:r>
              <w:rPr>
                <w:rFonts w:ascii="宋体" w:hAnsi="宋体"/>
              </w:rPr>
              <w:t xml:space="preserve">缴纳方式：银行打款（人民币）或现金支付（人民币）。</w:t>
            </w:r>
            <w:r>
              <w:rPr>
                <w:rFonts w:hint="eastAsia"/>
              </w:rPr>
            </w:r>
            <w:r/>
          </w:p>
          <w:p>
            <w:pPr>
              <w:pStyle w:val="1028"/>
              <w:jc w:val="left"/>
              <w:spacing w:line="360" w:lineRule="exact"/>
              <w:rPr>
                <w:sz w:val="24"/>
              </w:rPr>
            </w:pPr>
            <w:r>
              <w:rPr>
                <w:rFonts w:hint="eastAsia"/>
                <w:sz w:val="24"/>
              </w:rPr>
              <w:t xml:space="preserve">缴纳时间：成交</w:t>
            </w:r>
            <w:r>
              <w:rPr>
                <w:rFonts w:hint="eastAsia"/>
                <w:sz w:val="24"/>
              </w:rPr>
              <w:t xml:space="preserve">后，领取中标通知书时。</w:t>
            </w:r>
            <w:r>
              <w:rPr>
                <w:sz w:val="24"/>
              </w:rPr>
            </w:r>
            <w:r/>
          </w:p>
          <w:p>
            <w:pPr>
              <w:pStyle w:val="1028"/>
              <w:jc w:val="left"/>
              <w:spacing w:line="360" w:lineRule="exact"/>
              <w:rPr>
                <w:sz w:val="24"/>
              </w:rPr>
            </w:pPr>
            <w:r>
              <w:rPr>
                <w:rFonts w:hint="eastAsia"/>
                <w:sz w:val="24"/>
              </w:rPr>
              <w:t xml:space="preserve">收款单位：常州市智泽南福工程招投标咨询有限公司</w:t>
            </w:r>
            <w:r>
              <w:rPr>
                <w:sz w:val="24"/>
              </w:rPr>
            </w:r>
            <w:r/>
          </w:p>
          <w:p>
            <w:pPr>
              <w:pStyle w:val="1028"/>
              <w:jc w:val="left"/>
              <w:spacing w:line="360" w:lineRule="exact"/>
              <w:rPr>
                <w:sz w:val="24"/>
              </w:rPr>
            </w:pPr>
            <w:r>
              <w:rPr>
                <w:rFonts w:hint="eastAsia"/>
                <w:sz w:val="24"/>
              </w:rPr>
              <w:t xml:space="preserve">开户银行：中国建设银行股份有限公司常州湖塘支行</w:t>
            </w:r>
            <w:r>
              <w:rPr>
                <w:sz w:val="24"/>
              </w:rPr>
            </w:r>
            <w:r/>
          </w:p>
          <w:p>
            <w:pPr>
              <w:pStyle w:val="1109"/>
              <w:rPr>
                <w:color w:val="000000"/>
              </w:rPr>
            </w:pPr>
            <w:r>
              <w:rPr>
                <w:color w:val="000000"/>
              </w:rPr>
              <w:t xml:space="preserve">银行账号：</w:t>
            </w:r>
            <w:r/>
          </w:p>
          <w:p>
            <w:pPr>
              <w:pStyle w:val="1028"/>
              <w:jc w:val="left"/>
              <w:spacing w:line="360" w:lineRule="exact"/>
              <w:rPr>
                <w:rFonts w:hint="eastAsia"/>
                <w:sz w:val="24"/>
              </w:rPr>
            </w:pPr>
            <w:r>
              <w:rPr>
                <w:rFonts w:hint="eastAsia"/>
                <w:sz w:val="24"/>
              </w:rPr>
              <w:t xml:space="preserve">备注：代理费开具电子发票（普通发票）</w:t>
            </w:r>
            <w:r/>
          </w:p>
        </w:tc>
      </w:tr>
    </w:tbl>
    <w:p>
      <w:pPr>
        <w:pStyle w:val="1028"/>
        <w:jc w:val="both"/>
        <w:spacing w:line="360" w:lineRule="auto"/>
        <w:tabs>
          <w:tab w:val="left" w:pos="5580" w:leader="none"/>
        </w:tabs>
        <w:rPr>
          <w:sz w:val="24"/>
        </w:rPr>
        <w:sectPr>
          <w:headerReference w:type="default" r:id="rId9"/>
          <w:headerReference w:type="first" r:id="rId10"/>
          <w:footerReference w:type="default"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sz w:val="24"/>
        </w:rPr>
        <w:br w:type="page" w:clear="all"/>
      </w:r>
      <w:r/>
    </w:p>
    <w:p>
      <w:pPr>
        <w:pStyle w:val="1030"/>
        <w:spacing w:before="0" w:line="360" w:lineRule="auto"/>
        <w:tabs>
          <w:tab w:val="center" w:pos="4592" w:leader="none"/>
          <w:tab w:val="left" w:pos="7860" w:leader="none"/>
        </w:tabs>
        <w:rPr>
          <w:rFonts w:ascii="Times New Roman" w:hAnsi="Times New Roman" w:eastAsia="宋体"/>
          <w:sz w:val="32"/>
          <w:szCs w:val="32"/>
        </w:rPr>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90" w:name="_Toc151193688"/>
      <w:r/>
      <w:bookmarkStart w:id="91" w:name="_Toc151193760"/>
      <w:r/>
      <w:bookmarkStart w:id="92" w:name="_Toc195842883"/>
      <w:r/>
      <w:bookmarkStart w:id="93" w:name="_Toc151190145"/>
      <w:r/>
      <w:bookmarkStart w:id="94" w:name="_Toc226337214"/>
      <w:r/>
      <w:bookmarkStart w:id="95" w:name="_Toc226309762"/>
      <w:r/>
      <w:bookmarkStart w:id="96" w:name="_Toc520356143"/>
      <w:r/>
      <w:bookmarkStart w:id="97" w:name="_Toc305158786"/>
      <w:r/>
      <w:bookmarkStart w:id="98" w:name="_Toc150480756"/>
      <w:r/>
      <w:bookmarkStart w:id="99" w:name="_Toc142311020"/>
      <w:r/>
      <w:bookmarkStart w:id="100" w:name="_Toc150774723"/>
      <w:r/>
      <w:bookmarkStart w:id="101" w:name="_Toc226965708"/>
      <w:r/>
      <w:bookmarkStart w:id="102" w:name="_Toc265228356"/>
      <w:r/>
      <w:bookmarkStart w:id="103" w:name="_Toc151193906"/>
      <w:r/>
      <w:bookmarkStart w:id="104" w:name="_Toc150509269"/>
      <w:r/>
      <w:bookmarkStart w:id="105" w:name="_Toc264969208"/>
      <w:r/>
      <w:bookmarkStart w:id="106" w:name="_Toc150774618"/>
      <w:r/>
      <w:bookmarkStart w:id="107" w:name="_Toc226965791"/>
      <w:r/>
      <w:bookmarkStart w:id="108" w:name="_Toc151193832"/>
      <w:r/>
      <w:bookmarkStart w:id="109" w:name="_Toc127151518"/>
      <w:r/>
      <w:bookmarkStart w:id="110" w:name="_Toc305158860"/>
      <w:r/>
      <w:bookmarkStart w:id="111" w:name="_Toc151193616"/>
      <w:r/>
      <w:bookmarkStart w:id="112" w:name="_Toc226337251"/>
      <w:r/>
      <w:bookmarkStart w:id="113" w:name="_Toc195842920"/>
      <w:r/>
      <w:bookmarkStart w:id="114" w:name="_Toc150480793"/>
      <w:r/>
      <w:bookmarkStart w:id="115" w:name="_Toc99301424"/>
      <w:r/>
      <w:bookmarkStart w:id="116" w:name="_Toc305158897"/>
      <w:r/>
      <w:bookmarkStart w:id="117" w:name="_Toc264969245"/>
      <w:r/>
      <w:bookmarkStart w:id="118" w:name="_Toc353873935"/>
      <w:r/>
      <w:bookmarkStart w:id="119" w:name="_Toc127151555"/>
      <w:r/>
      <w:bookmarkStart w:id="120" w:name="_Toc150774760"/>
      <w:r/>
      <w:bookmarkStart w:id="121" w:name="_Toc226965828"/>
      <w:r/>
      <w:bookmarkStart w:id="122" w:name="_Toc142311057"/>
      <w:r/>
      <w:bookmarkStart w:id="123" w:name="_Toc305158823"/>
      <w:r/>
      <w:bookmarkStart w:id="124" w:name="_Toc353825545"/>
      <w:r/>
      <w:bookmarkStart w:id="125" w:name="_Toc265228393"/>
      <w:r/>
      <w:bookmarkStart w:id="126" w:name="_Toc35387366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1030"/>
        <w:ind w:firstLine="321"/>
        <w:jc w:val="both"/>
        <w:spacing w:before="0" w:line="500" w:lineRule="exact"/>
        <w:tabs>
          <w:tab w:val="center" w:pos="4592" w:leader="none"/>
          <w:tab w:val="left" w:pos="7860" w:leader="none"/>
        </w:tabs>
        <w:rPr>
          <w:rFonts w:ascii="Times New Roman" w:hAnsi="Times New Roman" w:eastAsia="宋体"/>
          <w:sz w:val="28"/>
        </w:rPr>
      </w:pPr>
      <w:r/>
      <w:bookmarkStart w:id="127"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Times New Roman" w:hAnsi="Times New Roman" w:eastAsia="宋体"/>
          <w:sz w:val="32"/>
          <w:szCs w:val="32"/>
        </w:rPr>
        <w:t xml:space="preserve">总则</w:t>
      </w:r>
      <w:r>
        <w:rPr>
          <w:rFonts w:ascii="Times New Roman" w:hAnsi="Times New Roman" w:eastAsia="宋体"/>
          <w:sz w:val="28"/>
        </w:rPr>
      </w:r>
      <w:r/>
    </w:p>
    <w:p>
      <w:pPr>
        <w:pStyle w:val="1028"/>
        <w:ind w:firstLine="420"/>
        <w:keepLines/>
        <w:keepNext/>
        <w:spacing w:line="500" w:lineRule="exact"/>
        <w:rPr>
          <w:rFonts w:hint="eastAsia" w:ascii="Arial" w:hAnsi="Arial" w:eastAsia="黑体" w:cs="Arial"/>
          <w:sz w:val="28"/>
          <w:szCs w:val="28"/>
        </w:rPr>
        <w:outlineLvl w:val="3"/>
      </w:pPr>
      <w:r/>
      <w:bookmarkStart w:id="128" w:name="_Toc264969244"/>
      <w:r/>
      <w:bookmarkStart w:id="129" w:name="_Toc226337250"/>
      <w:r/>
      <w:bookmarkStart w:id="130" w:name="_Toc353873934"/>
      <w:r/>
      <w:bookmarkStart w:id="131" w:name="_Toc305158822"/>
      <w:r/>
      <w:bookmarkStart w:id="132" w:name="_Toc353873664"/>
      <w:r/>
      <w:bookmarkStart w:id="133" w:name="_Toc142311056"/>
      <w:r/>
      <w:bookmarkStart w:id="134" w:name="_Toc99301421"/>
      <w:r/>
      <w:bookmarkStart w:id="135" w:name="_Toc458694821"/>
      <w:r/>
      <w:bookmarkStart w:id="136" w:name="_Toc16938520"/>
      <w:r/>
      <w:bookmarkStart w:id="137" w:name="_Toc20823276"/>
      <w:r/>
      <w:bookmarkStart w:id="138" w:name="_Toc265228392"/>
      <w:r/>
      <w:bookmarkStart w:id="139" w:name="_Toc127151554"/>
      <w:r/>
      <w:bookmarkStart w:id="140" w:name="_Toc305158896"/>
      <w:r/>
      <w:bookmarkStart w:id="141" w:name="_Toc513029204"/>
      <w:r/>
      <w:bookmarkStart w:id="142" w:name="_Toc353825544"/>
      <w:r/>
      <w:bookmarkStart w:id="143" w:name="_Toc226965827"/>
      <w:r/>
      <w:bookmarkStart w:id="144" w:name="_Toc150774759"/>
      <w:r/>
      <w:bookmarkStart w:id="145" w:name="_Toc150480792"/>
      <w:r>
        <w:rPr>
          <w:rFonts w:hint="eastAsia" w:ascii="Arial" w:hAnsi="Arial" w:eastAsia="黑体" w:cs="Arial"/>
          <w:sz w:val="28"/>
          <w:szCs w:val="28"/>
        </w:rPr>
        <w:t xml:space="preserve">1</w:t>
      </w:r>
      <w:bookmarkEnd w:id="135"/>
      <w:r>
        <w:rPr>
          <w:rFonts w:hint="eastAsia" w:ascii="Arial" w:hAnsi="Arial" w:eastAsia="黑体" w:cs="Arial"/>
          <w:sz w:val="28"/>
          <w:szCs w:val="28"/>
        </w:rPr>
        <w:t xml:space="preserve">、采购方式</w:t>
      </w:r>
      <w:bookmarkEnd w:id="136"/>
      <w:r/>
      <w:bookmarkEnd w:id="137"/>
      <w:r/>
      <w:bookmarkEnd w:id="141"/>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1028"/>
        <w:ind w:firstLine="420"/>
        <w:keepLines/>
        <w:keepNext/>
        <w:spacing w:line="500" w:lineRule="exact"/>
        <w:rPr>
          <w:rFonts w:hint="eastAsia" w:ascii="Arial" w:hAnsi="Arial" w:eastAsia="黑体" w:cs="Arial"/>
          <w:sz w:val="28"/>
          <w:szCs w:val="28"/>
        </w:rPr>
        <w:outlineLvl w:val="3"/>
      </w:pPr>
      <w:r/>
      <w:bookmarkStart w:id="146" w:name="_Toc16938521"/>
      <w:r/>
      <w:bookmarkStart w:id="147" w:name="_Toc20823277"/>
      <w:r/>
      <w:bookmarkStart w:id="148" w:name="_Toc513029205"/>
      <w:r>
        <w:rPr>
          <w:rFonts w:hint="eastAsia" w:ascii="Arial" w:hAnsi="Arial" w:eastAsia="黑体" w:cs="Arial"/>
          <w:sz w:val="28"/>
          <w:szCs w:val="28"/>
        </w:rPr>
        <w:t xml:space="preserve">2、合格的投标人</w:t>
      </w:r>
      <w:bookmarkEnd w:id="146"/>
      <w:r/>
      <w:bookmarkEnd w:id="147"/>
      <w:r/>
      <w:bookmarkEnd w:id="148"/>
      <w:r>
        <w:rPr>
          <w:rFonts w:hint="eastAsia" w:ascii="Arial" w:hAnsi="Arial" w:eastAsia="黑体" w:cs="Arial"/>
          <w:sz w:val="28"/>
          <w:szCs w:val="28"/>
        </w:rPr>
      </w:r>
      <w:r/>
    </w:p>
    <w:p>
      <w:pPr>
        <w:pStyle w:val="1028"/>
        <w:ind w:firstLine="480"/>
        <w:spacing w:line="500" w:lineRule="exact"/>
        <w:rPr>
          <w:rFonts w:hint="eastAsia" w:ascii="宋体" w:hAnsi="宋体"/>
          <w:sz w:val="24"/>
        </w:rPr>
      </w:pPr>
      <w:r>
        <w:rPr>
          <w:rFonts w:hint="eastAsia" w:ascii="宋体" w:hAnsi="宋体"/>
          <w:sz w:val="24"/>
        </w:rPr>
        <w:t xml:space="preserve">2.1满足招标公告中供应商的资格要求</w:t>
      </w:r>
      <w:r>
        <w:rPr>
          <w:rFonts w:hint="eastAsia" w:ascii="宋体" w:hAnsi="宋体"/>
          <w:sz w:val="24"/>
        </w:rPr>
        <w:t xml:space="preserve">的规定。</w:t>
      </w:r>
      <w:r/>
    </w:p>
    <w:p>
      <w:pPr>
        <w:pStyle w:val="1028"/>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pStyle w:val="1028"/>
        <w:ind w:firstLine="420"/>
        <w:keepLines/>
        <w:keepNext/>
        <w:spacing w:line="500" w:lineRule="exact"/>
        <w:rPr>
          <w:rFonts w:hint="eastAsia" w:ascii="Arial" w:hAnsi="Arial" w:eastAsia="黑体" w:cs="Arial"/>
          <w:sz w:val="28"/>
          <w:szCs w:val="28"/>
        </w:rPr>
        <w:outlineLvl w:val="3"/>
      </w:pPr>
      <w:r/>
      <w:bookmarkStart w:id="149" w:name="_Toc513029206"/>
      <w:r/>
      <w:bookmarkStart w:id="150" w:name="_Toc20823278"/>
      <w:r/>
      <w:bookmarkStart w:id="151" w:name="_Toc16938522"/>
      <w:r>
        <w:rPr>
          <w:rFonts w:hint="eastAsia" w:ascii="Arial" w:hAnsi="Arial" w:eastAsia="黑体" w:cs="Arial"/>
          <w:sz w:val="28"/>
          <w:szCs w:val="28"/>
        </w:rPr>
        <w:t xml:space="preserve">3、适用法律</w:t>
      </w:r>
      <w:bookmarkEnd w:id="149"/>
      <w:r/>
      <w:bookmarkEnd w:id="150"/>
      <w:r/>
      <w:bookmarkEnd w:id="151"/>
      <w:r>
        <w:rPr>
          <w:rFonts w:hint="eastAsia" w:ascii="Arial" w:hAnsi="Arial" w:eastAsia="黑体" w:cs="Arial"/>
          <w:sz w:val="28"/>
          <w:szCs w:val="28"/>
        </w:rPr>
      </w:r>
      <w:r/>
    </w:p>
    <w:p>
      <w:pPr>
        <w:pStyle w:val="1028"/>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028"/>
        <w:ind w:firstLine="420"/>
        <w:keepLines/>
        <w:keepNext/>
        <w:spacing w:line="500" w:lineRule="exact"/>
        <w:rPr>
          <w:rFonts w:hint="eastAsia" w:ascii="Arial" w:hAnsi="Arial" w:eastAsia="黑体" w:cs="Arial"/>
          <w:sz w:val="28"/>
          <w:szCs w:val="28"/>
        </w:rPr>
        <w:outlineLvl w:val="3"/>
      </w:pPr>
      <w:r/>
      <w:bookmarkStart w:id="152" w:name="_Toc16938523"/>
      <w:r/>
      <w:bookmarkStart w:id="153" w:name="_Toc513029207"/>
      <w:r/>
      <w:bookmarkStart w:id="154" w:name="_Toc462564067"/>
      <w:r/>
      <w:bookmarkStart w:id="155" w:name="_Toc20823279"/>
      <w:r>
        <w:rPr>
          <w:rFonts w:hint="eastAsia" w:ascii="Arial" w:hAnsi="Arial" w:eastAsia="黑体" w:cs="Arial"/>
          <w:sz w:val="28"/>
          <w:szCs w:val="28"/>
        </w:rPr>
        <w:t xml:space="preserve">4、投标费用</w:t>
      </w:r>
      <w:bookmarkEnd w:id="152"/>
      <w:r/>
      <w:bookmarkEnd w:id="153"/>
      <w:r/>
      <w:bookmarkEnd w:id="154"/>
      <w:r/>
      <w:bookmarkEnd w:id="155"/>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投标人应自行承担所有与参加投标有关的费用，无论投标过程中的做法和结果如何，常州市智泽南福工程招投标咨询有限公司（以下简称代理机构）在任何情况下均无义务和责任承担这些费用。</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p>
    <w:p>
      <w:pPr>
        <w:pStyle w:val="1028"/>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1028"/>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1028"/>
        <w:ind w:firstLine="321"/>
        <w:keepLines/>
        <w:keepNext/>
        <w:spacing w:line="500" w:lineRule="exact"/>
        <w:rPr>
          <w:rFonts w:hint="eastAsia"/>
          <w:b/>
          <w:bCs/>
          <w:sz w:val="32"/>
          <w:szCs w:val="32"/>
        </w:rPr>
        <w:outlineLvl w:val="2"/>
      </w:pPr>
      <w:r/>
      <w:bookmarkStart w:id="156" w:name="_Toc16938525"/>
      <w:r/>
      <w:bookmarkStart w:id="157" w:name="_Toc20823281"/>
      <w:r/>
      <w:bookmarkStart w:id="158" w:name="_Toc120614215"/>
      <w:r/>
      <w:bookmarkStart w:id="159" w:name="_Toc513029209"/>
      <w:r>
        <w:rPr>
          <w:rFonts w:hint="eastAsia"/>
          <w:b/>
          <w:bCs/>
          <w:sz w:val="32"/>
          <w:szCs w:val="32"/>
        </w:rPr>
        <w:t xml:space="preserve">二、招标文件</w:t>
      </w:r>
      <w:bookmarkEnd w:id="156"/>
      <w:r/>
      <w:bookmarkEnd w:id="157"/>
      <w:r/>
      <w:bookmarkEnd w:id="158"/>
      <w:r/>
      <w:bookmarkEnd w:id="159"/>
      <w:r>
        <w:rPr>
          <w:rFonts w:hint="eastAsia"/>
          <w:b/>
          <w:bCs/>
          <w:sz w:val="32"/>
          <w:szCs w:val="32"/>
        </w:rPr>
      </w:r>
      <w:r/>
    </w:p>
    <w:p>
      <w:pPr>
        <w:pStyle w:val="1028"/>
        <w:ind w:firstLine="420"/>
        <w:keepLines/>
        <w:keepNext/>
        <w:spacing w:line="500" w:lineRule="exact"/>
        <w:rPr>
          <w:rFonts w:hint="eastAsia" w:ascii="Arial" w:hAnsi="Arial" w:eastAsia="黑体" w:cs="Arial"/>
          <w:sz w:val="28"/>
          <w:szCs w:val="28"/>
        </w:rPr>
        <w:outlineLvl w:val="3"/>
      </w:pPr>
      <w:r/>
      <w:bookmarkStart w:id="160" w:name="_Toc513029210"/>
      <w:r/>
      <w:bookmarkStart w:id="161" w:name="_Toc20823282"/>
      <w:r/>
      <w:bookmarkStart w:id="162" w:name="_Toc16938526"/>
      <w:r>
        <w:rPr>
          <w:rFonts w:hint="eastAsia" w:ascii="Arial" w:hAnsi="Arial" w:eastAsia="黑体" w:cs="Arial"/>
          <w:sz w:val="28"/>
          <w:szCs w:val="28"/>
        </w:rPr>
        <w:t xml:space="preserve">6、招标文件构成</w:t>
      </w:r>
      <w:bookmarkEnd w:id="160"/>
      <w:r/>
      <w:bookmarkEnd w:id="161"/>
      <w:r/>
      <w:bookmarkEnd w:id="162"/>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1028"/>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1028"/>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1028"/>
        <w:ind w:firstLine="360"/>
        <w:spacing w:line="500" w:lineRule="exact"/>
        <w:rPr>
          <w:rFonts w:hint="eastAsia" w:ascii="宋体" w:hAnsi="宋体"/>
          <w:sz w:val="24"/>
        </w:rPr>
      </w:pPr>
      <w:r>
        <w:rPr>
          <w:rFonts w:hint="eastAsia" w:ascii="宋体" w:hAnsi="宋体"/>
          <w:sz w:val="24"/>
        </w:rPr>
        <w:t xml:space="preserve">（3）资格审查</w:t>
      </w:r>
      <w:r/>
    </w:p>
    <w:p>
      <w:pPr>
        <w:pStyle w:val="1028"/>
        <w:ind w:firstLine="360"/>
        <w:spacing w:line="500" w:lineRule="exact"/>
        <w:rPr>
          <w:rFonts w:hint="eastAsia" w:ascii="宋体" w:hAnsi="宋体"/>
          <w:sz w:val="24"/>
        </w:rPr>
      </w:pPr>
      <w:r>
        <w:rPr>
          <w:rFonts w:hint="eastAsia" w:ascii="宋体" w:hAnsi="宋体"/>
          <w:sz w:val="24"/>
        </w:rPr>
        <w:t xml:space="preserve">（4）评标程序、评标方法和评标标准</w:t>
      </w:r>
      <w:r/>
    </w:p>
    <w:p>
      <w:pPr>
        <w:pStyle w:val="1028"/>
        <w:ind w:firstLine="360"/>
        <w:spacing w:line="500" w:lineRule="exact"/>
        <w:rPr>
          <w:rFonts w:hint="eastAsia"/>
          <w:sz w:val="24"/>
        </w:rPr>
      </w:pPr>
      <w:r>
        <w:rPr>
          <w:rFonts w:hint="eastAsia" w:ascii="宋体" w:hAnsi="宋体"/>
          <w:sz w:val="24"/>
        </w:rPr>
        <w:t xml:space="preserve">（</w:t>
      </w:r>
      <w:r>
        <w:rPr>
          <w:rFonts w:hint="eastAsia" w:ascii="宋体" w:hAnsi="宋体"/>
          <w:sz w:val="24"/>
        </w:rPr>
        <w:t xml:space="preserve">5）</w:t>
      </w:r>
      <w:r>
        <w:rPr>
          <w:rFonts w:hint="eastAsia" w:hAnsi="宋体"/>
          <w:sz w:val="24"/>
        </w:rPr>
        <w:t xml:space="preserve">采购需求</w:t>
      </w:r>
      <w:r>
        <w:rPr>
          <w:rFonts w:hint="eastAsia"/>
          <w:sz w:val="24"/>
        </w:rPr>
      </w:r>
      <w:r/>
    </w:p>
    <w:p>
      <w:pPr>
        <w:pStyle w:val="1028"/>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102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pStyle w:val="1028"/>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8"/>
        <w:ind w:firstLine="560"/>
        <w:keepLines/>
        <w:keepNext/>
        <w:spacing w:line="500" w:lineRule="exact"/>
        <w:rPr>
          <w:rFonts w:hint="eastAsia" w:ascii="Arial" w:hAnsi="Arial" w:eastAsia="黑体" w:cs="Arial"/>
          <w:sz w:val="28"/>
          <w:szCs w:val="28"/>
        </w:rPr>
        <w:outlineLvl w:val="3"/>
      </w:pPr>
      <w:r/>
      <w:bookmarkStart w:id="163" w:name="_Toc20823283"/>
      <w:r/>
      <w:bookmarkStart w:id="164" w:name="_Toc16938527"/>
      <w:r/>
      <w:bookmarkStart w:id="165" w:name="_Toc513029211"/>
      <w:r/>
      <w:bookmarkStart w:id="166" w:name="_Toc462564070"/>
      <w:r>
        <w:rPr>
          <w:rFonts w:hint="eastAsia" w:ascii="Arial" w:hAnsi="Arial" w:eastAsia="黑体" w:cs="Arial"/>
          <w:sz w:val="28"/>
          <w:szCs w:val="28"/>
        </w:rPr>
        <w:t xml:space="preserve">7、招标</w:t>
      </w:r>
      <w:r>
        <w:rPr>
          <w:rFonts w:hint="eastAsia" w:ascii="Arial" w:hAnsi="Arial" w:eastAsia="黑体" w:cs="Arial"/>
          <w:sz w:val="28"/>
          <w:szCs w:val="28"/>
        </w:rPr>
        <w:t xml:space="preserve">文件的澄清</w:t>
      </w:r>
      <w:bookmarkEnd w:id="163"/>
      <w:r/>
      <w:bookmarkEnd w:id="164"/>
      <w:r/>
      <w:bookmarkEnd w:id="165"/>
      <w:r/>
      <w:bookmarkEnd w:id="166"/>
      <w:r>
        <w:rPr>
          <w:rFonts w:hint="eastAsia" w:ascii="Arial" w:hAnsi="Arial" w:eastAsia="黑体" w:cs="Arial"/>
          <w:sz w:val="28"/>
          <w:szCs w:val="28"/>
        </w:rPr>
      </w:r>
      <w:r/>
    </w:p>
    <w:p>
      <w:pPr>
        <w:pStyle w:val="1028"/>
        <w:ind w:firstLine="480"/>
        <w:jc w:val="left"/>
        <w:spacing w:line="500" w:lineRule="exact"/>
        <w:tabs>
          <w:tab w:val="left" w:pos="1080" w:leader="none"/>
          <w:tab w:val="left" w:pos="1561" w:leader="none"/>
          <w:tab w:val="left" w:pos="1589" w:leader="none"/>
          <w:tab w:val="left" w:pos="2014" w:leader="none"/>
        </w:tabs>
        <w:rPr>
          <w:sz w:val="24"/>
        </w:rPr>
      </w:pPr>
      <w:r/>
      <w:bookmarkStart w:id="167" w:name="_Toc462564071"/>
      <w:r/>
      <w:bookmarkStart w:id="168" w:name="_Toc20823284"/>
      <w:r/>
      <w:bookmarkStart w:id="169" w:name="_Toc513029212"/>
      <w:r/>
      <w:bookmarkStart w:id="170"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1028"/>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67"/>
      <w:r/>
      <w:bookmarkEnd w:id="168"/>
      <w:r/>
      <w:bookmarkEnd w:id="169"/>
      <w:r/>
      <w:bookmarkEnd w:id="170"/>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p>
    <w:p>
      <w:pPr>
        <w:pStyle w:val="1028"/>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71" w:name="_Hlk151728132"/>
      <w:r>
        <w:rPr>
          <w:rFonts w:hint="eastAsia" w:ascii="宋体" w:hAnsi="宋体"/>
          <w:sz w:val="24"/>
          <w:szCs w:val="21"/>
        </w:rPr>
        <w:t xml:space="preserve">“江苏省政府采购网”、“常州市政府采购网”</w:t>
      </w:r>
      <w:bookmarkEnd w:id="171"/>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pStyle w:val="1028"/>
        <w:ind w:firstLine="482"/>
        <w:keepLines/>
        <w:keepNext/>
        <w:spacing w:line="500" w:lineRule="exact"/>
        <w:rPr>
          <w:rFonts w:hint="eastAsia"/>
          <w:b/>
          <w:bCs/>
          <w:sz w:val="32"/>
          <w:szCs w:val="32"/>
        </w:rPr>
        <w:outlineLvl w:val="2"/>
      </w:pPr>
      <w:r/>
      <w:bookmarkStart w:id="172" w:name="_Toc16938529"/>
      <w:r/>
      <w:bookmarkStart w:id="173" w:name="_Toc462564072"/>
      <w:r/>
      <w:bookmarkStart w:id="174" w:name="_Toc20823285"/>
      <w:r/>
      <w:bookmarkStart w:id="175" w:name="_Toc120614216"/>
      <w:r/>
      <w:bookmarkStart w:id="176" w:name="_Toc513029213"/>
      <w:r>
        <w:rPr>
          <w:rFonts w:hint="eastAsia"/>
          <w:b/>
          <w:bCs/>
          <w:sz w:val="32"/>
          <w:szCs w:val="32"/>
        </w:rPr>
        <w:t xml:space="preserve">三、投标文件的编制</w:t>
      </w:r>
      <w:bookmarkEnd w:id="172"/>
      <w:r/>
      <w:bookmarkEnd w:id="173"/>
      <w:r/>
      <w:bookmarkEnd w:id="174"/>
      <w:r/>
      <w:bookmarkEnd w:id="175"/>
      <w:r/>
      <w:bookmarkEnd w:id="176"/>
      <w:r>
        <w:rPr>
          <w:rFonts w:hint="eastAsia"/>
          <w:b/>
          <w:bCs/>
          <w:sz w:val="32"/>
          <w:szCs w:val="32"/>
        </w:rPr>
      </w:r>
      <w:r/>
    </w:p>
    <w:p>
      <w:pPr>
        <w:pStyle w:val="1028"/>
        <w:ind w:firstLine="560"/>
        <w:keepLines/>
        <w:keepNext/>
        <w:spacing w:line="500" w:lineRule="exact"/>
        <w:rPr>
          <w:rFonts w:hint="eastAsia" w:ascii="Arial" w:hAnsi="Arial" w:eastAsia="黑体" w:cs="Arial"/>
          <w:b/>
          <w:sz w:val="28"/>
          <w:szCs w:val="28"/>
        </w:rPr>
        <w:outlineLvl w:val="3"/>
      </w:pPr>
      <w:r/>
      <w:bookmarkStart w:id="177" w:name="_Toc462564073"/>
      <w:r/>
      <w:bookmarkStart w:id="178" w:name="_Toc20823286"/>
      <w:r/>
      <w:bookmarkStart w:id="179" w:name="_Toc16938530"/>
      <w:r/>
      <w:bookmarkStart w:id="180" w:name="_Toc513029214"/>
      <w:r>
        <w:rPr>
          <w:rFonts w:hint="eastAsia" w:ascii="Arial" w:hAnsi="Arial" w:eastAsia="黑体" w:cs="Arial"/>
          <w:sz w:val="28"/>
          <w:szCs w:val="28"/>
        </w:rPr>
        <w:t xml:space="preserve">9、投标文件的语言及度量衡单位</w:t>
      </w:r>
      <w:bookmarkEnd w:id="177"/>
      <w:r/>
      <w:bookmarkEnd w:id="178"/>
      <w:r/>
      <w:bookmarkEnd w:id="179"/>
      <w:r/>
      <w:bookmarkEnd w:id="180"/>
      <w:r>
        <w:rPr>
          <w:rFonts w:hint="eastAsia" w:ascii="Arial" w:hAnsi="Arial" w:eastAsia="黑体" w:cs="Arial"/>
          <w:b/>
          <w:sz w:val="28"/>
          <w:szCs w:val="28"/>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w:t>
      </w:r>
      <w:r>
        <w:rPr>
          <w:rFonts w:hint="eastAsia" w:ascii="宋体" w:hAnsi="宋体"/>
          <w:sz w:val="24"/>
          <w:szCs w:val="21"/>
        </w:rPr>
        <w:t xml:space="preserve">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w:t>
      </w:r>
      <w:r>
        <w:rPr>
          <w:rFonts w:hint="eastAsia" w:ascii="宋体" w:hAnsi="宋体"/>
          <w:sz w:val="24"/>
          <w:szCs w:val="21"/>
        </w:rPr>
        <w:t xml:space="preserve">国家法定计量单位。</w:t>
      </w:r>
      <w:r/>
    </w:p>
    <w:p>
      <w:pPr>
        <w:pStyle w:val="1028"/>
        <w:ind w:firstLine="420"/>
        <w:keepLines/>
        <w:keepNext/>
        <w:spacing w:line="500" w:lineRule="exact"/>
        <w:rPr>
          <w:rFonts w:hint="eastAsia" w:ascii="Arial" w:hAnsi="Arial" w:eastAsia="黑体" w:cs="Arial"/>
          <w:sz w:val="28"/>
          <w:szCs w:val="28"/>
        </w:rPr>
        <w:outlineLvl w:val="3"/>
      </w:pPr>
      <w:r/>
      <w:bookmarkStart w:id="181" w:name="_Toc462564074"/>
      <w:r/>
      <w:bookmarkStart w:id="182" w:name="_Toc16938531"/>
      <w:r/>
      <w:bookmarkStart w:id="183" w:name="_Toc20823287"/>
      <w:r/>
      <w:bookmarkStart w:id="184" w:name="_Toc513029215"/>
      <w:r>
        <w:rPr>
          <w:rFonts w:hint="eastAsia" w:ascii="Arial" w:hAnsi="Arial" w:eastAsia="黑体" w:cs="Arial"/>
          <w:sz w:val="28"/>
          <w:szCs w:val="28"/>
        </w:rPr>
        <w:t xml:space="preserve">10、投标文件构成</w:t>
      </w:r>
      <w:bookmarkEnd w:id="181"/>
      <w:r/>
      <w:bookmarkEnd w:id="182"/>
      <w:r/>
      <w:bookmarkEnd w:id="183"/>
      <w:r/>
      <w:bookmarkEnd w:id="184"/>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1028"/>
        <w:ind w:firstLine="420"/>
        <w:keepLines/>
        <w:keepNext/>
        <w:spacing w:line="500" w:lineRule="exact"/>
        <w:rPr>
          <w:rFonts w:hint="eastAsia" w:ascii="Arial" w:hAnsi="Arial" w:eastAsia="黑体" w:cs="Arial"/>
          <w:sz w:val="28"/>
          <w:szCs w:val="28"/>
        </w:rPr>
        <w:outlineLvl w:val="3"/>
      </w:pPr>
      <w:r/>
      <w:bookmarkStart w:id="185" w:name="_Toc513029216"/>
      <w:r/>
      <w:bookmarkStart w:id="186" w:name="_Toc49090507"/>
      <w:r/>
      <w:bookmarkStart w:id="187" w:name="_Toc49090509"/>
      <w:r/>
      <w:bookmarkStart w:id="188" w:name="_Toc513029219"/>
      <w:r/>
      <w:bookmarkStart w:id="189" w:name="_Hlt26668975"/>
      <w:r/>
      <w:bookmarkEnd w:id="189"/>
      <w:r/>
      <w:bookmarkStart w:id="190" w:name="_Hlt26954838"/>
      <w:r/>
      <w:bookmarkEnd w:id="190"/>
      <w:r/>
      <w:bookmarkStart w:id="191" w:name="_Hlt26670360"/>
      <w:r/>
      <w:bookmarkEnd w:id="191"/>
      <w:r/>
      <w:bookmarkStart w:id="192" w:name="_Toc14577357"/>
      <w:r/>
      <w:bookmarkStart w:id="193" w:name="_Toc49090508"/>
      <w:r/>
      <w:bookmarkStart w:id="194" w:name="_Toc14577355"/>
      <w:r/>
      <w:bookmarkStart w:id="195" w:name="_Toc14577354"/>
      <w:r>
        <w:rPr>
          <w:rFonts w:hint="eastAsia" w:ascii="Arial" w:hAnsi="Arial" w:eastAsia="黑体" w:cs="Arial"/>
          <w:sz w:val="28"/>
          <w:szCs w:val="28"/>
        </w:rPr>
        <w:t xml:space="preserve">11、证明投标人及投标标的符合招标文</w:t>
      </w:r>
      <w:r>
        <w:rPr>
          <w:rFonts w:hint="eastAsia" w:ascii="Arial" w:hAnsi="Arial" w:eastAsia="黑体" w:cs="Arial"/>
          <w:sz w:val="28"/>
          <w:szCs w:val="28"/>
        </w:rPr>
        <w:t xml:space="preserve">件规定的文件</w:t>
      </w:r>
      <w:bookmarkEnd w:id="187"/>
      <w:r/>
      <w:bookmarkEnd w:id="188"/>
      <w:r/>
      <w:bookmarkEnd w:id="192"/>
      <w:r>
        <w:rPr>
          <w:rFonts w:hint="eastAsia" w:ascii="Arial" w:hAnsi="Arial" w:eastAsia="黑体" w:cs="Arial"/>
          <w:sz w:val="28"/>
          <w:szCs w:val="28"/>
        </w:rPr>
      </w:r>
      <w:r/>
    </w:p>
    <w:p>
      <w:pPr>
        <w:pStyle w:val="1028"/>
        <w:spacing w:line="500" w:lineRule="exact"/>
        <w:rPr>
          <w:rFonts w:hint="eastAsia" w:ascii="宋体" w:hAnsi="宋体"/>
          <w:sz w:val="24"/>
        </w:rPr>
      </w:pPr>
      <w:r/>
      <w:bookmarkEnd w:id="185"/>
      <w:r/>
      <w:bookmarkEnd w:id="186"/>
      <w:r/>
      <w:bookmarkEnd w:id="195"/>
      <w:r>
        <w:rPr>
          <w:rFonts w:hint="eastAsia" w:ascii="宋体" w:hAnsi="宋体"/>
          <w:sz w:val="24"/>
        </w:rPr>
        <w:t xml:space="preserve">    11.1 投标人应按照招标文件要求提交证明文件，证明其及投标标的符合招标文件规定。</w:t>
      </w:r>
      <w:r/>
    </w:p>
    <w:p>
      <w:pPr>
        <w:pStyle w:val="1028"/>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1028"/>
        <w:ind w:firstLine="420"/>
        <w:keepLines/>
        <w:keepNext/>
        <w:spacing w:line="500" w:lineRule="exact"/>
        <w:rPr>
          <w:rFonts w:hint="eastAsia" w:ascii="Arial" w:hAnsi="Arial" w:eastAsia="黑体" w:cs="Arial"/>
          <w:sz w:val="28"/>
          <w:szCs w:val="28"/>
        </w:rPr>
        <w:outlineLvl w:val="3"/>
      </w:pPr>
      <w:r/>
      <w:bookmarkEnd w:id="193"/>
      <w:r/>
      <w:bookmarkEnd w:id="194"/>
      <w:r>
        <w:rPr>
          <w:rFonts w:hint="eastAsia" w:ascii="Arial" w:hAnsi="Arial" w:eastAsia="黑体" w:cs="Arial"/>
          <w:sz w:val="28"/>
          <w:szCs w:val="28"/>
        </w:rPr>
        <w:t xml:space="preserve">12、投标报价明细表</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1028"/>
        <w:ind w:firstLine="420"/>
        <w:keepLines/>
        <w:keepNext/>
        <w:spacing w:line="500" w:lineRule="exact"/>
        <w:rPr>
          <w:rFonts w:hint="eastAsia" w:ascii="Arial" w:hAnsi="Arial" w:eastAsia="黑体" w:cs="Arial"/>
          <w:sz w:val="28"/>
          <w:szCs w:val="28"/>
        </w:rPr>
        <w:outlineLvl w:val="3"/>
      </w:pPr>
      <w:r/>
      <w:bookmarkStart w:id="196" w:name="_Hlt26670486"/>
      <w:r/>
      <w:bookmarkEnd w:id="196"/>
      <w:r/>
      <w:bookmarkStart w:id="197" w:name="_Hlt26954846"/>
      <w:r/>
      <w:bookmarkEnd w:id="197"/>
      <w:r/>
      <w:bookmarkStart w:id="198" w:name="_Hlt26954848"/>
      <w:r/>
      <w:bookmarkEnd w:id="198"/>
      <w:r/>
      <w:bookmarkStart w:id="199" w:name="_Hlt26954731"/>
      <w:r/>
      <w:bookmarkEnd w:id="199"/>
      <w:r/>
      <w:bookmarkStart w:id="200" w:name="_Hlt26670482"/>
      <w:r/>
      <w:bookmarkEnd w:id="200"/>
      <w:r>
        <w:rPr>
          <w:rFonts w:hint="eastAsia" w:ascii="Arial" w:hAnsi="Arial" w:eastAsia="黑体" w:cs="Arial"/>
          <w:sz w:val="28"/>
          <w:szCs w:val="28"/>
        </w:rPr>
        <w:t xml:space="preserve">13、技术要求响应及偏离表、商务要求响应及偏离表</w:t>
      </w:r>
      <w:r/>
    </w:p>
    <w:p>
      <w:pPr>
        <w:pStyle w:val="102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pStyle w:val="102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pStyle w:val="102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1028"/>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w:t>
      </w:r>
      <w:r>
        <w:rPr>
          <w:rFonts w:hint="eastAsia" w:ascii="宋体" w:hAnsi="宋体"/>
          <w:sz w:val="24"/>
        </w:rPr>
        <w:t xml:space="preserve">标人需根据招标文件要求提供有关售后服务的管理制度，售后服务机构的分布情况，售后服务人员的数量、素质、技术水平及售后服务的反应能力等。</w:t>
      </w:r>
      <w:r/>
    </w:p>
    <w:p>
      <w:pPr>
        <w:pStyle w:val="1028"/>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pStyle w:val="1028"/>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1028"/>
        <w:ind w:firstLine="420"/>
        <w:keepLines/>
        <w:keepNext/>
        <w:spacing w:line="500" w:lineRule="exact"/>
        <w:rPr>
          <w:rFonts w:hint="eastAsia" w:ascii="Arial" w:hAnsi="Arial" w:eastAsia="黑体" w:cs="Arial"/>
          <w:sz w:val="28"/>
          <w:szCs w:val="28"/>
        </w:rPr>
        <w:outlineLvl w:val="3"/>
      </w:pPr>
      <w:r/>
      <w:bookmarkStart w:id="201" w:name="_Toc14577359"/>
      <w:r/>
      <w:bookmarkStart w:id="202" w:name="_Toc49090510"/>
      <w:r>
        <w:rPr>
          <w:rFonts w:hint="eastAsia" w:ascii="Arial" w:hAnsi="Arial" w:eastAsia="黑体" w:cs="Arial"/>
          <w:sz w:val="28"/>
          <w:szCs w:val="28"/>
        </w:rPr>
        <w:t xml:space="preserve">15、投标函和开标一览表</w:t>
      </w:r>
      <w:r/>
    </w:p>
    <w:p>
      <w:pPr>
        <w:pStyle w:val="1028"/>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对于采用货币报价的项目，开标一览表中的投标总报价应与报价明细表中的投标总报价一致，如不一致，不作为无效报价处理，但评标时按开标一览表中价格为准。</w:t>
      </w:r>
      <w:r/>
    </w:p>
    <w:p>
      <w:pPr>
        <w:pStyle w:val="1028"/>
        <w:ind w:firstLine="420"/>
        <w:keepLines/>
        <w:keepNext/>
        <w:spacing w:line="500" w:lineRule="exact"/>
        <w:rPr>
          <w:rFonts w:hint="eastAsia" w:ascii="Arial" w:hAnsi="Arial" w:eastAsia="黑体" w:cs="Arial"/>
          <w:sz w:val="28"/>
          <w:szCs w:val="28"/>
        </w:rPr>
        <w:outlineLvl w:val="3"/>
      </w:pPr>
      <w:r/>
      <w:bookmarkEnd w:id="201"/>
      <w:r/>
      <w:bookmarkEnd w:id="202"/>
      <w:r/>
      <w:bookmarkStart w:id="203" w:name="_Toc14577360"/>
      <w:r/>
      <w:bookmarkStart w:id="204" w:name="_Toc49090511"/>
      <w:r>
        <w:rPr>
          <w:rFonts w:hint="eastAsia" w:ascii="Arial" w:hAnsi="Arial" w:eastAsia="黑体" w:cs="Arial"/>
          <w:sz w:val="28"/>
          <w:szCs w:val="28"/>
        </w:rPr>
        <w:t xml:space="preserve">16、投标有效期</w:t>
      </w:r>
      <w:bookmarkEnd w:id="203"/>
      <w:r/>
      <w:bookmarkEnd w:id="204"/>
      <w:r>
        <w:rPr>
          <w:rFonts w:hint="eastAsia" w:ascii="Arial" w:hAnsi="Arial" w:eastAsia="黑体" w:cs="Arial"/>
          <w:sz w:val="28"/>
          <w:szCs w:val="28"/>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pStyle w:val="102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pStyle w:val="1028"/>
        <w:ind w:firstLine="643"/>
        <w:keepLines/>
        <w:keepNext/>
        <w:spacing w:line="500" w:lineRule="exact"/>
        <w:rPr>
          <w:rFonts w:hint="eastAsia"/>
          <w:b/>
          <w:bCs/>
          <w:sz w:val="32"/>
          <w:szCs w:val="32"/>
        </w:rPr>
        <w:outlineLvl w:val="2"/>
      </w:pPr>
      <w:r/>
      <w:bookmarkStart w:id="205" w:name="_Toc513029224"/>
      <w:r/>
      <w:bookmarkStart w:id="206" w:name="_Toc16938540"/>
      <w:r/>
      <w:bookmarkStart w:id="207" w:name="_Toc20823296"/>
      <w:r/>
      <w:bookmarkStart w:id="208" w:name="_Hlt26954739"/>
      <w:r/>
      <w:bookmarkEnd w:id="208"/>
      <w:r/>
      <w:bookmarkStart w:id="209" w:name="_Hlt26954852"/>
      <w:r/>
      <w:bookmarkEnd w:id="209"/>
      <w:r/>
      <w:bookmarkStart w:id="210" w:name="_Toc120614217"/>
      <w:r>
        <w:rPr>
          <w:rFonts w:hint="eastAsia"/>
          <w:b/>
          <w:bCs/>
          <w:sz w:val="32"/>
          <w:szCs w:val="32"/>
        </w:rPr>
        <w:t xml:space="preserve">四、投标文件的递交</w:t>
      </w:r>
      <w:bookmarkEnd w:id="205"/>
      <w:r/>
      <w:bookmarkEnd w:id="206"/>
      <w:r/>
      <w:bookmarkEnd w:id="207"/>
      <w:r/>
      <w:bookmarkEnd w:id="210"/>
      <w:r>
        <w:rPr>
          <w:rFonts w:hint="eastAsia"/>
          <w:b/>
          <w:bCs/>
          <w:sz w:val="32"/>
          <w:szCs w:val="32"/>
        </w:rPr>
      </w:r>
      <w:r/>
    </w:p>
    <w:p>
      <w:pPr>
        <w:pStyle w:val="1028"/>
        <w:ind w:firstLine="420"/>
        <w:keepLines/>
        <w:keepNext/>
        <w:spacing w:line="500" w:lineRule="exact"/>
        <w:rPr>
          <w:rFonts w:hint="eastAsia" w:ascii="黑体" w:hAnsi="Arial" w:eastAsia="黑体" w:cs="Arial"/>
          <w:sz w:val="28"/>
          <w:szCs w:val="28"/>
        </w:rPr>
        <w:outlineLvl w:val="3"/>
      </w:pPr>
      <w:r/>
      <w:bookmarkStart w:id="211" w:name="_Toc20823297"/>
      <w:r/>
      <w:bookmarkStart w:id="212" w:name="_Toc462564084"/>
      <w:r/>
      <w:bookmarkStart w:id="213" w:name="_Toc16938541"/>
      <w:r/>
      <w:bookmarkStart w:id="214"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11"/>
      <w:r/>
      <w:bookmarkEnd w:id="212"/>
      <w:r/>
      <w:bookmarkEnd w:id="213"/>
      <w:r/>
      <w:bookmarkEnd w:id="214"/>
      <w:r>
        <w:rPr>
          <w:rFonts w:hint="eastAsia" w:ascii="黑体" w:hAnsi="Arial" w:eastAsia="黑体" w:cs="Arial"/>
          <w:sz w:val="28"/>
          <w:szCs w:val="28"/>
        </w:rPr>
        <w:t xml:space="preserve">的递交</w:t>
      </w:r>
      <w:r/>
    </w:p>
    <w:p>
      <w:pPr>
        <w:pStyle w:val="1028"/>
        <w:ind w:firstLine="480"/>
        <w:spacing w:line="500" w:lineRule="exact"/>
        <w:rPr>
          <w:rFonts w:ascii="宋体" w:hAnsi="宋体"/>
          <w:bCs/>
          <w:sz w:val="24"/>
          <w:szCs w:val="21"/>
        </w:rPr>
      </w:pPr>
      <w:r>
        <w:rPr>
          <w:rFonts w:hint="eastAsia" w:ascii="宋体" w:hAnsi="宋体"/>
          <w:bCs/>
          <w:sz w:val="24"/>
          <w:szCs w:val="21"/>
        </w:rPr>
        <w:t xml:space="preserve">18</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15" w:name="_Toc16938542"/>
      <w:r/>
      <w:bookmarkStart w:id="216" w:name="_Toc20823298"/>
      <w:r/>
      <w:bookmarkStart w:id="217" w:name="_Toc513029226"/>
      <w:r>
        <w:rPr>
          <w:rFonts w:ascii="宋体" w:hAnsi="宋体"/>
          <w:bCs/>
          <w:sz w:val="24"/>
          <w:szCs w:val="21"/>
        </w:rPr>
      </w:r>
      <w:r/>
    </w:p>
    <w:p>
      <w:pPr>
        <w:pStyle w:val="1028"/>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15"/>
      <w:r/>
      <w:bookmarkEnd w:id="216"/>
      <w:r/>
      <w:bookmarkEnd w:id="217"/>
      <w:r>
        <w:rPr>
          <w:rFonts w:hint="eastAsia" w:ascii="宋体" w:hAnsi="宋体" w:eastAsia="黑体" w:cs="Arial"/>
          <w:bCs/>
          <w:sz w:val="24"/>
          <w:szCs w:val="28"/>
        </w:rPr>
      </w:r>
      <w:r/>
    </w:p>
    <w:p>
      <w:pPr>
        <w:pStyle w:val="1028"/>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1028"/>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w:t>
      </w:r>
      <w:r>
        <w:rPr>
          <w:rFonts w:hint="eastAsia" w:ascii="宋体" w:hAnsi="宋体"/>
          <w:bCs/>
          <w:sz w:val="24"/>
          <w:szCs w:val="21"/>
        </w:rPr>
        <w:t xml:space="preserve">日期，在此情况下，投标人的所有权利和义务以及投标人受制的截止日期均应以延长后新的截止日期为准。</w:t>
      </w:r>
      <w:r/>
    </w:p>
    <w:p>
      <w:pPr>
        <w:pStyle w:val="1028"/>
        <w:ind w:firstLine="420"/>
        <w:keepLines/>
        <w:keepNext/>
        <w:spacing w:line="500" w:lineRule="exact"/>
        <w:rPr>
          <w:rFonts w:hint="eastAsia" w:ascii="Arial" w:hAnsi="Arial" w:eastAsia="黑体" w:cs="Arial"/>
          <w:sz w:val="28"/>
          <w:szCs w:val="28"/>
        </w:rPr>
        <w:outlineLvl w:val="3"/>
      </w:pPr>
      <w:r/>
      <w:bookmarkStart w:id="218" w:name="_Toc513029227"/>
      <w:r/>
      <w:bookmarkStart w:id="219" w:name="_Toc20823299"/>
      <w:r/>
      <w:bookmarkStart w:id="220"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18"/>
      <w:r/>
      <w:bookmarkEnd w:id="219"/>
      <w:r/>
      <w:bookmarkEnd w:id="220"/>
      <w:r>
        <w:rPr>
          <w:rFonts w:hint="eastAsia" w:ascii="Arial" w:hAnsi="Arial" w:eastAsia="黑体" w:cs="Arial"/>
          <w:sz w:val="28"/>
          <w:szCs w:val="28"/>
        </w:rPr>
        <w:t xml:space="preserve">的拒收</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pStyle w:val="1028"/>
        <w:ind w:firstLine="420"/>
        <w:keepLines/>
        <w:keepNext/>
        <w:spacing w:line="500" w:lineRule="exact"/>
        <w:rPr>
          <w:rFonts w:hint="eastAsia" w:ascii="Arial" w:hAnsi="Arial" w:eastAsia="黑体" w:cs="Arial"/>
          <w:sz w:val="28"/>
          <w:szCs w:val="28"/>
        </w:rPr>
        <w:outlineLvl w:val="3"/>
      </w:pPr>
      <w:r/>
      <w:bookmarkStart w:id="221" w:name="_Toc16938544"/>
      <w:r/>
      <w:bookmarkStart w:id="222" w:name="_Toc20823300"/>
      <w:r/>
      <w:bookmarkStart w:id="223"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21"/>
      <w:r/>
      <w:bookmarkEnd w:id="222"/>
      <w:r/>
      <w:bookmarkEnd w:id="223"/>
      <w:r>
        <w:rPr>
          <w:rFonts w:hint="eastAsia" w:ascii="Arial" w:hAnsi="Arial" w:eastAsia="黑体" w:cs="Arial"/>
          <w:sz w:val="28"/>
          <w:szCs w:val="28"/>
        </w:rPr>
      </w:r>
      <w:r/>
    </w:p>
    <w:p>
      <w:pPr>
        <w:pStyle w:val="1028"/>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pStyle w:val="1028"/>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w:t>
      </w:r>
      <w:r>
        <w:rPr>
          <w:rFonts w:hint="eastAsia" w:ascii="宋体" w:hAnsi="宋体"/>
          <w:sz w:val="24"/>
          <w:szCs w:val="21"/>
        </w:rPr>
        <w:t xml:space="preserve">具体操作方法见《操作手册》。</w:t>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bCs/>
          <w:sz w:val="24"/>
          <w:szCs w:val="21"/>
        </w:rPr>
        <w:t xml:space="preserve">投标截止时间至招标文件中规定的投标有效期满之间的这段时间内，投标人不得撤回其投标。</w:t>
      </w:r>
      <w:r/>
    </w:p>
    <w:p>
      <w:pPr>
        <w:pStyle w:val="1028"/>
        <w:ind w:firstLine="482"/>
        <w:keepLines/>
        <w:keepNext/>
        <w:spacing w:line="500" w:lineRule="exact"/>
        <w:rPr>
          <w:rFonts w:hint="eastAsia"/>
          <w:b/>
          <w:bCs/>
          <w:sz w:val="32"/>
          <w:szCs w:val="32"/>
        </w:rPr>
        <w:outlineLvl w:val="2"/>
      </w:pPr>
      <w:r/>
      <w:bookmarkStart w:id="224" w:name="_Toc120614218"/>
      <w:r/>
      <w:bookmarkStart w:id="225" w:name="_Toc513029229"/>
      <w:r/>
      <w:bookmarkStart w:id="226" w:name="_Toc20823301"/>
      <w:r/>
      <w:bookmarkStart w:id="227" w:name="_Toc16938545"/>
      <w:r>
        <w:rPr>
          <w:rFonts w:hint="eastAsia"/>
          <w:b/>
          <w:bCs/>
          <w:sz w:val="32"/>
          <w:szCs w:val="32"/>
        </w:rPr>
        <w:t xml:space="preserve">五、开标与评标</w:t>
      </w:r>
      <w:bookmarkEnd w:id="224"/>
      <w:r/>
      <w:bookmarkEnd w:id="225"/>
      <w:r/>
      <w:bookmarkEnd w:id="226"/>
      <w:r/>
      <w:bookmarkEnd w:id="227"/>
      <w:r>
        <w:rPr>
          <w:rFonts w:hint="eastAsia"/>
          <w:b/>
          <w:bCs/>
          <w:sz w:val="32"/>
          <w:szCs w:val="32"/>
        </w:rPr>
      </w:r>
      <w:r/>
    </w:p>
    <w:p>
      <w:pPr>
        <w:pStyle w:val="1028"/>
        <w:ind w:firstLine="420"/>
        <w:keepLines/>
        <w:keepNext/>
        <w:spacing w:line="500" w:lineRule="exact"/>
        <w:rPr>
          <w:rFonts w:hint="eastAsia" w:ascii="Arial" w:hAnsi="Arial" w:eastAsia="黑体" w:cs="Arial"/>
          <w:sz w:val="28"/>
          <w:szCs w:val="28"/>
        </w:rPr>
        <w:outlineLvl w:val="3"/>
      </w:pPr>
      <w:r/>
      <w:bookmarkStart w:id="228" w:name="_Toc513029230"/>
      <w:r/>
      <w:bookmarkStart w:id="229" w:name="_Toc16938546"/>
      <w:r/>
      <w:bookmarkStart w:id="230" w:name="_Toc20823302"/>
      <w:r>
        <w:rPr>
          <w:rFonts w:hint="eastAsia" w:ascii="Arial" w:hAnsi="Arial" w:eastAsia="黑体" w:cs="Arial"/>
          <w:sz w:val="28"/>
          <w:szCs w:val="28"/>
        </w:rPr>
        <w:t xml:space="preserve">22、开标</w:t>
      </w:r>
      <w:bookmarkEnd w:id="228"/>
      <w:r/>
      <w:bookmarkEnd w:id="229"/>
      <w:r/>
      <w:bookmarkEnd w:id="230"/>
      <w:r>
        <w:rPr>
          <w:rFonts w:hint="eastAsia" w:ascii="Arial" w:hAnsi="Arial" w:eastAsia="黑体" w:cs="Arial"/>
          <w:sz w:val="28"/>
          <w:szCs w:val="28"/>
        </w:rPr>
      </w:r>
      <w:r/>
    </w:p>
    <w:p>
      <w:pPr>
        <w:pStyle w:val="1028"/>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szCs w:val="21"/>
        </w:rPr>
      </w:r>
      <w:r/>
    </w:p>
    <w:p>
      <w:pPr>
        <w:pStyle w:val="102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1028"/>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1028"/>
        <w:ind w:firstLine="420"/>
        <w:keepLines/>
        <w:keepNext/>
        <w:spacing w:line="500" w:lineRule="exact"/>
        <w:rPr>
          <w:rFonts w:hint="eastAsia" w:ascii="Arial" w:hAnsi="Arial" w:eastAsia="黑体" w:cs="Arial"/>
          <w:sz w:val="28"/>
          <w:szCs w:val="28"/>
        </w:rPr>
        <w:outlineLvl w:val="3"/>
      </w:pPr>
      <w:r/>
      <w:bookmarkStart w:id="231" w:name="_Toc16938547"/>
      <w:r/>
      <w:bookmarkStart w:id="232" w:name="_Toc513029231"/>
      <w:r/>
      <w:bookmarkStart w:id="233"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1028"/>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1028"/>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pStyle w:val="1028"/>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pStyle w:val="1028"/>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p>
    <w:p>
      <w:pPr>
        <w:pStyle w:val="1028"/>
        <w:ind w:firstLine="480"/>
        <w:spacing w:line="500" w:lineRule="exact"/>
        <w:rPr>
          <w:rFonts w:hint="eastAsia" w:ascii="宋体" w:hAnsi="宋体"/>
          <w:bCs/>
          <w:sz w:val="24"/>
          <w:szCs w:val="21"/>
        </w:rPr>
      </w:pPr>
      <w:r/>
      <w:bookmarkEnd w:id="231"/>
      <w:r/>
      <w:bookmarkEnd w:id="232"/>
      <w:r/>
      <w:bookmarkEnd w:id="233"/>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w:t>
      </w:r>
      <w:r>
        <w:rPr>
          <w:rFonts w:hint="eastAsia" w:ascii="宋体" w:hAnsi="宋体"/>
          <w:bCs/>
          <w:sz w:val="24"/>
          <w:szCs w:val="21"/>
        </w:rPr>
        <w:t xml:space="preserve">其他人员透露。</w:t>
      </w:r>
      <w:r/>
    </w:p>
    <w:p>
      <w:pPr>
        <w:pStyle w:val="1028"/>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pStyle w:val="1028"/>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1028"/>
        <w:ind w:firstLine="420"/>
        <w:keepLines/>
        <w:keepNext/>
        <w:spacing w:line="500" w:lineRule="exact"/>
        <w:rPr>
          <w:rFonts w:hint="eastAsia" w:ascii="Arial" w:hAnsi="Arial" w:eastAsia="黑体" w:cs="Arial"/>
          <w:sz w:val="28"/>
          <w:szCs w:val="28"/>
        </w:rPr>
        <w:outlineLvl w:val="3"/>
      </w:pPr>
      <w:r/>
      <w:bookmarkStart w:id="234" w:name="_Toc513029232"/>
      <w:r/>
      <w:bookmarkStart w:id="235" w:name="_Toc20823304"/>
      <w:r/>
      <w:bookmarkStart w:id="236"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4"/>
      <w:r/>
      <w:bookmarkEnd w:id="235"/>
      <w:r/>
      <w:bookmarkEnd w:id="236"/>
      <w:r>
        <w:rPr>
          <w:rFonts w:hint="eastAsia" w:ascii="Arial" w:hAnsi="Arial" w:eastAsia="黑体" w:cs="Arial"/>
          <w:sz w:val="28"/>
          <w:szCs w:val="28"/>
        </w:rPr>
      </w:r>
      <w:r/>
    </w:p>
    <w:p>
      <w:pPr>
        <w:pStyle w:val="1028"/>
        <w:ind w:firstLine="480"/>
        <w:spacing w:line="500" w:lineRule="exact"/>
        <w:rPr>
          <w:rFonts w:ascii="宋体" w:hAnsi="宋体"/>
          <w:sz w:val="24"/>
        </w:rPr>
      </w:pPr>
      <w:r/>
      <w:bookmarkStart w:id="237" w:name="_Toc16938549"/>
      <w:r/>
      <w:bookmarkStart w:id="238" w:name="_Toc20823305"/>
      <w:r/>
      <w:bookmarkStart w:id="239"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w:t>
      </w:r>
      <w:r>
        <w:rPr>
          <w:rFonts w:hint="eastAsia" w:ascii="宋体" w:hAnsi="宋体"/>
          <w:sz w:val="24"/>
        </w:rPr>
        <w:t xml:space="preserve">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1028"/>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pStyle w:val="102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37"/>
      <w:r/>
      <w:bookmarkEnd w:id="238"/>
      <w:r/>
      <w:bookmarkEnd w:id="239"/>
      <w:r>
        <w:rPr>
          <w:rFonts w:hint="eastAsia" w:ascii="Arial" w:hAnsi="Arial" w:eastAsia="黑体" w:cs="Arial"/>
          <w:sz w:val="28"/>
          <w:szCs w:val="28"/>
        </w:rPr>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w:t>
      </w:r>
      <w:r>
        <w:rPr>
          <w:rFonts w:hint="eastAsia" w:ascii="宋体" w:hAnsi="宋体"/>
          <w:bCs/>
          <w:sz w:val="24"/>
          <w:szCs w:val="21"/>
        </w:rPr>
        <w:t xml:space="preserve">审分为资格审查和符合性审查。</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资格审查：依据法律法规和招标文件的规定，由采购人或代理机构对投标文件中的资格证明文件进行审查。资格审查的结论，采购人或代理机构以书面形式向评委会进行反馈。</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w:t>
      </w:r>
      <w:r>
        <w:rPr>
          <w:rFonts w:hint="eastAsia" w:ascii="宋体" w:hAnsi="宋体"/>
          <w:bCs/>
          <w:sz w:val="24"/>
          <w:szCs w:val="21"/>
        </w:rPr>
        <w:t xml:space="preserve">人、法人或者其他组织组成一个联合体，以一个供应商的身份共同参加政府采购活动的,联合体成员中任何一方存在不良信用记录的，视同联合体存在不良应用记录。</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pStyle w:val="1028"/>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w:t>
      </w:r>
      <w:r>
        <w:rPr>
          <w:rFonts w:hint="eastAsia" w:ascii="宋体" w:hAnsi="宋体"/>
          <w:sz w:val="24"/>
        </w:rPr>
        <w:t xml:space="preserve">前，评委会将首先审查每份投标文件是否实质性响应了招标文件的要求。实质性响应的投标应该是与招标文件要求的全部条款、条件和规格相符，没有重大偏离或</w:t>
      </w:r>
      <w:r>
        <w:rPr>
          <w:rFonts w:hint="eastAsia" w:ascii="宋体" w:hAnsi="宋体"/>
          <w:sz w:val="24"/>
        </w:rPr>
        <w:t xml:space="preserve">保留的投标。</w:t>
      </w:r>
      <w:r/>
    </w:p>
    <w:p>
      <w:pPr>
        <w:pStyle w:val="1028"/>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102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1028"/>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1028"/>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1028"/>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10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w:t>
      </w:r>
      <w:r>
        <w:rPr>
          <w:rFonts w:hint="eastAsia" w:ascii="宋体" w:hAnsi="宋体"/>
          <w:sz w:val="24"/>
        </w:rPr>
        <w:t xml:space="preserve">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1028"/>
        <w:ind w:firstLine="480"/>
        <w:spacing w:line="500" w:lineRule="exact"/>
        <w:rPr>
          <w:rFonts w:ascii="宋体" w:hAnsi="宋体"/>
          <w:sz w:val="24"/>
          <w:szCs w:val="21"/>
        </w:rPr>
      </w:pPr>
      <w:r/>
      <w:bookmarkStart w:id="240" w:name="_Toc16938550"/>
      <w:r/>
      <w:bookmarkStart w:id="241" w:name="_Toc20823306"/>
      <w:r/>
      <w:bookmarkStart w:id="24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1028"/>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1028"/>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1028"/>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pStyle w:val="1028"/>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40"/>
      <w:r/>
      <w:bookmarkEnd w:id="241"/>
      <w:r/>
      <w:bookmarkEnd w:id="242"/>
      <w:r>
        <w:rPr>
          <w:rFonts w:hint="eastAsia" w:ascii="Arial" w:hAnsi="Arial" w:eastAsia="黑体" w:cs="Arial"/>
          <w:sz w:val="28"/>
          <w:szCs w:val="28"/>
        </w:rPr>
        <w:t xml:space="preserve">无效投标条款和废标条款</w:t>
      </w:r>
      <w:r/>
    </w:p>
    <w:p>
      <w:pPr>
        <w:pStyle w:val="1028"/>
        <w:ind w:firstLine="480"/>
        <w:spacing w:line="500" w:lineRule="exact"/>
        <w:rPr>
          <w:rFonts w:hint="eastAsia" w:ascii="宋体" w:hAnsi="宋体"/>
          <w:bCs/>
          <w:sz w:val="24"/>
          <w:szCs w:val="21"/>
        </w:rPr>
      </w:pPr>
      <w:r/>
      <w:bookmarkStart w:id="243" w:name="_Toc20823307"/>
      <w:r/>
      <w:bookmarkStart w:id="244" w:name="_Toc513029235"/>
      <w:r/>
      <w:bookmarkStart w:id="245"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w:t>
      </w:r>
      <w:r>
        <w:rPr>
          <w:rFonts w:hint="eastAsia" w:ascii="宋体" w:hAnsi="宋体"/>
          <w:bCs/>
          <w:sz w:val="24"/>
          <w:szCs w:val="21"/>
        </w:rPr>
        <w:t xml:space="preserve">子投标文件的。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1028"/>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1028"/>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w:t>
      </w:r>
      <w:r>
        <w:rPr>
          <w:rFonts w:hint="eastAsia"/>
          <w:sz w:val="24"/>
        </w:rPr>
        <w:t xml:space="preserve">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.1.11 投标文件未按照招标文件要求加盖CA电子公章的。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.1.12其他法律、法规及本招标文件规定的属无效投标的情形。</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10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w:t>
      </w:r>
      <w:r>
        <w:rPr>
          <w:rFonts w:hint="eastAsia" w:ascii="宋体" w:hAnsi="宋体"/>
          <w:bCs/>
          <w:sz w:val="24"/>
          <w:szCs w:val="21"/>
        </w:rPr>
        <w:t xml:space="preserve">取消的。</w:t>
      </w:r>
      <w:r/>
    </w:p>
    <w:p>
      <w:pPr>
        <w:pStyle w:val="10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1028"/>
        <w:ind w:firstLine="482"/>
        <w:keepLines/>
        <w:keepNext/>
        <w:spacing w:line="500" w:lineRule="exact"/>
        <w:rPr>
          <w:rFonts w:hint="eastAsia"/>
          <w:b/>
          <w:bCs/>
          <w:sz w:val="32"/>
          <w:szCs w:val="32"/>
        </w:rPr>
        <w:outlineLvl w:val="2"/>
      </w:pPr>
      <w:r/>
      <w:bookmarkStart w:id="246" w:name="_Toc120614219"/>
      <w:r>
        <w:rPr>
          <w:rFonts w:hint="eastAsia"/>
          <w:b/>
          <w:bCs/>
          <w:sz w:val="32"/>
          <w:szCs w:val="32"/>
        </w:rPr>
        <w:t xml:space="preserve">六、</w:t>
      </w:r>
      <w:bookmarkEnd w:id="243"/>
      <w:r/>
      <w:bookmarkEnd w:id="244"/>
      <w:r/>
      <w:bookmarkEnd w:id="245"/>
      <w:r>
        <w:rPr>
          <w:rFonts w:hint="eastAsia"/>
          <w:b/>
          <w:bCs/>
          <w:sz w:val="32"/>
          <w:szCs w:val="32"/>
        </w:rPr>
        <w:t xml:space="preserve">定标</w:t>
      </w:r>
      <w:bookmarkEnd w:id="246"/>
      <w:r>
        <w:rPr>
          <w:rFonts w:hint="eastAsia"/>
          <w:b/>
          <w:bCs/>
          <w:sz w:val="32"/>
          <w:szCs w:val="32"/>
        </w:rPr>
      </w:r>
      <w:r/>
    </w:p>
    <w:p>
      <w:pPr>
        <w:pStyle w:val="1028"/>
        <w:ind w:firstLine="600"/>
        <w:keepLines/>
        <w:keepNext/>
        <w:spacing w:line="500" w:lineRule="exact"/>
        <w:rPr>
          <w:rFonts w:hint="eastAsia" w:ascii="黑体" w:hAnsi="宋体" w:eastAsia="黑体"/>
          <w:bCs/>
          <w:sz w:val="30"/>
          <w:szCs w:val="30"/>
        </w:rPr>
        <w:outlineLvl w:val="3"/>
      </w:pPr>
      <w:r/>
      <w:bookmarkStart w:id="247" w:name="_Toc513029238"/>
      <w:r/>
      <w:bookmarkStart w:id="248" w:name="_Toc20823310"/>
      <w:r/>
      <w:bookmarkStart w:id="249"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47"/>
      <w:r>
        <w:rPr>
          <w:rFonts w:hint="eastAsia" w:ascii="黑体" w:hAnsi="宋体" w:eastAsia="黑体"/>
          <w:bCs/>
          <w:sz w:val="30"/>
          <w:szCs w:val="30"/>
        </w:rPr>
        <w:t xml:space="preserve">确定</w:t>
      </w:r>
      <w:bookmarkEnd w:id="248"/>
      <w:r/>
      <w:bookmarkEnd w:id="249"/>
      <w:r>
        <w:rPr>
          <w:rFonts w:hint="eastAsia" w:ascii="黑体" w:hAnsi="宋体" w:eastAsia="黑体"/>
          <w:bCs/>
          <w:sz w:val="30"/>
          <w:szCs w:val="30"/>
        </w:rPr>
        <w:t xml:space="preserve">中标单位</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pStyle w:val="1028"/>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1028"/>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w:t>
      </w:r>
      <w:r>
        <w:rPr>
          <w:rFonts w:hint="eastAsia" w:ascii="宋体" w:hAnsi="宋体"/>
          <w:sz w:val="24"/>
        </w:rPr>
        <w:t xml:space="preserve">查实，将被取消中标资格：</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pStyle w:val="102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pStyle w:val="1028"/>
        <w:ind w:firstLine="480"/>
        <w:spacing w:line="500" w:lineRule="exact"/>
        <w:rPr>
          <w:rFonts w:ascii="宋体" w:hAnsi="宋体"/>
          <w:sz w:val="24"/>
        </w:rPr>
      </w:pPr>
      <w:r/>
      <w:bookmarkStart w:id="25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 w:val="24"/>
        </w:rPr>
        <w:t xml:space="preserve">1不同投标人的投标文件由同一单位或者个人编制；</w:t>
      </w:r>
      <w:r>
        <w:rPr>
          <w:rFonts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10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1028"/>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50"/>
      <w:r>
        <w:rPr>
          <w:rFonts w:hint="eastAsia" w:ascii="黑体" w:hAnsi="宋体" w:eastAsia="黑体"/>
          <w:bCs/>
          <w:sz w:val="30"/>
          <w:szCs w:val="30"/>
        </w:rPr>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1028"/>
        <w:ind w:firstLine="480"/>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w:t>
      </w:r>
      <w:r>
        <w:rPr>
          <w:rFonts w:hint="eastAsia" w:ascii="宋体" w:hAnsi="宋体"/>
          <w:sz w:val="24"/>
        </w:rPr>
        <w:t xml:space="preserve">.1</w:t>
      </w:r>
      <w:r>
        <w:rPr>
          <w:rFonts w:hAnsi="宋体" w:cs="宋体"/>
          <w:sz w:val="24"/>
        </w:rPr>
        <w:t xml:space="preserve">对可以质疑的采购文件提出质疑的，为收到采购文件之日或者采购文件公告期限届满之日；</w:t>
        <w:br w:type="textWrapping" w:clear="all"/>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br w:type="textWrapping" w:clear="all"/>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1028"/>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10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、质疑请向代理机构提出，由代理机构</w:t>
      </w:r>
      <w:r>
        <w:rPr>
          <w:rFonts w:hint="eastAsia" w:ascii="宋体" w:hAnsi="宋体"/>
          <w:sz w:val="24"/>
        </w:rPr>
        <w:t xml:space="preserve">负责</w:t>
      </w:r>
      <w:r>
        <w:rPr>
          <w:rFonts w:ascii="宋体" w:hAnsi="宋体"/>
          <w:sz w:val="24"/>
        </w:rPr>
        <w:t xml:space="preserve">答复。</w:t>
      </w:r>
      <w:r/>
    </w:p>
    <w:p>
      <w:pPr>
        <w:pStyle w:val="1028"/>
        <w:ind w:firstLine="480"/>
        <w:spacing w:line="500" w:lineRule="exact"/>
        <w:rPr>
          <w:rFonts w:ascii="Symbol" w:hAnsi="Symbol" w:cs="Symbol"/>
          <w:sz w:val="24"/>
        </w:rPr>
      </w:pPr>
      <w:r/>
      <w:bookmarkStart w:id="251" w:name="_Hlk149903315"/>
      <w:r>
        <w:rPr>
          <w:rFonts w:ascii="Symbol" w:hAnsi="Symbol" w:cs="Symbol"/>
          <w:sz w:val="24"/>
        </w:rPr>
        <w:t xml:space="preserve">根据《政府采购质疑和投诉办法》财政部第号令第十一条规定，提出质疑的供应商应当是参与所质疑项目采购活动的供应商。</w:t>
      </w:r>
      <w:r>
        <w:rPr>
          <w:rFonts w:ascii="Symbol" w:hAnsi="Symbol" w:cs="Symbol"/>
          <w:b/>
          <w:bCs/>
          <w:sz w:val="24"/>
        </w:rPr>
        <w:t xml:space="preserve">因此凡是对招标文件提出质疑的供应商，必须是依法获取招标文件的供应商，请将合法获取招标文件的证明材料即《投标供应商确认函》与质疑函一起递交，否则不子受</w:t>
      </w:r>
      <w:r>
        <w:rPr>
          <w:rFonts w:ascii="Symbol" w:hAnsi="Symbol" w:cs="Symbol"/>
          <w:b/>
          <w:bCs/>
          <w:sz w:val="24"/>
        </w:rPr>
        <w:t xml:space="preserve">理。</w:t>
      </w:r>
      <w:r>
        <w:rPr>
          <w:rFonts w:ascii="Symbol" w:hAnsi="Symbol" w:cs="Symbol"/>
          <w:sz w:val="24"/>
        </w:rPr>
      </w:r>
      <w:r/>
    </w:p>
    <w:p>
      <w:pPr>
        <w:pStyle w:val="1028"/>
        <w:ind w:firstLine="480"/>
        <w:spacing w:line="500" w:lineRule="exact"/>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pStyle w:val="1028"/>
        <w:ind w:firstLine="480"/>
        <w:jc w:val="left"/>
        <w:spacing w:line="500" w:lineRule="exact"/>
        <w:rPr>
          <w:sz w:val="24"/>
        </w:rPr>
      </w:pPr>
      <w:r>
        <w:rPr>
          <w:rFonts w:hint="eastAsia" w:ascii="宋体" w:hAnsi="宋体"/>
          <w:sz w:val="24"/>
        </w:rPr>
        <w:t xml:space="preserve">质疑接受地址及联系方式详见采购文件第一章。</w:t>
      </w:r>
      <w:r>
        <w:rPr>
          <w:sz w:val="24"/>
        </w:rPr>
      </w:r>
      <w:r/>
    </w:p>
    <w:p>
      <w:pPr>
        <w:pStyle w:val="1028"/>
        <w:ind w:firstLine="480"/>
        <w:spacing w:line="500" w:lineRule="exact"/>
        <w:rPr>
          <w:rFonts w:hint="eastAsia" w:ascii="宋体" w:hAnsi="宋体"/>
          <w:sz w:val="24"/>
        </w:rPr>
      </w:pPr>
      <w:r/>
      <w:bookmarkEnd w:id="251"/>
      <w:r>
        <w:rPr>
          <w:rFonts w:ascii="宋体" w:hAnsi="宋体"/>
          <w:sz w:val="24"/>
        </w:rPr>
        <w:t xml:space="preserve">29</w:t>
      </w:r>
      <w:r>
        <w:rPr>
          <w:rFonts w:hint="eastAsia" w:ascii="宋体" w:hAnsi="宋体"/>
          <w:sz w:val="24"/>
        </w:rPr>
        <w:t xml:space="preserve">.5 以下情形的质疑不予受理：</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w:t>
      </w:r>
      <w:r>
        <w:rPr>
          <w:rFonts w:hint="eastAsia" w:ascii="宋体" w:hAnsi="宋体"/>
          <w:sz w:val="24"/>
        </w:rPr>
        <w:t xml:space="preserve">购法定期限的质疑。</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w:t>
      </w:r>
      <w:r>
        <w:rPr>
          <w:rFonts w:hint="eastAsia" w:ascii="宋体" w:hAnsi="宋体"/>
          <w:sz w:val="24"/>
        </w:rPr>
        <w:t xml:space="preserve">益未受到损害的供应商所提出的质疑。</w:t>
      </w:r>
      <w:r/>
    </w:p>
    <w:p>
      <w:pPr>
        <w:pStyle w:val="1028"/>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pStyle w:val="1028"/>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028"/>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1028"/>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w:t>
      </w:r>
      <w:r>
        <w:rPr>
          <w:rFonts w:hint="eastAsia" w:ascii="宋体" w:hAnsi="宋体"/>
          <w:sz w:val="24"/>
        </w:rPr>
        <w:t xml:space="preserve">因系统存储空间有限，自中标结果公告届满之日起30日后，苏采云系统不再保证提供下载中标通知书服务,因未及时下载而造成的不利后果由中标人自行承担。</w:t>
      </w:r>
      <w:r/>
    </w:p>
    <w:p>
      <w:pPr>
        <w:pStyle w:val="1028"/>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1028"/>
        <w:ind w:firstLine="643"/>
        <w:keepLines/>
        <w:keepNext/>
        <w:spacing w:line="500" w:lineRule="exact"/>
        <w:rPr>
          <w:rFonts w:hint="eastAsia"/>
          <w:b/>
          <w:bCs/>
          <w:sz w:val="32"/>
          <w:szCs w:val="32"/>
        </w:rPr>
        <w:outlineLvl w:val="2"/>
      </w:pPr>
      <w:r/>
      <w:bookmarkStart w:id="252" w:name="_Toc513029236"/>
      <w:r/>
      <w:bookmarkStart w:id="253" w:name="_Toc20823308"/>
      <w:r/>
      <w:bookmarkStart w:id="254" w:name="_Toc16938552"/>
      <w:r/>
      <w:bookmarkStart w:id="255" w:name="_Toc120614220"/>
      <w:r>
        <w:rPr>
          <w:rFonts w:hint="eastAsia"/>
          <w:b/>
          <w:bCs/>
          <w:sz w:val="32"/>
          <w:szCs w:val="32"/>
        </w:rPr>
        <w:t xml:space="preserve">七、授予合同</w:t>
      </w:r>
      <w:bookmarkEnd w:id="255"/>
      <w:r>
        <w:rPr>
          <w:rFonts w:hint="eastAsia"/>
          <w:b/>
          <w:bCs/>
          <w:sz w:val="32"/>
          <w:szCs w:val="32"/>
        </w:rPr>
      </w:r>
      <w:r/>
    </w:p>
    <w:p>
      <w:pPr>
        <w:pStyle w:val="1028"/>
        <w:ind w:firstLine="600"/>
        <w:keepLines/>
        <w:keepNext/>
        <w:spacing w:line="500" w:lineRule="exact"/>
        <w:rPr>
          <w:rFonts w:hint="eastAsia" w:ascii="黑体" w:hAnsi="宋体" w:eastAsia="黑体"/>
          <w:bCs/>
          <w:sz w:val="30"/>
          <w:szCs w:val="30"/>
        </w:rPr>
        <w:outlineLvl w:val="3"/>
      </w:pPr>
      <w:r/>
      <w:bookmarkEnd w:id="252"/>
      <w:r/>
      <w:bookmarkEnd w:id="253"/>
      <w:r/>
      <w:bookmarkEnd w:id="254"/>
      <w:r/>
      <w:bookmarkStart w:id="256" w:name="_Toc16938553"/>
      <w:r/>
      <w:bookmarkStart w:id="257" w:name="_Toc20823309"/>
      <w:r/>
      <w:bookmarkStart w:id="258"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1028"/>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pStyle w:val="1028"/>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pStyle w:val="1028"/>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1028"/>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pStyle w:val="1028"/>
        <w:ind w:firstLine="480"/>
        <w:spacing w:line="500" w:lineRule="exact"/>
        <w:rPr>
          <w:rFonts w:ascii="宋体" w:hAnsi="宋体"/>
          <w:sz w:val="24"/>
        </w:rPr>
      </w:pPr>
      <w:r>
        <w:rPr>
          <w:rFonts w:hint="eastAsia" w:ascii="宋体" w:hAnsi="宋体"/>
          <w:sz w:val="24"/>
        </w:rPr>
        <w:t xml:space="preserve">32.1政府采购合同履行中，采购人需追加与</w:t>
      </w:r>
      <w:r>
        <w:rPr>
          <w:rFonts w:hint="eastAsia" w:ascii="宋体" w:hAnsi="宋体"/>
          <w:sz w:val="24"/>
        </w:rPr>
        <w:t xml:space="preserve">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1109"/>
        <w:ind w:firstLine="600"/>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10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10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pStyle w:val="1028"/>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w:t>
      </w:r>
      <w:r>
        <w:rPr>
          <w:sz w:val="24"/>
        </w:rPr>
        <w:t xml:space="preserve">证证书实施政府优先采购和强制采购。</w:t>
      </w:r>
      <w:r/>
    </w:p>
    <w:p>
      <w:pPr>
        <w:pStyle w:val="1028"/>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w:t>
      </w:r>
      <w:r>
        <w:rPr>
          <w:sz w:val="24"/>
        </w:rPr>
        <w:t xml:space="preserve">的相关规定依据《关于调整优化节能产品、环境标志产品政府采购执行机制的通知》（财库〔2019〕9号）。 </w:t>
      </w:r>
      <w:r/>
    </w:p>
    <w:p>
      <w:pPr>
        <w:pStyle w:val="1028"/>
        <w:ind w:firstLine="482"/>
        <w:jc w:val="left"/>
        <w:spacing w:line="500" w:lineRule="exact"/>
        <w:tabs>
          <w:tab w:val="left" w:pos="1980" w:leader="none"/>
        </w:tabs>
        <w:rPr>
          <w:b/>
          <w:sz w:val="24"/>
        </w:rPr>
      </w:pPr>
      <w:r>
        <w:rPr>
          <w:b/>
          <w:sz w:val="24"/>
        </w:rPr>
        <w:t xml:space="preserve">33.2</w:t>
      </w:r>
      <w:r>
        <w:rPr>
          <w:b/>
          <w:sz w:val="24"/>
        </w:rPr>
        <w:t xml:space="preserve">.3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pStyle w:val="1028"/>
        <w:ind w:firstLine="480"/>
        <w:jc w:val="left"/>
        <w:spacing w:line="500" w:lineRule="exact"/>
        <w:tabs>
          <w:tab w:val="left" w:pos="1980" w:leader="none"/>
        </w:tabs>
        <w:rPr>
          <w:rFonts w:hint="eastAsia"/>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2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10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w:t>
      </w:r>
      <w:r>
        <w:rPr>
          <w:sz w:val="24"/>
        </w:rPr>
        <w:t xml:space="preserve">动中对于支持乡村振兴管理的相关要求见第五章《采购需求》（如涉及）。</w:t>
      </w:r>
      <w:r>
        <w:rPr>
          <w:rFonts w:ascii="宋体" w:hAnsi="宋体"/>
          <w:b/>
          <w:bCs/>
          <w:sz w:val="24"/>
        </w:rPr>
      </w:r>
      <w:r/>
    </w:p>
    <w:p>
      <w:pPr>
        <w:pStyle w:val="10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w:t>
      </w:r>
      <w:r>
        <w:rPr>
          <w:sz w:val="24"/>
        </w:rPr>
        <w:t xml:space="preserve">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sz w:val="24"/>
        </w:rPr>
      </w:r>
      <w:r/>
    </w:p>
    <w:p>
      <w:pPr>
        <w:pStyle w:val="10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102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1109"/>
        <w:ind w:firstLine="482"/>
        <w:spacing w:line="500" w:lineRule="exact"/>
        <w:rPr>
          <w:rFonts w:ascii="宋体" w:hAnsi="宋体" w:cs="Times New Roman"/>
          <w:b/>
          <w:bCs/>
          <w:color w:val="000000"/>
        </w:rPr>
      </w:pPr>
      <w:r>
        <w:rPr>
          <w:rFonts w:hint="eastAsia" w:ascii="宋体" w:hAnsi="宋体" w:cs="Times New Roman"/>
          <w:b/>
          <w:bCs/>
          <w:color w:val="000000"/>
        </w:rPr>
        <w:t xml:space="preserve">3</w:t>
      </w:r>
      <w:r>
        <w:rPr>
          <w:rFonts w:ascii="宋体" w:hAnsi="宋体" w:cs="Times New Roman"/>
          <w:b/>
          <w:bCs/>
          <w:color w:val="000000"/>
        </w:rPr>
        <w:t xml:space="preserve">3.8</w:t>
      </w:r>
      <w:r>
        <w:rPr>
          <w:rFonts w:hint="eastAsia" w:ascii="宋体" w:hAnsi="宋体" w:cs="Times New Roman"/>
          <w:b/>
          <w:bCs/>
          <w:color w:val="000000"/>
        </w:rPr>
        <w:t xml:space="preserve">绿色采购政策：</w:t>
      </w:r>
      <w:r>
        <w:rPr>
          <w:rFonts w:ascii="宋体" w:hAnsi="宋体" w:cs="Times New Roman"/>
          <w:b/>
          <w:bCs/>
          <w:color w:val="000000"/>
        </w:rPr>
      </w:r>
      <w:r/>
    </w:p>
    <w:p>
      <w:pPr>
        <w:pStyle w:val="1028"/>
        <w:ind w:firstLine="482"/>
        <w:spacing w:line="480" w:lineRule="exact"/>
        <w:rPr>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sz w:val="24"/>
        </w:rPr>
        <w:t xml:space="preserve">依据《绿色数据中心政府采购需求标准（试行）》（财办库〔2023〕7 号）文件精神，采购人在采购数据中心相关设备、运维服务，应当有利于节约能源、环境保护和资源循环利用，按照《需求标准》实施相关采</w:t>
      </w:r>
      <w:r>
        <w:rPr>
          <w:rFonts w:hint="eastAsia"/>
          <w:sz w:val="24"/>
        </w:rPr>
        <w:t xml:space="preserve">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w:t>
      </w:r>
      <w:r>
        <w:rPr>
          <w:rFonts w:hint="eastAsia"/>
          <w:sz w:val="24"/>
        </w:rPr>
        <w:t xml:space="preserve">检测时间长等原因，不能在验收过程中开展检测、认证的，可要求供应商在验收阶段提供相关检测报告、认证报告。</w:t>
      </w:r>
      <w:r>
        <w:rPr>
          <w:sz w:val="24"/>
        </w:rPr>
      </w:r>
      <w:r/>
    </w:p>
    <w:p>
      <w:pPr>
        <w:pStyle w:val="1028"/>
        <w:ind w:firstLine="482"/>
        <w:spacing w:line="480" w:lineRule="exact"/>
        <w:rPr>
          <w:rFonts w:hint="eastAsia"/>
          <w:sz w:val="24"/>
        </w:rPr>
      </w:pPr>
      <w:r>
        <w:rPr>
          <w:rFonts w:hint="eastAsia" w:ascii="宋体" w:hAnsi="宋体"/>
          <w:b/>
          <w:bCs/>
          <w:sz w:val="24"/>
        </w:rPr>
        <w:t xml:space="preserve">3</w:t>
      </w:r>
      <w:r>
        <w:rPr>
          <w:rFonts w:ascii="宋体" w:hAnsi="宋体"/>
          <w:b/>
          <w:bCs/>
          <w:sz w:val="24"/>
        </w:rPr>
        <w:t xml:space="preserve">3.8</w:t>
      </w:r>
      <w:r>
        <w:rPr>
          <w:rFonts w:ascii="宋体" w:hAnsi="宋体"/>
          <w:b/>
          <w:bCs/>
          <w:sz w:val="24"/>
        </w:rPr>
        <w:t xml:space="preserve">.2</w:t>
      </w:r>
      <w:r>
        <w:rPr>
          <w:rFonts w:hint="eastAsia" w:ascii="宋体" w:hAnsi="宋体"/>
          <w:b/>
          <w:bCs/>
          <w:sz w:val="24"/>
        </w:rPr>
        <w:t xml:space="preserve">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p>
    <w:p>
      <w:pPr>
        <w:pStyle w:val="1028"/>
        <w:ind w:firstLine="482"/>
        <w:spacing w:line="480" w:lineRule="exact"/>
        <w:rPr>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sz w:val="24"/>
        </w:rPr>
        <w:t xml:space="preserve">采购人要落实挥发性有机化合物（VOCs）治理要求，若本项目中涉及涂料、胶黏剂、油墨、清洗剂等挥发性有机物产品的，属于强制性标</w:t>
      </w:r>
      <w:r>
        <w:rPr>
          <w:rFonts w:hint="eastAsia"/>
          <w:sz w:val="24"/>
        </w:rPr>
        <w:t xml:space="preserve">准的，投标人应当提供符合国家和江苏省相关VOCs 含量限制标准的产品；属于推荐性标准的，应当在采购文件中载明低VOCs的优惠幅度、评审标准等，以体现优先采购。</w:t>
      </w:r>
      <w:r>
        <w:rPr>
          <w:sz w:val="24"/>
        </w:rPr>
      </w:r>
      <w:r/>
    </w:p>
    <w:p>
      <w:pPr>
        <w:pStyle w:val="1028"/>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1028"/>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w:t>
      </w:r>
      <w:r>
        <w:rPr>
          <w:sz w:val="24"/>
        </w:rPr>
        <w:t xml:space="preserve">23</w:t>
      </w:r>
      <w:r>
        <w:rPr>
          <w:rFonts w:hint="eastAsia"/>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w:t>
      </w:r>
      <w:r>
        <w:rPr>
          <w:rFonts w:hint="eastAsia"/>
          <w:sz w:val="24"/>
        </w:rPr>
        <w:t xml:space="preserve">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sz w:val="24"/>
        </w:rPr>
      </w:r>
      <w:r/>
    </w:p>
    <w:p>
      <w:pPr>
        <w:pStyle w:val="1028"/>
        <w:ind w:firstLine="420"/>
        <w:spacing w:line="50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109"/>
        <w:ind w:firstLine="480"/>
        <w:spacing w:line="500" w:lineRule="exact"/>
        <w:rPr>
          <w:color w:val="000000"/>
        </w:rPr>
      </w:pPr>
      <w:r>
        <w:rPr>
          <w:rFonts w:hint="eastAsia"/>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w:t>
      </w:r>
      <w:r>
        <w:rPr>
          <w:rFonts w:hint="eastAsia"/>
          <w:color w:val="000000"/>
        </w:rPr>
        <w:t xml:space="preserve">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rPr>
      </w:r>
      <w:r/>
    </w:p>
    <w:p>
      <w:pPr>
        <w:pStyle w:val="1028"/>
        <w:ind w:firstLine="420"/>
        <w:rPr>
          <w:rFonts w:hint="eastAsia"/>
          <w:szCs w:val="21"/>
        </w:rPr>
      </w:pPr>
      <w:r/>
      <w:bookmarkEnd w:id="256"/>
      <w:r/>
      <w:bookmarkEnd w:id="257"/>
      <w:r/>
      <w:bookmarkEnd w:id="258"/>
      <w:r>
        <w:rPr>
          <w:rFonts w:hint="eastAsia"/>
          <w:szCs w:val="21"/>
        </w:rPr>
      </w:r>
      <w:r/>
    </w:p>
    <w:p>
      <w:pPr>
        <w:pStyle w:val="1028"/>
        <w:jc w:val="center"/>
        <w:spacing w:line="360" w:lineRule="auto"/>
        <w:rPr>
          <w:rFonts w:hint="eastAsia"/>
          <w:b/>
          <w:sz w:val="36"/>
          <w:szCs w:val="36"/>
        </w:rPr>
        <w:outlineLvl w:val="0"/>
      </w:pPr>
      <w:r/>
      <w:bookmarkEnd w:id="127"/>
      <w:r>
        <w:rPr>
          <w:b/>
          <w:sz w:val="36"/>
          <w:szCs w:val="36"/>
        </w:rPr>
        <w:t xml:space="preserve">第三章 </w:t>
      </w:r>
      <w:r>
        <w:rPr>
          <w:b/>
          <w:sz w:val="36"/>
          <w:szCs w:val="36"/>
        </w:rPr>
        <w:t xml:space="preserve"> </w:t>
      </w:r>
      <w:bookmarkEnd w:id="128"/>
      <w:r/>
      <w:bookmarkEnd w:id="129"/>
      <w:r/>
      <w:bookmarkEnd w:id="130"/>
      <w:r/>
      <w:bookmarkEnd w:id="131"/>
      <w:r/>
      <w:bookmarkEnd w:id="132"/>
      <w:r/>
      <w:bookmarkEnd w:id="133"/>
      <w:r/>
      <w:bookmarkEnd w:id="138"/>
      <w:r/>
      <w:bookmarkEnd w:id="139"/>
      <w:r/>
      <w:bookmarkEnd w:id="140"/>
      <w:r/>
      <w:bookmarkEnd w:id="142"/>
      <w:r/>
      <w:bookmarkEnd w:id="143"/>
      <w:r/>
      <w:bookmarkEnd w:id="144"/>
      <w:r/>
      <w:bookmarkEnd w:id="145"/>
      <w:r>
        <w:rPr>
          <w:b/>
          <w:sz w:val="36"/>
          <w:szCs w:val="36"/>
        </w:rPr>
        <w:t xml:space="preserve">资格审查</w:t>
      </w:r>
      <w:bookmarkEnd w:id="134"/>
      <w:r/>
      <w:bookmarkStart w:id="259" w:name="_Toc487900382"/>
      <w:r>
        <w:rPr>
          <w:rFonts w:hint="eastAsia"/>
          <w:b/>
          <w:sz w:val="36"/>
          <w:szCs w:val="36"/>
        </w:rPr>
      </w:r>
      <w:r/>
    </w:p>
    <w:p>
      <w:pPr>
        <w:pStyle w:val="1028"/>
        <w:ind w:firstLine="2891"/>
        <w:spacing w:line="360" w:lineRule="auto"/>
        <w:tabs>
          <w:tab w:val="left" w:pos="360" w:leader="none"/>
          <w:tab w:val="left" w:pos="900" w:leader="none"/>
        </w:tabs>
        <w:rPr>
          <w:b/>
          <w:sz w:val="32"/>
          <w:szCs w:val="32"/>
        </w:rPr>
        <w:outlineLvl w:val="1"/>
      </w:pPr>
      <w:r/>
      <w:bookmarkStart w:id="260" w:name="_Toc99301422"/>
      <w:r>
        <w:rPr>
          <w:rFonts w:hint="eastAsia"/>
          <w:b/>
          <w:sz w:val="32"/>
          <w:szCs w:val="32"/>
        </w:rPr>
        <w:t xml:space="preserve">第一节 </w:t>
      </w:r>
      <w:r>
        <w:rPr>
          <w:b/>
          <w:sz w:val="32"/>
          <w:szCs w:val="32"/>
        </w:rPr>
        <w:t xml:space="preserve">资格审查程序</w:t>
      </w:r>
      <w:bookmarkEnd w:id="260"/>
      <w:r>
        <w:rPr>
          <w:b/>
          <w:sz w:val="32"/>
          <w:szCs w:val="32"/>
        </w:rPr>
      </w:r>
      <w:r/>
    </w:p>
    <w:p>
      <w:pPr>
        <w:pStyle w:val="1028"/>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pStyle w:val="1028"/>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pStyle w:val="1028"/>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pStyle w:val="1028"/>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pStyle w:val="1028"/>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58"/>
        <w:gridCol w:w="5010"/>
        <w:gridCol w:w="1702"/>
      </w:tblGrid>
      <w:tr>
        <w:trPr>
          <w:trHeight w:val="468"/>
        </w:trPr>
        <w:tc>
          <w:tcPr>
            <w:tcW w:w="454" w:type="pct"/>
            <w:vAlign w:val="center"/>
            <w:textDirection w:val="lrTb"/>
            <w:noWrap w:val="false"/>
          </w:tcPr>
          <w:p>
            <w:pPr>
              <w:pStyle w:val="1028"/>
              <w:jc w:val="center"/>
              <w:tabs>
                <w:tab w:val="left" w:pos="1080" w:leader="none"/>
              </w:tabs>
              <w:rPr>
                <w:b/>
                <w:sz w:val="24"/>
              </w:rPr>
            </w:pPr>
            <w:r/>
            <w:bookmarkStart w:id="261" w:name="_Hlt487972895"/>
            <w:r/>
            <w:bookmarkEnd w:id="261"/>
            <w:r>
              <w:rPr>
                <w:b/>
                <w:sz w:val="24"/>
              </w:rPr>
              <w:t xml:space="preserve">序号</w:t>
            </w:r>
            <w:r/>
          </w:p>
        </w:tc>
        <w:tc>
          <w:tcPr>
            <w:tcW w:w="1067" w:type="pct"/>
            <w:vAlign w:val="center"/>
            <w:textDirection w:val="lrTb"/>
            <w:noWrap w:val="false"/>
          </w:tcPr>
          <w:p>
            <w:pPr>
              <w:pStyle w:val="1028"/>
              <w:jc w:val="center"/>
              <w:tabs>
                <w:tab w:val="left" w:pos="1080" w:leader="none"/>
              </w:tabs>
              <w:rPr>
                <w:b/>
                <w:sz w:val="24"/>
              </w:rPr>
            </w:pPr>
            <w:r>
              <w:rPr>
                <w:b/>
                <w:sz w:val="24"/>
              </w:rPr>
              <w:t xml:space="preserve">审查因素</w:t>
            </w:r>
            <w:r/>
          </w:p>
        </w:tc>
        <w:tc>
          <w:tcPr>
            <w:tcW w:w="2597" w:type="pct"/>
            <w:vAlign w:val="center"/>
            <w:textDirection w:val="lrTb"/>
            <w:noWrap w:val="false"/>
          </w:tcPr>
          <w:p>
            <w:pPr>
              <w:pStyle w:val="1028"/>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1028"/>
              <w:jc w:val="center"/>
              <w:tabs>
                <w:tab w:val="left" w:pos="1080" w:leader="none"/>
              </w:tabs>
              <w:rPr>
                <w:b/>
                <w:sz w:val="24"/>
              </w:rPr>
            </w:pPr>
            <w:r>
              <w:rPr>
                <w:b/>
                <w:sz w:val="24"/>
              </w:rPr>
              <w:t xml:space="preserve">格式要求</w:t>
            </w:r>
            <w:r/>
          </w:p>
        </w:tc>
      </w:tr>
      <w:tr>
        <w:trPr>
          <w:trHeight w:val="468"/>
        </w:trPr>
        <w:tc>
          <w:tcPr>
            <w:tcW w:w="454" w:type="pct"/>
            <w:vAlign w:val="center"/>
            <w:textDirection w:val="lrTb"/>
            <w:noWrap w:val="false"/>
          </w:tcPr>
          <w:p>
            <w:pPr>
              <w:pStyle w:val="1028"/>
              <w:jc w:val="center"/>
              <w:tabs>
                <w:tab w:val="left" w:pos="1080" w:leader="none"/>
              </w:tabs>
              <w:rPr>
                <w:sz w:val="24"/>
              </w:rPr>
            </w:pPr>
            <w:r>
              <w:rPr>
                <w:sz w:val="24"/>
              </w:rPr>
              <w:t xml:space="preserve">1</w:t>
            </w:r>
            <w:r/>
          </w:p>
        </w:tc>
        <w:tc>
          <w:tcPr>
            <w:tcW w:w="1067" w:type="pct"/>
            <w:vAlign w:val="center"/>
            <w:textDirection w:val="lrTb"/>
            <w:noWrap w:val="false"/>
          </w:tcPr>
          <w:p>
            <w:pPr>
              <w:pStyle w:val="1028"/>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7" w:type="pct"/>
            <w:vAlign w:val="center"/>
            <w:textDirection w:val="lrTb"/>
            <w:noWrap w:val="false"/>
          </w:tcPr>
          <w:p>
            <w:pPr>
              <w:pStyle w:val="1028"/>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1028"/>
              <w:ind w:firstLine="720"/>
              <w:tabs>
                <w:tab w:val="left" w:pos="1080" w:leader="none"/>
              </w:tabs>
              <w:rPr>
                <w:rFonts w:hint="eastAsia"/>
                <w:sz w:val="24"/>
              </w:rPr>
            </w:pPr>
            <w:r>
              <w:rPr>
                <w:rFonts w:hint="eastAsia"/>
                <w:sz w:val="24"/>
              </w:rPr>
              <w:t xml:space="preserve">/</w:t>
            </w:r>
            <w:r/>
          </w:p>
        </w:tc>
      </w:tr>
      <w:tr>
        <w:trPr>
          <w:trHeight w:val="46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2</w:t>
            </w:r>
            <w:r/>
          </w:p>
        </w:tc>
        <w:tc>
          <w:tcPr>
            <w:tcW w:w="1067" w:type="pct"/>
            <w:vAlign w:val="center"/>
            <w:textDirection w:val="lrTb"/>
            <w:noWrap w:val="false"/>
          </w:tcPr>
          <w:p>
            <w:pPr>
              <w:pStyle w:val="1028"/>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1028"/>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1028"/>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3</w:t>
            </w:r>
            <w:r/>
          </w:p>
        </w:tc>
        <w:tc>
          <w:tcPr>
            <w:tcW w:w="1067" w:type="pct"/>
            <w:vAlign w:val="center"/>
            <w:textDirection w:val="lrTb"/>
            <w:noWrap w:val="false"/>
          </w:tcPr>
          <w:p>
            <w:pPr>
              <w:pStyle w:val="1028"/>
              <w:tabs>
                <w:tab w:val="left" w:pos="1080" w:leader="none"/>
              </w:tabs>
              <w:rPr>
                <w:sz w:val="24"/>
              </w:rPr>
            </w:pPr>
            <w:r>
              <w:rPr>
                <w:rFonts w:hint="eastAsia"/>
                <w:sz w:val="24"/>
              </w:rPr>
              <w:t xml:space="preserve">投标人资格声明</w:t>
            </w:r>
            <w:r>
              <w:rPr>
                <w:sz w:val="24"/>
              </w:rPr>
            </w:r>
            <w:r/>
          </w:p>
        </w:tc>
        <w:tc>
          <w:tcPr>
            <w:tcW w:w="2597" w:type="pct"/>
            <w:vAlign w:val="center"/>
            <w:textDirection w:val="lrTb"/>
            <w:noWrap w:val="false"/>
          </w:tcPr>
          <w:p>
            <w:pPr>
              <w:pStyle w:val="1028"/>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2" w:type="pct"/>
            <w:vAlign w:val="center"/>
            <w:textDirection w:val="lrTb"/>
            <w:noWrap w:val="false"/>
          </w:tcPr>
          <w:p>
            <w:pPr>
              <w:pStyle w:val="1028"/>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4</w:t>
            </w:r>
            <w:r/>
          </w:p>
        </w:tc>
        <w:tc>
          <w:tcPr>
            <w:tcW w:w="1067" w:type="pct"/>
            <w:vAlign w:val="center"/>
            <w:textDirection w:val="lrTb"/>
            <w:noWrap w:val="false"/>
          </w:tcPr>
          <w:p>
            <w:pPr>
              <w:pStyle w:val="1028"/>
              <w:tabs>
                <w:tab w:val="left" w:pos="1080" w:leader="none"/>
              </w:tabs>
              <w:rPr>
                <w:sz w:val="24"/>
              </w:rPr>
            </w:pPr>
            <w:r>
              <w:rPr>
                <w:sz w:val="24"/>
              </w:rPr>
              <w:t xml:space="preserve">投标人信用记录</w:t>
            </w:r>
            <w:r/>
          </w:p>
        </w:tc>
        <w:tc>
          <w:tcPr>
            <w:tcW w:w="2597" w:type="pct"/>
            <w:vAlign w:val="center"/>
            <w:textDirection w:val="lrTb"/>
            <w:noWrap w:val="false"/>
          </w:tcPr>
          <w:p>
            <w:pPr>
              <w:pStyle w:val="1028"/>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028"/>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1028"/>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w:t>
            </w:r>
            <w:r>
              <w:rPr>
                <w:sz w:val="24"/>
              </w:rPr>
              <w:t xml:space="preserve">一并保存；</w:t>
            </w:r>
            <w:r/>
          </w:p>
          <w:p>
            <w:pPr>
              <w:pStyle w:val="1028"/>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w:t>
            </w:r>
            <w:r>
              <w:rPr>
                <w:sz w:val="24"/>
              </w:rPr>
              <w:t xml:space="preserve">良信用记录。</w:t>
            </w:r>
            <w:r>
              <w:rPr>
                <w:rFonts w:hint="eastAsia" w:ascii="宋体" w:hAnsi="宋体"/>
                <w:bCs/>
                <w:sz w:val="24"/>
              </w:rPr>
            </w:r>
            <w:r/>
          </w:p>
        </w:tc>
        <w:tc>
          <w:tcPr>
            <w:tcW w:w="882" w:type="pct"/>
            <w:vAlign w:val="center"/>
            <w:textDirection w:val="lrTb"/>
            <w:noWrap w:val="false"/>
          </w:tcPr>
          <w:p>
            <w:pPr>
              <w:pStyle w:val="1028"/>
              <w:tabs>
                <w:tab w:val="left" w:pos="1080" w:leader="none"/>
              </w:tabs>
              <w:rPr>
                <w:sz w:val="24"/>
              </w:rPr>
            </w:pPr>
            <w:r>
              <w:rPr>
                <w:sz w:val="24"/>
              </w:rPr>
              <w:t xml:space="preserve">无须投标人提供，由采购人查询。</w:t>
            </w:r>
            <w:r/>
          </w:p>
        </w:tc>
      </w:tr>
      <w:tr>
        <w:trPr>
          <w:trHeight w:val="46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5</w:t>
            </w:r>
            <w:r/>
          </w:p>
        </w:tc>
        <w:tc>
          <w:tcPr>
            <w:tcW w:w="1067" w:type="pct"/>
            <w:vAlign w:val="center"/>
            <w:textDirection w:val="lrTb"/>
            <w:noWrap w:val="false"/>
          </w:tcPr>
          <w:p>
            <w:pPr>
              <w:pStyle w:val="1028"/>
              <w:ind w:firstLine="240"/>
              <w:tabs>
                <w:tab w:val="left" w:pos="1080" w:leader="none"/>
              </w:tabs>
              <w:rPr>
                <w:sz w:val="24"/>
              </w:rPr>
            </w:pPr>
            <w:r>
              <w:rPr>
                <w:rFonts w:hint="eastAsia"/>
                <w:sz w:val="24"/>
              </w:rPr>
              <w:t xml:space="preserve">信用承诺</w:t>
            </w:r>
            <w:r>
              <w:rPr>
                <w:sz w:val="24"/>
              </w:rPr>
            </w:r>
            <w:r/>
          </w:p>
        </w:tc>
        <w:tc>
          <w:tcPr>
            <w:tcW w:w="2597" w:type="pct"/>
            <w:vAlign w:val="center"/>
            <w:textDirection w:val="lrTb"/>
            <w:noWrap w:val="false"/>
          </w:tcPr>
          <w:p>
            <w:pPr>
              <w:pStyle w:val="1028"/>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2" w:type="pct"/>
            <w:vAlign w:val="center"/>
            <w:textDirection w:val="lrTb"/>
            <w:noWrap w:val="false"/>
          </w:tcPr>
          <w:p>
            <w:pPr>
              <w:pStyle w:val="1028"/>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6</w:t>
            </w:r>
            <w:r/>
          </w:p>
        </w:tc>
        <w:tc>
          <w:tcPr>
            <w:tcW w:w="1067" w:type="pct"/>
            <w:vAlign w:val="center"/>
            <w:textDirection w:val="lrTb"/>
            <w:noWrap w:val="false"/>
          </w:tcPr>
          <w:p>
            <w:pPr>
              <w:pStyle w:val="1028"/>
              <w:tabs>
                <w:tab w:val="left" w:pos="1080" w:leader="none"/>
              </w:tabs>
              <w:rPr>
                <w:sz w:val="24"/>
              </w:rPr>
            </w:pPr>
            <w:r>
              <w:rPr>
                <w:sz w:val="24"/>
              </w:rPr>
              <w:t xml:space="preserve">落实政府采购政策需满足的资格要求</w:t>
            </w:r>
            <w:r/>
          </w:p>
        </w:tc>
        <w:tc>
          <w:tcPr>
            <w:tcW w:w="2597" w:type="pct"/>
            <w:vAlign w:val="center"/>
            <w:textDirection w:val="lrTb"/>
            <w:noWrap w:val="false"/>
          </w:tcPr>
          <w:p>
            <w:pPr>
              <w:pStyle w:val="1028"/>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1028"/>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trHeight w:val="468"/>
        </w:trPr>
        <w:tc>
          <w:tcPr>
            <w:tcW w:w="454" w:type="pct"/>
            <w:vAlign w:val="center"/>
            <w:textDirection w:val="lrTb"/>
            <w:noWrap w:val="false"/>
          </w:tcPr>
          <w:p>
            <w:pPr>
              <w:pStyle w:val="1028"/>
              <w:jc w:val="center"/>
              <w:tabs>
                <w:tab w:val="left" w:pos="1080" w:leader="none"/>
              </w:tabs>
              <w:rPr>
                <w:rFonts w:hint="eastAsia"/>
                <w:b/>
                <w:sz w:val="24"/>
              </w:rPr>
            </w:pPr>
            <w:r>
              <w:rPr>
                <w:rFonts w:hint="eastAsia"/>
                <w:b/>
                <w:sz w:val="24"/>
              </w:rPr>
              <w:t xml:space="preserve">7</w:t>
            </w:r>
            <w:r/>
          </w:p>
        </w:tc>
        <w:tc>
          <w:tcPr>
            <w:tcW w:w="1067" w:type="pct"/>
            <w:vAlign w:val="center"/>
            <w:textDirection w:val="lrTb"/>
            <w:noWrap w:val="false"/>
          </w:tcPr>
          <w:p>
            <w:pPr>
              <w:pStyle w:val="1028"/>
              <w:tabs>
                <w:tab w:val="left" w:pos="1080" w:leader="none"/>
              </w:tabs>
              <w:rPr>
                <w:b/>
                <w:sz w:val="24"/>
              </w:rPr>
            </w:pPr>
            <w:r>
              <w:rPr>
                <w:b/>
                <w:sz w:val="24"/>
              </w:rPr>
              <w:t xml:space="preserve">本项目的特定资格要求</w:t>
            </w:r>
            <w:r/>
          </w:p>
        </w:tc>
        <w:tc>
          <w:tcPr>
            <w:tcW w:w="2597" w:type="pct"/>
            <w:vAlign w:val="center"/>
            <w:textDirection w:val="lrTb"/>
            <w:noWrap w:val="false"/>
          </w:tcPr>
          <w:p>
            <w:pPr>
              <w:pStyle w:val="1028"/>
              <w:spacing w:line="360" w:lineRule="auto"/>
              <w:rPr>
                <w:rFonts w:hint="eastAsia"/>
                <w:b/>
                <w:bCs/>
                <w:sz w:val="24"/>
              </w:rPr>
            </w:pPr>
            <w:r>
              <w:rPr>
                <w:rFonts w:hint="eastAsia"/>
                <w:b/>
                <w:bCs/>
                <w:sz w:val="24"/>
              </w:rPr>
            </w:r>
            <w:r/>
          </w:p>
        </w:tc>
        <w:tc>
          <w:tcPr>
            <w:tcW w:w="882" w:type="pct"/>
            <w:vAlign w:val="center"/>
            <w:textDirection w:val="lrTb"/>
            <w:noWrap w:val="false"/>
          </w:tcPr>
          <w:p>
            <w:pPr>
              <w:pStyle w:val="1028"/>
              <w:tabs>
                <w:tab w:val="left" w:pos="1080" w:leader="none"/>
              </w:tabs>
              <w:rPr>
                <w:sz w:val="24"/>
              </w:rPr>
            </w:pPr>
            <w:r>
              <w:rPr>
                <w:sz w:val="24"/>
              </w:rPr>
            </w:r>
            <w:r/>
          </w:p>
        </w:tc>
      </w:tr>
      <w:tr>
        <w:trPr>
          <w:trHeight w:val="4548"/>
        </w:trPr>
        <w:tc>
          <w:tcPr>
            <w:tcW w:w="454" w:type="pct"/>
            <w:vAlign w:val="center"/>
            <w:textDirection w:val="lrTb"/>
            <w:noWrap w:val="false"/>
          </w:tcPr>
          <w:p>
            <w:pPr>
              <w:pStyle w:val="1028"/>
              <w:jc w:val="center"/>
              <w:tabs>
                <w:tab w:val="left" w:pos="1080" w:leader="none"/>
              </w:tabs>
              <w:rPr>
                <w:rFonts w:hint="eastAsia"/>
                <w:sz w:val="24"/>
              </w:rPr>
            </w:pPr>
            <w:r>
              <w:rPr>
                <w:rFonts w:hint="eastAsia"/>
                <w:sz w:val="24"/>
              </w:rPr>
              <w:t xml:space="preserve">8</w:t>
            </w:r>
            <w:r/>
          </w:p>
        </w:tc>
        <w:tc>
          <w:tcPr>
            <w:tcW w:w="1067" w:type="pct"/>
            <w:vAlign w:val="center"/>
            <w:textDirection w:val="lrTb"/>
            <w:noWrap w:val="false"/>
          </w:tcPr>
          <w:p>
            <w:pPr>
              <w:pStyle w:val="1028"/>
              <w:tabs>
                <w:tab w:val="left" w:pos="1080" w:leader="none"/>
              </w:tabs>
              <w:rPr>
                <w:rFonts w:hint="eastAsia"/>
                <w:sz w:val="24"/>
              </w:rPr>
            </w:pPr>
            <w:r>
              <w:rPr>
                <w:sz w:val="24"/>
              </w:rPr>
              <w:t xml:space="preserve">联合体</w:t>
            </w:r>
            <w:r>
              <w:rPr>
                <w:rFonts w:hint="eastAsia"/>
                <w:sz w:val="24"/>
              </w:rPr>
              <w:t xml:space="preserve">协议（如有）</w:t>
            </w:r>
            <w:r/>
          </w:p>
        </w:tc>
        <w:tc>
          <w:tcPr>
            <w:tcW w:w="2597" w:type="pct"/>
            <w:vAlign w:val="center"/>
            <w:textDirection w:val="lrTb"/>
            <w:noWrap w:val="false"/>
          </w:tcPr>
          <w:p>
            <w:pPr>
              <w:pStyle w:val="1028"/>
              <w:tabs>
                <w:tab w:val="left" w:pos="1080" w:leader="none"/>
              </w:tabs>
              <w:rPr>
                <w:sz w:val="24"/>
              </w:rPr>
            </w:pPr>
            <w:r>
              <w:rPr>
                <w:sz w:val="24"/>
              </w:rPr>
              <w:t xml:space="preserve">1、如本项目接受联合体投标，</w:t>
            </w:r>
            <w:r>
              <w:rPr>
                <w:sz w:val="24"/>
              </w:rPr>
              <w:t xml:space="preserve">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pStyle w:val="1028"/>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1028"/>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w:t>
            </w:r>
            <w:r>
              <w:rPr>
                <w:rFonts w:hint="eastAsia"/>
                <w:sz w:val="24"/>
              </w:rPr>
              <w:t xml:space="preserve">表中其他资格要求并提供证明文件。</w:t>
            </w:r>
            <w:r>
              <w:rPr>
                <w:sz w:val="24"/>
              </w:rPr>
            </w:r>
            <w:r/>
          </w:p>
          <w:p>
            <w:pPr>
              <w:pStyle w:val="1028"/>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pStyle w:val="102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1028"/>
              <w:tabs>
                <w:tab w:val="left" w:pos="1080" w:leader="none"/>
              </w:tabs>
              <w:rPr>
                <w:sz w:val="24"/>
              </w:rPr>
            </w:pPr>
            <w:r>
              <w:rPr>
                <w:sz w:val="24"/>
              </w:rPr>
              <w:t xml:space="preserve">6、若联合体中任一成员单位中途退出，则该联合体的投标无效。</w:t>
            </w:r>
            <w:r/>
          </w:p>
          <w:p>
            <w:pPr>
              <w:pStyle w:val="1028"/>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pStyle w:val="1028"/>
              <w:tabs>
                <w:tab w:val="left" w:pos="1080" w:leader="none"/>
              </w:tabs>
              <w:rPr>
                <w:sz w:val="24"/>
              </w:rPr>
            </w:pPr>
            <w:r>
              <w:rPr>
                <w:sz w:val="24"/>
              </w:rPr>
              <w:t xml:space="preserve">格式见《投标文件格式》 </w:t>
            </w:r>
            <w:r/>
          </w:p>
        </w:tc>
      </w:tr>
    </w:tbl>
    <w:p>
      <w:pPr>
        <w:pStyle w:val="1028"/>
        <w:jc w:val="left"/>
        <w:widowControl/>
        <w:rPr>
          <w:sz w:val="24"/>
        </w:rPr>
      </w:pPr>
      <w:r/>
      <w:bookmarkEnd w:id="259"/>
      <w:r/>
      <w:bookmarkStart w:id="262" w:name="_Toc226965858"/>
      <w:r/>
      <w:bookmarkStart w:id="263" w:name="_Toc353825550"/>
      <w:r/>
      <w:bookmarkStart w:id="264" w:name="_Toc127161490"/>
      <w:r/>
      <w:bookmarkStart w:id="265" w:name="_Toc353873940"/>
      <w:r/>
      <w:bookmarkStart w:id="266" w:name="_Toc127151779"/>
      <w:r>
        <w:rPr>
          <w:sz w:val="24"/>
        </w:rPr>
        <w:br w:type="page" w:clear="all"/>
      </w:r>
      <w:r/>
    </w:p>
    <w:p>
      <w:pPr>
        <w:pStyle w:val="1028"/>
        <w:jc w:val="center"/>
        <w:spacing w:line="360" w:lineRule="auto"/>
        <w:rPr>
          <w:b/>
          <w:sz w:val="36"/>
          <w:szCs w:val="36"/>
        </w:rPr>
        <w:outlineLvl w:val="0"/>
      </w:pPr>
      <w:r/>
      <w:bookmarkStart w:id="267" w:name="_Toc99301423"/>
      <w:r>
        <w:rPr>
          <w:b/>
          <w:sz w:val="36"/>
          <w:szCs w:val="36"/>
        </w:rPr>
        <w:t xml:space="preserve">第四章   </w:t>
      </w:r>
      <w:bookmarkEnd w:id="262"/>
      <w:r/>
      <w:bookmarkEnd w:id="263"/>
      <w:r/>
      <w:bookmarkEnd w:id="264"/>
      <w:r/>
      <w:bookmarkEnd w:id="265"/>
      <w:r/>
      <w:bookmarkEnd w:id="266"/>
      <w:r/>
      <w:bookmarkStart w:id="268" w:name="_Hlt164229061"/>
      <w:r/>
      <w:bookmarkEnd w:id="268"/>
      <w:r>
        <w:rPr>
          <w:b/>
          <w:sz w:val="36"/>
          <w:szCs w:val="36"/>
        </w:rPr>
        <w:t xml:space="preserve">评标程序、评标方法和评标标准</w:t>
      </w:r>
      <w:bookmarkEnd w:id="267"/>
      <w:r>
        <w:rPr>
          <w:b/>
          <w:sz w:val="36"/>
          <w:szCs w:val="36"/>
        </w:rPr>
      </w:r>
      <w:r/>
    </w:p>
    <w:p>
      <w:pPr>
        <w:pStyle w:val="1028"/>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1028"/>
        <w:ind w:firstLine="480"/>
        <w:spacing w:line="360" w:lineRule="auto"/>
        <w:tabs>
          <w:tab w:val="left" w:pos="360" w:leader="none"/>
        </w:tabs>
        <w:rPr>
          <w:sz w:val="24"/>
        </w:rPr>
        <w:outlineLvl w:val="1"/>
      </w:pPr>
      <w:r/>
      <w:bookmarkStart w:id="269" w:name="_Toc353873941"/>
      <w:r/>
      <w:bookmarkStart w:id="270"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71" w:name="_Toc520356167"/>
      <w:r>
        <w:rPr>
          <w:sz w:val="24"/>
        </w:rPr>
      </w:r>
      <w:r/>
    </w:p>
    <w:p>
      <w:pPr>
        <w:pStyle w:val="1028"/>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w:t>
      </w:r>
      <w:r>
        <w:rPr>
          <w:sz w:val="24"/>
        </w:rPr>
        <w:t xml:space="preserve">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71"/>
      <w:r>
        <w:rPr>
          <w:rFonts w:hint="eastAsia"/>
          <w:sz w:val="24"/>
        </w:rPr>
        <w:t xml:space="preserve">的，投标无效。</w:t>
      </w:r>
      <w:r>
        <w:rPr>
          <w:sz w:val="24"/>
        </w:rPr>
      </w:r>
      <w:r/>
    </w:p>
    <w:p>
      <w:pPr>
        <w:pStyle w:val="1109"/>
        <w:rPr>
          <w:color w:val="000000"/>
        </w:rPr>
      </w:pPr>
      <w:r>
        <w:rPr>
          <w:color w:val="000000"/>
        </w:rPr>
      </w:r>
      <w:r/>
    </w:p>
    <w:p>
      <w:pPr>
        <w:pStyle w:val="1028"/>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1109"/>
        <w:ind w:firstLine="602"/>
        <w:rPr>
          <w:color w:val="000000"/>
        </w:rPr>
      </w:pPr>
      <w:r>
        <w:rPr>
          <w:b/>
          <w:color w:val="000000"/>
          <w:sz w:val="30"/>
          <w:szCs w:val="30"/>
        </w:rPr>
        <w:t xml:space="preserve">一、符合性审查要求</w:t>
      </w:r>
      <w:r>
        <w:rPr>
          <w:color w:val="00000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824"/>
        <w:gridCol w:w="4634"/>
        <w:gridCol w:w="2251"/>
      </w:tblGrid>
      <w:tr>
        <w:trPr>
          <w:trHeight w:val="300"/>
        </w:trPr>
        <w:tc>
          <w:tcPr>
            <w:tcW w:w="482" w:type="pct"/>
            <w:vAlign w:val="center"/>
            <w:textDirection w:val="lrTb"/>
            <w:noWrap w:val="false"/>
          </w:tcPr>
          <w:p>
            <w:pPr>
              <w:pStyle w:val="1028"/>
              <w:jc w:val="center"/>
              <w:widowControl/>
              <w:rPr>
                <w:b/>
                <w:sz w:val="24"/>
              </w:rPr>
            </w:pPr>
            <w:r>
              <w:rPr>
                <w:b/>
                <w:sz w:val="24"/>
              </w:rPr>
              <w:t xml:space="preserve">序号</w:t>
            </w:r>
            <w:r/>
          </w:p>
        </w:tc>
        <w:tc>
          <w:tcPr>
            <w:tcW w:w="946" w:type="pct"/>
            <w:vAlign w:val="center"/>
            <w:textDirection w:val="lrTb"/>
            <w:noWrap w:val="false"/>
          </w:tcPr>
          <w:p>
            <w:pPr>
              <w:pStyle w:val="1028"/>
              <w:jc w:val="center"/>
              <w:widowControl/>
              <w:rPr>
                <w:b/>
                <w:sz w:val="24"/>
              </w:rPr>
            </w:pPr>
            <w:r>
              <w:rPr>
                <w:b/>
                <w:sz w:val="24"/>
              </w:rPr>
              <w:t xml:space="preserve">审查因素</w:t>
            </w:r>
            <w:r/>
          </w:p>
        </w:tc>
        <w:tc>
          <w:tcPr>
            <w:tcW w:w="2404" w:type="pct"/>
            <w:vAlign w:val="center"/>
            <w:textDirection w:val="lrTb"/>
            <w:noWrap w:val="false"/>
          </w:tcPr>
          <w:p>
            <w:pPr>
              <w:pStyle w:val="1028"/>
              <w:jc w:val="center"/>
              <w:widowControl/>
              <w:rPr>
                <w:b/>
                <w:sz w:val="24"/>
              </w:rPr>
            </w:pPr>
            <w:r>
              <w:rPr>
                <w:b/>
                <w:sz w:val="24"/>
              </w:rPr>
              <w:t xml:space="preserve">审查内容</w:t>
            </w:r>
            <w:r/>
          </w:p>
        </w:tc>
        <w:tc>
          <w:tcPr>
            <w:tcW w:w="1168" w:type="pct"/>
            <w:vAlign w:val="center"/>
            <w:textDirection w:val="lrTb"/>
            <w:noWrap w:val="false"/>
          </w:tcPr>
          <w:p>
            <w:pPr>
              <w:pStyle w:val="1028"/>
              <w:jc w:val="center"/>
              <w:widowControl/>
              <w:rPr>
                <w:rFonts w:hint="eastAsia"/>
                <w:b/>
                <w:sz w:val="24"/>
              </w:rPr>
            </w:pPr>
            <w:r>
              <w:rPr>
                <w:rFonts w:hint="eastAsia"/>
                <w:b/>
                <w:sz w:val="24"/>
              </w:rPr>
              <w:t xml:space="preserve">格式要求</w:t>
            </w:r>
            <w:r/>
          </w:p>
        </w:tc>
      </w:tr>
      <w:tr>
        <w:trPr>
          <w:trHeight w:val="685"/>
        </w:trPr>
        <w:tc>
          <w:tcPr>
            <w:tcW w:w="482" w:type="pct"/>
            <w:vAlign w:val="center"/>
            <w:textDirection w:val="lrTb"/>
            <w:noWrap w:val="false"/>
          </w:tcPr>
          <w:p>
            <w:pPr>
              <w:pStyle w:val="1028"/>
              <w:jc w:val="center"/>
              <w:widowControl/>
              <w:rPr>
                <w:sz w:val="24"/>
              </w:rPr>
            </w:pPr>
            <w:r>
              <w:rPr>
                <w:sz w:val="24"/>
              </w:rPr>
              <w:t xml:space="preserve">1</w:t>
            </w:r>
            <w:r/>
          </w:p>
        </w:tc>
        <w:tc>
          <w:tcPr>
            <w:tcW w:w="946" w:type="pct"/>
            <w:vAlign w:val="center"/>
            <w:textDirection w:val="lrTb"/>
            <w:noWrap w:val="false"/>
          </w:tcPr>
          <w:p>
            <w:pPr>
              <w:pStyle w:val="1028"/>
              <w:jc w:val="left"/>
              <w:widowControl/>
              <w:rPr>
                <w:sz w:val="24"/>
              </w:rPr>
            </w:pPr>
            <w:r>
              <w:rPr>
                <w:rFonts w:hint="eastAsia"/>
                <w:sz w:val="24"/>
              </w:rPr>
              <w:t xml:space="preserve">投标函</w:t>
            </w:r>
            <w:r>
              <w:rPr>
                <w:sz w:val="24"/>
              </w:rPr>
            </w:r>
            <w:r/>
          </w:p>
        </w:tc>
        <w:tc>
          <w:tcPr>
            <w:tcW w:w="2404" w:type="pct"/>
            <w:vAlign w:val="center"/>
            <w:textDirection w:val="lrTb"/>
            <w:noWrap w:val="false"/>
          </w:tcPr>
          <w:p>
            <w:pPr>
              <w:pStyle w:val="1028"/>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1028"/>
              <w:jc w:val="left"/>
              <w:widowControl/>
              <w:rPr>
                <w:rFonts w:hint="eastAsia"/>
                <w:sz w:val="24"/>
              </w:rPr>
            </w:pPr>
            <w:r>
              <w:rPr>
                <w:sz w:val="24"/>
              </w:rPr>
              <w:t xml:space="preserve">格式见《投标文件格式》</w:t>
            </w: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2</w:t>
            </w:r>
            <w:r/>
          </w:p>
        </w:tc>
        <w:tc>
          <w:tcPr>
            <w:tcW w:w="946" w:type="pct"/>
            <w:vAlign w:val="center"/>
            <w:textDirection w:val="lrTb"/>
            <w:noWrap w:val="false"/>
          </w:tcPr>
          <w:p>
            <w:pPr>
              <w:pStyle w:val="1028"/>
              <w:jc w:val="left"/>
              <w:widowControl/>
              <w:rPr>
                <w:sz w:val="24"/>
              </w:rPr>
            </w:pPr>
            <w:r>
              <w:rPr>
                <w:sz w:val="24"/>
              </w:rPr>
              <w:t xml:space="preserve">投标完整性</w:t>
            </w:r>
            <w:r/>
          </w:p>
        </w:tc>
        <w:tc>
          <w:tcPr>
            <w:tcW w:w="2404" w:type="pct"/>
            <w:vAlign w:val="center"/>
            <w:textDirection w:val="lrTb"/>
            <w:noWrap w:val="false"/>
          </w:tcPr>
          <w:p>
            <w:pPr>
              <w:pStyle w:val="1028"/>
              <w:jc w:val="left"/>
              <w:widowControl/>
              <w:rPr>
                <w:rFonts w:hint="eastAsia"/>
                <w:sz w:val="24"/>
              </w:rPr>
            </w:pPr>
            <w:r>
              <w:rPr>
                <w:rFonts w:hint="eastAsia"/>
                <w:sz w:val="24"/>
              </w:rPr>
              <w:t xml:space="preserve">报价明细表未有缺项、漏项；</w:t>
            </w:r>
            <w:r>
              <w:rPr>
                <w:rFonts w:hint="eastAsia"/>
                <w:sz w:val="24"/>
              </w:rPr>
            </w:r>
            <w:r/>
          </w:p>
        </w:tc>
        <w:tc>
          <w:tcPr>
            <w:tcW w:w="1168" w:type="pct"/>
            <w:vAlign w:val="center"/>
            <w:textDirection w:val="lrTb"/>
            <w:noWrap w:val="false"/>
          </w:tcPr>
          <w:p>
            <w:pPr>
              <w:pStyle w:val="1028"/>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3</w:t>
            </w:r>
            <w:r/>
          </w:p>
        </w:tc>
        <w:tc>
          <w:tcPr>
            <w:tcW w:w="946" w:type="pct"/>
            <w:vAlign w:val="center"/>
            <w:textDirection w:val="lrTb"/>
            <w:noWrap w:val="false"/>
          </w:tcPr>
          <w:p>
            <w:pPr>
              <w:pStyle w:val="1028"/>
              <w:jc w:val="left"/>
              <w:widowControl/>
              <w:rPr>
                <w:sz w:val="24"/>
              </w:rPr>
            </w:pPr>
            <w:r>
              <w:rPr>
                <w:sz w:val="24"/>
              </w:rPr>
              <w:t xml:space="preserve">投标报价</w:t>
            </w:r>
            <w:r/>
          </w:p>
        </w:tc>
        <w:tc>
          <w:tcPr>
            <w:tcW w:w="2404" w:type="pct"/>
            <w:vAlign w:val="center"/>
            <w:textDirection w:val="lrTb"/>
            <w:noWrap w:val="false"/>
          </w:tcPr>
          <w:p>
            <w:pPr>
              <w:pStyle w:val="1028"/>
              <w:jc w:val="left"/>
              <w:widowControl/>
              <w:rPr>
                <w:sz w:val="24"/>
              </w:rPr>
            </w:pPr>
            <w:r>
              <w:rPr>
                <w:rFonts w:hint="eastAsia"/>
                <w:sz w:val="24"/>
              </w:rPr>
              <w:t xml:space="preserve">投标报价未超过最高限价（总价最高限价</w:t>
            </w:r>
            <w:r>
              <w:rPr>
                <w:rFonts w:hint="eastAsia"/>
                <w:sz w:val="24"/>
              </w:rPr>
              <w:t xml:space="preserve">及单价最高限价）或预算价的</w:t>
            </w:r>
            <w:r>
              <w:rPr>
                <w:sz w:val="24"/>
              </w:rPr>
              <w:t xml:space="preserve">；</w:t>
            </w:r>
            <w:r>
              <w:rPr>
                <w:sz w:val="24"/>
              </w:rPr>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4</w:t>
            </w:r>
            <w:r/>
          </w:p>
        </w:tc>
        <w:tc>
          <w:tcPr>
            <w:tcW w:w="946" w:type="pct"/>
            <w:vAlign w:val="center"/>
            <w:textDirection w:val="lrTb"/>
            <w:noWrap w:val="false"/>
          </w:tcPr>
          <w:p>
            <w:pPr>
              <w:pStyle w:val="1028"/>
              <w:jc w:val="left"/>
              <w:widowControl/>
              <w:rPr>
                <w:sz w:val="24"/>
              </w:rPr>
            </w:pPr>
            <w:r>
              <w:rPr>
                <w:sz w:val="24"/>
              </w:rPr>
              <w:t xml:space="preserve">报价唯一性</w:t>
            </w:r>
            <w:r/>
          </w:p>
        </w:tc>
        <w:tc>
          <w:tcPr>
            <w:tcW w:w="2404" w:type="pct"/>
            <w:vAlign w:val="center"/>
            <w:textDirection w:val="lrTb"/>
            <w:noWrap w:val="false"/>
          </w:tcPr>
          <w:p>
            <w:pPr>
              <w:pStyle w:val="1028"/>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5</w:t>
            </w:r>
            <w:r/>
          </w:p>
        </w:tc>
        <w:tc>
          <w:tcPr>
            <w:tcW w:w="946" w:type="pct"/>
            <w:vAlign w:val="center"/>
            <w:textDirection w:val="lrTb"/>
            <w:noWrap w:val="false"/>
          </w:tcPr>
          <w:p>
            <w:pPr>
              <w:pStyle w:val="1028"/>
              <w:jc w:val="left"/>
              <w:widowControl/>
              <w:rPr>
                <w:sz w:val="24"/>
              </w:rPr>
            </w:pPr>
            <w:r>
              <w:rPr>
                <w:sz w:val="24"/>
              </w:rPr>
              <w:t xml:space="preserve">投标有效期</w:t>
            </w:r>
            <w:r/>
          </w:p>
        </w:tc>
        <w:tc>
          <w:tcPr>
            <w:tcW w:w="2404" w:type="pct"/>
            <w:vAlign w:val="center"/>
            <w:textDirection w:val="lrTb"/>
            <w:noWrap w:val="false"/>
          </w:tcPr>
          <w:p>
            <w:pPr>
              <w:pStyle w:val="102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6</w:t>
            </w:r>
            <w:r/>
          </w:p>
        </w:tc>
        <w:tc>
          <w:tcPr>
            <w:tcW w:w="946" w:type="pct"/>
            <w:vAlign w:val="center"/>
            <w:textDirection w:val="lrTb"/>
            <w:noWrap w:val="false"/>
          </w:tcPr>
          <w:p>
            <w:pPr>
              <w:pStyle w:val="1028"/>
              <w:jc w:val="left"/>
              <w:widowControl/>
              <w:rPr>
                <w:sz w:val="24"/>
              </w:rPr>
            </w:pPr>
            <w:r>
              <w:rPr>
                <w:sz w:val="24"/>
              </w:rPr>
              <w:t xml:space="preserve">签署、加盖公章</w:t>
            </w:r>
            <w:r/>
          </w:p>
        </w:tc>
        <w:tc>
          <w:tcPr>
            <w:tcW w:w="2404" w:type="pct"/>
            <w:vAlign w:val="center"/>
            <w:textDirection w:val="lrTb"/>
            <w:noWrap w:val="false"/>
          </w:tcPr>
          <w:p>
            <w:pPr>
              <w:pStyle w:val="1028"/>
              <w:jc w:val="left"/>
              <w:widowControl/>
              <w:rPr>
                <w:sz w:val="24"/>
              </w:rPr>
            </w:pPr>
            <w:r>
              <w:rPr>
                <w:sz w:val="24"/>
              </w:rPr>
              <w:t xml:space="preserve">按照招标文件要求签署、加盖公章的；</w:t>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1028"/>
              <w:jc w:val="left"/>
              <w:widowControl/>
              <w:rPr>
                <w:sz w:val="24"/>
              </w:rPr>
            </w:pPr>
            <w:r>
              <w:rPr>
                <w:rFonts w:hint="eastAsia"/>
                <w:sz w:val="24"/>
              </w:rPr>
              <w:t xml:space="preserve">实质性格式</w:t>
            </w:r>
            <w:r>
              <w:rPr>
                <w:sz w:val="24"/>
              </w:rPr>
            </w:r>
            <w:r/>
          </w:p>
        </w:tc>
        <w:tc>
          <w:tcPr>
            <w:tcW w:w="2404" w:type="pct"/>
            <w:vAlign w:val="center"/>
            <w:textDirection w:val="lrTb"/>
            <w:noWrap w:val="false"/>
          </w:tcPr>
          <w:p>
            <w:pPr>
              <w:pStyle w:val="102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1028"/>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8</w:t>
            </w:r>
            <w:r/>
          </w:p>
        </w:tc>
        <w:tc>
          <w:tcPr>
            <w:tcW w:w="946" w:type="pct"/>
            <w:vAlign w:val="center"/>
            <w:textDirection w:val="lrTb"/>
            <w:noWrap w:val="false"/>
          </w:tcPr>
          <w:p>
            <w:pPr>
              <w:pStyle w:val="1028"/>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pStyle w:val="1028"/>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9</w:t>
            </w:r>
            <w:r/>
          </w:p>
        </w:tc>
        <w:tc>
          <w:tcPr>
            <w:tcW w:w="946" w:type="pct"/>
            <w:vAlign w:val="center"/>
            <w:textDirection w:val="lrTb"/>
            <w:noWrap w:val="false"/>
          </w:tcPr>
          <w:p>
            <w:pPr>
              <w:pStyle w:val="1028"/>
              <w:jc w:val="left"/>
              <w:widowControl/>
              <w:rPr>
                <w:sz w:val="24"/>
              </w:rPr>
            </w:pPr>
            <w:r>
              <w:rPr>
                <w:sz w:val="24"/>
              </w:rPr>
              <w:t xml:space="preserve">分包承担主体资质（如有）</w:t>
            </w:r>
            <w:r/>
          </w:p>
        </w:tc>
        <w:tc>
          <w:tcPr>
            <w:tcW w:w="2404" w:type="pct"/>
            <w:vAlign w:val="center"/>
            <w:textDirection w:val="lrTb"/>
            <w:noWrap w:val="false"/>
          </w:tcPr>
          <w:p>
            <w:pPr>
              <w:pStyle w:val="102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10</w:t>
            </w:r>
            <w:r/>
          </w:p>
        </w:tc>
        <w:tc>
          <w:tcPr>
            <w:tcW w:w="946" w:type="pct"/>
            <w:vAlign w:val="center"/>
            <w:textDirection w:val="lrTb"/>
            <w:noWrap w:val="false"/>
          </w:tcPr>
          <w:p>
            <w:pPr>
              <w:pStyle w:val="1028"/>
              <w:jc w:val="left"/>
              <w:widowControl/>
              <w:rPr>
                <w:sz w:val="24"/>
              </w:rPr>
            </w:pPr>
            <w:r>
              <w:rPr>
                <w:sz w:val="24"/>
              </w:rPr>
              <w:t xml:space="preserve">分包意向协议（如有）</w:t>
            </w:r>
            <w:r/>
          </w:p>
        </w:tc>
        <w:tc>
          <w:tcPr>
            <w:tcW w:w="2404" w:type="pct"/>
            <w:vAlign w:val="center"/>
            <w:textDirection w:val="lrTb"/>
            <w:noWrap w:val="false"/>
          </w:tcPr>
          <w:p>
            <w:pPr>
              <w:pStyle w:val="1028"/>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11</w:t>
            </w:r>
            <w:r/>
          </w:p>
        </w:tc>
        <w:tc>
          <w:tcPr>
            <w:tcW w:w="946" w:type="pct"/>
            <w:vAlign w:val="center"/>
            <w:textDirection w:val="lrTb"/>
            <w:noWrap w:val="false"/>
          </w:tcPr>
          <w:p>
            <w:pPr>
              <w:pStyle w:val="1028"/>
              <w:jc w:val="left"/>
              <w:widowControl/>
              <w:rPr>
                <w:sz w:val="24"/>
              </w:rPr>
            </w:pPr>
            <w:r>
              <w:rPr>
                <w:sz w:val="24"/>
              </w:rPr>
              <w:t xml:space="preserve">报价的修正（如有）</w:t>
            </w:r>
            <w:r/>
          </w:p>
        </w:tc>
        <w:tc>
          <w:tcPr>
            <w:tcW w:w="2404" w:type="pct"/>
            <w:vAlign w:val="center"/>
            <w:textDirection w:val="lrTb"/>
            <w:noWrap w:val="false"/>
          </w:tcPr>
          <w:p>
            <w:pPr>
              <w:pStyle w:val="102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pStyle w:val="1028"/>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12</w:t>
            </w:r>
            <w:r/>
          </w:p>
        </w:tc>
        <w:tc>
          <w:tcPr>
            <w:tcW w:w="946" w:type="pct"/>
            <w:vAlign w:val="center"/>
            <w:textDirection w:val="lrTb"/>
            <w:noWrap w:val="false"/>
          </w:tcPr>
          <w:p>
            <w:pPr>
              <w:pStyle w:val="1028"/>
              <w:jc w:val="left"/>
              <w:widowControl/>
              <w:rPr>
                <w:sz w:val="24"/>
              </w:rPr>
            </w:pPr>
            <w:r>
              <w:rPr>
                <w:sz w:val="24"/>
              </w:rPr>
              <w:t xml:space="preserve">报价合理性</w:t>
            </w:r>
            <w:r/>
          </w:p>
        </w:tc>
        <w:tc>
          <w:tcPr>
            <w:tcW w:w="2404" w:type="pct"/>
            <w:vAlign w:val="center"/>
            <w:textDirection w:val="lrTb"/>
            <w:noWrap w:val="false"/>
          </w:tcPr>
          <w:p>
            <w:pPr>
              <w:pStyle w:val="1028"/>
              <w:ind w:firstLine="480"/>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动异常低价投标（响应）审查程序： </w:t>
            </w:r>
            <w:r/>
          </w:p>
          <w:p>
            <w:pPr>
              <w:pStyle w:val="1028"/>
              <w:ind w:firstLine="480"/>
              <w:jc w:val="left"/>
              <w:widowControl/>
              <w:rPr>
                <w:rFonts w:hint="eastAsia"/>
                <w:sz w:val="24"/>
              </w:rPr>
            </w:pPr>
            <w:r>
              <w:rPr>
                <w:rFonts w:hint="eastAsia"/>
                <w:sz w:val="24"/>
              </w:rPr>
              <w:t xml:space="preserve">1.投标（响应）报价低于全部通过符合性审查供应商投标（响应）报价平均值50%的，即投标（响应）</w:t>
            </w:r>
            <w:r>
              <w:rPr>
                <w:rFonts w:hint="eastAsia"/>
                <w:sz w:val="24"/>
              </w:rPr>
              <w:t xml:space="preserve">报价&lt;全部通过符合性审查供应商投标（响应）报价平均值×50%；</w:t>
            </w:r>
            <w:r/>
          </w:p>
          <w:p>
            <w:pPr>
              <w:pStyle w:val="1028"/>
              <w:ind w:firstLine="480"/>
              <w:jc w:val="left"/>
              <w:widowControl/>
              <w:rPr>
                <w:rFonts w:hint="eastAsia"/>
                <w:sz w:val="24"/>
              </w:rPr>
            </w:pPr>
            <w:r>
              <w:rPr>
                <w:rFonts w:hint="eastAsia"/>
                <w:sz w:val="24"/>
              </w:rPr>
              <w:t xml:space="preserve">2.投标（响应）报价低于通过符合性审查的次低报价供应商投标（响应）报价50%的，即投标（响应）报</w:t>
            </w:r>
            <w:r>
              <w:rPr>
                <w:rFonts w:hint="eastAsia"/>
                <w:sz w:val="24"/>
              </w:rPr>
              <w:t xml:space="preserve">价&lt;通过符合性审查的次低报价供应商投标（响应）报价×50%；</w:t>
            </w:r>
            <w:r/>
          </w:p>
          <w:p>
            <w:pPr>
              <w:pStyle w:val="1028"/>
              <w:ind w:firstLine="480"/>
              <w:jc w:val="left"/>
              <w:widowControl/>
              <w:rPr>
                <w:rFonts w:hint="eastAsia"/>
                <w:sz w:val="24"/>
              </w:rPr>
            </w:pPr>
            <w:r>
              <w:rPr>
                <w:rFonts w:hint="eastAsia"/>
                <w:sz w:val="24"/>
              </w:rPr>
              <w:t xml:space="preserve">3.投标（响应）报价低于采购项目最高限价45%的，即投标（响应）报价&lt;采购项目最高限价×45%；</w:t>
            </w:r>
            <w:r/>
          </w:p>
          <w:p>
            <w:pPr>
              <w:pStyle w:val="1028"/>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1028"/>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8"/>
              <w:ind w:firstLine="480"/>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w:t>
            </w:r>
            <w:r>
              <w:rPr>
                <w:rFonts w:hint="eastAsia"/>
                <w:sz w:val="24"/>
              </w:rPr>
              <w:t xml:space="preserve">说明、证明材料，或者提供的书面说明、证明材料不能证明其报价合理性的，评审委员会应当将其作为无效投标（响应）处理。</w:t>
            </w:r>
            <w:r/>
          </w:p>
          <w:p>
            <w:pPr>
              <w:pStyle w:val="1028"/>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13</w:t>
            </w:r>
            <w:r/>
          </w:p>
        </w:tc>
        <w:tc>
          <w:tcPr>
            <w:tcW w:w="946" w:type="pct"/>
            <w:vAlign w:val="center"/>
            <w:textDirection w:val="lrTb"/>
            <w:noWrap w:val="false"/>
          </w:tcPr>
          <w:p>
            <w:pPr>
              <w:pStyle w:val="1028"/>
              <w:jc w:val="left"/>
              <w:widowControl/>
              <w:rPr>
                <w:sz w:val="24"/>
              </w:rPr>
            </w:pPr>
            <w:r>
              <w:rPr>
                <w:sz w:val="24"/>
              </w:rPr>
              <w:t xml:space="preserve">进口产品</w:t>
            </w:r>
            <w:r/>
          </w:p>
          <w:p>
            <w:pPr>
              <w:pStyle w:val="1028"/>
              <w:jc w:val="left"/>
              <w:widowControl/>
              <w:rPr>
                <w:sz w:val="24"/>
              </w:rPr>
            </w:pPr>
            <w:r>
              <w:rPr>
                <w:sz w:val="24"/>
              </w:rPr>
              <w:t xml:space="preserve">（如有）</w:t>
            </w:r>
            <w:r/>
          </w:p>
        </w:tc>
        <w:tc>
          <w:tcPr>
            <w:tcW w:w="2404" w:type="pct"/>
            <w:vAlign w:val="center"/>
            <w:textDirection w:val="lrTb"/>
            <w:noWrap w:val="false"/>
          </w:tcPr>
          <w:p>
            <w:pPr>
              <w:pStyle w:val="1028"/>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1028"/>
              <w:jc w:val="left"/>
              <w:widowControl/>
              <w:rPr>
                <w:rFonts w:hint="eastAsia" w:ascii="宋体" w:hAnsi="宋体"/>
                <w:sz w:val="24"/>
              </w:rPr>
            </w:pPr>
            <w:r>
              <w:rPr>
                <w:rFonts w:hint="eastAsia" w:ascii="宋体" w:hAnsi="宋体"/>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14</w:t>
            </w:r>
            <w:r/>
          </w:p>
        </w:tc>
        <w:tc>
          <w:tcPr>
            <w:tcW w:w="946" w:type="pct"/>
            <w:vAlign w:val="center"/>
            <w:textDirection w:val="lrTb"/>
            <w:noWrap w:val="false"/>
          </w:tcPr>
          <w:p>
            <w:pPr>
              <w:pStyle w:val="1028"/>
              <w:jc w:val="left"/>
              <w:widowControl/>
              <w:rPr>
                <w:sz w:val="24"/>
              </w:rPr>
            </w:pPr>
            <w:r>
              <w:rPr>
                <w:sz w:val="24"/>
              </w:rPr>
              <w:t xml:space="preserve">国家有关部门对投标人的投标产品有强制性规定或要求的</w:t>
            </w:r>
            <w:r/>
          </w:p>
        </w:tc>
        <w:tc>
          <w:tcPr>
            <w:tcW w:w="2404" w:type="pct"/>
            <w:vAlign w:val="center"/>
            <w:textDirection w:val="lrTb"/>
            <w:noWrap w:val="false"/>
          </w:tcPr>
          <w:p>
            <w:pPr>
              <w:pStyle w:val="1028"/>
              <w:jc w:val="left"/>
              <w:widowControl/>
              <w:rPr>
                <w:sz w:val="24"/>
              </w:rPr>
            </w:pPr>
            <w:r>
              <w:rPr>
                <w:sz w:val="24"/>
              </w:rPr>
              <w:t xml:space="preserve">国家有关部门对投标人的投标产品有强制性规定或要求的，投标人的投标产品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28"/>
              <w:jc w:val="left"/>
              <w:widowControl/>
              <w:rPr>
                <w:rFonts w:hint="eastAsia"/>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w:t>
            </w:r>
            <w:r>
              <w:rPr>
                <w:sz w:val="24"/>
              </w:rPr>
              <w:t xml:space="preserve">能产品认证证书；</w:t>
            </w:r>
            <w:r>
              <w:rPr>
                <w:rFonts w:hint="eastAsia"/>
                <w:sz w:val="24"/>
              </w:rPr>
            </w:r>
            <w:r/>
          </w:p>
        </w:tc>
        <w:tc>
          <w:tcPr>
            <w:tcW w:w="1168" w:type="pct"/>
            <w:vAlign w:val="center"/>
            <w:textDirection w:val="lrTb"/>
            <w:noWrap w:val="false"/>
          </w:tcPr>
          <w:p>
            <w:pPr>
              <w:pStyle w:val="1028"/>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15</w:t>
            </w:r>
            <w:r/>
          </w:p>
        </w:tc>
        <w:tc>
          <w:tcPr>
            <w:tcW w:w="946" w:type="pct"/>
            <w:vAlign w:val="center"/>
            <w:textDirection w:val="lrTb"/>
            <w:noWrap w:val="false"/>
          </w:tcPr>
          <w:p>
            <w:pPr>
              <w:pStyle w:val="1028"/>
              <w:jc w:val="left"/>
              <w:widowControl/>
              <w:rPr>
                <w:sz w:val="24"/>
              </w:rPr>
            </w:pPr>
            <w:r>
              <w:rPr>
                <w:sz w:val="24"/>
              </w:rPr>
              <w:t xml:space="preserve">公平竞争</w:t>
            </w:r>
            <w:r/>
          </w:p>
        </w:tc>
        <w:tc>
          <w:tcPr>
            <w:tcW w:w="2404" w:type="pct"/>
            <w:vAlign w:val="center"/>
            <w:textDirection w:val="lrTb"/>
            <w:noWrap w:val="false"/>
          </w:tcPr>
          <w:p>
            <w:pPr>
              <w:pStyle w:val="1028"/>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16</w:t>
            </w:r>
            <w:r/>
          </w:p>
        </w:tc>
        <w:tc>
          <w:tcPr>
            <w:tcW w:w="946" w:type="pct"/>
            <w:vAlign w:val="center"/>
            <w:textDirection w:val="lrTb"/>
            <w:noWrap w:val="false"/>
          </w:tcPr>
          <w:p>
            <w:pPr>
              <w:pStyle w:val="1028"/>
              <w:jc w:val="left"/>
              <w:widowControl/>
              <w:rPr>
                <w:sz w:val="24"/>
              </w:rPr>
            </w:pPr>
            <w:r>
              <w:rPr>
                <w:sz w:val="24"/>
              </w:rPr>
              <w:t xml:space="preserve">串通投标</w:t>
            </w:r>
            <w:r/>
          </w:p>
        </w:tc>
        <w:tc>
          <w:tcPr>
            <w:tcW w:w="2404" w:type="pct"/>
            <w:vAlign w:val="center"/>
            <w:textDirection w:val="lrTb"/>
            <w:noWrap w:val="false"/>
          </w:tcPr>
          <w:p>
            <w:pPr>
              <w:pStyle w:val="1028"/>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w:t>
            </w:r>
            <w:r>
              <w:rPr>
                <w:rFonts w:hint="eastAsia" w:ascii="宋体" w:hAnsi="宋体"/>
                <w:sz w:val="24"/>
              </w:rPr>
              <w:t xml:space="preserve">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1028"/>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1028"/>
              <w:jc w:val="center"/>
              <w:widowControl/>
              <w:rPr>
                <w:sz w:val="24"/>
              </w:rPr>
            </w:pPr>
            <w:r>
              <w:rPr>
                <w:sz w:val="24"/>
              </w:rPr>
              <w:t xml:space="preserve">17</w:t>
            </w:r>
            <w:r/>
          </w:p>
        </w:tc>
        <w:tc>
          <w:tcPr>
            <w:tcW w:w="946" w:type="pct"/>
            <w:vAlign w:val="center"/>
            <w:textDirection w:val="lrTb"/>
            <w:noWrap w:val="false"/>
          </w:tcPr>
          <w:p>
            <w:pPr>
              <w:pStyle w:val="1028"/>
              <w:jc w:val="left"/>
              <w:widowControl/>
              <w:rPr>
                <w:sz w:val="24"/>
              </w:rPr>
            </w:pPr>
            <w:r>
              <w:rPr>
                <w:sz w:val="24"/>
              </w:rPr>
              <w:t xml:space="preserve">附加条件</w:t>
            </w:r>
            <w:r/>
          </w:p>
        </w:tc>
        <w:tc>
          <w:tcPr>
            <w:tcW w:w="2404" w:type="pct"/>
            <w:vAlign w:val="center"/>
            <w:textDirection w:val="lrTb"/>
            <w:noWrap w:val="false"/>
          </w:tcPr>
          <w:p>
            <w:pPr>
              <w:pStyle w:val="102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pStyle w:val="1028"/>
              <w:jc w:val="left"/>
              <w:widowControl/>
              <w:rPr>
                <w:sz w:val="24"/>
              </w:rPr>
            </w:pPr>
            <w:r>
              <w:rPr>
                <w:sz w:val="24"/>
              </w:rPr>
            </w:r>
            <w:r/>
          </w:p>
        </w:tc>
      </w:tr>
      <w:tr>
        <w:trPr>
          <w:trHeight w:val="685"/>
        </w:trPr>
        <w:tc>
          <w:tcPr>
            <w:tcW w:w="482" w:type="pct"/>
            <w:vAlign w:val="center"/>
            <w:textDirection w:val="lrTb"/>
            <w:noWrap w:val="false"/>
          </w:tcPr>
          <w:p>
            <w:pPr>
              <w:pStyle w:val="1028"/>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pStyle w:val="1028"/>
              <w:jc w:val="left"/>
              <w:widowControl/>
              <w:rPr>
                <w:sz w:val="24"/>
              </w:rPr>
            </w:pPr>
            <w:r>
              <w:rPr>
                <w:sz w:val="24"/>
              </w:rPr>
              <w:t xml:space="preserve">其他无效情形</w:t>
            </w:r>
            <w:r/>
          </w:p>
        </w:tc>
        <w:tc>
          <w:tcPr>
            <w:tcW w:w="2404" w:type="pct"/>
            <w:vAlign w:val="center"/>
            <w:textDirection w:val="lrTb"/>
            <w:noWrap w:val="false"/>
          </w:tcPr>
          <w:p>
            <w:pPr>
              <w:pStyle w:val="1028"/>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1028"/>
              <w:jc w:val="left"/>
              <w:widowControl/>
              <w:rPr>
                <w:sz w:val="24"/>
              </w:rPr>
            </w:pPr>
            <w:r>
              <w:rPr>
                <w:sz w:val="24"/>
              </w:rPr>
            </w:r>
            <w:r/>
          </w:p>
        </w:tc>
      </w:tr>
    </w:tbl>
    <w:p>
      <w:pPr>
        <w:pStyle w:val="1028"/>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w:t>
      </w:r>
      <w:r>
        <w:rPr>
          <w:sz w:val="24"/>
        </w:rPr>
        <w:t xml:space="preserve">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1028"/>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rFonts w:hint="eastAsia"/>
          <w:sz w:val="24"/>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（三）</w:t>
      </w:r>
      <w:r>
        <w:rPr>
          <w:rFonts w:hint="eastAsia"/>
          <w:sz w:val="24"/>
        </w:rPr>
        <w:t xml:space="preserve">投标文件</w:t>
      </w:r>
      <w:r>
        <w:rPr>
          <w:rFonts w:hint="eastAsia"/>
          <w:sz w:val="24"/>
        </w:rPr>
        <w:t xml:space="preserve">报价出现前后不一致的，按照第二章26.4之规定处理，修正后的报价经投标人书面确认后产生约束力，投标人不确认的，其投标无效。</w:t>
      </w:r>
      <w:r>
        <w:rPr>
          <w:sz w:val="24"/>
        </w:rPr>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（四）</w:t>
      </w:r>
      <w:r>
        <w:rPr>
          <w:rFonts w:hint="eastAsia"/>
          <w:sz w:val="24"/>
        </w:rPr>
        <w:t xml:space="preserve">落实政府采购政策的价格调整：详见第三节评标办法中的政府采购政策功能落实。</w:t>
      </w:r>
      <w:r>
        <w:rPr>
          <w:sz w:val="24"/>
        </w:rPr>
      </w:r>
      <w:r/>
    </w:p>
    <w:p>
      <w:pPr>
        <w:pStyle w:val="1028"/>
        <w:ind w:firstLine="602"/>
        <w:spacing w:line="360" w:lineRule="auto"/>
        <w:tabs>
          <w:tab w:val="left" w:pos="1080" w:leader="none"/>
          <w:tab w:val="left" w:pos="1589" w:leader="none"/>
        </w:tabs>
        <w:rPr>
          <w:b/>
          <w:sz w:val="30"/>
          <w:szCs w:val="30"/>
        </w:rPr>
      </w:pPr>
      <w:r>
        <w:rPr>
          <w:rFonts w:hint="eastAsia"/>
          <w:b/>
          <w:sz w:val="30"/>
          <w:szCs w:val="30"/>
        </w:rPr>
        <w:t xml:space="preserve">三、</w:t>
      </w:r>
      <w:r>
        <w:rPr>
          <w:b/>
          <w:sz w:val="30"/>
          <w:szCs w:val="30"/>
        </w:rPr>
        <w:t xml:space="preserve">投标文件的比较和评价</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w:t>
      </w:r>
      <w:r>
        <w:rPr>
          <w:rFonts w:ascii="Symbol" w:hAnsi="Symbol" w:cs="Symbol"/>
          <w:sz w:val="24"/>
        </w:rPr>
        <w:t xml:space="preserve">二）</w:t>
      </w:r>
      <w:r>
        <w:rPr>
          <w:sz w:val="24"/>
        </w:rPr>
        <w:t xml:space="preserve">评标方法和评标标准</w:t>
      </w:r>
      <w:r/>
    </w:p>
    <w:p>
      <w:pPr>
        <w:pStyle w:val="1028"/>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pStyle w:val="1028"/>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72" w:name="_Toc151193716"/>
      <w:r/>
      <w:bookmarkStart w:id="273" w:name="_Toc127151546"/>
      <w:r/>
      <w:bookmarkStart w:id="274" w:name="_Toc150480784"/>
      <w:r/>
      <w:bookmarkStart w:id="275" w:name="_Toc127161460"/>
      <w:r/>
      <w:bookmarkStart w:id="276" w:name="_Toc305158814"/>
      <w:r/>
      <w:bookmarkStart w:id="277" w:name="_Toc164351640"/>
      <w:r/>
      <w:bookmarkStart w:id="278" w:name="_Toc265228384"/>
      <w:r/>
      <w:bookmarkStart w:id="279" w:name="_Toc151193934"/>
      <w:r/>
      <w:bookmarkStart w:id="280" w:name="_Toc226337242"/>
      <w:r/>
      <w:bookmarkStart w:id="281" w:name="_Toc151193644"/>
      <w:r/>
      <w:bookmarkStart w:id="282" w:name="_Toc151190173"/>
      <w:r/>
      <w:bookmarkStart w:id="283" w:name="_Toc150774646"/>
      <w:r/>
      <w:bookmarkStart w:id="284" w:name="_Toc150509297"/>
      <w:r/>
      <w:bookmarkStart w:id="285" w:name="_Toc520356170"/>
      <w:r/>
      <w:bookmarkStart w:id="286" w:name="_Toc264969236"/>
      <w:r/>
      <w:bookmarkStart w:id="287" w:name="_Toc164608815"/>
      <w:r/>
      <w:bookmarkStart w:id="288" w:name="_Ref467307010"/>
      <w:r/>
      <w:bookmarkStart w:id="289" w:name="_Toc151193860"/>
      <w:r/>
      <w:bookmarkStart w:id="290" w:name="_Toc164229387"/>
      <w:r/>
      <w:bookmarkStart w:id="291" w:name="_Toc151193788"/>
      <w:r/>
      <w:bookmarkStart w:id="292" w:name="_Toc127151747"/>
      <w:r/>
      <w:bookmarkStart w:id="293" w:name="_Toc226309790"/>
      <w:r/>
      <w:bookmarkStart w:id="294" w:name="_Toc150774751"/>
      <w:r/>
      <w:bookmarkStart w:id="295" w:name="_Toc164608660"/>
      <w:r/>
      <w:bookmarkStart w:id="296" w:name="_Toc149720839"/>
      <w:r/>
      <w:bookmarkStart w:id="297" w:name="_Toc305158888"/>
      <w:r/>
      <w:bookmarkStart w:id="298" w:name="_Toc226965736"/>
      <w:r/>
      <w:bookmarkStart w:id="299" w:name="_Toc226965819"/>
      <w:r/>
      <w:bookmarkStart w:id="300" w:name="_Toc164229241"/>
      <w:r/>
      <w:bookmarkStart w:id="301" w:name="_Toc195842911"/>
      <w:r/>
      <w:bookmarkStart w:id="302" w:name="_Toc142311048"/>
      <w:r>
        <w:rPr>
          <w:b/>
          <w:sz w:val="30"/>
          <w:szCs w:val="30"/>
        </w:rPr>
        <w:t xml:space="preserve">中标候选人名单</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b/>
          <w:sz w:val="30"/>
          <w:szCs w:val="30"/>
        </w:rPr>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pStyle w:val="1028"/>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10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109"/>
        <w:rPr>
          <w:color w:val="000000"/>
        </w:rPr>
      </w:pPr>
      <w:r>
        <w:rPr>
          <w:color w:val="000000"/>
        </w:rPr>
      </w:r>
      <w:r/>
    </w:p>
    <w:p>
      <w:pPr>
        <w:pStyle w:val="1109"/>
        <w:rPr>
          <w:color w:val="000000"/>
        </w:rPr>
      </w:pPr>
      <w:r>
        <w:rPr>
          <w:color w:val="000000"/>
        </w:rPr>
      </w:r>
      <w:r/>
    </w:p>
    <w:p>
      <w:pPr>
        <w:pStyle w:val="1028"/>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1028"/>
        <w:ind w:firstLine="480"/>
        <w:spacing w:line="360" w:lineRule="auto"/>
        <w:tabs>
          <w:tab w:val="left" w:pos="360" w:leader="none"/>
        </w:tabs>
        <w:rPr>
          <w:sz w:val="24"/>
        </w:rPr>
        <w:outlineLvl w:val="1"/>
      </w:pPr>
      <w:r>
        <w:rPr>
          <w:rFonts w:hint="eastAsia"/>
          <w:sz w:val="24"/>
        </w:rPr>
        <w:t xml:space="preserve">一、本次评审采用综合评分法，</w:t>
      </w:r>
      <w:r>
        <w:rPr>
          <w:rFonts w:hint="eastAsia"/>
          <w:sz w:val="24"/>
        </w:rPr>
        <w:t xml:space="preserve">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1028"/>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w:t>
      </w:r>
      <w:r>
        <w:rPr>
          <w:rFonts w:hint="eastAsia"/>
          <w:sz w:val="24"/>
        </w:rPr>
        <w:t xml:space="preserve">价相同的并列，采购人确认主观分得分高的为中标单位；如各部分得分均相同，则由采购人代表现场对上述单位进行随机抽签,抽到的供应商即确定为中标单位。</w:t>
      </w:r>
      <w:r/>
    </w:p>
    <w:p>
      <w:pPr>
        <w:pStyle w:val="1028"/>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1028"/>
        <w:ind w:firstLine="441"/>
        <w:jc w:val="left"/>
        <w:spacing w:line="360" w:lineRule="auto"/>
        <w:rPr>
          <w:rFonts w:hint="eastAsia" w:ascii="宋体" w:hAnsi="宋体"/>
          <w:b/>
          <w:sz w:val="24"/>
        </w:rPr>
      </w:pPr>
      <w:r/>
      <w:bookmarkStart w:id="303" w:name="_Hlk149904248"/>
      <w:r>
        <w:rPr>
          <w:rFonts w:hint="eastAsia" w:ascii="宋体" w:hAnsi="宋体"/>
          <w:b/>
          <w:sz w:val="24"/>
        </w:rPr>
        <w:t xml:space="preserve">四、政府采购政策功能落实</w:t>
      </w:r>
      <w:r/>
    </w:p>
    <w:p>
      <w:pPr>
        <w:pStyle w:val="1028"/>
        <w:ind w:firstLine="480"/>
        <w:jc w:val="left"/>
        <w:spacing w:line="360" w:lineRule="auto"/>
        <w:rPr>
          <w:rFonts w:hint="eastAsia" w:ascii="宋体" w:hAnsi="宋体"/>
          <w:sz w:val="24"/>
        </w:rPr>
      </w:pPr>
      <w:r/>
      <w:bookmarkStart w:id="304" w:name="_Hlk152922042"/>
      <w:r>
        <w:rPr>
          <w:rFonts w:hint="eastAsia" w:ascii="宋体" w:hAnsi="宋体"/>
          <w:sz w:val="24"/>
        </w:rPr>
        <w:t xml:space="preserve">1、小微型企业价格扣除</w:t>
      </w:r>
      <w:r/>
    </w:p>
    <w:p>
      <w:pPr>
        <w:pStyle w:val="1028"/>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pStyle w:val="1028"/>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pStyle w:val="1028"/>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1028"/>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1028"/>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1028"/>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w:t>
      </w:r>
      <w:r>
        <w:rPr>
          <w:rFonts w:hint="eastAsia" w:ascii="宋体" w:hAnsi="宋体"/>
          <w:sz w:val="24"/>
        </w:rPr>
        <w:t xml:space="preserve">购政策的通知》（财库〔2017〕141号）。</w:t>
      </w:r>
      <w:r/>
    </w:p>
    <w:p>
      <w:pPr>
        <w:pStyle w:val="1028"/>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1028"/>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1028"/>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p>
    <w:p>
      <w:pPr>
        <w:pStyle w:val="1028"/>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w:t>
      </w:r>
      <w:r>
        <w:rPr>
          <w:rFonts w:hint="eastAsia" w:ascii="宋体" w:hAnsi="宋体"/>
          <w:sz w:val="24"/>
        </w:rPr>
        <w:t xml:space="preserve">知》（</w:t>
      </w:r>
      <w:r>
        <w:rPr>
          <w:rFonts w:ascii="宋体" w:hAnsi="宋体"/>
          <w:sz w:val="24"/>
        </w:rPr>
        <w:t xml:space="preserve">财库[2014]68号</w:t>
      </w:r>
      <w:r>
        <w:rPr>
          <w:rFonts w:hint="eastAsia" w:ascii="宋体" w:hAnsi="宋体"/>
          <w:sz w:val="24"/>
        </w:rPr>
        <w:t xml:space="preserve">）。</w:t>
      </w:r>
      <w:r/>
    </w:p>
    <w:p>
      <w:pPr>
        <w:pStyle w:val="1028"/>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pStyle w:val="1028"/>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w:t>
      </w:r>
      <w:r>
        <w:rPr>
          <w:rFonts w:hint="eastAsia" w:ascii="宋体" w:hAnsi="宋体"/>
          <w:sz w:val="24"/>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1028"/>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rPr>
          <w:rFonts w:ascii="宋体" w:hAnsi="宋体"/>
          <w:sz w:val="24"/>
        </w:rPr>
      </w:r>
      <w:r/>
    </w:p>
    <w:p>
      <w:pPr>
        <w:pStyle w:val="1028"/>
        <w:ind w:firstLine="480"/>
        <w:jc w:val="left"/>
        <w:spacing w:line="360" w:lineRule="auto"/>
        <w:rPr>
          <w:rFonts w:hint="eastAsia" w:ascii="宋体" w:hAnsi="宋体"/>
          <w:sz w:val="24"/>
        </w:rPr>
      </w:pPr>
      <w:r/>
      <w:bookmarkEnd w:id="303"/>
      <w:r/>
      <w:bookmarkEnd w:id="304"/>
      <w:r>
        <w:rPr>
          <w:rFonts w:hint="eastAsia" w:ascii="宋体" w:hAnsi="宋体"/>
          <w:sz w:val="24"/>
        </w:rPr>
        <w:t xml:space="preserve">7、政府采购中实施本国产品标准及相关政策：</w:t>
      </w:r>
      <w:r/>
    </w:p>
    <w:p>
      <w:pPr>
        <w:pStyle w:val="1028"/>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w:t>
      </w:r>
      <w:r>
        <w:rPr>
          <w:rFonts w:hint="eastAsia" w:ascii="宋体" w:hAnsi="宋体"/>
          <w:sz w:val="24"/>
        </w:rPr>
        <w:t xml:space="preserve">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8"/>
        <w:ind w:firstLine="480"/>
        <w:jc w:val="left"/>
        <w:spacing w:line="360" w:lineRule="auto"/>
        <w:rPr>
          <w:rFonts w:hint="eastAsia" w:ascii="宋体" w:hAnsi="宋体"/>
          <w:sz w:val="24"/>
        </w:rPr>
      </w:pPr>
      <w:r>
        <w:rPr>
          <w:rFonts w:hint="eastAsia" w:ascii="宋体" w:hAnsi="宋体"/>
          <w:sz w:val="24"/>
        </w:rPr>
        <w:t xml:space="preserve">7.2、当采购项目中既有本国产品又有非本国产品参与竞争的，供应商为该采购项目提供的符合本国产品标准的产品成本之和占该供应商提供的全部产品成</w:t>
      </w:r>
      <w:r>
        <w:rPr>
          <w:rFonts w:hint="eastAsia" w:ascii="宋体" w:hAnsi="宋体"/>
          <w:sz w:val="24"/>
        </w:rPr>
        <w:t xml:space="preserve">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w:t>
      </w:r>
      <w:r>
        <w:rPr>
          <w:rFonts w:hint="eastAsia" w:ascii="宋体" w:hAnsi="宋体"/>
          <w:sz w:val="24"/>
        </w:rPr>
        <w:t xml:space="preserve">从原材料、组件到产品的属性改变的产品在政府采购活动中视同本国产品。属性改变是指经过制造</w:t>
      </w:r>
      <w:r>
        <w:rPr>
          <w:rFonts w:hint="eastAsia" w:ascii="宋体" w:hAnsi="宋体"/>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pStyle w:val="1028"/>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pStyle w:val="1028"/>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w:t>
      </w:r>
      <w:r>
        <w:rPr>
          <w:rFonts w:hint="eastAsia" w:ascii="宋体" w:hAnsi="宋体"/>
          <w:sz w:val="24"/>
        </w:rPr>
        <w:t xml:space="preserve">址三项信息（《声明函》中用斜线划除的地方无需填写），三项信息中任意一项未填写的视为该项产品不符合本国产品标准，不享受本国产品价格评审优惠。</w:t>
      </w:r>
      <w:r/>
    </w:p>
    <w:p>
      <w:pPr>
        <w:pStyle w:val="1028"/>
        <w:ind w:firstLine="480"/>
        <w:jc w:val="left"/>
        <w:spacing w:line="360" w:lineRule="auto"/>
        <w:rPr>
          <w:rFonts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ascii="宋体" w:hAnsi="宋体"/>
          <w:sz w:val="24"/>
        </w:rPr>
      </w:r>
      <w:r/>
    </w:p>
    <w:p>
      <w:pPr>
        <w:pStyle w:val="1109"/>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p>
    <w:tbl>
      <w:tblPr>
        <w:tblW w:w="8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4612"/>
        <w:gridCol w:w="850"/>
        <w:gridCol w:w="1985"/>
      </w:tblGrid>
      <w:tr>
        <w:trPr>
          <w:trHeight w:val="613"/>
        </w:trPr>
        <w:tc>
          <w:tcPr>
            <w:tcW w:w="780" w:type="dxa"/>
            <w:vAlign w:val="center"/>
            <w:textDirection w:val="lrTb"/>
            <w:noWrap w:val="false"/>
          </w:tcPr>
          <w:p>
            <w:pPr>
              <w:pStyle w:val="1028"/>
              <w:jc w:val="center"/>
              <w:widowControl/>
              <w:rPr>
                <w:rFonts w:ascii="宋体" w:hAnsi="宋体"/>
                <w:b/>
                <w:szCs w:val="21"/>
              </w:rPr>
            </w:pPr>
            <w:r>
              <w:rPr>
                <w:rFonts w:hint="eastAsia" w:ascii="宋体" w:hAnsi="宋体"/>
                <w:b/>
                <w:szCs w:val="21"/>
              </w:rPr>
              <w:t xml:space="preserve">评分</w:t>
            </w:r>
            <w:r>
              <w:rPr>
                <w:rFonts w:ascii="宋体" w:hAnsi="宋体"/>
                <w:b/>
                <w:szCs w:val="21"/>
              </w:rPr>
            </w:r>
            <w:r/>
          </w:p>
          <w:p>
            <w:pPr>
              <w:pStyle w:val="1028"/>
              <w:jc w:val="center"/>
              <w:widowControl/>
              <w:rPr>
                <w:rFonts w:hint="eastAsia" w:ascii="宋体" w:hAnsi="宋体"/>
                <w:b/>
                <w:bCs/>
                <w:szCs w:val="21"/>
              </w:rPr>
            </w:pPr>
            <w:r>
              <w:rPr>
                <w:rFonts w:hint="eastAsia" w:ascii="宋体" w:hAnsi="宋体"/>
                <w:b/>
                <w:szCs w:val="21"/>
              </w:rPr>
              <w:t xml:space="preserve">因素</w:t>
            </w:r>
            <w:r>
              <w:rPr>
                <w:rFonts w:hint="eastAsia"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1028"/>
              <w:jc w:val="center"/>
              <w:spacing w:line="300" w:lineRule="exact"/>
              <w:widowControl/>
              <w:rPr>
                <w:rFonts w:ascii="宋体" w:hAnsi="宋体"/>
                <w:bCs/>
                <w:szCs w:val="21"/>
              </w:rPr>
            </w:pPr>
            <w:r>
              <w:rPr>
                <w:rFonts w:hint="eastAsia" w:ascii="宋体" w:hAnsi="宋体"/>
                <w:b/>
                <w:szCs w:val="21"/>
              </w:rPr>
              <w:t xml:space="preserve">评分细则</w:t>
            </w:r>
            <w:r>
              <w:rPr>
                <w:rFonts w:ascii="宋体" w:hAnsi="宋体"/>
                <w:bCs/>
                <w:szCs w:val="21"/>
              </w:rPr>
            </w:r>
            <w:r/>
          </w:p>
        </w:tc>
        <w:tc>
          <w:tcPr>
            <w:tcMar>
              <w:left w:w="108" w:type="dxa"/>
              <w:top w:w="0" w:type="dxa"/>
              <w:right w:w="108" w:type="dxa"/>
              <w:bottom w:w="0" w:type="dxa"/>
            </w:tcMar>
            <w:tcW w:w="850" w:type="dxa"/>
            <w:vAlign w:val="center"/>
            <w:textDirection w:val="lrTb"/>
            <w:noWrap w:val="false"/>
          </w:tcPr>
          <w:p>
            <w:pPr>
              <w:pStyle w:val="1028"/>
              <w:jc w:val="center"/>
              <w:spacing w:line="300" w:lineRule="exact"/>
              <w:widowControl/>
              <w:rPr>
                <w:rFonts w:hint="eastAsia" w:ascii="宋体" w:hAnsi="宋体" w:cs="宋体"/>
                <w:sz w:val="24"/>
              </w:rPr>
            </w:pPr>
            <w:r>
              <w:rPr>
                <w:rFonts w:hint="eastAsia" w:ascii="宋体" w:hAnsi="宋体" w:cs="宋体"/>
                <w:b/>
                <w:szCs w:val="21"/>
              </w:rPr>
              <w:t xml:space="preserve">分值（分）</w:t>
            </w:r>
            <w:r>
              <w:rPr>
                <w:rFonts w:hint="eastAsia" w:ascii="宋体" w:hAnsi="宋体" w:cs="宋体"/>
                <w:sz w:val="24"/>
              </w:rPr>
            </w:r>
            <w:r/>
          </w:p>
        </w:tc>
        <w:tc>
          <w:tcPr>
            <w:tcW w:w="1985" w:type="dxa"/>
            <w:vAlign w:val="top"/>
            <w:textDirection w:val="lrTb"/>
            <w:noWrap w:val="false"/>
          </w:tcPr>
          <w:p>
            <w:pPr>
              <w:pStyle w:val="1028"/>
              <w:jc w:val="center"/>
              <w:spacing w:line="300" w:lineRule="exact"/>
              <w:widowControl/>
              <w:rPr>
                <w:rFonts w:ascii="宋体" w:hAnsi="宋体" w:cs="宋体"/>
                <w:sz w:val="24"/>
              </w:rPr>
            </w:pPr>
            <w:r>
              <w:rPr>
                <w:rFonts w:hint="eastAsia" w:ascii="宋体" w:hAnsi="宋体" w:cs="宋体"/>
                <w:b/>
                <w:szCs w:val="21"/>
              </w:rPr>
              <w:t xml:space="preserve">提供材料要求及备注</w:t>
            </w:r>
            <w:r>
              <w:rPr>
                <w:rFonts w:ascii="宋体" w:hAnsi="宋体" w:cs="宋体"/>
                <w:sz w:val="24"/>
              </w:rPr>
            </w:r>
            <w:r/>
          </w:p>
        </w:tc>
      </w:tr>
      <w:tr>
        <w:trPr>
          <w:trHeight w:val="613"/>
        </w:trPr>
        <w:tc>
          <w:tcPr>
            <w:tcW w:w="780" w:type="dxa"/>
            <w:vAlign w:val="center"/>
            <w:textDirection w:val="lrTb"/>
            <w:noWrap w:val="false"/>
          </w:tcPr>
          <w:p>
            <w:pPr>
              <w:pStyle w:val="1028"/>
              <w:jc w:val="center"/>
              <w:widowControl/>
              <w:rPr>
                <w:rFonts w:ascii="宋体" w:hAnsi="宋体"/>
                <w:b/>
                <w:bCs/>
                <w:szCs w:val="21"/>
              </w:rPr>
            </w:pPr>
            <w:r>
              <w:rPr>
                <w:rFonts w:hint="eastAsia" w:ascii="宋体" w:hAnsi="宋体"/>
                <w:b/>
                <w:bCs/>
                <w:szCs w:val="21"/>
              </w:rPr>
              <w:t xml:space="preserve">价格</w:t>
            </w:r>
            <w:r>
              <w:rPr>
                <w:rFonts w:ascii="宋体" w:hAnsi="宋体"/>
                <w:b/>
                <w:bCs/>
                <w:szCs w:val="21"/>
              </w:rPr>
            </w:r>
            <w:r/>
          </w:p>
          <w:p>
            <w:pPr>
              <w:pStyle w:val="1028"/>
              <w:jc w:val="center"/>
              <w:widowControl/>
              <w:rPr>
                <w:rFonts w:ascii="宋体" w:hAnsi="宋体"/>
                <w:szCs w:val="21"/>
              </w:rPr>
            </w:pPr>
            <w:r>
              <w:rPr>
                <w:rFonts w:hint="eastAsia" w:ascii="宋体" w:hAnsi="宋体"/>
                <w:b/>
                <w:bCs/>
                <w:szCs w:val="21"/>
              </w:rPr>
              <w:t xml:space="preserve">10分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jc w:val="left"/>
              <w:spacing w:line="300" w:lineRule="exact"/>
              <w:widowControl/>
              <w:rPr>
                <w:rFonts w:ascii="宋体" w:hAnsi="宋体" w:cs="宋体"/>
                <w:sz w:val="24"/>
                <w:szCs w:val="22"/>
              </w:rPr>
            </w:pPr>
            <w:r>
              <w:rPr>
                <w:rFonts w:ascii="宋体" w:hAnsi="宋体"/>
                <w:bCs/>
                <w:szCs w:val="21"/>
              </w:rPr>
              <w:t xml:space="preserve">采用低价优先法计算，即满足招标文件要求且最低的投标报价为评标基准价，其价格分</w:t>
            </w:r>
            <w:r>
              <w:rPr>
                <w:rFonts w:ascii="宋体" w:hAnsi="宋体"/>
                <w:bCs/>
                <w:szCs w:val="21"/>
              </w:rPr>
              <w:t xml:space="preserve">为满分</w:t>
            </w:r>
            <w:r>
              <w:rPr>
                <w:rFonts w:hint="eastAsia" w:ascii="宋体" w:hAnsi="宋体"/>
                <w:bCs/>
                <w:szCs w:val="21"/>
              </w:rPr>
              <w:t xml:space="preserve">，</w:t>
            </w:r>
            <w:r>
              <w:rPr>
                <w:rFonts w:ascii="宋体" w:hAnsi="宋体"/>
                <w:bCs/>
                <w:szCs w:val="21"/>
              </w:rPr>
              <w:t xml:space="preserve">其他报价得分= (评标基准价/投标报价)×</w:t>
            </w:r>
            <w:r>
              <w:rPr>
                <w:rFonts w:hint="eastAsia" w:ascii="宋体" w:hAnsi="宋体"/>
                <w:bCs/>
                <w:szCs w:val="21"/>
              </w:rPr>
              <w:t xml:space="preserve">10</w:t>
            </w:r>
            <w:r>
              <w:rPr>
                <w:rFonts w:ascii="宋体" w:hAnsi="宋体" w:cs="宋体"/>
                <w:sz w:val="24"/>
                <w:szCs w:val="22"/>
              </w:rPr>
            </w:r>
            <w:r/>
          </w:p>
        </w:tc>
        <w:tc>
          <w:tcPr>
            <w:tcMar>
              <w:left w:w="108" w:type="dxa"/>
              <w:top w:w="0" w:type="dxa"/>
              <w:right w:w="108" w:type="dxa"/>
              <w:bottom w:w="0" w:type="dxa"/>
            </w:tcMar>
            <w:tcW w:w="850" w:type="dxa"/>
            <w:vAlign w:val="center"/>
            <w:textDirection w:val="lrTb"/>
            <w:noWrap w:val="false"/>
          </w:tcPr>
          <w:p>
            <w:pPr>
              <w:pStyle w:val="1028"/>
              <w:jc w:val="center"/>
              <w:spacing w:line="300" w:lineRule="exact"/>
              <w:widowControl/>
              <w:rPr>
                <w:rFonts w:ascii="宋体" w:hAnsi="宋体" w:cs="宋体"/>
                <w:sz w:val="24"/>
                <w:szCs w:val="22"/>
              </w:rPr>
            </w:pPr>
            <w:r>
              <w:rPr>
                <w:rFonts w:hint="eastAsia" w:ascii="宋体" w:hAnsi="宋体" w:cs="宋体"/>
                <w:sz w:val="24"/>
              </w:rPr>
              <w:t xml:space="preserve">10</w:t>
            </w:r>
            <w:r>
              <w:rPr>
                <w:rFonts w:ascii="宋体" w:hAnsi="宋体" w:cs="宋体"/>
                <w:sz w:val="24"/>
                <w:szCs w:val="22"/>
              </w:rPr>
            </w:r>
            <w:r/>
          </w:p>
        </w:tc>
        <w:tc>
          <w:tcPr>
            <w:tcW w:w="1985" w:type="dxa"/>
            <w:vAlign w:val="top"/>
            <w:textDirection w:val="lrTb"/>
            <w:noWrap w:val="false"/>
          </w:tcPr>
          <w:p>
            <w:pPr>
              <w:pStyle w:val="1028"/>
              <w:jc w:val="center"/>
              <w:spacing w:line="300" w:lineRule="exact"/>
              <w:widowControl/>
              <w:rPr>
                <w:rFonts w:ascii="宋体" w:hAnsi="宋体" w:cs="宋体"/>
                <w:sz w:val="24"/>
              </w:rPr>
            </w:pPr>
            <w:r>
              <w:rPr>
                <w:rFonts w:ascii="宋体" w:hAnsi="宋体" w:cs="宋体"/>
                <w:sz w:val="24"/>
              </w:rPr>
            </w:r>
            <w:r/>
          </w:p>
        </w:tc>
      </w:tr>
      <w:tr>
        <w:trPr>
          <w:trHeight w:val="613"/>
        </w:trPr>
        <w:tc>
          <w:tcPr>
            <w:tcW w:w="780" w:type="dxa"/>
            <w:vAlign w:val="center"/>
            <w:textDirection w:val="lrTb"/>
            <w:noWrap w:val="false"/>
          </w:tcPr>
          <w:p>
            <w:pPr>
              <w:pStyle w:val="1028"/>
              <w:jc w:val="center"/>
              <w:widowControl/>
              <w:rPr>
                <w:rFonts w:ascii="宋体" w:hAnsi="宋体"/>
                <w:szCs w:val="21"/>
              </w:rPr>
            </w:pPr>
            <w:r>
              <w:rPr>
                <w:rFonts w:hint="eastAsia" w:ascii="宋体" w:hAnsi="宋体"/>
                <w:b/>
                <w:bCs/>
                <w:szCs w:val="21"/>
              </w:rPr>
              <w:t xml:space="preserve">主观分</w:t>
            </w:r>
            <w:r>
              <w:rPr>
                <w:rFonts w:ascii="宋体" w:hAnsi="宋体"/>
                <w:szCs w:val="21"/>
              </w:rPr>
            </w:r>
            <w:r/>
          </w:p>
          <w:p>
            <w:pPr>
              <w:pStyle w:val="1028"/>
              <w:jc w:val="center"/>
              <w:rPr>
                <w:rFonts w:ascii="宋体" w:hAnsi="宋体"/>
                <w:b/>
                <w:bCs/>
                <w:szCs w:val="21"/>
              </w:rPr>
            </w:pPr>
            <w:r>
              <w:rPr>
                <w:rFonts w:hint="eastAsia" w:ascii="宋体" w:hAnsi="宋体"/>
                <w:b/>
                <w:bCs/>
                <w:szCs w:val="21"/>
              </w:rPr>
              <w:t xml:space="preserve">45分</w:t>
            </w:r>
            <w:r>
              <w:rPr>
                <w:rFonts w:ascii="宋体" w:hAnsi="宋体"/>
                <w:b/>
                <w:bCs/>
                <w:szCs w:val="21"/>
              </w:rPr>
            </w:r>
            <w:r/>
          </w:p>
          <w:p>
            <w:pPr>
              <w:pStyle w:val="1028"/>
              <w:jc w:val="center"/>
              <w:widowControl/>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sz w:val="22"/>
                <w:szCs w:val="22"/>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w:t>
            </w:r>
            <w:r>
              <w:rPr>
                <w:rFonts w:hint="eastAsia"/>
                <w:sz w:val="22"/>
                <w:szCs w:val="22"/>
              </w:rPr>
              <w:t xml:space="preserve">运维服务方案：</w:t>
            </w:r>
            <w:r>
              <w:rPr>
                <w:sz w:val="22"/>
                <w:szCs w:val="22"/>
              </w:rPr>
            </w:r>
            <w:r/>
          </w:p>
          <w:p>
            <w:pPr>
              <w:pStyle w:val="1028"/>
              <w:widowControl/>
              <w:rPr>
                <w:rFonts w:hint="eastAsia" w:ascii="宋体" w:hAnsi="宋体"/>
                <w:szCs w:val="21"/>
              </w:rPr>
            </w:pPr>
            <w:r>
              <w:rPr>
                <w:rFonts w:hint="eastAsia" w:ascii="宋体" w:hAnsi="宋体"/>
                <w:szCs w:val="21"/>
              </w:rPr>
              <w:t xml:space="preserve">（一）评分内容：</w:t>
            </w:r>
            <w:r/>
          </w:p>
          <w:p>
            <w:pPr>
              <w:pStyle w:val="1028"/>
              <w:widowControl/>
              <w:rPr>
                <w:rFonts w:hint="eastAsia" w:ascii="宋体" w:hAnsi="宋体"/>
                <w:szCs w:val="21"/>
              </w:rPr>
            </w:pPr>
            <w:r>
              <w:rPr>
                <w:rFonts w:hint="eastAsia" w:ascii="宋体" w:hAnsi="宋体"/>
                <w:szCs w:val="21"/>
              </w:rPr>
              <w:t xml:space="preserve">投标人提供运维服务方案，应包含以下内容：</w:t>
            </w:r>
            <w:r/>
          </w:p>
          <w:p>
            <w:pPr>
              <w:pStyle w:val="1028"/>
              <w:widowControl/>
              <w:rPr>
                <w:rFonts w:ascii="宋体" w:hAnsi="宋体"/>
                <w:szCs w:val="21"/>
              </w:rPr>
            </w:pPr>
            <w:r>
              <w:rPr>
                <w:rFonts w:hint="eastAsia" w:ascii="宋体" w:hAnsi="宋体"/>
                <w:szCs w:val="21"/>
              </w:rPr>
              <w:t xml:space="preserve">（1）维修方案；</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（2）预防性维护方案</w:t>
            </w:r>
            <w:r/>
          </w:p>
          <w:p>
            <w:pPr>
              <w:pStyle w:val="1028"/>
              <w:widowControl/>
              <w:rPr>
                <w:rFonts w:ascii="宋体" w:hAnsi="宋体"/>
                <w:szCs w:val="21"/>
              </w:rPr>
            </w:pPr>
            <w:r>
              <w:rPr>
                <w:rFonts w:hint="eastAsia" w:ascii="宋体" w:hAnsi="宋体"/>
                <w:szCs w:val="21"/>
              </w:rPr>
              <w:t xml:space="preserve">（3）巡检方案；</w:t>
            </w:r>
            <w:r>
              <w:rPr>
                <w:rFonts w:ascii="宋体" w:hAnsi="宋体"/>
                <w:szCs w:val="21"/>
              </w:rPr>
            </w:r>
            <w:r/>
          </w:p>
          <w:p>
            <w:pPr>
              <w:pStyle w:val="1028"/>
              <w:widowControl/>
              <w:rPr>
                <w:rFonts w:ascii="宋体" w:hAnsi="宋体"/>
                <w:szCs w:val="21"/>
              </w:rPr>
            </w:pPr>
            <w:r>
              <w:rPr>
                <w:rFonts w:hint="eastAsia" w:ascii="宋体" w:hAnsi="宋体"/>
                <w:szCs w:val="21"/>
              </w:rPr>
              <w:t xml:space="preserve">（4）质控检测方案；</w:t>
            </w:r>
            <w:r>
              <w:rPr>
                <w:rFonts w:ascii="宋体" w:hAnsi="宋体"/>
                <w:szCs w:val="21"/>
              </w:rPr>
            </w:r>
            <w:r/>
          </w:p>
          <w:p>
            <w:pPr>
              <w:pStyle w:val="1028"/>
              <w:widowControl/>
              <w:rPr>
                <w:rFonts w:ascii="宋体" w:hAnsi="宋体"/>
                <w:szCs w:val="21"/>
              </w:rPr>
            </w:pPr>
            <w:r>
              <w:rPr>
                <w:rFonts w:hint="eastAsia" w:ascii="宋体" w:hAnsi="宋体"/>
                <w:szCs w:val="21"/>
              </w:rPr>
              <w:t xml:space="preserve">（5）计量管理方案；</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（6）设备报废管理方案。</w:t>
            </w:r>
            <w:r/>
          </w:p>
          <w:p>
            <w:pPr>
              <w:pStyle w:val="1028"/>
              <w:widowControl/>
              <w:rPr>
                <w:rFonts w:hint="eastAsia" w:ascii="宋体" w:hAnsi="宋体"/>
                <w:szCs w:val="21"/>
              </w:rPr>
            </w:pPr>
            <w:r>
              <w:rPr>
                <w:rFonts w:hint="eastAsia" w:ascii="宋体" w:hAnsi="宋体"/>
                <w:szCs w:val="21"/>
              </w:rPr>
              <w:t xml:space="preserve">（二）评审依据：</w:t>
            </w:r>
            <w:r/>
          </w:p>
          <w:p>
            <w:pPr>
              <w:pStyle w:val="1028"/>
              <w:widowControl/>
              <w:rPr>
                <w:rFonts w:hint="eastAsia" w:ascii="宋体" w:hAnsi="宋体"/>
                <w:szCs w:val="21"/>
              </w:rPr>
            </w:pPr>
            <w:r>
              <w:rPr>
                <w:rFonts w:hint="eastAsia" w:ascii="宋体" w:hAnsi="宋体"/>
                <w:szCs w:val="21"/>
              </w:rPr>
              <w:t xml:space="preserve">1.以上内容，满足上述任意一项内容的得10%，最</w:t>
            </w:r>
            <w:r>
              <w:rPr>
                <w:rFonts w:hint="eastAsia" w:ascii="宋体" w:hAnsi="宋体"/>
                <w:szCs w:val="21"/>
              </w:rPr>
              <w:t xml:space="preserve">高得60%；其他不得分。</w:t>
            </w:r>
            <w:r/>
          </w:p>
          <w:p>
            <w:pPr>
              <w:pStyle w:val="1028"/>
              <w:widowControl/>
              <w:rPr>
                <w:rFonts w:hint="eastAsia" w:ascii="宋体" w:hAnsi="宋体"/>
                <w:szCs w:val="21"/>
              </w:rPr>
            </w:pPr>
            <w:r>
              <w:rPr>
                <w:rFonts w:hint="eastAsia" w:ascii="宋体" w:hAnsi="宋体"/>
                <w:szCs w:val="21"/>
              </w:rPr>
              <w:t xml:space="preserve">2.在上述基础上，专家根据各响应人的具体响应内容按照量化的评审因素指标进一步评审。</w:t>
            </w:r>
            <w:r/>
          </w:p>
          <w:p>
            <w:pPr>
              <w:pStyle w:val="1028"/>
              <w:widowControl/>
              <w:rPr>
                <w:rFonts w:hint="eastAsia" w:ascii="宋体" w:hAnsi="宋体"/>
                <w:szCs w:val="21"/>
              </w:rPr>
            </w:pPr>
            <w:r>
              <w:rPr>
                <w:rFonts w:hint="eastAsia" w:ascii="宋体" w:hAnsi="宋体"/>
                <w:szCs w:val="21"/>
              </w:rPr>
              <w:t xml:space="preserve">方案</w:t>
            </w:r>
            <w:r>
              <w:rPr>
                <w:rFonts w:hint="eastAsia" w:ascii="宋体" w:hAnsi="宋体"/>
                <w:szCs w:val="21"/>
              </w:rPr>
              <w:t xml:space="preserve">可行性强，阐述详实具体，评审加40%；</w:t>
            </w:r>
            <w:r/>
          </w:p>
          <w:p>
            <w:pPr>
              <w:pStyle w:val="1028"/>
              <w:widowControl/>
              <w:rPr>
                <w:rFonts w:hint="eastAsia" w:ascii="宋体" w:hAnsi="宋体"/>
                <w:szCs w:val="21"/>
              </w:rPr>
            </w:pPr>
            <w:r>
              <w:rPr>
                <w:rFonts w:hint="eastAsia" w:ascii="宋体" w:hAnsi="宋体"/>
                <w:szCs w:val="21"/>
              </w:rPr>
              <w:t xml:space="preserve">方案可行性较强，阐述比较详实具体，评审加20%；</w:t>
            </w:r>
            <w:r/>
          </w:p>
          <w:p>
            <w:pPr>
              <w:pStyle w:val="1028"/>
              <w:widowControl/>
              <w:rPr>
                <w:rFonts w:hint="eastAsia" w:ascii="宋体" w:hAnsi="宋体"/>
                <w:szCs w:val="21"/>
              </w:rPr>
            </w:pPr>
            <w:r>
              <w:rPr>
                <w:rFonts w:hint="eastAsia" w:ascii="宋体" w:hAnsi="宋体"/>
                <w:szCs w:val="21"/>
              </w:rPr>
              <w:t xml:space="preserve">方案可行性一般，阐述不够充分，评审加10%；</w:t>
            </w:r>
            <w:r/>
          </w:p>
          <w:p>
            <w:pPr>
              <w:pStyle w:val="1028"/>
              <w:jc w:val="left"/>
              <w:widowControl/>
              <w:rPr>
                <w:rFonts w:ascii="宋体" w:hAnsi="宋体"/>
                <w:szCs w:val="21"/>
              </w:rPr>
            </w:pPr>
            <w:r>
              <w:rPr>
                <w:rFonts w:hint="eastAsia" w:ascii="宋体" w:hAnsi="宋体"/>
                <w:szCs w:val="21"/>
              </w:rPr>
              <w:t xml:space="preserve">方案可行性差或阐述不充分的，不加分。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cs="宋体"/>
                <w:szCs w:val="21"/>
              </w:rPr>
            </w:pPr>
            <w:r>
              <w:rPr>
                <w:rFonts w:hint="eastAsia" w:ascii="宋体" w:hAnsi="宋体" w:cs="宋体"/>
                <w:szCs w:val="21"/>
              </w:rPr>
              <w:t xml:space="preserve">25</w:t>
            </w:r>
            <w:r/>
          </w:p>
        </w:tc>
        <w:tc>
          <w:tcPr>
            <w:tcW w:w="1985" w:type="dxa"/>
            <w:vAlign w:val="top"/>
            <w:textDirection w:val="lrTb"/>
            <w:noWrap w:val="false"/>
          </w:tcPr>
          <w:p>
            <w:pPr>
              <w:pStyle w:val="1028"/>
              <w:jc w:val="left"/>
              <w:widowControl/>
              <w:rPr>
                <w:rFonts w:ascii="宋体" w:hAnsi="宋体" w:cs="宋体"/>
                <w:szCs w:val="21"/>
              </w:rPr>
            </w:pPr>
            <w:r>
              <w:rPr>
                <w:rFonts w:ascii="宋体" w:hAnsi="宋体" w:cs="宋体"/>
                <w:szCs w:val="21"/>
              </w:rPr>
            </w:r>
            <w:r/>
          </w:p>
        </w:tc>
      </w:tr>
      <w:tr>
        <w:trPr>
          <w:trHeight w:val="613"/>
        </w:trPr>
        <w:tc>
          <w:tcPr>
            <w:tcW w:w="780" w:type="dxa"/>
            <w:vAlign w:val="center"/>
            <w:textDirection w:val="lrTb"/>
            <w:noWrap w:val="false"/>
          </w:tcPr>
          <w:p>
            <w:pPr>
              <w:pStyle w:val="1028"/>
              <w:jc w:val="center"/>
              <w:widowControl/>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w:t>
            </w:r>
            <w:bookmarkStart w:id="305" w:name="OLE_LINK9"/>
            <w:r>
              <w:rPr>
                <w:rFonts w:hint="eastAsia" w:ascii="宋体" w:hAnsi="宋体"/>
                <w:szCs w:val="21"/>
              </w:rPr>
              <w:t xml:space="preserve">应急方案</w:t>
            </w:r>
            <w:bookmarkEnd w:id="305"/>
            <w:r>
              <w:rPr>
                <w:rFonts w:hint="eastAsia" w:ascii="宋体" w:hAnsi="宋体"/>
                <w:szCs w:val="21"/>
              </w:rPr>
              <w:t xml:space="preserve">：</w:t>
            </w:r>
            <w:r>
              <w:rPr>
                <w:rFonts w:ascii="宋体" w:hAnsi="宋体"/>
                <w:szCs w:val="21"/>
              </w:rPr>
            </w:r>
            <w:r/>
          </w:p>
          <w:p>
            <w:pPr>
              <w:pStyle w:val="1028"/>
              <w:jc w:val="left"/>
              <w:widowControl/>
              <w:rPr>
                <w:rFonts w:hint="eastAsia" w:ascii="宋体" w:hAnsi="宋体"/>
                <w:szCs w:val="21"/>
              </w:rPr>
            </w:pPr>
            <w:r>
              <w:rPr>
                <w:rFonts w:hint="eastAsia" w:ascii="宋体" w:hAnsi="宋体"/>
                <w:szCs w:val="21"/>
              </w:rPr>
              <w:t xml:space="preserve">（一）评分内容：</w:t>
            </w:r>
            <w:r/>
          </w:p>
          <w:p>
            <w:pPr>
              <w:pStyle w:val="1028"/>
              <w:jc w:val="left"/>
              <w:widowControl/>
              <w:rPr>
                <w:rFonts w:hint="eastAsia" w:ascii="宋体" w:hAnsi="宋体"/>
                <w:szCs w:val="21"/>
              </w:rPr>
            </w:pPr>
            <w:r>
              <w:rPr>
                <w:rFonts w:hint="eastAsia" w:ascii="宋体" w:hAnsi="宋体"/>
                <w:szCs w:val="21"/>
              </w:rPr>
              <w:t xml:space="preserve">投标人提供应急方案，应包含以下内容：</w:t>
            </w:r>
            <w:r/>
          </w:p>
          <w:p>
            <w:pPr>
              <w:pStyle w:val="1028"/>
              <w:jc w:val="left"/>
              <w:widowControl/>
              <w:rPr>
                <w:rFonts w:hint="eastAsia" w:ascii="宋体" w:hAnsi="宋体"/>
                <w:szCs w:val="21"/>
              </w:rPr>
            </w:pPr>
            <w:r>
              <w:rPr>
                <w:rFonts w:hint="eastAsia" w:ascii="宋体" w:hAnsi="宋体"/>
                <w:szCs w:val="21"/>
              </w:rPr>
              <w:t xml:space="preserve">（1）应急预案；</w:t>
            </w:r>
            <w:r/>
          </w:p>
          <w:p>
            <w:pPr>
              <w:pStyle w:val="1028"/>
              <w:jc w:val="left"/>
              <w:widowControl/>
              <w:rPr>
                <w:rFonts w:ascii="宋体" w:hAnsi="宋体"/>
                <w:szCs w:val="21"/>
              </w:rPr>
            </w:pPr>
            <w:r>
              <w:rPr>
                <w:rFonts w:hint="eastAsia" w:ascii="宋体" w:hAnsi="宋体"/>
                <w:szCs w:val="21"/>
              </w:rPr>
              <w:t xml:space="preserve">（2）应急保障处理方案；</w:t>
            </w:r>
            <w:r>
              <w:rPr>
                <w:rFonts w:ascii="宋体" w:hAnsi="宋体"/>
                <w:szCs w:val="21"/>
              </w:rPr>
            </w:r>
            <w:r/>
          </w:p>
          <w:p>
            <w:pPr>
              <w:pStyle w:val="1028"/>
              <w:jc w:val="left"/>
              <w:widowControl/>
              <w:rPr>
                <w:rFonts w:hint="eastAsia" w:ascii="宋体" w:hAnsi="宋体"/>
                <w:szCs w:val="21"/>
              </w:rPr>
            </w:pPr>
            <w:r>
              <w:rPr>
                <w:rFonts w:hint="eastAsia" w:ascii="宋体" w:hAnsi="宋体"/>
                <w:szCs w:val="21"/>
              </w:rPr>
              <w:t xml:space="preserve">（二）评审依据：</w:t>
            </w:r>
            <w:r/>
          </w:p>
          <w:p>
            <w:pPr>
              <w:pStyle w:val="1028"/>
              <w:jc w:val="left"/>
              <w:widowControl/>
              <w:rPr>
                <w:rFonts w:hint="eastAsia" w:ascii="宋体" w:hAnsi="宋体"/>
                <w:szCs w:val="21"/>
              </w:rPr>
            </w:pPr>
            <w:r>
              <w:rPr>
                <w:rFonts w:hint="eastAsia" w:ascii="宋体" w:hAnsi="宋体"/>
                <w:szCs w:val="21"/>
              </w:rPr>
              <w:t xml:space="preserve">1.以上内容，满足上述任意一项内容的得30%，最高得60%；其他不得分。</w:t>
            </w:r>
            <w:r/>
          </w:p>
          <w:p>
            <w:pPr>
              <w:pStyle w:val="1028"/>
              <w:jc w:val="left"/>
              <w:widowControl/>
              <w:rPr>
                <w:rFonts w:hint="eastAsia" w:ascii="宋体" w:hAnsi="宋体"/>
                <w:szCs w:val="21"/>
              </w:rPr>
            </w:pPr>
            <w:r>
              <w:rPr>
                <w:rFonts w:hint="eastAsia" w:ascii="宋体" w:hAnsi="宋体"/>
                <w:szCs w:val="21"/>
              </w:rPr>
              <w:t xml:space="preserve">2.在上述基础上，专家根据各响应人的具体响应内容按照量化的评审因素指标进一步评审。</w:t>
            </w:r>
            <w:r/>
          </w:p>
          <w:p>
            <w:pPr>
              <w:pStyle w:val="1028"/>
              <w:jc w:val="left"/>
              <w:widowControl/>
              <w:rPr>
                <w:rFonts w:hint="eastAsia" w:ascii="宋体" w:hAnsi="宋体"/>
                <w:szCs w:val="21"/>
              </w:rPr>
            </w:pPr>
            <w:r>
              <w:rPr>
                <w:rFonts w:hint="eastAsia" w:ascii="宋体" w:hAnsi="宋体"/>
                <w:szCs w:val="21"/>
              </w:rPr>
              <w:t xml:space="preserve">方案可行性强，阐述详实具体，评审加40%；</w:t>
            </w:r>
            <w:r/>
          </w:p>
          <w:p>
            <w:pPr>
              <w:pStyle w:val="1028"/>
              <w:jc w:val="left"/>
              <w:widowControl/>
              <w:rPr>
                <w:rFonts w:hint="eastAsia" w:ascii="宋体" w:hAnsi="宋体"/>
                <w:szCs w:val="21"/>
              </w:rPr>
            </w:pPr>
            <w:r>
              <w:rPr>
                <w:rFonts w:hint="eastAsia" w:ascii="宋体" w:hAnsi="宋体"/>
                <w:szCs w:val="21"/>
              </w:rPr>
              <w:t xml:space="preserve">方案可行性较强，阐述比较详实具体，评审加20%；</w:t>
            </w:r>
            <w:r/>
          </w:p>
          <w:p>
            <w:pPr>
              <w:pStyle w:val="1028"/>
              <w:jc w:val="left"/>
              <w:widowControl/>
              <w:rPr>
                <w:rFonts w:hint="eastAsia" w:ascii="宋体" w:hAnsi="宋体"/>
                <w:szCs w:val="21"/>
              </w:rPr>
            </w:pPr>
            <w:r>
              <w:rPr>
                <w:rFonts w:hint="eastAsia" w:ascii="宋体" w:hAnsi="宋体"/>
                <w:szCs w:val="21"/>
              </w:rPr>
              <w:t xml:space="preserve">方案可行性一般，阐述不够充分，评审加10%；</w:t>
            </w:r>
            <w:r/>
          </w:p>
          <w:p>
            <w:pPr>
              <w:pStyle w:val="1028"/>
              <w:jc w:val="left"/>
              <w:widowControl/>
              <w:rPr>
                <w:rFonts w:ascii="宋体" w:hAnsi="宋体"/>
                <w:szCs w:val="21"/>
              </w:rPr>
            </w:pPr>
            <w:r>
              <w:rPr>
                <w:rFonts w:hint="eastAsia" w:ascii="宋体" w:hAnsi="宋体"/>
                <w:szCs w:val="21"/>
              </w:rPr>
              <w:t xml:space="preserve">方案可行性差或阐述不充分的，不加分。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cs="宋体"/>
                <w:szCs w:val="21"/>
              </w:rPr>
            </w:pPr>
            <w:r>
              <w:rPr>
                <w:rFonts w:hint="eastAsia" w:ascii="宋体" w:hAnsi="宋体" w:cs="宋体"/>
                <w:szCs w:val="21"/>
              </w:rPr>
              <w:t xml:space="preserve">8</w:t>
            </w:r>
            <w:r/>
          </w:p>
        </w:tc>
        <w:tc>
          <w:tcPr>
            <w:tcW w:w="1985" w:type="dxa"/>
            <w:vAlign w:val="top"/>
            <w:textDirection w:val="lrTb"/>
            <w:noWrap w:val="false"/>
          </w:tcPr>
          <w:p>
            <w:pPr>
              <w:pStyle w:val="1028"/>
              <w:jc w:val="left"/>
              <w:widowControl/>
              <w:rPr>
                <w:rFonts w:ascii="宋体" w:hAnsi="宋体" w:cs="宋体"/>
                <w:szCs w:val="21"/>
              </w:rPr>
            </w:pPr>
            <w:r>
              <w:rPr>
                <w:rFonts w:ascii="宋体" w:hAnsi="宋体" w:cs="宋体"/>
                <w:szCs w:val="21"/>
              </w:rPr>
            </w:r>
            <w:r/>
          </w:p>
        </w:tc>
      </w:tr>
      <w:tr>
        <w:trPr>
          <w:trHeight w:val="1360"/>
        </w:trPr>
        <w:tc>
          <w:tcPr>
            <w:tcW w:w="780" w:type="dxa"/>
            <w:vAlign w:val="center"/>
            <w:textDirection w:val="lrTb"/>
            <w:noWrap w:val="false"/>
          </w:tcPr>
          <w:p>
            <w:pPr>
              <w:pStyle w:val="1028"/>
              <w:jc w:val="center"/>
              <w:widowControl/>
              <w:rPr>
                <w:rFonts w:ascii="宋体" w:hAnsi="宋体"/>
                <w:b/>
                <w:bCs/>
                <w:szCs w:val="21"/>
              </w:rPr>
            </w:pPr>
            <w:r>
              <w:rPr>
                <w:rFonts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bookmarkStart w:id="306" w:name="OLE_LINK39"/>
            <w:r>
              <w:rPr>
                <w:rFonts w:hint="eastAsia" w:ascii="宋体" w:hAnsi="宋体"/>
                <w:szCs w:val="21"/>
              </w:rPr>
              <w:t xml:space="preserve">2.</w:t>
            </w:r>
            <w:bookmarkStart w:id="307" w:name="OLE_LINK10"/>
            <w:r>
              <w:rPr>
                <w:rFonts w:hint="eastAsia" w:ascii="宋体" w:hAnsi="宋体"/>
                <w:szCs w:val="21"/>
              </w:rPr>
              <w:t xml:space="preserve">3企业综合实力</w:t>
            </w:r>
            <w:bookmarkEnd w:id="307"/>
            <w:r>
              <w:rPr>
                <w:rFonts w:ascii="宋体" w:hAnsi="宋体"/>
                <w:szCs w:val="21"/>
              </w:rPr>
            </w:r>
            <w:r/>
          </w:p>
          <w:p>
            <w:pPr>
              <w:pStyle w:val="1028"/>
              <w:widowControl/>
              <w:rPr>
                <w:rFonts w:hint="eastAsia" w:ascii="宋体" w:hAnsi="宋体"/>
                <w:szCs w:val="21"/>
              </w:rPr>
            </w:pPr>
            <w:r>
              <w:rPr>
                <w:rFonts w:hint="eastAsia" w:ascii="宋体" w:hAnsi="宋体"/>
                <w:szCs w:val="21"/>
              </w:rPr>
              <w:t xml:space="preserve">（一）评分内容：</w:t>
            </w:r>
            <w:r/>
          </w:p>
          <w:p>
            <w:pPr>
              <w:pStyle w:val="1028"/>
              <w:widowControl/>
              <w:rPr>
                <w:rFonts w:hint="eastAsia" w:ascii="宋体" w:hAnsi="宋体"/>
                <w:szCs w:val="21"/>
              </w:rPr>
            </w:pPr>
            <w:r>
              <w:rPr>
                <w:rFonts w:hint="eastAsia" w:ascii="宋体" w:hAnsi="宋体"/>
                <w:szCs w:val="21"/>
              </w:rPr>
              <w:t xml:space="preserve">投标人提供企业综合实力，应包含以下内容：</w:t>
            </w:r>
            <w:r/>
          </w:p>
          <w:p>
            <w:pPr>
              <w:pStyle w:val="1028"/>
              <w:widowControl/>
              <w:rPr>
                <w:rFonts w:hint="eastAsia" w:ascii="宋体" w:hAnsi="宋体"/>
                <w:szCs w:val="21"/>
              </w:rPr>
            </w:pPr>
            <w:r>
              <w:rPr>
                <w:rFonts w:hint="eastAsia" w:ascii="宋体" w:hAnsi="宋体"/>
                <w:szCs w:val="21"/>
              </w:rPr>
              <w:t xml:space="preserve">（1）团队人员配置；</w:t>
            </w:r>
            <w:r/>
          </w:p>
          <w:p>
            <w:pPr>
              <w:pStyle w:val="1028"/>
              <w:widowControl/>
              <w:rPr>
                <w:rFonts w:ascii="宋体" w:hAnsi="宋体"/>
                <w:szCs w:val="21"/>
              </w:rPr>
            </w:pPr>
            <w:r>
              <w:rPr>
                <w:rFonts w:hint="eastAsia" w:ascii="宋体" w:hAnsi="宋体"/>
                <w:szCs w:val="21"/>
              </w:rPr>
              <w:t xml:space="preserve">（2）从业经验；</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（3）获得荣誉。</w:t>
            </w:r>
            <w:r/>
          </w:p>
          <w:p>
            <w:pPr>
              <w:pStyle w:val="1028"/>
              <w:widowControl/>
              <w:rPr>
                <w:rFonts w:hint="eastAsia" w:ascii="宋体" w:hAnsi="宋体"/>
                <w:szCs w:val="21"/>
              </w:rPr>
            </w:pPr>
            <w:r>
              <w:rPr>
                <w:rFonts w:hint="eastAsia" w:ascii="宋体" w:hAnsi="宋体"/>
                <w:szCs w:val="21"/>
              </w:rPr>
              <w:t xml:space="preserve">（二）评审依据：</w:t>
            </w:r>
            <w:r/>
          </w:p>
          <w:p>
            <w:pPr>
              <w:pStyle w:val="1028"/>
              <w:widowControl/>
              <w:rPr>
                <w:rFonts w:hint="eastAsia" w:ascii="宋体" w:hAnsi="宋体"/>
                <w:szCs w:val="21"/>
              </w:rPr>
            </w:pPr>
            <w:r>
              <w:rPr>
                <w:rFonts w:hint="eastAsia" w:ascii="宋体" w:hAnsi="宋体"/>
                <w:szCs w:val="21"/>
              </w:rPr>
              <w:t xml:space="preserve">1.以上内容，满足上述任意一项内容的得20%，最高得60%；其他不得分。</w:t>
            </w:r>
            <w:r/>
          </w:p>
          <w:p>
            <w:pPr>
              <w:pStyle w:val="1028"/>
              <w:widowControl/>
              <w:rPr>
                <w:rFonts w:hint="eastAsia" w:ascii="宋体" w:hAnsi="宋体"/>
                <w:szCs w:val="21"/>
              </w:rPr>
            </w:pPr>
            <w:r>
              <w:rPr>
                <w:rFonts w:hint="eastAsia" w:ascii="宋体" w:hAnsi="宋体"/>
                <w:szCs w:val="21"/>
              </w:rPr>
              <w:t xml:space="preserve">2.在上述</w:t>
            </w:r>
            <w:r>
              <w:rPr>
                <w:rFonts w:hint="eastAsia" w:ascii="宋体" w:hAnsi="宋体"/>
                <w:szCs w:val="21"/>
              </w:rPr>
              <w:t xml:space="preserve">基础上，专家根据各响应人的具体响应内容按照量化的评审因素指标进一步评审。</w:t>
            </w:r>
            <w:r/>
          </w:p>
          <w:p>
            <w:pPr>
              <w:pStyle w:val="1028"/>
              <w:widowControl/>
              <w:rPr>
                <w:rFonts w:hint="eastAsia" w:ascii="宋体" w:hAnsi="宋体"/>
                <w:szCs w:val="21"/>
              </w:rPr>
            </w:pPr>
            <w:r>
              <w:rPr>
                <w:rFonts w:hint="eastAsia" w:ascii="宋体" w:hAnsi="宋体"/>
                <w:szCs w:val="21"/>
              </w:rPr>
              <w:t xml:space="preserve">方案可行性强，阐述详实具体，评审加40%；</w:t>
            </w:r>
            <w:r/>
          </w:p>
          <w:p>
            <w:pPr>
              <w:pStyle w:val="1028"/>
              <w:widowControl/>
              <w:rPr>
                <w:rFonts w:hint="eastAsia" w:ascii="宋体" w:hAnsi="宋体"/>
                <w:szCs w:val="21"/>
              </w:rPr>
            </w:pPr>
            <w:r>
              <w:rPr>
                <w:rFonts w:hint="eastAsia" w:ascii="宋体" w:hAnsi="宋体"/>
                <w:szCs w:val="21"/>
              </w:rPr>
              <w:t xml:space="preserve">方案可行性较强，阐述比较详实具体，评审加20%；</w:t>
            </w:r>
            <w:r/>
          </w:p>
          <w:p>
            <w:pPr>
              <w:pStyle w:val="1028"/>
              <w:widowControl/>
              <w:rPr>
                <w:rFonts w:hint="eastAsia" w:ascii="宋体" w:hAnsi="宋体"/>
                <w:szCs w:val="21"/>
              </w:rPr>
            </w:pPr>
            <w:r>
              <w:rPr>
                <w:rFonts w:hint="eastAsia" w:ascii="宋体" w:hAnsi="宋体"/>
                <w:szCs w:val="21"/>
              </w:rPr>
              <w:t xml:space="preserve">方案可行性一般，阐述不够充分，评审加10%；</w:t>
            </w:r>
            <w:r/>
          </w:p>
          <w:p>
            <w:pPr>
              <w:pStyle w:val="1028"/>
              <w:widowControl/>
              <w:rPr>
                <w:rFonts w:hint="eastAsia" w:ascii="宋体" w:hAnsi="宋体"/>
                <w:szCs w:val="21"/>
              </w:rPr>
            </w:pPr>
            <w:r>
              <w:rPr>
                <w:rFonts w:hint="eastAsia" w:ascii="宋体" w:hAnsi="宋体"/>
                <w:szCs w:val="21"/>
              </w:rPr>
              <w:t xml:space="preserve">方案可行性差或阐述不充分的，不加分。</w:t>
            </w:r>
            <w:bookmarkEnd w:id="306"/>
            <w:r>
              <w:rPr>
                <w:rFonts w:hint="eastAsia"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5</w:t>
            </w:r>
            <w:r/>
          </w:p>
        </w:tc>
        <w:tc>
          <w:tcPr>
            <w:tcW w:w="1985" w:type="dxa"/>
            <w:vAlign w:val="top"/>
            <w:textDirection w:val="lrTb"/>
            <w:noWrap w:val="false"/>
          </w:tcPr>
          <w:p>
            <w:pPr>
              <w:pStyle w:val="1028"/>
              <w:jc w:val="left"/>
              <w:widowControl/>
              <w:rPr>
                <w:rFonts w:hint="eastAsia" w:ascii="宋体" w:hAnsi="宋体"/>
                <w:szCs w:val="21"/>
              </w:rPr>
            </w:pPr>
            <w:r>
              <w:rPr>
                <w:rFonts w:hint="eastAsia" w:ascii="宋体" w:hAnsi="宋体"/>
                <w:szCs w:val="21"/>
              </w:rPr>
            </w:r>
            <w:r/>
          </w:p>
        </w:tc>
      </w:tr>
      <w:tr>
        <w:trPr>
          <w:trHeight w:val="1360"/>
        </w:trPr>
        <w:tc>
          <w:tcPr>
            <w:tcW w:w="780" w:type="dxa"/>
            <w:vAlign w:val="center"/>
            <w:textDirection w:val="lrTb"/>
            <w:noWrap w:val="false"/>
          </w:tcPr>
          <w:p>
            <w:pPr>
              <w:pStyle w:val="1028"/>
              <w:jc w:val="center"/>
              <w:widowControl/>
              <w:rPr>
                <w:rFonts w:ascii="宋体" w:hAnsi="宋体"/>
                <w:b/>
                <w:bCs/>
                <w:szCs w:val="21"/>
              </w:rPr>
            </w:pPr>
            <w:r>
              <w:rPr>
                <w:rFonts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rPr>
                <w:rFonts w:hint="eastAsia" w:ascii="宋体" w:hAnsi="宋体"/>
                <w:szCs w:val="21"/>
              </w:rPr>
              <w:t xml:space="preserve">2.4质量管控方案</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（一）评分内容：</w:t>
            </w:r>
            <w:r/>
          </w:p>
          <w:p>
            <w:pPr>
              <w:pStyle w:val="1028"/>
              <w:widowControl/>
              <w:rPr>
                <w:rFonts w:hint="eastAsia" w:ascii="宋体" w:hAnsi="宋体"/>
                <w:szCs w:val="21"/>
              </w:rPr>
            </w:pPr>
            <w:r>
              <w:rPr>
                <w:rFonts w:hint="eastAsia" w:ascii="宋体" w:hAnsi="宋体"/>
                <w:szCs w:val="21"/>
              </w:rPr>
              <w:t xml:space="preserve">投标人提供质量管控方案，应包含以下内容：</w:t>
            </w:r>
            <w:r/>
          </w:p>
          <w:p>
            <w:pPr>
              <w:pStyle w:val="1028"/>
              <w:widowControl/>
              <w:rPr>
                <w:rFonts w:hint="eastAsia" w:ascii="宋体" w:hAnsi="宋体"/>
                <w:szCs w:val="21"/>
              </w:rPr>
            </w:pPr>
            <w:r>
              <w:rPr>
                <w:rFonts w:hint="eastAsia" w:ascii="宋体" w:hAnsi="宋体"/>
                <w:szCs w:val="21"/>
              </w:rPr>
              <w:t xml:space="preserve">（1）设备分级分类质量管控；</w:t>
            </w:r>
            <w:r/>
          </w:p>
          <w:p>
            <w:pPr>
              <w:pStyle w:val="1028"/>
              <w:widowControl/>
              <w:rPr>
                <w:rFonts w:ascii="宋体" w:hAnsi="宋体"/>
                <w:szCs w:val="21"/>
              </w:rPr>
            </w:pPr>
            <w:r>
              <w:rPr>
                <w:rFonts w:hint="eastAsia" w:ascii="宋体" w:hAnsi="宋体"/>
                <w:szCs w:val="21"/>
              </w:rPr>
              <w:t xml:space="preserve">（2）维修过程质量管控；</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（3）验收与持续改进管控。</w:t>
            </w:r>
            <w:r/>
          </w:p>
          <w:p>
            <w:pPr>
              <w:pStyle w:val="1028"/>
              <w:widowControl/>
              <w:rPr>
                <w:rFonts w:hint="eastAsia" w:ascii="宋体" w:hAnsi="宋体"/>
                <w:szCs w:val="21"/>
              </w:rPr>
            </w:pPr>
            <w:r>
              <w:rPr>
                <w:rFonts w:hint="eastAsia" w:ascii="宋体" w:hAnsi="宋体"/>
                <w:szCs w:val="21"/>
              </w:rPr>
              <w:t xml:space="preserve">（二）评审依据：</w:t>
            </w:r>
            <w:r/>
          </w:p>
          <w:p>
            <w:pPr>
              <w:pStyle w:val="1028"/>
              <w:widowControl/>
              <w:rPr>
                <w:rFonts w:hint="eastAsia" w:ascii="宋体" w:hAnsi="宋体"/>
                <w:szCs w:val="21"/>
              </w:rPr>
            </w:pPr>
            <w:r>
              <w:rPr>
                <w:rFonts w:hint="eastAsia" w:ascii="宋体" w:hAnsi="宋体"/>
                <w:szCs w:val="21"/>
              </w:rPr>
              <w:t xml:space="preserve">1.以上内容，满足上述任意一项内容的得20%，最高得60%；其他不得分。</w:t>
            </w:r>
            <w:r/>
          </w:p>
          <w:p>
            <w:pPr>
              <w:pStyle w:val="1028"/>
              <w:widowControl/>
              <w:rPr>
                <w:rFonts w:hint="eastAsia" w:ascii="宋体" w:hAnsi="宋体"/>
                <w:szCs w:val="21"/>
              </w:rPr>
            </w:pPr>
            <w:r>
              <w:rPr>
                <w:rFonts w:hint="eastAsia" w:ascii="宋体" w:hAnsi="宋体"/>
                <w:szCs w:val="21"/>
              </w:rPr>
              <w:t xml:space="preserve">2.在上述基础上，专家根据各响应人的具体响应内容按照量化的评审因素指标进一步评审。</w:t>
            </w:r>
            <w:r/>
          </w:p>
          <w:p>
            <w:pPr>
              <w:pStyle w:val="1028"/>
              <w:widowControl/>
              <w:rPr>
                <w:rFonts w:hint="eastAsia" w:ascii="宋体" w:hAnsi="宋体"/>
                <w:szCs w:val="21"/>
              </w:rPr>
            </w:pPr>
            <w:r>
              <w:rPr>
                <w:rFonts w:hint="eastAsia" w:ascii="宋体" w:hAnsi="宋体"/>
                <w:szCs w:val="21"/>
              </w:rPr>
              <w:t xml:space="preserve">方案可行性强，阐述详实具体，评审加40%；</w:t>
            </w:r>
            <w:r/>
          </w:p>
          <w:p>
            <w:pPr>
              <w:pStyle w:val="1028"/>
              <w:widowControl/>
              <w:rPr>
                <w:rFonts w:hint="eastAsia" w:ascii="宋体" w:hAnsi="宋体"/>
                <w:szCs w:val="21"/>
              </w:rPr>
            </w:pPr>
            <w:r>
              <w:rPr>
                <w:rFonts w:hint="eastAsia" w:ascii="宋体" w:hAnsi="宋体"/>
                <w:szCs w:val="21"/>
              </w:rPr>
              <w:t xml:space="preserve">方案可行性较强，阐述比较详实具体，评审加20%；</w:t>
            </w:r>
            <w:r/>
          </w:p>
          <w:p>
            <w:pPr>
              <w:pStyle w:val="1028"/>
              <w:widowControl/>
              <w:rPr>
                <w:rFonts w:hint="eastAsia" w:ascii="宋体" w:hAnsi="宋体"/>
                <w:szCs w:val="21"/>
              </w:rPr>
            </w:pPr>
            <w:r>
              <w:rPr>
                <w:rFonts w:hint="eastAsia" w:ascii="宋体" w:hAnsi="宋体"/>
                <w:szCs w:val="21"/>
              </w:rPr>
              <w:t xml:space="preserve">方案可行性一般，阐述不够充分，评审加10%；</w:t>
            </w:r>
            <w:r/>
          </w:p>
          <w:p>
            <w:pPr>
              <w:pStyle w:val="1028"/>
              <w:widowControl/>
              <w:rPr>
                <w:rFonts w:hint="eastAsia" w:ascii="宋体" w:hAnsi="宋体"/>
                <w:szCs w:val="21"/>
              </w:rPr>
            </w:pPr>
            <w:r>
              <w:rPr>
                <w:rFonts w:hint="eastAsia" w:ascii="宋体" w:hAnsi="宋体"/>
                <w:szCs w:val="21"/>
              </w:rPr>
              <w:t xml:space="preserve">方案可行性差或阐述不充分的，不加分。</w:t>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7</w:t>
            </w:r>
            <w:r/>
          </w:p>
        </w:tc>
        <w:tc>
          <w:tcPr>
            <w:tcW w:w="1985" w:type="dxa"/>
            <w:vAlign w:val="top"/>
            <w:textDirection w:val="lrTb"/>
            <w:noWrap w:val="false"/>
          </w:tcPr>
          <w:p>
            <w:pPr>
              <w:pStyle w:val="1028"/>
              <w:jc w:val="left"/>
              <w:widowControl/>
              <w:rPr>
                <w:rFonts w:hint="eastAsia" w:ascii="宋体" w:hAnsi="宋体"/>
                <w:szCs w:val="21"/>
              </w:rPr>
            </w:pPr>
            <w:r>
              <w:rPr>
                <w:rFonts w:hint="eastAsia" w:ascii="宋体" w:hAnsi="宋体"/>
                <w:szCs w:val="21"/>
              </w:rPr>
            </w:r>
            <w:r/>
          </w:p>
        </w:tc>
      </w:tr>
      <w:tr>
        <w:trPr>
          <w:cantSplit/>
          <w:trHeight w:val="1360"/>
        </w:trPr>
        <w:tc>
          <w:tcPr>
            <w:tcW w:w="780" w:type="dxa"/>
            <w:vAlign w:val="center"/>
            <w:vMerge w:val="restart"/>
            <w:textDirection w:val="lrTb"/>
            <w:noWrap w:val="false"/>
          </w:tcPr>
          <w:p>
            <w:pPr>
              <w:pStyle w:val="1028"/>
              <w:jc w:val="center"/>
              <w:widowControl/>
              <w:rPr>
                <w:rFonts w:ascii="宋体" w:hAnsi="宋体"/>
                <w:b/>
                <w:bCs/>
                <w:szCs w:val="21"/>
              </w:rPr>
            </w:pPr>
            <w:r>
              <w:rPr>
                <w:rFonts w:ascii="宋体" w:hAnsi="宋体"/>
                <w:b/>
                <w:bCs/>
                <w:szCs w:val="21"/>
              </w:rPr>
            </w:r>
            <w:r/>
          </w:p>
          <w:p>
            <w:pPr>
              <w:pStyle w:val="1028"/>
              <w:jc w:val="center"/>
              <w:widowControl/>
              <w:rPr>
                <w:rFonts w:ascii="宋体" w:hAnsi="宋体"/>
                <w:b/>
                <w:bCs/>
                <w:szCs w:val="21"/>
              </w:rPr>
            </w:pPr>
            <w:r>
              <w:rPr>
                <w:rFonts w:hint="eastAsia" w:ascii="宋体" w:hAnsi="宋体"/>
                <w:b/>
                <w:bCs/>
                <w:szCs w:val="21"/>
              </w:rPr>
              <w:t xml:space="preserve">客观分</w:t>
            </w:r>
            <w:r>
              <w:rPr>
                <w:rFonts w:ascii="宋体" w:hAnsi="宋体"/>
                <w:b/>
                <w:bCs/>
                <w:szCs w:val="21"/>
              </w:rPr>
            </w:r>
            <w:r/>
          </w:p>
          <w:p>
            <w:pPr>
              <w:pStyle w:val="1028"/>
              <w:jc w:val="center"/>
              <w:rPr>
                <w:rFonts w:ascii="宋体" w:hAnsi="宋体"/>
                <w:szCs w:val="21"/>
              </w:rPr>
            </w:pPr>
            <w:r>
              <w:rPr>
                <w:rFonts w:hint="eastAsia" w:ascii="宋体" w:hAnsi="宋体"/>
                <w:b/>
                <w:bCs/>
                <w:szCs w:val="21"/>
              </w:rPr>
              <w:t xml:space="preserve">45分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cs="宋体"/>
                <w:szCs w:val="21"/>
              </w:rPr>
            </w:pPr>
            <w:r>
              <w:rPr>
                <w:rFonts w:ascii="宋体" w:hAnsi="宋体"/>
                <w:szCs w:val="21"/>
              </w:rPr>
              <w:t xml:space="preserve">3.1</w:t>
            </w:r>
            <w:r>
              <w:rPr>
                <w:rFonts w:hint="eastAsia" w:ascii="宋体" w:hAnsi="宋体"/>
                <w:szCs w:val="21"/>
              </w:rPr>
              <w:t xml:space="preserve">、</w:t>
            </w:r>
            <w:r>
              <w:rPr>
                <w:rFonts w:hint="eastAsia" w:ascii="宋体" w:hAnsi="宋体" w:cs="宋体"/>
                <w:szCs w:val="21"/>
              </w:rPr>
              <w:t xml:space="preserve">类似业绩：</w:t>
            </w:r>
            <w:r>
              <w:rPr>
                <w:rFonts w:ascii="宋体" w:hAnsi="宋体" w:cs="宋体"/>
                <w:szCs w:val="21"/>
              </w:rPr>
            </w:r>
            <w:r/>
          </w:p>
          <w:p>
            <w:pPr>
              <w:pStyle w:val="1028"/>
              <w:widowControl/>
              <w:rPr>
                <w:rFonts w:ascii="宋体" w:hAnsi="宋体"/>
                <w:szCs w:val="21"/>
              </w:rPr>
            </w:pPr>
            <w:r>
              <w:rPr>
                <w:rFonts w:hint="eastAsia"/>
                <w:sz w:val="22"/>
                <w:szCs w:val="22"/>
              </w:rPr>
              <w:t xml:space="preserve">投标人近三年以来（投标日期截止之日往前推）承担过医疗机构医疗设备全院</w:t>
            </w:r>
            <w:bookmarkStart w:id="308" w:name="OLE_LINK36"/>
            <w:r>
              <w:rPr>
                <w:rFonts w:hint="eastAsia"/>
                <w:sz w:val="22"/>
                <w:szCs w:val="22"/>
              </w:rPr>
              <w:t xml:space="preserve">（或整体）</w:t>
            </w:r>
            <w:bookmarkEnd w:id="308"/>
            <w:r>
              <w:rPr>
                <w:rFonts w:hint="eastAsia"/>
                <w:sz w:val="22"/>
                <w:szCs w:val="22"/>
              </w:rPr>
              <w:t xml:space="preserve">维保项目的，有一份得1分。本项最高得5分。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5</w:t>
            </w:r>
            <w:r/>
          </w:p>
        </w:tc>
        <w:tc>
          <w:tcPr>
            <w:tcW w:w="1985" w:type="dxa"/>
            <w:vAlign w:val="top"/>
            <w:textDirection w:val="lrTb"/>
            <w:noWrap w:val="false"/>
          </w:tcPr>
          <w:p>
            <w:pPr>
              <w:pStyle w:val="1028"/>
              <w:jc w:val="left"/>
              <w:widowControl/>
              <w:rPr>
                <w:rFonts w:ascii="宋体" w:hAnsi="宋体"/>
                <w:szCs w:val="21"/>
              </w:rPr>
            </w:pPr>
            <w:r>
              <w:rPr>
                <w:rFonts w:hint="eastAsia" w:ascii="宋体" w:hAnsi="宋体"/>
                <w:szCs w:val="21"/>
              </w:rPr>
              <w:t xml:space="preserve">1.时间以合同签订时间为准，提供合同。（合同中未体现全院（或整体）维保的</w:t>
            </w:r>
            <w:r>
              <w:rPr>
                <w:rFonts w:hint="eastAsia" w:ascii="宋体" w:hAnsi="宋体"/>
                <w:szCs w:val="21"/>
              </w:rPr>
              <w:t xml:space="preserve">提供甲方证明材料）</w:t>
            </w:r>
            <w:r>
              <w:rPr>
                <w:rFonts w:ascii="宋体" w:hAnsi="宋体"/>
                <w:szCs w:val="21"/>
              </w:rPr>
            </w:r>
            <w:r/>
          </w:p>
          <w:p>
            <w:pPr>
              <w:pStyle w:val="1028"/>
              <w:jc w:val="left"/>
              <w:widowControl/>
              <w:rPr>
                <w:rFonts w:ascii="宋体" w:hAnsi="宋体"/>
                <w:szCs w:val="21"/>
              </w:rPr>
            </w:pPr>
            <w:r>
              <w:rPr>
                <w:rFonts w:hint="eastAsia" w:ascii="宋体" w:hAnsi="宋体"/>
                <w:szCs w:val="21"/>
              </w:rPr>
              <w:t xml:space="preserve">2.未按要求提供或提供不清晰导致专家无法判断的不得分。</w:t>
            </w:r>
            <w:r>
              <w:rPr>
                <w:rFonts w:ascii="宋体" w:hAnsi="宋体"/>
                <w:szCs w:val="21"/>
              </w:rPr>
            </w:r>
            <w:r/>
          </w:p>
        </w:tc>
      </w:tr>
      <w:tr>
        <w:trPr>
          <w:cantSplit/>
          <w:trHeight w:val="1249"/>
        </w:trPr>
        <w:tc>
          <w:tcPr>
            <w:tcW w:w="780" w:type="dxa"/>
            <w:vAlign w:val="center"/>
            <w:vMerge w:val="continue"/>
            <w:textDirection w:val="lrTb"/>
            <w:noWrap w:val="false"/>
          </w:tcPr>
          <w:p>
            <w:pPr>
              <w:pStyle w:val="1028"/>
              <w:jc w:val="center"/>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rPr>
                <w:rFonts w:ascii="宋体" w:hAnsi="宋体"/>
                <w:szCs w:val="21"/>
              </w:rPr>
              <w:t xml:space="preserve">3.2</w:t>
            </w:r>
            <w:r>
              <w:rPr>
                <w:rFonts w:hint="eastAsia" w:ascii="宋体" w:hAnsi="宋体"/>
                <w:szCs w:val="21"/>
              </w:rPr>
              <w:t xml:space="preserve">、企业实力：</w:t>
            </w:r>
            <w:r>
              <w:rPr>
                <w:rFonts w:ascii="宋体" w:hAnsi="宋体"/>
                <w:szCs w:val="21"/>
              </w:rPr>
            </w:r>
            <w:r/>
          </w:p>
          <w:p>
            <w:pPr>
              <w:pStyle w:val="1028"/>
              <w:jc w:val="left"/>
              <w:spacing w:line="360" w:lineRule="exact"/>
              <w:rPr>
                <w:rFonts w:hint="eastAsia"/>
              </w:rPr>
            </w:pPr>
            <w:r>
              <w:rPr>
                <w:rFonts w:hint="eastAsia" w:ascii="宋体" w:hAnsi="宋体"/>
                <w:szCs w:val="21"/>
              </w:rPr>
              <w:t xml:space="preserve">投标人具有：有效期内的I</w:t>
            </w:r>
            <w:r>
              <w:rPr>
                <w:rFonts w:hint="eastAsia" w:ascii="宋体" w:hAnsi="宋体"/>
                <w:szCs w:val="21"/>
              </w:rPr>
              <w:t xml:space="preserve">SO13485《医疗器械质量管理体系》、ISO9001《质量管理体系》、ISO14001《环境管理体系》、ISO45001《职业健康安全管理体系》、ISO27001《信息安全管理体系》认证证书的，每有一个得1分，</w:t>
            </w:r>
            <w:r>
              <w:rPr>
                <w:rFonts w:hint="eastAsia"/>
              </w:rPr>
              <w:t xml:space="preserve">本项最高得5分。</w:t>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5</w:t>
            </w:r>
            <w:r/>
          </w:p>
        </w:tc>
        <w:tc>
          <w:tcPr>
            <w:tcW w:w="1985" w:type="dxa"/>
            <w:vAlign w:val="top"/>
            <w:textDirection w:val="lrTb"/>
            <w:noWrap w:val="false"/>
          </w:tcPr>
          <w:p>
            <w:pPr>
              <w:pStyle w:val="1028"/>
              <w:jc w:val="left"/>
              <w:widowControl/>
              <w:rPr>
                <w:rFonts w:hint="eastAsia" w:ascii="宋体" w:hAnsi="宋体"/>
              </w:rPr>
            </w:pPr>
            <w:r>
              <w:rPr>
                <w:rFonts w:hint="eastAsia" w:ascii="宋体" w:hAnsi="宋体"/>
              </w:rPr>
              <w:t xml:space="preserve">1.提供证书；</w:t>
            </w:r>
            <w:r/>
          </w:p>
          <w:p>
            <w:pPr>
              <w:pStyle w:val="1028"/>
              <w:jc w:val="left"/>
              <w:widowControl/>
              <w:rPr>
                <w:rFonts w:hint="eastAsia" w:ascii="宋体" w:hAnsi="宋体"/>
                <w:b/>
                <w:bCs/>
                <w:szCs w:val="21"/>
              </w:rPr>
            </w:pPr>
            <w:r>
              <w:rPr>
                <w:rFonts w:hint="eastAsia" w:ascii="宋体" w:hAnsi="宋体"/>
              </w:rPr>
              <w:t xml:space="preserve">2.未按要求提供或提供不清晰导致专家无法判断的不得分。</w:t>
            </w:r>
            <w:r>
              <w:rPr>
                <w:rFonts w:hint="eastAsia" w:ascii="宋体" w:hAnsi="宋体"/>
                <w:b/>
                <w:bCs/>
                <w:szCs w:val="21"/>
              </w:rPr>
            </w:r>
            <w:r/>
          </w:p>
        </w:tc>
      </w:tr>
      <w:tr>
        <w:trPr>
          <w:cantSplit/>
          <w:trHeight w:val="1249"/>
        </w:trPr>
        <w:tc>
          <w:tcPr>
            <w:tcW w:w="780" w:type="dxa"/>
            <w:vAlign w:val="center"/>
            <w:vMerge w:val="continue"/>
            <w:textDirection w:val="lrTb"/>
            <w:noWrap w:val="false"/>
          </w:tcPr>
          <w:p>
            <w:pPr>
              <w:pStyle w:val="1028"/>
              <w:jc w:val="center"/>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rPr>
                <w:rFonts w:hint="eastAsia" w:ascii="宋体" w:hAnsi="宋体"/>
                <w:szCs w:val="21"/>
              </w:rPr>
              <w:t xml:space="preserve">3.3质控设备配置</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投标人具有电气安全分析仪、生命体征模拟仪、气流分析仪、注射泵输液泵检测仪、除颤能量分析仪、脑电信号模拟仪、心电信号模拟器、高频电刀分析仪质控设备，自有的每有一类得0.5分，租赁的每有一类得0.25分，同类多台不重复得分。本项最高得4分。 </w:t>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4</w:t>
            </w:r>
            <w:r/>
          </w:p>
        </w:tc>
        <w:tc>
          <w:tcPr>
            <w:tcW w:w="1985" w:type="dxa"/>
            <w:vAlign w:val="top"/>
            <w:textDirection w:val="lrTb"/>
            <w:noWrap w:val="false"/>
          </w:tcPr>
          <w:p>
            <w:pPr>
              <w:pStyle w:val="1028"/>
              <w:jc w:val="left"/>
              <w:widowControl/>
              <w:rPr>
                <w:rFonts w:ascii="宋体" w:hAnsi="宋体"/>
              </w:rPr>
            </w:pPr>
            <w:r>
              <w:rPr>
                <w:rFonts w:hint="eastAsia" w:ascii="宋体" w:hAnsi="宋体"/>
              </w:rPr>
              <w:t xml:space="preserve">1.自有的提供采购发票。</w:t>
            </w:r>
            <w:r>
              <w:rPr>
                <w:rFonts w:ascii="宋体" w:hAnsi="宋体"/>
              </w:rPr>
            </w:r>
            <w:r/>
          </w:p>
          <w:p>
            <w:pPr>
              <w:pStyle w:val="1028"/>
              <w:jc w:val="left"/>
              <w:widowControl/>
              <w:rPr>
                <w:rFonts w:ascii="宋体" w:hAnsi="宋体"/>
              </w:rPr>
            </w:pPr>
            <w:r>
              <w:rPr>
                <w:rFonts w:hint="eastAsia" w:ascii="宋体" w:hAnsi="宋体"/>
              </w:rPr>
              <w:t xml:space="preserve">2.租赁的提供租赁协议及租赁方的采购发票。</w:t>
            </w:r>
            <w:r>
              <w:rPr>
                <w:rFonts w:ascii="宋体" w:hAnsi="宋体"/>
              </w:rPr>
            </w:r>
            <w:r/>
          </w:p>
          <w:p>
            <w:pPr>
              <w:pStyle w:val="1028"/>
              <w:jc w:val="left"/>
              <w:widowControl/>
              <w:rPr>
                <w:rFonts w:hint="eastAsia" w:ascii="宋体" w:hAnsi="宋体"/>
              </w:rPr>
            </w:pPr>
            <w:r>
              <w:rPr>
                <w:rFonts w:hint="eastAsia" w:ascii="宋体" w:hAnsi="宋体"/>
                <w:szCs w:val="21"/>
              </w:rPr>
              <w:t xml:space="preserve">3.未按要求提供或提供不清晰导致评审专家无法判断的，不得分。</w:t>
            </w:r>
            <w:r>
              <w:rPr>
                <w:rFonts w:hint="eastAsia" w:ascii="宋体" w:hAnsi="宋体"/>
              </w:rPr>
            </w:r>
            <w:r/>
          </w:p>
        </w:tc>
      </w:tr>
      <w:tr>
        <w:trPr>
          <w:cantSplit/>
          <w:trHeight w:val="613"/>
        </w:trPr>
        <w:tc>
          <w:tcPr>
            <w:tcW w:w="780" w:type="dxa"/>
            <w:vAlign w:val="center"/>
            <w:vMerge w:val="continue"/>
            <w:textDirection w:val="lrTb"/>
            <w:noWrap w:val="false"/>
          </w:tcPr>
          <w:p>
            <w:pPr>
              <w:pStyle w:val="1028"/>
              <w:jc w:val="center"/>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hint="eastAsia" w:ascii="宋体" w:hAnsi="宋体"/>
                <w:szCs w:val="21"/>
              </w:rPr>
            </w:pPr>
            <w:r>
              <w:rPr>
                <w:rFonts w:ascii="宋体" w:hAnsi="宋体"/>
                <w:szCs w:val="21"/>
              </w:rPr>
              <w:t xml:space="preserve">3.</w:t>
            </w:r>
            <w:r>
              <w:rPr>
                <w:rFonts w:hint="eastAsia" w:ascii="宋体" w:hAnsi="宋体"/>
                <w:szCs w:val="21"/>
              </w:rPr>
              <w:t xml:space="preserve">4、项目负责人（限评1人，不得兼职1人）：</w:t>
            </w:r>
            <w:r/>
          </w:p>
          <w:p>
            <w:pPr>
              <w:pStyle w:val="1028"/>
              <w:widowControl/>
            </w:pPr>
            <w:r>
              <w:rPr>
                <w:rFonts w:hint="eastAsia" w:ascii="宋体" w:hAnsi="宋体"/>
                <w:szCs w:val="21"/>
              </w:rPr>
              <w:t xml:space="preserve">具有以下证书的，</w:t>
            </w:r>
            <w:bookmarkStart w:id="309" w:name="OLE_LINK30"/>
            <w:r>
              <w:rPr>
                <w:rFonts w:hint="eastAsia" w:ascii="宋体" w:hAnsi="宋体"/>
                <w:szCs w:val="21"/>
              </w:rPr>
              <w:t xml:space="preserve">《特种设备安全管理和作业人员证》（作业项目：特种设备安全管理，代号A）</w:t>
            </w:r>
            <w:bookmarkEnd w:id="309"/>
            <w:r>
              <w:rPr>
                <w:rFonts w:hint="eastAsia" w:ascii="宋体" w:hAnsi="宋体"/>
                <w:szCs w:val="21"/>
              </w:rPr>
              <w:t xml:space="preserve">得3分，</w:t>
            </w:r>
            <w:bookmarkStart w:id="310" w:name="OLE_LINK38"/>
            <w:r/>
            <w:bookmarkStart w:id="311" w:name="OLE_LINK37"/>
            <w:r>
              <w:rPr>
                <w:rFonts w:hint="eastAsia" w:ascii="宋体" w:hAnsi="宋体"/>
                <w:szCs w:val="21"/>
              </w:rPr>
              <w:t xml:space="preserve">本项最高得</w:t>
            </w:r>
            <w:bookmarkEnd w:id="310"/>
            <w:r>
              <w:rPr>
                <w:rFonts w:hint="eastAsia" w:ascii="宋体" w:hAnsi="宋体"/>
                <w:szCs w:val="21"/>
              </w:rPr>
              <w:t xml:space="preserve">3分</w:t>
            </w:r>
            <w:bookmarkEnd w:id="311"/>
            <w:r>
              <w:rPr>
                <w:rFonts w:hint="eastAsia" w:ascii="宋体" w:hAnsi="宋体"/>
                <w:szCs w:val="21"/>
              </w:rPr>
              <w:t xml:space="preserve">。 </w:t>
            </w:r>
            <w:r/>
          </w:p>
        </w:tc>
        <w:tc>
          <w:tcPr>
            <w:tcMar>
              <w:left w:w="108" w:type="dxa"/>
              <w:top w:w="0" w:type="dxa"/>
              <w:right w:w="108" w:type="dxa"/>
              <w:bottom w:w="0" w:type="dxa"/>
            </w:tcMar>
            <w:tcW w:w="850" w:type="dxa"/>
            <w:vAlign w:val="center"/>
            <w:textDirection w:val="lrTb"/>
            <w:noWrap w:val="false"/>
          </w:tcPr>
          <w:p>
            <w:pPr>
              <w:pStyle w:val="1028"/>
              <w:jc w:val="center"/>
              <w:widowControl/>
              <w:rPr>
                <w:rFonts w:ascii="宋体" w:hAnsi="宋体"/>
                <w:szCs w:val="21"/>
              </w:rPr>
            </w:pPr>
            <w:r>
              <w:rPr>
                <w:rFonts w:hint="eastAsia" w:ascii="宋体" w:hAnsi="宋体"/>
                <w:szCs w:val="21"/>
              </w:rPr>
              <w:t xml:space="preserve">3</w:t>
            </w:r>
            <w:r>
              <w:rPr>
                <w:rFonts w:ascii="宋体" w:hAnsi="宋体"/>
                <w:szCs w:val="21"/>
              </w:rPr>
            </w:r>
            <w:r/>
          </w:p>
        </w:tc>
        <w:tc>
          <w:tcPr>
            <w:tcW w:w="1985" w:type="dxa"/>
            <w:vAlign w:val="top"/>
            <w:vMerge w:val="restart"/>
            <w:textDirection w:val="lrTb"/>
            <w:noWrap w:val="false"/>
          </w:tcPr>
          <w:p>
            <w:pPr>
              <w:pStyle w:val="1028"/>
              <w:widowControl/>
              <w:rPr>
                <w:rFonts w:hint="eastAsia" w:ascii="宋体" w:hAnsi="宋体"/>
                <w:szCs w:val="21"/>
              </w:rPr>
            </w:pPr>
            <w:r>
              <w:rPr>
                <w:rFonts w:hint="eastAsia" w:ascii="宋体" w:hAnsi="宋体"/>
                <w:szCs w:val="21"/>
              </w:rPr>
              <w:t xml:space="preserve">1.提供证书；</w:t>
            </w:r>
            <w:r/>
          </w:p>
          <w:p>
            <w:pPr>
              <w:pStyle w:val="1028"/>
              <w:jc w:val="left"/>
              <w:rPr>
                <w:rFonts w:hint="eastAsia" w:ascii="宋体" w:hAnsi="宋体"/>
                <w:szCs w:val="21"/>
              </w:rPr>
            </w:pPr>
            <w:r>
              <w:rPr>
                <w:rFonts w:hint="eastAsia" w:ascii="宋体" w:hAnsi="宋体"/>
                <w:szCs w:val="21"/>
              </w:rPr>
              <w:t xml:space="preserve">2.提供</w:t>
            </w:r>
            <w:r>
              <w:rPr>
                <w:rFonts w:hint="eastAsia" w:ascii="宋体" w:hAnsi="宋体"/>
                <w:szCs w:val="21"/>
              </w:rPr>
              <w:t xml:space="preserve">投标人为其缴纳（响应文件提交截止的近三个月时间往前推）任意一个月的社保缴纳证明材料；</w:t>
            </w:r>
            <w:r/>
          </w:p>
          <w:p>
            <w:pPr>
              <w:pStyle w:val="1028"/>
              <w:jc w:val="left"/>
              <w:rPr>
                <w:rFonts w:hint="eastAsia" w:ascii="宋体" w:hAnsi="宋体"/>
                <w:szCs w:val="21"/>
              </w:rPr>
            </w:pPr>
            <w:r/>
            <w:bookmarkStart w:id="312" w:name="OLE_LINK16"/>
            <w:r>
              <w:rPr>
                <w:rFonts w:hint="eastAsia" w:ascii="宋体" w:hAnsi="宋体"/>
                <w:szCs w:val="21"/>
              </w:rPr>
              <w:t xml:space="preserve">3.未按要求提供或提供不清晰导致评审专家无法判断的，</w:t>
            </w:r>
            <w:r>
              <w:rPr>
                <w:rFonts w:hint="eastAsia" w:ascii="宋体" w:hAnsi="宋体"/>
                <w:szCs w:val="21"/>
              </w:rPr>
              <w:t xml:space="preserve">不得分。</w:t>
            </w:r>
            <w:bookmarkEnd w:id="312"/>
            <w:r>
              <w:rPr>
                <w:rFonts w:hint="eastAsia" w:ascii="宋体" w:hAnsi="宋体"/>
                <w:szCs w:val="21"/>
              </w:rPr>
            </w:r>
            <w:r/>
          </w:p>
        </w:tc>
      </w:tr>
      <w:tr>
        <w:trPr>
          <w:cantSplit/>
          <w:trHeight w:val="1960"/>
        </w:trPr>
        <w:tc>
          <w:tcPr>
            <w:tcW w:w="780" w:type="dxa"/>
            <w:vAlign w:val="center"/>
            <w:vMerge w:val="continue"/>
            <w:textDirection w:val="lrTb"/>
            <w:noWrap w:val="false"/>
          </w:tcPr>
          <w:p>
            <w:pPr>
              <w:pStyle w:val="1028"/>
              <w:jc w:val="center"/>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hint="eastAsia" w:ascii="宋体" w:hAnsi="宋体"/>
                <w:szCs w:val="21"/>
              </w:rPr>
            </w:pPr>
            <w:r>
              <w:rPr>
                <w:rFonts w:ascii="宋体" w:hAnsi="宋体"/>
                <w:szCs w:val="21"/>
              </w:rPr>
              <w:t xml:space="preserve">3.</w:t>
            </w:r>
            <w:r>
              <w:rPr>
                <w:rFonts w:hint="eastAsia" w:ascii="宋体" w:hAnsi="宋体"/>
                <w:szCs w:val="21"/>
              </w:rPr>
              <w:t xml:space="preserve">5、</w:t>
            </w:r>
            <w:bookmarkStart w:id="313" w:name="OLE_LINK20"/>
            <w:r>
              <w:rPr>
                <w:rFonts w:hint="eastAsia" w:ascii="宋体" w:hAnsi="宋体"/>
                <w:szCs w:val="21"/>
              </w:rPr>
              <w:t xml:space="preserve">驻场服务人员</w:t>
            </w:r>
            <w:bookmarkEnd w:id="313"/>
            <w:r>
              <w:rPr>
                <w:rFonts w:hint="eastAsia" w:ascii="宋体" w:hAnsi="宋体"/>
                <w:szCs w:val="21"/>
              </w:rPr>
              <w:t xml:space="preserve">（项目负责人除外），</w:t>
            </w:r>
            <w:bookmarkStart w:id="314" w:name="OLE_LINK18"/>
            <w:r>
              <w:rPr>
                <w:rFonts w:hint="eastAsia" w:ascii="宋体" w:hAnsi="宋体"/>
                <w:szCs w:val="21"/>
              </w:rPr>
              <w:t xml:space="preserve">具有以下证书中的每具有一项，得3分，本项最高得15分：</w:t>
            </w:r>
            <w:r/>
          </w:p>
          <w:p>
            <w:pPr>
              <w:pStyle w:val="1028"/>
              <w:widowControl/>
              <w:rPr>
                <w:rFonts w:ascii="宋体" w:hAnsi="宋体"/>
                <w:szCs w:val="21"/>
              </w:rPr>
            </w:pPr>
            <w:r/>
            <w:bookmarkEnd w:id="314"/>
            <w:r/>
            <w:bookmarkStart w:id="315" w:name="OLE_LINK19"/>
            <w:r>
              <w:rPr>
                <w:rFonts w:hint="eastAsia" w:ascii="宋体" w:hAnsi="宋体"/>
                <w:szCs w:val="21"/>
              </w:rPr>
              <w:t xml:space="preserve">（1）《特种设备安全管理和作业人员证》（作业项目：快开门式压力容器作业操作，代号R1）；</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（2）</w:t>
            </w:r>
            <w:bookmarkStart w:id="316" w:name="OLE_LINK31"/>
            <w:r>
              <w:rPr>
                <w:rFonts w:hint="eastAsia" w:ascii="宋体" w:hAnsi="宋体"/>
                <w:szCs w:val="21"/>
              </w:rPr>
              <w:t xml:space="preserve">《特种设备安全管理和作业人员证》（作业项目：氧舱维护保养，代号R3）；</w:t>
            </w:r>
            <w:r/>
          </w:p>
          <w:p>
            <w:pPr>
              <w:pStyle w:val="1028"/>
              <w:widowControl/>
              <w:rPr>
                <w:rFonts w:hint="eastAsia" w:ascii="宋体" w:hAnsi="宋体"/>
                <w:szCs w:val="21"/>
              </w:rPr>
            </w:pPr>
            <w:r/>
            <w:bookmarkEnd w:id="316"/>
            <w:r>
              <w:rPr>
                <w:rFonts w:hint="eastAsia" w:ascii="宋体" w:hAnsi="宋体"/>
                <w:szCs w:val="21"/>
              </w:rPr>
              <w:t xml:space="preserve">（3）《中华人民共和国特种作业操作证》（操作项目：熔化焊接与热切割作业；</w:t>
            </w:r>
            <w:r/>
          </w:p>
          <w:p>
            <w:pPr>
              <w:pStyle w:val="1028"/>
              <w:widowControl/>
              <w:rPr>
                <w:rFonts w:hint="eastAsia" w:ascii="宋体" w:hAnsi="宋体"/>
                <w:szCs w:val="21"/>
              </w:rPr>
            </w:pPr>
            <w:r>
              <w:rPr>
                <w:rFonts w:hint="eastAsia" w:ascii="宋体" w:hAnsi="宋体"/>
                <w:szCs w:val="21"/>
              </w:rPr>
              <w:t xml:space="preserve">（4）设备清单内生命支持及急救类设备相关品牌的原厂培训合格证书；</w:t>
            </w:r>
            <w:r/>
          </w:p>
          <w:p>
            <w:pPr>
              <w:pStyle w:val="1028"/>
              <w:widowControl/>
              <w:rPr>
                <w:rFonts w:hint="eastAsia" w:ascii="宋体" w:hAnsi="宋体"/>
                <w:szCs w:val="21"/>
              </w:rPr>
            </w:pPr>
            <w:r>
              <w:rPr>
                <w:rFonts w:hint="eastAsia" w:ascii="宋体" w:hAnsi="宋体"/>
                <w:szCs w:val="21"/>
              </w:rPr>
              <w:t xml:space="preserve">（5）血液净化技术人员岗位培训合格证书；</w:t>
            </w:r>
            <w:r/>
          </w:p>
          <w:p>
            <w:pPr>
              <w:pStyle w:val="1028"/>
              <w:widowControl/>
              <w:rPr>
                <w:rFonts w:hint="eastAsia" w:ascii="宋体" w:hAnsi="宋体"/>
                <w:szCs w:val="21"/>
              </w:rPr>
            </w:pPr>
            <w:r>
              <w:rPr>
                <w:rFonts w:hint="eastAsia" w:ascii="宋体" w:hAnsi="宋体"/>
                <w:szCs w:val="21"/>
              </w:rPr>
              <w:t xml:space="preserve">同一人员持有多个证书可累计计分，不同人员持有的证书亦</w:t>
            </w:r>
            <w:r>
              <w:rPr>
                <w:rFonts w:hint="eastAsia" w:ascii="宋体" w:hAnsi="宋体"/>
                <w:szCs w:val="21"/>
              </w:rPr>
              <w:t xml:space="preserve">可合并计分，本项最高得15分。</w:t>
            </w:r>
            <w:bookmarkEnd w:id="315"/>
            <w:r>
              <w:rPr>
                <w:rFonts w:hint="eastAsia"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15</w:t>
            </w:r>
            <w:r/>
          </w:p>
        </w:tc>
        <w:tc>
          <w:tcPr>
            <w:tcW w:w="1985" w:type="dxa"/>
            <w:vAlign w:val="top"/>
            <w:vMerge w:val="continue"/>
            <w:textDirection w:val="lrTb"/>
            <w:noWrap w:val="false"/>
          </w:tcPr>
          <w:p>
            <w:pPr>
              <w:pStyle w:val="1028"/>
              <w:jc w:val="left"/>
              <w:widowControl/>
              <w:rPr>
                <w:rFonts w:ascii="宋体" w:hAnsi="宋体"/>
                <w:szCs w:val="21"/>
              </w:rPr>
            </w:pPr>
            <w:r>
              <w:rPr>
                <w:rFonts w:ascii="宋体" w:hAnsi="宋体"/>
                <w:szCs w:val="21"/>
              </w:rPr>
            </w:r>
            <w:r/>
          </w:p>
        </w:tc>
      </w:tr>
      <w:tr>
        <w:trPr>
          <w:cantSplit/>
          <w:trHeight w:val="1960"/>
        </w:trPr>
        <w:tc>
          <w:tcPr>
            <w:tcW w:w="780" w:type="dxa"/>
            <w:vAlign w:val="center"/>
            <w:vMerge w:val="continue"/>
            <w:textDirection w:val="lrTb"/>
            <w:noWrap w:val="false"/>
          </w:tcPr>
          <w:p>
            <w:pPr>
              <w:pStyle w:val="1028"/>
              <w:jc w:val="center"/>
              <w:rPr>
                <w:rFonts w:ascii="宋体" w:hAnsi="宋体"/>
                <w:szCs w:val="21"/>
              </w:rPr>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1028"/>
              <w:widowControl/>
              <w:rPr>
                <w:rFonts w:ascii="宋体" w:hAnsi="宋体"/>
                <w:szCs w:val="21"/>
              </w:rPr>
            </w:pPr>
            <w:r>
              <w:rPr>
                <w:rFonts w:hint="eastAsia" w:ascii="宋体" w:hAnsi="宋体"/>
                <w:szCs w:val="21"/>
              </w:rPr>
              <w:t xml:space="preserve">3.6其他团队人员（驻场服务人员、项目负责人除外）具有以下证书的：</w:t>
            </w:r>
            <w:r>
              <w:rPr>
                <w:rFonts w:ascii="宋体" w:hAnsi="宋体"/>
                <w:szCs w:val="21"/>
              </w:rPr>
            </w:r>
            <w:r/>
          </w:p>
          <w:p>
            <w:pPr>
              <w:pStyle w:val="1028"/>
              <w:widowControl/>
              <w:rPr>
                <w:rFonts w:ascii="宋体" w:hAnsi="宋体"/>
                <w:szCs w:val="21"/>
              </w:rPr>
            </w:pPr>
            <w:r>
              <w:rPr>
                <w:rFonts w:hint="eastAsia" w:ascii="宋体" w:hAnsi="宋体"/>
                <w:szCs w:val="21"/>
              </w:rPr>
              <w:t xml:space="preserve">（1）具有</w:t>
            </w:r>
            <w:bookmarkStart w:id="317" w:name="OLE_LINK32"/>
            <w:r>
              <w:rPr>
                <w:rFonts w:hint="eastAsia" w:ascii="宋体" w:hAnsi="宋体"/>
                <w:szCs w:val="21"/>
              </w:rPr>
              <w:t xml:space="preserve">《医用电子仪器维修人员》</w:t>
            </w:r>
            <w:bookmarkEnd w:id="317"/>
            <w:r>
              <w:rPr>
                <w:rFonts w:hint="eastAsia" w:ascii="宋体" w:hAnsi="宋体"/>
                <w:szCs w:val="21"/>
              </w:rPr>
              <w:t xml:space="preserve">证书的，得3分；</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（2）具有《制冷设备维修工》证书的，最高2分；</w:t>
            </w:r>
            <w:r/>
          </w:p>
          <w:p>
            <w:pPr>
              <w:pStyle w:val="1028"/>
              <w:widowControl/>
              <w:rPr>
                <w:rFonts w:ascii="宋体" w:hAnsi="宋体"/>
                <w:szCs w:val="21"/>
              </w:rPr>
            </w:pPr>
            <w:r/>
            <w:bookmarkStart w:id="318" w:name="OLE_LINK35"/>
            <w:r>
              <w:rPr>
                <w:rFonts w:hint="eastAsia" w:ascii="宋体" w:hAnsi="宋体"/>
                <w:szCs w:val="21"/>
              </w:rPr>
              <w:t xml:space="preserve">（3）《中华人民共和国特种作业操作证》（操作项目：低压电工作业）的，得2分；</w:t>
            </w:r>
            <w:r>
              <w:rPr>
                <w:rFonts w:ascii="宋体" w:hAnsi="宋体"/>
                <w:szCs w:val="21"/>
              </w:rPr>
            </w:r>
            <w:r/>
          </w:p>
          <w:p>
            <w:pPr>
              <w:pStyle w:val="1028"/>
              <w:widowControl/>
              <w:rPr>
                <w:rFonts w:ascii="宋体" w:hAnsi="宋体"/>
                <w:szCs w:val="21"/>
              </w:rPr>
            </w:pPr>
            <w:r/>
            <w:bookmarkEnd w:id="318"/>
            <w:r>
              <w:rPr>
                <w:rFonts w:hint="eastAsia" w:ascii="宋体" w:hAnsi="宋体"/>
                <w:szCs w:val="21"/>
              </w:rPr>
              <w:t xml:space="preserve">（4）具备以下六类设备维修能力：</w:t>
            </w:r>
            <w:r>
              <w:rPr>
                <w:rFonts w:ascii="宋体" w:hAnsi="宋体"/>
                <w:szCs w:val="21"/>
              </w:rPr>
            </w:r>
            <w:r/>
          </w:p>
          <w:p>
            <w:pPr>
              <w:pStyle w:val="1028"/>
              <w:widowControl/>
              <w:rPr>
                <w:rFonts w:ascii="宋体" w:hAnsi="宋体"/>
                <w:szCs w:val="21"/>
              </w:rPr>
            </w:pPr>
            <w:r>
              <w:rPr>
                <w:rFonts w:hint="eastAsia" w:ascii="宋体" w:hAnsi="宋体"/>
                <w:szCs w:val="21"/>
              </w:rPr>
              <w:t xml:space="preserve">1、放射放疗类；</w:t>
            </w:r>
            <w:r>
              <w:rPr>
                <w:rFonts w:ascii="宋体" w:hAnsi="宋体"/>
                <w:szCs w:val="21"/>
              </w:rPr>
            </w:r>
            <w:r/>
          </w:p>
          <w:p>
            <w:pPr>
              <w:pStyle w:val="1028"/>
              <w:widowControl/>
              <w:rPr>
                <w:rFonts w:ascii="宋体" w:hAnsi="宋体"/>
                <w:szCs w:val="21"/>
              </w:rPr>
            </w:pPr>
            <w:r>
              <w:rPr>
                <w:rFonts w:hint="eastAsia" w:ascii="宋体" w:hAnsi="宋体"/>
                <w:szCs w:val="21"/>
              </w:rPr>
              <w:t xml:space="preserve">2、超声类；</w:t>
            </w:r>
            <w:r>
              <w:rPr>
                <w:rFonts w:ascii="宋体" w:hAnsi="宋体"/>
                <w:szCs w:val="21"/>
              </w:rPr>
            </w:r>
            <w:r/>
          </w:p>
          <w:p>
            <w:pPr>
              <w:pStyle w:val="1028"/>
              <w:widowControl/>
              <w:rPr>
                <w:rFonts w:ascii="宋体" w:hAnsi="宋体"/>
                <w:szCs w:val="21"/>
              </w:rPr>
            </w:pPr>
            <w:r>
              <w:rPr>
                <w:rFonts w:hint="eastAsia" w:ascii="宋体" w:hAnsi="宋体"/>
                <w:szCs w:val="21"/>
              </w:rPr>
              <w:t xml:space="preserve">3、急救及生命支持</w:t>
            </w:r>
            <w:r>
              <w:rPr>
                <w:rFonts w:hint="eastAsia" w:ascii="宋体" w:hAnsi="宋体"/>
                <w:szCs w:val="21"/>
              </w:rPr>
              <w:t xml:space="preserve">类；</w:t>
            </w:r>
            <w:r>
              <w:rPr>
                <w:rFonts w:ascii="宋体" w:hAnsi="宋体"/>
                <w:szCs w:val="21"/>
              </w:rPr>
            </w:r>
            <w:r/>
          </w:p>
          <w:p>
            <w:pPr>
              <w:pStyle w:val="1028"/>
              <w:widowControl/>
              <w:rPr>
                <w:rFonts w:ascii="宋体" w:hAnsi="宋体"/>
                <w:szCs w:val="21"/>
              </w:rPr>
            </w:pPr>
            <w:r>
              <w:rPr>
                <w:rFonts w:hint="eastAsia" w:ascii="宋体" w:hAnsi="宋体"/>
                <w:szCs w:val="21"/>
              </w:rPr>
              <w:t xml:space="preserve">4、血透类；</w:t>
            </w:r>
            <w:r>
              <w:rPr>
                <w:rFonts w:ascii="宋体" w:hAnsi="宋体"/>
                <w:szCs w:val="21"/>
              </w:rPr>
            </w:r>
            <w:r/>
          </w:p>
          <w:p>
            <w:pPr>
              <w:pStyle w:val="1028"/>
              <w:widowControl/>
              <w:rPr>
                <w:rFonts w:ascii="宋体" w:hAnsi="宋体"/>
                <w:szCs w:val="21"/>
              </w:rPr>
            </w:pPr>
            <w:r>
              <w:rPr>
                <w:rFonts w:hint="eastAsia" w:ascii="宋体" w:hAnsi="宋体"/>
                <w:szCs w:val="21"/>
              </w:rPr>
              <w:t xml:space="preserve">5、内窥镜类；</w:t>
            </w:r>
            <w:r>
              <w:rPr>
                <w:rFonts w:ascii="宋体" w:hAnsi="宋体"/>
                <w:szCs w:val="21"/>
              </w:rPr>
            </w:r>
            <w:r/>
          </w:p>
          <w:p>
            <w:pPr>
              <w:pStyle w:val="1028"/>
              <w:widowControl/>
              <w:rPr>
                <w:rFonts w:ascii="宋体" w:hAnsi="宋体"/>
                <w:szCs w:val="21"/>
              </w:rPr>
            </w:pPr>
            <w:r>
              <w:rPr>
                <w:rFonts w:hint="eastAsia" w:ascii="宋体" w:hAnsi="宋体"/>
                <w:szCs w:val="21"/>
              </w:rPr>
              <w:t xml:space="preserve">6、实验类。</w:t>
            </w:r>
            <w:r>
              <w:rPr>
                <w:rFonts w:ascii="宋体" w:hAnsi="宋体"/>
                <w:szCs w:val="21"/>
              </w:rPr>
            </w:r>
            <w:r/>
          </w:p>
          <w:p>
            <w:pPr>
              <w:pStyle w:val="1028"/>
              <w:widowControl/>
              <w:rPr>
                <w:rFonts w:hint="eastAsia" w:ascii="宋体" w:hAnsi="宋体"/>
                <w:szCs w:val="21"/>
              </w:rPr>
            </w:pPr>
            <w:r>
              <w:rPr>
                <w:rFonts w:hint="eastAsia" w:ascii="宋体" w:hAnsi="宋体"/>
                <w:szCs w:val="21"/>
              </w:rPr>
              <w:t xml:space="preserve">每类设备每提供1个原厂培训合格证书，且培训内容与对应设备类别直接相关的，得1分，本类最高得6分。</w:t>
            </w:r>
            <w:r/>
          </w:p>
          <w:p>
            <w:pPr>
              <w:pStyle w:val="1028"/>
              <w:widowControl/>
              <w:rPr>
                <w:rFonts w:hint="eastAsia" w:ascii="宋体" w:hAnsi="宋体"/>
                <w:szCs w:val="21"/>
              </w:rPr>
            </w:pPr>
            <w:r>
              <w:rPr>
                <w:rFonts w:hint="eastAsia" w:ascii="宋体" w:hAnsi="宋体"/>
                <w:szCs w:val="21"/>
              </w:rPr>
              <w:t xml:space="preserve">同一人员持有多个证书可累计计分，不同人员持有的证书亦可合并计分，本项最高得13分。</w:t>
            </w:r>
            <w:r>
              <w:rPr>
                <w:rFonts w:hint="eastAsia" w:ascii="宋体" w:hAnsi="宋体"/>
                <w:szCs w:val="21"/>
              </w:rPr>
            </w:r>
            <w:r/>
          </w:p>
        </w:tc>
        <w:tc>
          <w:tcPr>
            <w:tcMar>
              <w:left w:w="108" w:type="dxa"/>
              <w:top w:w="0" w:type="dxa"/>
              <w:right w:w="108" w:type="dxa"/>
              <w:bottom w:w="0" w:type="dxa"/>
            </w:tcMar>
            <w:tcW w:w="850" w:type="dxa"/>
            <w:vAlign w:val="center"/>
            <w:textDirection w:val="lrTb"/>
            <w:noWrap w:val="false"/>
          </w:tcPr>
          <w:p>
            <w:pPr>
              <w:pStyle w:val="1028"/>
              <w:jc w:val="center"/>
              <w:widowControl/>
              <w:rPr>
                <w:rFonts w:hint="eastAsia" w:ascii="宋体" w:hAnsi="宋体"/>
                <w:szCs w:val="21"/>
              </w:rPr>
            </w:pPr>
            <w:r>
              <w:rPr>
                <w:rFonts w:hint="eastAsia" w:ascii="宋体" w:hAnsi="宋体"/>
                <w:szCs w:val="21"/>
              </w:rPr>
              <w:t xml:space="preserve">13</w:t>
            </w:r>
            <w:r/>
          </w:p>
        </w:tc>
        <w:tc>
          <w:tcPr>
            <w:tcW w:w="1985" w:type="dxa"/>
            <w:vAlign w:val="top"/>
            <w:vMerge w:val="continue"/>
            <w:textDirection w:val="lrTb"/>
            <w:noWrap w:val="false"/>
          </w:tcPr>
          <w:p>
            <w:pPr>
              <w:pStyle w:val="1028"/>
              <w:jc w:val="left"/>
              <w:widowControl/>
              <w:rPr>
                <w:rFonts w:ascii="宋体" w:hAnsi="宋体"/>
                <w:szCs w:val="21"/>
              </w:rPr>
            </w:pPr>
            <w:r>
              <w:rPr>
                <w:rFonts w:ascii="宋体" w:hAnsi="宋体"/>
                <w:szCs w:val="21"/>
              </w:rPr>
            </w:r>
            <w:r/>
          </w:p>
        </w:tc>
      </w:tr>
    </w:tbl>
    <w:p>
      <w:pPr>
        <w:pStyle w:val="1109"/>
        <w:rPr>
          <w:color w:val="000000"/>
        </w:rPr>
      </w:pPr>
      <w:r>
        <w:rPr>
          <w:color w:val="000000"/>
        </w:rPr>
      </w:r>
      <w:r/>
    </w:p>
    <w:p>
      <w:pPr>
        <w:pStyle w:val="1028"/>
        <w:spacing w:before="120" w:line="360" w:lineRule="auto"/>
        <w:tabs>
          <w:tab w:val="left" w:pos="360" w:leader="none"/>
        </w:tabs>
        <w:rPr>
          <w:rFonts w:hint="eastAsia"/>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1028"/>
        <w:jc w:val="center"/>
        <w:spacing w:line="360" w:lineRule="auto"/>
        <w:rPr>
          <w:sz w:val="24"/>
        </w:rPr>
        <w:outlineLvl w:val="0"/>
      </w:pPr>
      <w:r/>
      <w:bookmarkEnd w:id="269"/>
      <w:r/>
      <w:bookmarkEnd w:id="270"/>
      <w:r>
        <w:rPr>
          <w:b/>
          <w:sz w:val="36"/>
          <w:szCs w:val="36"/>
        </w:rPr>
        <w:br w:type="page" w:clear="all"/>
        <w:t xml:space="preserve">第五章   采购需求</w:t>
      </w:r>
      <w:bookmarkEnd w:id="115"/>
      <w:r>
        <w:rPr>
          <w:sz w:val="24"/>
        </w:rPr>
      </w:r>
      <w:r/>
    </w:p>
    <w:p>
      <w:pPr>
        <w:pStyle w:val="1028"/>
        <w:spacing w:line="400" w:lineRule="exact"/>
        <w:rPr>
          <w:rFonts w:ascii="宋体" w:hAnsi="宋体" w:cs="宋体"/>
          <w:b/>
          <w:bCs/>
          <w:color w:val="000000"/>
          <w:sz w:val="24"/>
        </w:rPr>
      </w:pPr>
      <w:r/>
      <w:bookmarkStart w:id="319" w:name="OLE_LINK40"/>
      <w:r/>
      <w:bookmarkStart w:id="320" w:name="OLE_LINK7"/>
      <w:r/>
      <w:bookmarkStart w:id="321" w:name="OLE_LINK6"/>
      <w:r/>
      <w:bookmarkStart w:id="322" w:name="_Toc99301425"/>
      <w:r>
        <w:rPr>
          <w:rFonts w:hint="eastAsia" w:ascii="宋体" w:hAnsi="宋体" w:cs="宋体"/>
          <w:b/>
          <w:bCs/>
          <w:color w:val="000000"/>
          <w:sz w:val="24"/>
        </w:rPr>
        <w:t xml:space="preserve">一、采购标的</w:t>
      </w:r>
      <w:r>
        <w:rPr>
          <w:rFonts w:ascii="宋体" w:hAnsi="宋体" w:cs="宋体"/>
          <w:b/>
          <w:bCs/>
          <w:color w:val="000000"/>
          <w:sz w:val="24"/>
        </w:rPr>
      </w:r>
      <w:r/>
    </w:p>
    <w:p>
      <w:pPr>
        <w:pStyle w:val="1090"/>
        <w:ind w:firstLine="480"/>
        <w:jc w:val="both"/>
        <w:spacing w:before="0" w:beforeAutospacing="0" w:after="0" w:afterAutospacing="0" w:line="400" w:lineRule="exact"/>
        <w:rPr>
          <w:rFonts w:hint="eastAsia"/>
        </w:rPr>
      </w:pPr>
      <w:r>
        <w:rPr>
          <w:rFonts w:hint="eastAsia"/>
        </w:rPr>
        <w:t xml:space="preserve">1．项目名称：金坛第一人民医院全院医疗设备托管服务项目</w:t>
      </w:r>
      <w:r/>
    </w:p>
    <w:p>
      <w:pPr>
        <w:pStyle w:val="1090"/>
        <w:ind w:firstLine="480"/>
        <w:jc w:val="both"/>
        <w:spacing w:before="0" w:beforeAutospacing="0" w:after="0" w:afterAutospacing="0" w:line="400" w:lineRule="exact"/>
        <w:rPr>
          <w:rFonts w:hint="eastAsia"/>
        </w:rPr>
      </w:pPr>
      <w:r>
        <w:rPr>
          <w:rFonts w:hint="eastAsia"/>
        </w:rPr>
        <w:t xml:space="preserve">2．预算金额：1900万元（950万/年）。</w:t>
      </w:r>
      <w:r/>
    </w:p>
    <w:p>
      <w:pPr>
        <w:pStyle w:val="1090"/>
        <w:ind w:firstLine="480"/>
        <w:jc w:val="both"/>
        <w:spacing w:before="0" w:beforeAutospacing="0" w:after="0" w:afterAutospacing="0" w:line="400" w:lineRule="exact"/>
        <w:rPr>
          <w:rFonts w:hint="eastAsia"/>
        </w:rPr>
      </w:pPr>
      <w:r>
        <w:rPr>
          <w:rFonts w:hint="eastAsia"/>
        </w:rPr>
        <w:t xml:space="preserve">3．最高限价：1900万元（950万/年）。</w:t>
      </w:r>
      <w:r/>
    </w:p>
    <w:p>
      <w:pPr>
        <w:pStyle w:val="1090"/>
        <w:ind w:firstLine="480"/>
        <w:jc w:val="both"/>
        <w:spacing w:before="0" w:beforeAutospacing="0" w:after="0" w:afterAutospacing="0" w:line="400" w:lineRule="exact"/>
      </w:pPr>
      <w:r>
        <w:rPr>
          <w:rFonts w:hint="eastAsia"/>
        </w:rPr>
        <w:t xml:space="preserve">4．采购项目概况（简介）：本项目为金坛第一人民医院全院医疗设备托管服务，对全院医用设备实施全生命周期管理。</w:t>
      </w:r>
      <w:r/>
    </w:p>
    <w:p>
      <w:pPr>
        <w:pStyle w:val="1090"/>
        <w:ind w:firstLine="480"/>
        <w:jc w:val="both"/>
        <w:spacing w:before="0" w:beforeAutospacing="0" w:after="0" w:afterAutospacing="0" w:line="400" w:lineRule="exact"/>
        <w:rPr>
          <w:rFonts w:hint="eastAsia"/>
        </w:rPr>
      </w:pPr>
      <w:r>
        <w:rPr>
          <w:rFonts w:hint="eastAsia"/>
        </w:rPr>
        <w:t xml:space="preserve">5．</w:t>
      </w:r>
      <w:bookmarkStart w:id="323" w:name="_Hlk200372498"/>
      <w:r>
        <w:rPr>
          <w:rFonts w:hint="eastAsia"/>
        </w:rPr>
        <w:t xml:space="preserve">合同履行期限：</w:t>
      </w:r>
      <w:bookmarkStart w:id="324" w:name="OLE_LINK26"/>
      <w:r>
        <w:rPr>
          <w:rFonts w:hint="eastAsia"/>
        </w:rPr>
        <w:t xml:space="preserve">本项目服务期限为2年。协议一年一签，服务期中标人经考核合格后，可续签下一年(周期或轮)合同</w:t>
      </w:r>
      <w:bookmarkEnd w:id="324"/>
      <w:r>
        <w:rPr>
          <w:rFonts w:hint="eastAsia"/>
        </w:rPr>
        <w:t xml:space="preserve">。</w:t>
      </w:r>
      <w:r/>
    </w:p>
    <w:p>
      <w:pPr>
        <w:pStyle w:val="1090"/>
        <w:ind w:firstLine="480"/>
        <w:jc w:val="both"/>
        <w:spacing w:before="0" w:beforeAutospacing="0" w:after="0" w:afterAutospacing="0" w:line="400" w:lineRule="exact"/>
        <w:rPr>
          <w:rFonts w:hint="eastAsia"/>
        </w:rPr>
      </w:pPr>
      <w:r/>
      <w:bookmarkEnd w:id="323"/>
      <w:r>
        <w:rPr>
          <w:rFonts w:hint="eastAsia"/>
        </w:rPr>
        <w:t xml:space="preserve">6．</w:t>
      </w:r>
      <w:bookmarkStart w:id="325" w:name="_Hlk178498597"/>
      <w:r>
        <w:rPr>
          <w:rFonts w:hint="eastAsia"/>
        </w:rPr>
        <w:t xml:space="preserve">本项目是否接受</w:t>
      </w:r>
      <w:bookmarkEnd w:id="325"/>
      <w:r>
        <w:rPr>
          <w:rFonts w:hint="eastAsia"/>
        </w:rPr>
        <w:t xml:space="preserve">联合体：否。</w:t>
      </w:r>
      <w:r/>
    </w:p>
    <w:p>
      <w:pPr>
        <w:pStyle w:val="1090"/>
        <w:ind w:firstLine="480"/>
        <w:jc w:val="both"/>
        <w:spacing w:before="0" w:beforeAutospacing="0" w:after="0" w:afterAutospacing="0" w:line="400" w:lineRule="exact"/>
        <w:rPr>
          <w:rFonts w:hint="eastAsia"/>
        </w:rPr>
      </w:pPr>
      <w:r>
        <w:rPr>
          <w:rFonts w:hint="eastAsia"/>
        </w:rPr>
        <w:t xml:space="preserve">7．本项目是否接受分支机构参与响应：否 </w:t>
      </w:r>
      <w:r/>
    </w:p>
    <w:p>
      <w:pPr>
        <w:pStyle w:val="1090"/>
        <w:ind w:firstLine="480"/>
        <w:jc w:val="both"/>
        <w:spacing w:before="0" w:beforeAutospacing="0" w:after="0" w:afterAutospacing="0" w:line="400" w:lineRule="exact"/>
        <w:rPr>
          <w:rFonts w:hint="eastAsia"/>
        </w:rPr>
      </w:pPr>
      <w:r>
        <w:rPr>
          <w:rFonts w:hint="eastAsia"/>
        </w:rPr>
        <w:t xml:space="preserve">8．本项目是否属于政府购买服务：否</w:t>
      </w:r>
      <w:r/>
    </w:p>
    <w:p>
      <w:pPr>
        <w:pStyle w:val="1090"/>
        <w:ind w:firstLine="480"/>
        <w:jc w:val="both"/>
        <w:spacing w:before="0" w:beforeAutospacing="0" w:after="0" w:afterAutospacing="0" w:line="400" w:lineRule="exact"/>
        <w:rPr>
          <w:rFonts w:hint="eastAsia"/>
        </w:rPr>
      </w:pPr>
      <w:r>
        <w:rPr>
          <w:rFonts w:hint="eastAsia"/>
        </w:rPr>
        <w:t xml:space="preserve">9．本项目是否接受进口产品投标：否</w:t>
      </w:r>
      <w:r/>
    </w:p>
    <w:p>
      <w:pPr>
        <w:pStyle w:val="1090"/>
        <w:ind w:firstLine="480"/>
        <w:jc w:val="both"/>
        <w:spacing w:before="0" w:beforeAutospacing="0" w:after="0" w:afterAutospacing="0" w:line="400" w:lineRule="exact"/>
        <w:rPr>
          <w:rFonts w:hint="eastAsia"/>
        </w:rPr>
      </w:pPr>
      <w:r>
        <w:rPr>
          <w:rFonts w:hint="eastAsia"/>
        </w:rPr>
        <w:t xml:space="preserve">10．</w:t>
      </w:r>
      <w:r>
        <w:rPr>
          <w:rFonts w:hint="eastAsia"/>
        </w:rPr>
        <w:t xml:space="preserve">本项目专门面向中小企业采购，即：提供的服务全部由符合政采要求的中小企业承接。</w:t>
      </w:r>
      <w:r>
        <w:rPr>
          <w:rFonts w:hint="eastAsia"/>
        </w:rPr>
      </w:r>
      <w:r/>
    </w:p>
    <w:p>
      <w:pPr>
        <w:pStyle w:val="1090"/>
        <w:ind w:firstLine="480"/>
        <w:jc w:val="both"/>
        <w:spacing w:before="0" w:beforeAutospacing="0" w:after="0" w:afterAutospacing="0" w:line="400" w:lineRule="exact"/>
      </w:pPr>
      <w:r>
        <w:rPr>
          <w:rFonts w:hint="eastAsia"/>
        </w:rPr>
        <w:t xml:space="preserve">11．本项目的特定资格要求：无。</w:t>
      </w:r>
      <w:r/>
    </w:p>
    <w:p>
      <w:pPr>
        <w:pStyle w:val="1090"/>
        <w:ind w:firstLine="480"/>
        <w:jc w:val="both"/>
        <w:spacing w:before="0" w:beforeAutospacing="0" w:after="0" w:afterAutospacing="0" w:line="400" w:lineRule="exact"/>
      </w:pPr>
      <w:r>
        <w:rPr>
          <w:rFonts w:hint="eastAsia"/>
        </w:rPr>
        <w:t xml:space="preserve">12．项目类别：服务</w:t>
      </w:r>
      <w:r>
        <w:rPr>
          <w:rFonts w:hint="eastAsia"/>
        </w:rPr>
        <w:t xml:space="preserve">类</w:t>
      </w:r>
      <w:r/>
    </w:p>
    <w:p>
      <w:pPr>
        <w:pStyle w:val="1028"/>
        <w:spacing w:line="400" w:lineRule="exact"/>
        <w:rPr>
          <w:rFonts w:hint="eastAsia" w:ascii="宋体" w:hAnsi="宋体" w:cs="宋体"/>
          <w:b/>
          <w:bCs/>
          <w:color w:val="000000"/>
          <w:sz w:val="24"/>
        </w:rPr>
      </w:pPr>
      <w:r>
        <w:rPr>
          <w:rFonts w:hint="eastAsia" w:ascii="宋体" w:hAnsi="宋体" w:cs="宋体"/>
          <w:b/>
          <w:bCs/>
          <w:color w:val="000000"/>
          <w:sz w:val="24"/>
        </w:rPr>
        <w:t xml:space="preserve">二、商务要求</w:t>
      </w:r>
      <w:r/>
    </w:p>
    <w:p>
      <w:pPr>
        <w:pStyle w:val="1090"/>
        <w:ind w:firstLine="480"/>
        <w:jc w:val="both"/>
        <w:spacing w:before="0" w:beforeAutospacing="0" w:after="0" w:afterAutospacing="0" w:line="400" w:lineRule="exact"/>
      </w:pPr>
      <w:r>
        <w:rPr>
          <w:rFonts w:hint="eastAsia"/>
        </w:rPr>
        <w:t xml:space="preserve">1.交付的时间和地点：采购人指定地点</w:t>
      </w:r>
      <w:r/>
    </w:p>
    <w:p>
      <w:pPr>
        <w:pStyle w:val="1090"/>
        <w:ind w:firstLine="480"/>
        <w:jc w:val="both"/>
        <w:spacing w:before="0" w:beforeAutospacing="0" w:after="0" w:afterAutospacing="0" w:line="400" w:lineRule="exact"/>
      </w:pPr>
      <w:r>
        <w:rPr>
          <w:rFonts w:hint="eastAsia"/>
        </w:rPr>
        <w:t xml:space="preserve">2.付款方式：</w:t>
      </w:r>
      <w:r/>
    </w:p>
    <w:p>
      <w:pPr>
        <w:pStyle w:val="1090"/>
        <w:ind w:firstLine="480"/>
        <w:jc w:val="both"/>
        <w:spacing w:before="0" w:beforeAutospacing="0" w:after="0" w:afterAutospacing="0" w:line="400" w:lineRule="exact"/>
        <w:rPr>
          <w:rFonts w:hint="eastAsia"/>
        </w:rPr>
      </w:pPr>
      <w:r/>
      <w:bookmarkStart w:id="326" w:name="OLE_LINK25"/>
      <w:r>
        <w:rPr>
          <w:rFonts w:hint="eastAsia"/>
        </w:rPr>
        <w:t xml:space="preserve">每年分四次支付合同费用，具体为：</w:t>
      </w:r>
      <w:r/>
    </w:p>
    <w:p>
      <w:pPr>
        <w:pStyle w:val="1090"/>
        <w:ind w:firstLine="480"/>
        <w:jc w:val="both"/>
        <w:spacing w:before="0" w:beforeAutospacing="0" w:after="0" w:afterAutospacing="0" w:line="400" w:lineRule="exact"/>
        <w:rPr>
          <w:rFonts w:hint="eastAsia"/>
        </w:rPr>
      </w:pPr>
      <w:r>
        <w:rPr>
          <w:rFonts w:hint="eastAsia"/>
        </w:rPr>
        <w:t xml:space="preserve">第一期：服务期满三个月后，支付合同金额的25%；</w:t>
      </w:r>
      <w:r/>
    </w:p>
    <w:p>
      <w:pPr>
        <w:pStyle w:val="1090"/>
        <w:ind w:firstLine="480"/>
        <w:jc w:val="both"/>
        <w:spacing w:before="0" w:beforeAutospacing="0" w:after="0" w:afterAutospacing="0" w:line="400" w:lineRule="exact"/>
        <w:rPr>
          <w:rFonts w:hint="eastAsia"/>
        </w:rPr>
      </w:pPr>
      <w:r>
        <w:rPr>
          <w:rFonts w:hint="eastAsia"/>
        </w:rPr>
        <w:t xml:space="preserve">第二期：服务期满六个月后，支付合同金额的25%；</w:t>
      </w:r>
      <w:r/>
    </w:p>
    <w:p>
      <w:pPr>
        <w:pStyle w:val="1090"/>
        <w:ind w:firstLine="480"/>
        <w:jc w:val="both"/>
        <w:spacing w:before="0" w:beforeAutospacing="0" w:after="0" w:afterAutospacing="0" w:line="400" w:lineRule="exact"/>
        <w:rPr>
          <w:rFonts w:hint="eastAsia"/>
        </w:rPr>
      </w:pPr>
      <w:r>
        <w:rPr>
          <w:rFonts w:hint="eastAsia"/>
        </w:rPr>
        <w:t xml:space="preserve">第三期：服务期满九个月后，支付合同金额的25%；</w:t>
      </w:r>
      <w:r/>
    </w:p>
    <w:p>
      <w:pPr>
        <w:pStyle w:val="1090"/>
        <w:ind w:firstLine="480"/>
        <w:jc w:val="both"/>
        <w:spacing w:before="0" w:beforeAutospacing="0" w:after="0" w:afterAutospacing="0" w:line="400" w:lineRule="exact"/>
        <w:rPr>
          <w:rFonts w:hint="eastAsia"/>
        </w:rPr>
      </w:pPr>
      <w:r>
        <w:rPr>
          <w:rFonts w:hint="eastAsia"/>
        </w:rPr>
        <w:t xml:space="preserve">第四期：服务期满十二个月后，支付合同金额的25%。</w:t>
      </w:r>
      <w:r/>
    </w:p>
    <w:p>
      <w:pPr>
        <w:pStyle w:val="1028"/>
        <w:ind w:firstLine="420"/>
        <w:jc w:val="left"/>
        <w:spacing w:line="360" w:lineRule="auto"/>
        <w:rPr>
          <w:rFonts w:hint="eastAsia" w:ascii="宋体" w:hAnsi="宋体" w:cs="宋体"/>
          <w:sz w:val="24"/>
        </w:rPr>
      </w:pPr>
      <w:r>
        <w:rPr>
          <w:rFonts w:hint="eastAsia"/>
        </w:rPr>
        <w:t xml:space="preserve">医院根据每季度考核情况，组织服务验收并签字确认后，支付对应款项。</w:t>
      </w:r>
      <w:bookmarkEnd w:id="326"/>
      <w:r>
        <w:rPr>
          <w:rFonts w:hint="eastAsia" w:ascii="宋体" w:hAnsi="宋体" w:cs="宋体"/>
          <w:sz w:val="24"/>
        </w:rPr>
      </w:r>
      <w:r/>
    </w:p>
    <w:p>
      <w:pPr>
        <w:pStyle w:val="1090"/>
        <w:ind w:firstLine="480"/>
        <w:jc w:val="both"/>
        <w:spacing w:before="0" w:beforeAutospacing="0" w:after="0" w:afterAutospacing="0" w:line="400" w:lineRule="exact"/>
        <w:rPr>
          <w:rFonts w:hint="eastAsia"/>
        </w:rPr>
      </w:pPr>
      <w:r>
        <w:rPr>
          <w:rFonts w:hint="eastAsia"/>
        </w:rPr>
        <w:t xml:space="preserve">3.报价方式</w:t>
      </w:r>
      <w:r/>
    </w:p>
    <w:p>
      <w:pPr>
        <w:pStyle w:val="1090"/>
        <w:ind w:firstLine="480"/>
        <w:jc w:val="both"/>
        <w:spacing w:before="0" w:beforeAutospacing="0" w:after="0" w:afterAutospacing="0" w:line="400" w:lineRule="exact"/>
        <w:rPr>
          <w:rFonts w:hint="eastAsia"/>
        </w:rPr>
      </w:pPr>
      <w:r/>
      <w:bookmarkStart w:id="327" w:name="OLE_LINK23"/>
      <w:r>
        <w:rPr>
          <w:rFonts w:hint="eastAsia"/>
        </w:rPr>
        <w:t xml:space="preserve">本项目投标报价为固定总价，投标报价应包括招标文件所确定的采购范围相应货物和服务的供货、年度性能检测、备品备件、专用工具、二次运输、包装、运输、保险、辅助设备、安装调试、管理、维护、劳务、培训、验收、办公设备、设备、工具、耗材、运</w:t>
      </w:r>
      <w:r>
        <w:rPr>
          <w:rFonts w:hint="eastAsia"/>
        </w:rPr>
        <w:t xml:space="preserve">送工具及耗材、利润、风险、税金及政策性文件规定等各项应有费用，以及为完成该项货物或者服务项目所涉及到的一切相关费用，采购人不再支付其他任何费用。安装、调试、验收过程中，如发现有漏项、缺件，</w:t>
      </w:r>
      <w:bookmarkStart w:id="328" w:name="OLE_LINK70"/>
      <w:r>
        <w:rPr>
          <w:rFonts w:hint="eastAsia"/>
        </w:rPr>
        <w:t xml:space="preserve">中标单位</w:t>
      </w:r>
      <w:bookmarkEnd w:id="328"/>
      <w:r>
        <w:rPr>
          <w:rFonts w:hint="eastAsia"/>
        </w:rPr>
        <w:t xml:space="preserve">应无条件、无偿补齐，所发生的一切费用，视为已包含在投标人的报价之中，且并不因此而影响交付实际使用人的时间。采购人不支付投标总报价以外的任何费用。</w:t>
      </w:r>
      <w:r/>
    </w:p>
    <w:p>
      <w:pPr>
        <w:pStyle w:val="1028"/>
        <w:spacing w:line="400" w:lineRule="exact"/>
        <w:rPr>
          <w:rFonts w:ascii="宋体" w:hAnsi="宋体" w:cs="宋体"/>
          <w:b/>
          <w:bCs/>
          <w:color w:val="000000"/>
          <w:sz w:val="24"/>
        </w:rPr>
      </w:pPr>
      <w:r/>
      <w:bookmarkEnd w:id="327"/>
      <w:r>
        <w:rPr>
          <w:rFonts w:hint="eastAsia" w:ascii="宋体" w:hAnsi="宋体" w:cs="宋体"/>
          <w:b/>
          <w:bCs/>
          <w:color w:val="000000"/>
          <w:sz w:val="24"/>
        </w:rPr>
        <w:t xml:space="preserve">三、服务要求</w:t>
      </w:r>
      <w:r>
        <w:rPr>
          <w:rFonts w:ascii="宋体" w:hAnsi="宋体" w:cs="宋体"/>
          <w:b/>
          <w:bCs/>
          <w:color w:val="000000"/>
          <w:sz w:val="24"/>
        </w:rPr>
      </w:r>
      <w:r/>
    </w:p>
    <w:p>
      <w:pPr>
        <w:pStyle w:val="1090"/>
        <w:ind w:firstLine="480"/>
        <w:jc w:val="both"/>
        <w:spacing w:before="0" w:beforeAutospacing="0" w:after="0" w:afterAutospacing="0" w:line="400" w:lineRule="exact"/>
        <w:rPr>
          <w:rFonts w:hint="eastAsia"/>
        </w:rPr>
      </w:pPr>
      <w:r>
        <w:rPr>
          <w:rFonts w:hint="eastAsia"/>
        </w:rPr>
        <w:t xml:space="preserve">（一）服务范围</w:t>
      </w:r>
      <w:r/>
    </w:p>
    <w:p>
      <w:pPr>
        <w:pStyle w:val="1090"/>
        <w:ind w:firstLine="480"/>
        <w:jc w:val="both"/>
        <w:spacing w:before="0" w:beforeAutospacing="0" w:after="0" w:afterAutospacing="0" w:line="400" w:lineRule="exact"/>
        <w:rPr>
          <w:rFonts w:hint="eastAsia"/>
        </w:rPr>
      </w:pPr>
      <w:r>
        <w:rPr>
          <w:rFonts w:hint="eastAsia"/>
        </w:rPr>
        <w:t xml:space="preserve">覆盖全院在用所有医疗设备的托管服务，包含数坤AI人工</w:t>
      </w:r>
      <w:r>
        <w:rPr>
          <w:rFonts w:hint="eastAsia"/>
        </w:rPr>
        <w:t xml:space="preserve">智能软件（肺结节、冠脉、血管CTA、脑灌注）及服务器的维保（具体设备清单见附件1）。</w:t>
      </w:r>
      <w:r/>
    </w:p>
    <w:p>
      <w:pPr>
        <w:pStyle w:val="1090"/>
        <w:ind w:firstLine="480"/>
        <w:jc w:val="both"/>
        <w:spacing w:before="0" w:beforeAutospacing="0" w:after="0" w:afterAutospacing="0" w:line="400" w:lineRule="exact"/>
        <w:rPr>
          <w:rFonts w:hint="eastAsia"/>
        </w:rPr>
      </w:pPr>
      <w:r/>
      <w:bookmarkStart w:id="329" w:name="二服务内容"/>
      <w:r>
        <w:rPr>
          <w:rFonts w:hint="eastAsia"/>
        </w:rPr>
        <w:t xml:space="preserve">（二）服务内容</w:t>
      </w:r>
      <w:r/>
    </w:p>
    <w:p>
      <w:pPr>
        <w:pStyle w:val="1090"/>
        <w:ind w:firstLine="480"/>
        <w:jc w:val="both"/>
        <w:spacing w:before="0" w:beforeAutospacing="0" w:after="0" w:afterAutospacing="0" w:line="400" w:lineRule="exact"/>
        <w:rPr>
          <w:rFonts w:hint="eastAsia"/>
        </w:rPr>
      </w:pPr>
      <w:r>
        <w:rPr>
          <w:rFonts w:hint="eastAsia"/>
        </w:rPr>
        <w:t xml:space="preserve">投标人提供的服务包含但不限于：新购设备辅助验收；全院医疗设备日常定期巡检、预防性维护保养、故障维修、备件保障；软件升级（功能新增除外）；技术和质量安全管理；不良事件管理；计量检定管理；数字化管理支持；设备资产清点；应急调配；操作与安全培训；移机及备用机保障；资产报废管理等全生命周期一体化管理。</w:t>
      </w:r>
      <w:r/>
    </w:p>
    <w:p>
      <w:pPr>
        <w:pStyle w:val="1090"/>
        <w:ind w:firstLine="480"/>
        <w:jc w:val="both"/>
        <w:spacing w:before="0" w:beforeAutospacing="0" w:after="0" w:afterAutospacing="0" w:line="400" w:lineRule="exact"/>
        <w:rPr>
          <w:rFonts w:hint="eastAsia"/>
        </w:rPr>
      </w:pPr>
      <w:r>
        <w:rPr>
          <w:rFonts w:hint="eastAsia"/>
        </w:rPr>
        <w:t xml:space="preserve">维修费用承担：服务期内涉及的维修费、人工费、差旅费以及提供服务所需购置的工具、零配件、消耗性配件、易损件、设备保养耗材等费用，均由投标人承担。易损件及保养耗材的更换范围包括质保</w:t>
      </w:r>
      <w:r>
        <w:rPr>
          <w:rFonts w:hint="eastAsia"/>
        </w:rPr>
        <w:t xml:space="preserve">外设备以及质保内设备中不在原厂质保范围内的耗材（清单见附件2）。除外项为：直接接触病人身体的一次性医用耗材、医院设备科办公用品及相关耗材（由医院承担）。</w:t>
      </w:r>
      <w:r/>
    </w:p>
    <w:p>
      <w:pPr>
        <w:pStyle w:val="1090"/>
        <w:ind w:firstLine="480"/>
        <w:jc w:val="both"/>
        <w:spacing w:before="0" w:beforeAutospacing="0" w:after="0" w:afterAutospacing="0" w:line="400" w:lineRule="exact"/>
        <w:rPr>
          <w:rFonts w:hint="eastAsia"/>
        </w:rPr>
      </w:pPr>
      <w:r>
        <w:rPr>
          <w:rFonts w:hint="eastAsia"/>
        </w:rPr>
        <w:t xml:space="preserve">零配件要求：服务范围内设备维修零配件、备件及附属易损耗件不限数量、不限更换次数，须提供全新正品，满足设备性能要求。进口零配件须提供可追溯的进口证明文件，由具备合法资质的供应商提供，并完整留存采购凭证备查，严禁使用翻新件。大型医</w:t>
      </w:r>
      <w:r>
        <w:rPr>
          <w:rFonts w:hint="eastAsia"/>
        </w:rPr>
        <w:t xml:space="preserve">疗设备与重点设备（X光类、CT类、MRI类、直线加速器等影像设备）的主要配件（球管、探测</w:t>
      </w:r>
      <w:r>
        <w:rPr>
          <w:rFonts w:hint="eastAsia"/>
        </w:rPr>
        <w:t xml:space="preserve">器、射频系统、磁体、梯度放大器、梯度线圈、磁控管、加速管等核心配件）必须为原厂全新，并实行溯源管理。超声类设备更换核心配件须使用原厂全新配件；超声探头故障若维修无法满足临床需求，须更换原厂全新探头，故障期间须提供备用探头；更换进口探头须提供进口报关单等证明文件。因配件质量问题引发设备运行事故的，由投标人承担全部责任。</w:t>
      </w:r>
      <w:r/>
    </w:p>
    <w:p>
      <w:pPr>
        <w:pStyle w:val="1090"/>
        <w:ind w:firstLine="480"/>
        <w:jc w:val="both"/>
        <w:spacing w:before="0" w:beforeAutospacing="0" w:after="0" w:afterAutospacing="0" w:line="400" w:lineRule="exact"/>
        <w:rPr>
          <w:rFonts w:hint="eastAsia"/>
        </w:rPr>
      </w:pPr>
      <w:r>
        <w:rPr>
          <w:rFonts w:hint="eastAsia"/>
        </w:rPr>
        <w:t xml:space="preserve">检测及检定费用：服务期内，特种设备检测、放射类设备年度检测评估、状态检测及稳定性检测、清洗消毒设备年度检测等相关费用，以及院方医用设备计量检定费用、院内实验室设备校验检测费用，均由投标人承担（清单见附件3），费用包含在投标总价内。</w:t>
      </w:r>
      <w:r/>
    </w:p>
    <w:p>
      <w:pPr>
        <w:pStyle w:val="1090"/>
        <w:ind w:firstLine="480"/>
        <w:jc w:val="both"/>
        <w:spacing w:before="0" w:beforeAutospacing="0" w:after="0" w:afterAutospacing="0" w:line="400" w:lineRule="exact"/>
        <w:rPr>
          <w:rFonts w:hint="eastAsia"/>
        </w:rPr>
      </w:pPr>
      <w:r>
        <w:rPr>
          <w:rFonts w:hint="eastAsia"/>
        </w:rPr>
        <w:t xml:space="preserve">移机费用：投标人负责实施并承担两台64排CT移机的全部费用（机房建设或改造费用除外）。</w:t>
      </w:r>
      <w:r/>
    </w:p>
    <w:p>
      <w:pPr>
        <w:pStyle w:val="1090"/>
        <w:ind w:firstLine="480"/>
        <w:jc w:val="both"/>
        <w:spacing w:before="0" w:beforeAutospacing="0" w:after="0" w:afterAutospacing="0" w:line="400" w:lineRule="exact"/>
        <w:rPr>
          <w:rFonts w:hint="eastAsia"/>
        </w:rPr>
      </w:pPr>
      <w:r>
        <w:rPr>
          <w:rFonts w:hint="eastAsia"/>
        </w:rPr>
        <w:t xml:space="preserve">质保期满设备自动纳入：原厂质保或第三方维保期满后的设备，自动纳入本项目服务范围，服务标准不低于原维保水平，不另行计费。服务期内新购设备（采购原值≥100万元的除外），质保期满后自动免费纳入。</w:t>
      </w:r>
      <w:r/>
    </w:p>
    <w:p>
      <w:pPr>
        <w:pStyle w:val="1090"/>
        <w:ind w:firstLine="480"/>
        <w:jc w:val="both"/>
        <w:spacing w:before="0" w:beforeAutospacing="0" w:after="0" w:afterAutospacing="0" w:line="400" w:lineRule="exact"/>
        <w:rPr>
          <w:rFonts w:hint="eastAsia"/>
        </w:rPr>
      </w:pPr>
      <w:r>
        <w:rPr>
          <w:rFonts w:hint="eastAsia"/>
        </w:rPr>
        <w:t xml:space="preserve">超期使用评估：设备达到厂家标注的使用有效期后，投标人应依据《医疗器械监督管理条例》及国家、地方相关法规，</w:t>
      </w:r>
      <w:r>
        <w:rPr>
          <w:rFonts w:hint="eastAsia"/>
        </w:rPr>
        <w:t xml:space="preserve">全权负责协调开展延期使用评估工作，并承担全部评估费用，确保设备合规、安全、可追溯。</w:t>
      </w:r>
      <w:r/>
    </w:p>
    <w:p>
      <w:pPr>
        <w:pStyle w:val="1090"/>
        <w:ind w:firstLine="480"/>
        <w:jc w:val="both"/>
        <w:spacing w:before="0" w:beforeAutospacing="0" w:after="0" w:afterAutospacing="0" w:line="400" w:lineRule="exact"/>
        <w:rPr>
          <w:rFonts w:hint="eastAsia"/>
        </w:rPr>
      </w:pPr>
      <w:r>
        <w:rPr>
          <w:rFonts w:hint="eastAsia"/>
        </w:rPr>
        <w:t xml:space="preserve">信息化管理：投标人配合医院使用院方自有的医疗设备信息化管理软件系统，提供驻场式全生命周期管理服务（投标人可免费提供第三方管理系统，与医院自有系统同步使用）。</w:t>
      </w:r>
      <w:r/>
    </w:p>
    <w:p>
      <w:pPr>
        <w:pStyle w:val="1090"/>
        <w:ind w:firstLine="480"/>
        <w:jc w:val="both"/>
        <w:spacing w:before="0" w:beforeAutospacing="0" w:after="0" w:afterAutospacing="0" w:line="400" w:lineRule="exact"/>
        <w:rPr>
          <w:rFonts w:hint="eastAsia"/>
        </w:rPr>
      </w:pPr>
      <w:r/>
      <w:bookmarkEnd w:id="329"/>
      <w:r/>
      <w:bookmarkStart w:id="330" w:name="三服务期限"/>
      <w:r>
        <w:rPr>
          <w:rFonts w:hint="eastAsia"/>
        </w:rPr>
        <w:t xml:space="preserve">（三）服务期限</w:t>
      </w:r>
      <w:r/>
    </w:p>
    <w:p>
      <w:pPr>
        <w:pStyle w:val="1090"/>
        <w:ind w:firstLine="480"/>
        <w:jc w:val="both"/>
        <w:spacing w:before="0" w:beforeAutospacing="0" w:after="0" w:afterAutospacing="0" w:line="400" w:lineRule="exact"/>
        <w:rPr>
          <w:rFonts w:hint="eastAsia"/>
        </w:rPr>
      </w:pPr>
      <w:r>
        <w:rPr>
          <w:rFonts w:hint="eastAsia"/>
        </w:rPr>
        <w:t xml:space="preserve">服务期限为二年，合同根据履约情况一年一签，具体以合同签订时间为准。服务期间，投标人须接受医院的抽查、监督及考核；若服务质量未达考核要求，医院有权终止合同。</w:t>
      </w:r>
      <w:r/>
    </w:p>
    <w:p>
      <w:pPr>
        <w:pStyle w:val="1090"/>
        <w:ind w:firstLine="480"/>
        <w:jc w:val="both"/>
        <w:spacing w:before="0" w:beforeAutospacing="0" w:after="0" w:afterAutospacing="0" w:line="400" w:lineRule="exact"/>
        <w:rPr>
          <w:rFonts w:hint="eastAsia"/>
        </w:rPr>
      </w:pPr>
      <w:r/>
      <w:bookmarkEnd w:id="330"/>
      <w:r/>
      <w:bookmarkStart w:id="331" w:name="四服务时间"/>
      <w:r>
        <w:rPr>
          <w:rFonts w:hint="eastAsia"/>
        </w:rPr>
        <w:t xml:space="preserve">（四）服务时间</w:t>
      </w:r>
      <w:r/>
    </w:p>
    <w:p>
      <w:pPr>
        <w:pStyle w:val="1090"/>
        <w:ind w:firstLine="480"/>
        <w:jc w:val="both"/>
        <w:spacing w:before="0" w:beforeAutospacing="0" w:after="0" w:afterAutospacing="0" w:line="400" w:lineRule="exact"/>
        <w:rPr>
          <w:rFonts w:hint="eastAsia"/>
        </w:rPr>
      </w:pPr>
      <w:r>
        <w:rPr>
          <w:rFonts w:hint="eastAsia"/>
        </w:rPr>
        <w:t xml:space="preserve">投标人须提供365天×24小时工作制服务，除正常工作时间外，其他时间及节假日须执行值班制，确保运维服务不间断。</w:t>
      </w:r>
      <w:r/>
    </w:p>
    <w:p>
      <w:pPr>
        <w:pStyle w:val="1090"/>
        <w:ind w:firstLine="480"/>
        <w:jc w:val="both"/>
        <w:spacing w:before="0" w:beforeAutospacing="0" w:after="0" w:afterAutospacing="0" w:line="400" w:lineRule="exact"/>
        <w:rPr>
          <w:rFonts w:hint="eastAsia"/>
        </w:rPr>
      </w:pPr>
      <w:r/>
      <w:bookmarkEnd w:id="331"/>
      <w:r/>
      <w:bookmarkStart w:id="332" w:name="五服务标准与合规要求"/>
      <w:r>
        <w:rPr>
          <w:rFonts w:hint="eastAsia"/>
        </w:rPr>
        <w:t xml:space="preserve">（五）服务标准与合规要求</w:t>
      </w:r>
      <w:r/>
    </w:p>
    <w:p>
      <w:pPr>
        <w:pStyle w:val="1090"/>
        <w:ind w:firstLine="480"/>
        <w:jc w:val="both"/>
        <w:spacing w:before="0" w:beforeAutospacing="0" w:after="0" w:afterAutospacing="0" w:line="400" w:lineRule="exact"/>
        <w:rPr>
          <w:rFonts w:hint="eastAsia"/>
        </w:rPr>
      </w:pPr>
      <w:r>
        <w:rPr>
          <w:rFonts w:hint="eastAsia"/>
        </w:rPr>
        <w:t xml:space="preserve">所有服务规范、实施流程及管理细则，须严格遵循国家、江苏省及常州市现行有效的法律法规、规章及行业标准，包括但不限于：《医疗器械监督管理条例》《医疗器械临床使用管理办法》《医疗机构管理条例》《中华人民共和国计量法》《中华人民共和国特种设备安全法》《中华人民共和国职业病防治法》《中华人民共和国环境保护法》《放射性同位素与射线装置安全和防护条例》《放射诊疗管理规定》《江苏省放射诊疗许可管理实施细则》、国家三级公立医院绩效考核标准、三级医院评审标准、江苏省医疗设</w:t>
      </w:r>
      <w:r>
        <w:rPr>
          <w:rFonts w:hint="eastAsia"/>
        </w:rPr>
        <w:t xml:space="preserve">备专业医疗质量控制指标、常州市卫生健康系统国有资产管理相关规定等（同步执行最新版本）。</w:t>
      </w:r>
      <w:r/>
    </w:p>
    <w:p>
      <w:pPr>
        <w:pStyle w:val="1090"/>
        <w:ind w:firstLine="480"/>
        <w:jc w:val="both"/>
        <w:spacing w:before="0" w:beforeAutospacing="0" w:after="0" w:afterAutospacing="0" w:line="400" w:lineRule="exact"/>
        <w:rPr>
          <w:rFonts w:hint="eastAsia"/>
        </w:rPr>
      </w:pPr>
      <w:r>
        <w:rPr>
          <w:rFonts w:hint="eastAsia"/>
        </w:rPr>
        <w:t xml:space="preserve">服务期内，投标人不得以任何理由转包或部分分包。否则，院方有权提前终止合同，并按约定追究违约责任。</w:t>
      </w:r>
      <w:r/>
    </w:p>
    <w:p>
      <w:pPr>
        <w:pStyle w:val="1090"/>
        <w:ind w:firstLine="480"/>
        <w:jc w:val="both"/>
        <w:spacing w:before="0" w:beforeAutospacing="0" w:after="0" w:afterAutospacing="0" w:line="400" w:lineRule="exact"/>
        <w:rPr>
          <w:rFonts w:hint="eastAsia"/>
        </w:rPr>
      </w:pPr>
      <w:r>
        <w:rPr>
          <w:rFonts w:hint="eastAsia"/>
        </w:rPr>
        <w:t xml:space="preserve">所有前期工作（资产盘点、维修间改造、人员进场、流程计划审核、临床科室扫码报修功能正常运作等）须在合同签订后两个月内完成，完成后所有工作进入正常流程，不再进行前期准备。不达标者，医院有权终止合同。</w:t>
      </w:r>
      <w:r/>
    </w:p>
    <w:p>
      <w:pPr>
        <w:pStyle w:val="1090"/>
        <w:ind w:firstLine="480"/>
        <w:jc w:val="both"/>
        <w:spacing w:before="0" w:beforeAutospacing="0" w:after="0" w:afterAutospacing="0" w:line="400" w:lineRule="exact"/>
        <w:rPr>
          <w:rFonts w:hint="eastAsia"/>
        </w:rPr>
      </w:pPr>
      <w:r/>
      <w:bookmarkEnd w:id="332"/>
      <w:r/>
      <w:bookmarkStart w:id="333" w:name="一驻场人员要求"/>
      <w:r/>
      <w:bookmarkStart w:id="334" w:name="四服务要求"/>
      <w:r>
        <w:rPr>
          <w:rFonts w:hint="eastAsia"/>
        </w:rPr>
        <w:t xml:space="preserve">（六）驻场人员要求</w:t>
      </w:r>
      <w:r/>
    </w:p>
    <w:p>
      <w:pPr>
        <w:pStyle w:val="1090"/>
        <w:ind w:firstLine="480"/>
        <w:jc w:val="both"/>
        <w:spacing w:before="0" w:beforeAutospacing="0" w:after="0" w:afterAutospacing="0" w:line="400" w:lineRule="exact"/>
        <w:rPr>
          <w:rFonts w:hint="eastAsia"/>
        </w:rPr>
      </w:pPr>
      <w:r>
        <w:rPr>
          <w:rFonts w:hint="eastAsia"/>
        </w:rPr>
        <w:t xml:space="preserve">投标人须在院内设立标准化驻场服务站点，派驻不少于6名专职驻场人员（其中项目负责人1名，文职人员1名，驻场服务人员4名），并提供《驻场人员配备表》（格式自拟，含姓名、从业年限、工作经验、专业证书等）。所有驻场人员须严格遵守医院规章制度、医疗核心准则及安全管理要求，服从医院统一管理与调度，独立完成维保范围内各类</w:t>
      </w:r>
      <w:r>
        <w:rPr>
          <w:rFonts w:hint="eastAsia"/>
        </w:rPr>
        <w:t xml:space="preserve">医疗设备的维修、保养等任务。</w:t>
      </w:r>
      <w:r/>
    </w:p>
    <w:p>
      <w:pPr>
        <w:pStyle w:val="1090"/>
        <w:ind w:firstLine="480"/>
        <w:jc w:val="both"/>
        <w:spacing w:before="0" w:beforeAutospacing="0" w:after="0" w:afterAutospacing="0" w:line="400" w:lineRule="exact"/>
        <w:rPr>
          <w:rFonts w:hint="eastAsia"/>
        </w:rPr>
      </w:pPr>
      <w:r>
        <w:rPr>
          <w:rFonts w:hint="eastAsia"/>
        </w:rPr>
        <w:t xml:space="preserve">项目负责人：统筹管理、质量监督、进度推进及院方沟通协调。</w:t>
      </w:r>
      <w:r/>
    </w:p>
    <w:p>
      <w:pPr>
        <w:pStyle w:val="1090"/>
        <w:ind w:firstLine="480"/>
        <w:jc w:val="both"/>
        <w:spacing w:before="0" w:beforeAutospacing="0" w:after="0" w:afterAutospacing="0" w:line="400" w:lineRule="exact"/>
        <w:rPr>
          <w:rFonts w:hint="eastAsia"/>
        </w:rPr>
      </w:pPr>
      <w:r>
        <w:rPr>
          <w:rFonts w:hint="eastAsia"/>
        </w:rPr>
        <w:t xml:space="preserve">驻场维保工程师：须常驻临床一线，专职提供现场维修、保养、故障排查等服务，不得擅自脱岗。人员须为生物医学工程、电子信息、机电一体化等相关专业，具备医疗设备维修经验，能独立处理常见故障（包括医用制冷设备、病床护理床等五金机械类故障</w:t>
      </w:r>
      <w:r>
        <w:rPr>
          <w:rFonts w:hint="eastAsia"/>
        </w:rPr>
        <w:t xml:space="preserve">）。</w:t>
      </w:r>
      <w:r/>
    </w:p>
    <w:p>
      <w:pPr>
        <w:pStyle w:val="1090"/>
        <w:ind w:firstLine="480"/>
        <w:jc w:val="both"/>
        <w:spacing w:before="0" w:beforeAutospacing="0" w:after="0" w:afterAutospacing="0" w:line="400" w:lineRule="exact"/>
        <w:rPr>
          <w:rFonts w:hint="eastAsia"/>
        </w:rPr>
      </w:pPr>
      <w:r>
        <w:rPr>
          <w:rFonts w:hint="eastAsia"/>
        </w:rPr>
        <w:t xml:space="preserve">人员稳定性：每个服务年度内，驻场维保工程师变动率不得超过20%。确需调整的，</w:t>
      </w:r>
      <w:r>
        <w:rPr>
          <w:rFonts w:hint="eastAsia"/>
        </w:rPr>
        <w:t xml:space="preserve">须提前与医院协商一致，经书面确认后方可变更，且新进人员资质不低于原岗位要求。所有驻场人员纳入医院统一考勤。投标人须按时足额发放工资、缴纳社保。采购人有权随时要求更换不符合要求的人员。</w:t>
      </w:r>
      <w:r/>
    </w:p>
    <w:p>
      <w:pPr>
        <w:pStyle w:val="1090"/>
        <w:ind w:firstLine="480"/>
        <w:jc w:val="both"/>
        <w:spacing w:before="0" w:beforeAutospacing="0" w:after="0" w:afterAutospacing="0" w:line="400" w:lineRule="exact"/>
        <w:rPr>
          <w:rFonts w:hint="eastAsia"/>
        </w:rPr>
      </w:pPr>
      <w:r>
        <w:rPr>
          <w:rFonts w:hint="eastAsia"/>
        </w:rPr>
        <w:t xml:space="preserve">备案管理：服务期开始前，投标人须将所有驻场人员名单、资质、分工及社保缴纳证明提交采购人备案，经审核同意后方可上岗。服务过程中不得随意更换，确需更换须提交书面申请及拟换人员资质，经批准后方可实施。</w:t>
      </w:r>
      <w:r/>
    </w:p>
    <w:p>
      <w:pPr>
        <w:pStyle w:val="1090"/>
        <w:ind w:firstLine="480"/>
        <w:jc w:val="both"/>
        <w:spacing w:before="0" w:beforeAutospacing="0" w:after="0" w:afterAutospacing="0" w:line="400" w:lineRule="exact"/>
        <w:rPr>
          <w:rFonts w:hint="eastAsia"/>
        </w:rPr>
      </w:pPr>
      <w:r>
        <w:rPr>
          <w:rFonts w:hint="eastAsia"/>
        </w:rPr>
        <w:t xml:space="preserve">其他团队人员：提供不少于4名其他团队人员，投标人须构建“驻场+后台技术支持”团队，后台人员须具有相关专业资质证书。</w:t>
      </w:r>
      <w:r/>
    </w:p>
    <w:p>
      <w:pPr>
        <w:pStyle w:val="1090"/>
        <w:ind w:firstLine="480"/>
        <w:jc w:val="both"/>
        <w:spacing w:before="0" w:beforeAutospacing="0" w:after="0" w:afterAutospacing="0" w:line="400" w:lineRule="exact"/>
        <w:rPr>
          <w:rFonts w:hint="eastAsia"/>
        </w:rPr>
      </w:pPr>
      <w:r/>
      <w:bookmarkEnd w:id="333"/>
      <w:r/>
      <w:bookmarkStart w:id="335" w:name="二驻场场地要求"/>
      <w:r>
        <w:rPr>
          <w:rFonts w:hint="eastAsia"/>
        </w:rPr>
        <w:t xml:space="preserve">（七）驻场场地要求</w:t>
      </w:r>
      <w:r/>
    </w:p>
    <w:p>
      <w:pPr>
        <w:pStyle w:val="1090"/>
        <w:ind w:firstLine="480"/>
        <w:jc w:val="both"/>
        <w:spacing w:before="0" w:beforeAutospacing="0" w:after="0" w:afterAutospacing="0" w:line="400" w:lineRule="exact"/>
        <w:rPr>
          <w:rFonts w:hint="eastAsia"/>
        </w:rPr>
      </w:pPr>
      <w:r>
        <w:rPr>
          <w:rFonts w:hint="eastAsia"/>
        </w:rPr>
        <w:t xml:space="preserve">投标人应制定完善的驻场管理制度和服务方案，建立维修区、质检区、备用机及备品备件仓库、办公区等，实行标准化管理。在院区维修办公室或相关区域配置不少于2块且不小于55英寸的显示大屏，用于维修流程可视化。</w:t>
      </w:r>
      <w:r/>
    </w:p>
    <w:p>
      <w:pPr>
        <w:pStyle w:val="1090"/>
        <w:ind w:firstLine="480"/>
        <w:jc w:val="both"/>
        <w:spacing w:before="0" w:beforeAutospacing="0" w:after="0" w:afterAutospacing="0" w:line="400" w:lineRule="exact"/>
        <w:rPr>
          <w:rFonts w:hint="eastAsia"/>
        </w:rPr>
      </w:pPr>
      <w:r>
        <w:rPr>
          <w:rFonts w:hint="eastAsia"/>
        </w:rPr>
        <w:t xml:space="preserve">驻场场地（含维修间、备件仓库等）须执行9S管理要求，合理规划功能区域，备件货架整齐、安全，9S管理规范上墙公示。</w:t>
      </w:r>
      <w:r/>
    </w:p>
    <w:p>
      <w:pPr>
        <w:pStyle w:val="1090"/>
        <w:ind w:firstLine="480"/>
        <w:jc w:val="both"/>
        <w:spacing w:before="0" w:beforeAutospacing="0" w:after="0" w:afterAutospacing="0" w:line="400" w:lineRule="exact"/>
        <w:rPr>
          <w:rFonts w:hint="eastAsia"/>
        </w:rPr>
      </w:pPr>
      <w:r>
        <w:rPr>
          <w:rFonts w:hint="eastAsia"/>
        </w:rPr>
        <w:t xml:space="preserve">投标人须为医院设立维修配件库及常用易损耗部件库，配备齐全的维修工具（提供清单）、质控检测设备（提供清单及采购/租</w:t>
      </w:r>
      <w:r>
        <w:rPr>
          <w:rFonts w:hint="eastAsia"/>
        </w:rPr>
        <w:t xml:space="preserve">赁证明），确保常用备件库存充足。</w:t>
      </w:r>
      <w:r/>
    </w:p>
    <w:p>
      <w:pPr>
        <w:pStyle w:val="1090"/>
        <w:ind w:firstLine="480"/>
        <w:jc w:val="both"/>
        <w:spacing w:before="0" w:beforeAutospacing="0" w:after="0" w:afterAutospacing="0" w:line="400" w:lineRule="exact"/>
        <w:rPr>
          <w:rFonts w:hint="eastAsia"/>
        </w:rPr>
      </w:pPr>
      <w:r>
        <w:rPr>
          <w:rFonts w:hint="eastAsia"/>
        </w:rPr>
        <w:t xml:space="preserve">备用机及备用探头：须</w:t>
      </w:r>
      <w:r>
        <w:rPr>
          <w:rFonts w:hint="eastAsia"/>
        </w:rPr>
        <w:t xml:space="preserve">在院内配备一定数量的生命支持类备用机（如监护仪、有创/无创呼吸机、除颤仪、输液泵、注射泵等），提供备用机清单，备用机24小时内调配到位，且品牌型号不低于在用设备，满足临床需求。</w:t>
      </w:r>
      <w:r/>
    </w:p>
    <w:p>
      <w:pPr>
        <w:pStyle w:val="1090"/>
        <w:ind w:firstLine="480"/>
        <w:jc w:val="both"/>
        <w:spacing w:before="0" w:beforeAutospacing="0" w:after="0" w:afterAutospacing="0" w:line="400" w:lineRule="exact"/>
        <w:rPr>
          <w:rFonts w:hint="eastAsia"/>
        </w:rPr>
      </w:pPr>
      <w:r/>
      <w:bookmarkEnd w:id="335"/>
      <w:r/>
      <w:bookmarkStart w:id="336" w:name="三维修服务响应要求"/>
      <w:r>
        <w:rPr>
          <w:rFonts w:hint="eastAsia"/>
        </w:rPr>
        <w:t xml:space="preserve">（八）维修服务响应要求</w:t>
      </w:r>
      <w:r/>
    </w:p>
    <w:p>
      <w:pPr>
        <w:pStyle w:val="1090"/>
        <w:ind w:firstLine="480"/>
        <w:jc w:val="both"/>
        <w:spacing w:before="0" w:beforeAutospacing="0" w:after="0" w:afterAutospacing="0" w:line="400" w:lineRule="exact"/>
        <w:rPr>
          <w:rFonts w:hint="eastAsia"/>
        </w:rPr>
      </w:pPr>
      <w:r>
        <w:rPr>
          <w:rFonts w:hint="eastAsia"/>
        </w:rPr>
        <w:t xml:space="preserve">工作时间响应：紧急停机或突发故障，须立即赶赴现场；报修电话实时畅通，工程师10分钟内抵达现场处理。</w:t>
      </w:r>
      <w:r/>
    </w:p>
    <w:p>
      <w:pPr>
        <w:pStyle w:val="1090"/>
        <w:ind w:firstLine="480"/>
        <w:jc w:val="both"/>
        <w:spacing w:before="0" w:beforeAutospacing="0" w:after="0" w:afterAutospacing="0" w:line="400" w:lineRule="exact"/>
        <w:rPr>
          <w:rFonts w:hint="eastAsia"/>
        </w:rPr>
      </w:pPr>
      <w:r>
        <w:rPr>
          <w:rFonts w:hint="eastAsia"/>
        </w:rPr>
        <w:t xml:space="preserve">非工作时间响应：紧急停机或突发故障，工程师20分钟内抵达；报修电话实时畅通，工程师30分钟内抵达处理。</w:t>
      </w:r>
      <w:r/>
    </w:p>
    <w:p>
      <w:pPr>
        <w:pStyle w:val="1090"/>
        <w:ind w:firstLine="480"/>
        <w:jc w:val="both"/>
        <w:spacing w:before="0" w:beforeAutospacing="0" w:after="0" w:afterAutospacing="0" w:line="400" w:lineRule="exact"/>
        <w:rPr>
          <w:rFonts w:hint="eastAsia"/>
        </w:rPr>
      </w:pPr>
      <w:r>
        <w:rPr>
          <w:rFonts w:hint="eastAsia"/>
        </w:rPr>
        <w:t xml:space="preserve">全年响应：365天×24小时不间断；法定工作日平均10分钟内到场，非工作日平均20分钟内到场。</w:t>
      </w:r>
      <w:r/>
    </w:p>
    <w:p>
      <w:pPr>
        <w:pStyle w:val="1090"/>
        <w:ind w:firstLine="480"/>
        <w:jc w:val="both"/>
        <w:spacing w:before="0" w:beforeAutospacing="0" w:after="0" w:afterAutospacing="0" w:line="400" w:lineRule="exact"/>
        <w:rPr>
          <w:rFonts w:hint="eastAsia"/>
        </w:rPr>
      </w:pPr>
      <w:r>
        <w:rPr>
          <w:rFonts w:hint="eastAsia"/>
        </w:rPr>
        <w:t xml:space="preserve">设备完好率与开机率：</w:t>
      </w:r>
      <w:r/>
    </w:p>
    <w:p>
      <w:pPr>
        <w:pStyle w:val="1090"/>
        <w:ind w:firstLine="480"/>
        <w:jc w:val="both"/>
        <w:spacing w:before="0" w:beforeAutospacing="0" w:after="0" w:afterAutospacing="0" w:line="400" w:lineRule="exact"/>
        <w:rPr>
          <w:rFonts w:hint="eastAsia"/>
        </w:rPr>
      </w:pPr>
      <w:r>
        <w:rPr>
          <w:rFonts w:hint="eastAsia"/>
        </w:rPr>
        <w:t xml:space="preserve">急救及生命支持类设备完好率100%，故障时须立即提供备用设备。若完好率未达100%，每降低1%，免费延保全年天数的10%。</w:t>
      </w:r>
      <w:r/>
    </w:p>
    <w:p>
      <w:pPr>
        <w:pStyle w:val="1090"/>
        <w:ind w:firstLine="480"/>
        <w:jc w:val="both"/>
        <w:spacing w:before="0" w:beforeAutospacing="0" w:after="0" w:afterAutospacing="0" w:line="400" w:lineRule="exact"/>
        <w:rPr>
          <w:rFonts w:hint="eastAsia"/>
        </w:rPr>
      </w:pPr>
      <w:r>
        <w:rPr>
          <w:rFonts w:hint="eastAsia"/>
        </w:rPr>
        <w:t xml:space="preserve">其他设备全年综合开机率≥98%（按365天/年计）。若单台设备全年停机超过7天，每超出1天，服务周期顺延3天。</w:t>
      </w:r>
      <w:r/>
    </w:p>
    <w:p>
      <w:pPr>
        <w:pStyle w:val="1090"/>
        <w:ind w:firstLine="480"/>
        <w:jc w:val="both"/>
        <w:spacing w:before="0" w:beforeAutospacing="0" w:after="0" w:afterAutospacing="0" w:line="400" w:lineRule="exact"/>
        <w:rPr>
          <w:rFonts w:hint="eastAsia"/>
        </w:rPr>
      </w:pPr>
      <w:r>
        <w:rPr>
          <w:rFonts w:hint="eastAsia"/>
        </w:rPr>
        <w:t xml:space="preserve">故障维修与备用设备：以保障临床使用为首要原则。若无法及时修复，须通知使用科室及设备管理部门。提供备用机的设备维修周期不超过72小时；未提供备用机的设备不超过48小时。维修进展及时反馈，逾期未修复须提供备用设备或</w:t>
      </w:r>
      <w:r>
        <w:rPr>
          <w:rFonts w:hint="eastAsia"/>
        </w:rPr>
        <w:t xml:space="preserve">书面说明。</w:t>
      </w:r>
      <w:r/>
    </w:p>
    <w:p>
      <w:pPr>
        <w:pStyle w:val="1090"/>
        <w:ind w:firstLine="480"/>
        <w:jc w:val="both"/>
        <w:spacing w:before="0" w:beforeAutospacing="0" w:after="0" w:afterAutospacing="0" w:line="400" w:lineRule="exact"/>
        <w:rPr>
          <w:rFonts w:hint="eastAsia"/>
        </w:rPr>
      </w:pPr>
      <w:r>
        <w:rPr>
          <w:rFonts w:hint="eastAsia"/>
        </w:rPr>
        <w:t xml:space="preserve">无法修复处理：若投标人无法独立修复，可直接向厂家报修，全部维修费</w:t>
      </w:r>
      <w:r>
        <w:rPr>
          <w:rFonts w:hint="eastAsia"/>
        </w:rPr>
        <w:t xml:space="preserve">用由投标人承担。</w:t>
      </w:r>
      <w:r/>
    </w:p>
    <w:p>
      <w:pPr>
        <w:pStyle w:val="1090"/>
        <w:ind w:firstLine="480"/>
        <w:jc w:val="both"/>
        <w:spacing w:before="0" w:beforeAutospacing="0" w:after="0" w:afterAutospacing="0" w:line="400" w:lineRule="exact"/>
        <w:rPr>
          <w:rFonts w:hint="eastAsia"/>
        </w:rPr>
      </w:pPr>
      <w:r>
        <w:rPr>
          <w:rFonts w:hint="eastAsia"/>
        </w:rPr>
        <w:t xml:space="preserve">逾期损失追偿：因维修逾期造成损失的，采购人有权追偿。日经济损失计算公式为：设备购置原值×0.1%</w:t>
      </w:r>
      <w:r>
        <w:t xml:space="preserve"> + </w:t>
      </w:r>
      <w:r>
        <w:rPr>
          <w:rFonts w:hint="eastAsia"/>
        </w:rPr>
        <w:t xml:space="preserve">设备日均经济效益。</w:t>
      </w:r>
      <w:r/>
    </w:p>
    <w:p>
      <w:pPr>
        <w:pStyle w:val="1090"/>
        <w:ind w:firstLine="480"/>
        <w:jc w:val="both"/>
        <w:spacing w:before="0" w:beforeAutospacing="0" w:after="0" w:afterAutospacing="0" w:line="400" w:lineRule="exact"/>
        <w:rPr>
          <w:rFonts w:hint="eastAsia"/>
        </w:rPr>
      </w:pPr>
      <w:r>
        <w:rPr>
          <w:rFonts w:hint="eastAsia"/>
        </w:rPr>
        <w:t xml:space="preserve">大型/重点设备保养：对X光类、CT类、MRI类、直线加速器等设备，提供定期维护、保养、校正服务，出具详细保养报告，含清洁、性能测试校准、机械电气检查、数据备份等，报告交设备科备案。</w:t>
      </w:r>
      <w:r/>
    </w:p>
    <w:p>
      <w:pPr>
        <w:pStyle w:val="1090"/>
        <w:ind w:firstLine="480"/>
        <w:jc w:val="both"/>
        <w:spacing w:before="0" w:beforeAutospacing="0" w:after="0" w:afterAutospacing="0" w:line="400" w:lineRule="exact"/>
        <w:rPr>
          <w:rFonts w:hint="eastAsia"/>
        </w:rPr>
      </w:pPr>
      <w:r>
        <w:rPr>
          <w:rFonts w:hint="eastAsia"/>
        </w:rPr>
        <w:t xml:space="preserve">维修汇总：按临床科室编制月度维修汇总报告，详细记录故障类型及配件更换情况，经科室及设备管理部门签字确认。</w:t>
      </w:r>
      <w:r/>
    </w:p>
    <w:p>
      <w:pPr>
        <w:pStyle w:val="1090"/>
        <w:ind w:firstLine="480"/>
        <w:jc w:val="both"/>
        <w:spacing w:before="0" w:beforeAutospacing="0" w:after="0" w:afterAutospacing="0" w:line="400" w:lineRule="exact"/>
      </w:pPr>
      <w:r/>
      <w:bookmarkEnd w:id="336"/>
      <w:r/>
      <w:bookmarkStart w:id="337" w:name="四服务评价"/>
      <w:r>
        <w:rPr>
          <w:rFonts w:hint="eastAsia"/>
        </w:rPr>
        <w:t xml:space="preserve">（九）服务评价</w:t>
      </w:r>
      <w:r/>
    </w:p>
    <w:p>
      <w:pPr>
        <w:pStyle w:val="1090"/>
        <w:ind w:firstLine="480"/>
        <w:jc w:val="both"/>
        <w:spacing w:before="0" w:beforeAutospacing="0" w:after="0" w:afterAutospacing="0" w:line="400" w:lineRule="exact"/>
        <w:rPr>
          <w:rFonts w:hint="eastAsia"/>
        </w:rPr>
      </w:pPr>
      <w:r>
        <w:rPr>
          <w:rFonts w:hint="eastAsia"/>
        </w:rPr>
        <w:t xml:space="preserve">投标人须接受医院设备管理部门的监督与考核。医院每半年依据GB/T</w:t>
      </w:r>
      <w:r>
        <w:t xml:space="preserve"> </w:t>
      </w:r>
      <w:r>
        <w:rPr>
          <w:rFonts w:hint="eastAsia"/>
        </w:rPr>
        <w:t xml:space="preserve">46857.1-2025《医疗装备运维服务</w:t>
      </w:r>
      <w:r>
        <w:t xml:space="preserve"> </w:t>
      </w:r>
      <w:r>
        <w:rPr>
          <w:rFonts w:hint="eastAsia"/>
        </w:rPr>
        <w:t xml:space="preserve">第1部分：通用要求》及相关办法，结合满意度调查，对合同执行情况进行综合考核。考核结果作为服务费支付依据，不达标者按合同处置。</w:t>
      </w:r>
      <w:r/>
    </w:p>
    <w:p>
      <w:pPr>
        <w:pStyle w:val="1090"/>
        <w:ind w:firstLine="480"/>
        <w:jc w:val="both"/>
        <w:spacing w:before="0" w:beforeAutospacing="0" w:after="0" w:afterAutospacing="0" w:line="400" w:lineRule="exact"/>
        <w:rPr>
          <w:rFonts w:hint="eastAsia"/>
        </w:rPr>
      </w:pPr>
      <w:r/>
      <w:bookmarkEnd w:id="337"/>
      <w:r/>
      <w:bookmarkStart w:id="338" w:name="五档案管理"/>
      <w:r>
        <w:rPr>
          <w:rFonts w:hint="eastAsia"/>
        </w:rPr>
        <w:t xml:space="preserve">（十）档案管理</w:t>
      </w:r>
      <w:r/>
    </w:p>
    <w:p>
      <w:pPr>
        <w:pStyle w:val="1090"/>
        <w:ind w:firstLine="480"/>
        <w:jc w:val="both"/>
        <w:spacing w:before="0" w:beforeAutospacing="0" w:after="0" w:afterAutospacing="0" w:line="400" w:lineRule="exact"/>
        <w:rPr>
          <w:rFonts w:hint="eastAsia"/>
        </w:rPr>
      </w:pPr>
      <w:r>
        <w:rPr>
          <w:rFonts w:hint="eastAsia"/>
        </w:rPr>
        <w:t xml:space="preserve">设备标识：协助为每台设备粘贴标准服务标签，含设备基本信息、负责工程师、报修电话、二维码、监督电话、保养周期及下次保养时间。悬挂运行状态标识牌（运行/待机/故障）。</w:t>
      </w:r>
      <w:r/>
    </w:p>
    <w:p>
      <w:pPr>
        <w:pStyle w:val="1090"/>
        <w:ind w:firstLine="480"/>
        <w:jc w:val="both"/>
        <w:spacing w:before="0" w:beforeAutospacing="0" w:after="0" w:afterAutospacing="0" w:line="400" w:lineRule="exact"/>
        <w:rPr>
          <w:rFonts w:hint="eastAsia"/>
        </w:rPr>
      </w:pPr>
      <w:r>
        <w:rPr>
          <w:rFonts w:hint="eastAsia"/>
        </w:rPr>
        <w:t xml:space="preserve">设备盘点：协助院方定期盘点，记录核对，科室负责人签字确认。发现账实不符、状态异常等问题，详细记录并上报。年底编制《医疗设备固定资产盘点报告》提交审核。设备迁移须经设备管理部门审批后方可执行。</w:t>
      </w:r>
      <w:r/>
    </w:p>
    <w:p>
      <w:pPr>
        <w:pStyle w:val="1090"/>
        <w:ind w:firstLine="480"/>
        <w:jc w:val="both"/>
        <w:spacing w:before="0" w:beforeAutospacing="0" w:after="0" w:afterAutospacing="0" w:line="400" w:lineRule="exact"/>
        <w:rPr>
          <w:rFonts w:hint="eastAsia"/>
        </w:rPr>
      </w:pPr>
      <w:r>
        <w:rPr>
          <w:rFonts w:hint="eastAsia"/>
        </w:rPr>
        <w:t xml:space="preserve">数据统计与分析：服务开始前，须将所有工作执行计划及方案提交设备管理部门审核，审核通过后方可启动服务（服务期自审核</w:t>
      </w:r>
      <w:r>
        <w:rPr>
          <w:rFonts w:hint="eastAsia"/>
        </w:rPr>
        <w:t xml:space="preserve">通过日计算）。所有过程记录、报表、报告须及时归档，交由设备管理部门统一保存。</w:t>
      </w:r>
      <w:r/>
    </w:p>
    <w:p>
      <w:pPr>
        <w:pStyle w:val="1090"/>
        <w:ind w:firstLine="480"/>
        <w:jc w:val="both"/>
        <w:spacing w:before="0" w:beforeAutospacing="0" w:after="0" w:afterAutospacing="0" w:line="400" w:lineRule="exact"/>
        <w:rPr>
          <w:rFonts w:hint="eastAsia"/>
        </w:rPr>
      </w:pPr>
      <w:r/>
      <w:bookmarkEnd w:id="334"/>
      <w:r/>
      <w:bookmarkEnd w:id="338"/>
      <w:r/>
      <w:bookmarkStart w:id="339" w:name="五医疗设备全生命周期管理"/>
      <w:r>
        <w:rPr>
          <w:rFonts w:hint="eastAsia"/>
        </w:rPr>
        <w:t xml:space="preserve">（十一）医疗设备全生命周期管理</w:t>
      </w:r>
      <w:r/>
    </w:p>
    <w:p>
      <w:pPr>
        <w:pStyle w:val="1090"/>
        <w:ind w:firstLine="480"/>
        <w:jc w:val="both"/>
        <w:spacing w:before="0" w:beforeAutospacing="0" w:after="0" w:afterAutospacing="0" w:line="400" w:lineRule="exact"/>
        <w:rPr>
          <w:rFonts w:hint="eastAsia"/>
        </w:rPr>
      </w:pPr>
      <w:r/>
      <w:bookmarkStart w:id="340" w:name="一使用前管理"/>
      <w:r>
        <w:rPr>
          <w:rFonts w:hint="eastAsia"/>
        </w:rPr>
        <w:t xml:space="preserve">1、使用前管理</w:t>
      </w:r>
      <w:r/>
    </w:p>
    <w:p>
      <w:pPr>
        <w:pStyle w:val="1090"/>
        <w:ind w:firstLine="480"/>
        <w:jc w:val="both"/>
        <w:spacing w:before="0" w:beforeAutospacing="0" w:after="0" w:afterAutospacing="0" w:line="400" w:lineRule="exact"/>
        <w:rPr>
          <w:rFonts w:hint="eastAsia"/>
        </w:rPr>
      </w:pPr>
      <w:r>
        <w:rPr>
          <w:rFonts w:hint="eastAsia"/>
        </w:rPr>
        <w:t xml:space="preserve">安装协助：协助场地规划、环境检测、电源接地等前期工作；建立设备技术档案，整理随机资料并归档移交。</w:t>
      </w:r>
      <w:r/>
    </w:p>
    <w:p>
      <w:pPr>
        <w:pStyle w:val="1090"/>
        <w:ind w:firstLine="480"/>
        <w:jc w:val="both"/>
        <w:spacing w:before="0" w:beforeAutospacing="0" w:after="0" w:afterAutospacing="0" w:line="400" w:lineRule="exact"/>
        <w:rPr>
          <w:rFonts w:hint="eastAsia"/>
        </w:rPr>
      </w:pPr>
      <w:r>
        <w:rPr>
          <w:rFonts w:hint="eastAsia"/>
        </w:rPr>
        <w:t xml:space="preserve">验收与启用：协助安装调试、性能检测、临床验收；对操作人员进行岗前培训，确保规范安全使用。</w:t>
      </w:r>
      <w:r/>
    </w:p>
    <w:p>
      <w:pPr>
        <w:pStyle w:val="1090"/>
        <w:ind w:firstLine="480"/>
        <w:jc w:val="both"/>
        <w:spacing w:before="0" w:beforeAutospacing="0" w:after="0" w:afterAutospacing="0" w:line="400" w:lineRule="exact"/>
        <w:rPr>
          <w:rFonts w:hint="eastAsia"/>
        </w:rPr>
      </w:pPr>
      <w:r/>
      <w:bookmarkEnd w:id="340"/>
      <w:r/>
      <w:bookmarkStart w:id="341" w:name="二定期巡检"/>
      <w:r>
        <w:rPr>
          <w:rFonts w:hint="eastAsia"/>
        </w:rPr>
        <w:t xml:space="preserve">2、定期巡检</w:t>
      </w:r>
      <w:r/>
    </w:p>
    <w:p>
      <w:pPr>
        <w:pStyle w:val="1090"/>
        <w:ind w:firstLine="480"/>
        <w:jc w:val="both"/>
        <w:spacing w:before="0" w:beforeAutospacing="0" w:after="0" w:afterAutospacing="0" w:line="400" w:lineRule="exact"/>
        <w:rPr>
          <w:rFonts w:hint="eastAsia"/>
        </w:rPr>
      </w:pPr>
      <w:r>
        <w:rPr>
          <w:rFonts w:hint="eastAsia"/>
        </w:rPr>
        <w:t xml:space="preserve">目标：掌握设备运行状况，发现隐患，降低故障率。</w:t>
      </w:r>
      <w:r/>
    </w:p>
    <w:p>
      <w:pPr>
        <w:pStyle w:val="1090"/>
        <w:ind w:firstLine="480"/>
        <w:jc w:val="both"/>
        <w:spacing w:before="0" w:beforeAutospacing="0" w:after="0" w:afterAutospacing="0" w:line="400" w:lineRule="exact"/>
        <w:rPr>
          <w:rFonts w:hint="eastAsia"/>
        </w:rPr>
      </w:pPr>
      <w:r>
        <w:rPr>
          <w:rFonts w:hint="eastAsia"/>
        </w:rPr>
        <w:t xml:space="preserve">周期：特种设备、生命急救类、大型设备、水处理设备按需巡检，其他设备每月巡检。</w:t>
      </w:r>
      <w:r/>
    </w:p>
    <w:p>
      <w:pPr>
        <w:pStyle w:val="1090"/>
        <w:ind w:firstLine="480"/>
        <w:jc w:val="both"/>
        <w:spacing w:before="0" w:beforeAutospacing="0" w:after="0" w:afterAutospacing="0" w:line="400" w:lineRule="exact"/>
        <w:rPr>
          <w:rFonts w:hint="eastAsia"/>
        </w:rPr>
      </w:pPr>
      <w:r>
        <w:rPr>
          <w:rFonts w:hint="eastAsia"/>
        </w:rPr>
        <w:t xml:space="preserve">范围：运行环境（防静电、防尘、防潮等）；水电气路稳定性与安全性；设备运行参数、磨损、精度。</w:t>
      </w:r>
      <w:r/>
    </w:p>
    <w:p>
      <w:pPr>
        <w:pStyle w:val="1090"/>
        <w:ind w:firstLine="480"/>
        <w:jc w:val="both"/>
        <w:spacing w:before="0" w:beforeAutospacing="0" w:after="0" w:afterAutospacing="0" w:line="400" w:lineRule="exact"/>
        <w:rPr>
          <w:rFonts w:hint="eastAsia"/>
        </w:rPr>
      </w:pPr>
      <w:r>
        <w:rPr>
          <w:rFonts w:hint="eastAsia"/>
        </w:rPr>
        <w:t xml:space="preserve">内容：环境安全、电气安全（电源线、外壳、电池等）、性能功能、操作规范性，并询问使用人员。</w:t>
      </w:r>
      <w:r/>
    </w:p>
    <w:p>
      <w:pPr>
        <w:pStyle w:val="1090"/>
        <w:ind w:firstLine="480"/>
        <w:jc w:val="both"/>
        <w:spacing w:before="0" w:beforeAutospacing="0" w:after="0" w:afterAutospacing="0" w:line="400" w:lineRule="exact"/>
        <w:rPr>
          <w:rFonts w:hint="eastAsia"/>
        </w:rPr>
      </w:pPr>
      <w:r>
        <w:rPr>
          <w:rFonts w:hint="eastAsia"/>
        </w:rPr>
        <w:t xml:space="preserve">记录：在管理系统中建立巡检计划，填写《巡检单》经科室负责人签字，同步录入系统，巡检完成率100%。</w:t>
      </w:r>
      <w:r/>
    </w:p>
    <w:p>
      <w:pPr>
        <w:pStyle w:val="1090"/>
        <w:ind w:firstLine="480"/>
        <w:jc w:val="both"/>
        <w:spacing w:before="0" w:beforeAutospacing="0" w:after="0" w:afterAutospacing="0" w:line="400" w:lineRule="exact"/>
        <w:rPr>
          <w:rFonts w:hint="eastAsia"/>
        </w:rPr>
      </w:pPr>
      <w:r/>
      <w:bookmarkEnd w:id="341"/>
      <w:r/>
      <w:bookmarkStart w:id="342" w:name="三定期保养"/>
      <w:r>
        <w:rPr>
          <w:rFonts w:hint="eastAsia"/>
        </w:rPr>
        <w:t xml:space="preserve">3、定期保养</w:t>
      </w:r>
      <w:r/>
    </w:p>
    <w:p>
      <w:pPr>
        <w:pStyle w:val="1090"/>
        <w:ind w:firstLine="480"/>
        <w:jc w:val="both"/>
        <w:spacing w:before="0" w:beforeAutospacing="0" w:after="0" w:afterAutospacing="0" w:line="400" w:lineRule="exact"/>
        <w:rPr>
          <w:rFonts w:hint="eastAsia"/>
        </w:rPr>
      </w:pPr>
      <w:r>
        <w:rPr>
          <w:rFonts w:hint="eastAsia"/>
        </w:rPr>
        <w:t xml:space="preserve">专项计划与报告：针对每台设备制定保养计划，定期提交保养报告，投标文件中提供保养报告模板及案例。</w:t>
      </w:r>
      <w:r/>
    </w:p>
    <w:p>
      <w:pPr>
        <w:pStyle w:val="1090"/>
        <w:ind w:firstLine="480"/>
        <w:jc w:val="both"/>
        <w:spacing w:before="0" w:beforeAutospacing="0" w:after="0" w:afterAutospacing="0" w:line="400" w:lineRule="exact"/>
        <w:rPr>
          <w:rFonts w:hint="eastAsia"/>
        </w:rPr>
      </w:pPr>
      <w:r>
        <w:rPr>
          <w:rFonts w:hint="eastAsia"/>
        </w:rPr>
        <w:t xml:space="preserve">预防性维护：制定全院预防性维护计划，经审核后实施，开展外观检查、清洁保养、性能排查，排除潜在故障。</w:t>
      </w:r>
      <w:r/>
    </w:p>
    <w:p>
      <w:pPr>
        <w:pStyle w:val="1090"/>
        <w:ind w:firstLine="480"/>
        <w:jc w:val="both"/>
        <w:spacing w:before="0" w:beforeAutospacing="0" w:after="0" w:afterAutospacing="0" w:line="400" w:lineRule="exact"/>
        <w:rPr>
          <w:rFonts w:hint="eastAsia"/>
        </w:rPr>
      </w:pPr>
      <w:r>
        <w:rPr>
          <w:rFonts w:hint="eastAsia"/>
        </w:rPr>
        <w:t xml:space="preserve">风险分级与周期：</w:t>
      </w:r>
      <w:r/>
    </w:p>
    <w:p>
      <w:pPr>
        <w:pStyle w:val="1090"/>
        <w:ind w:firstLine="480"/>
        <w:jc w:val="both"/>
        <w:spacing w:before="0" w:beforeAutospacing="0" w:after="0" w:afterAutospacing="0" w:line="400" w:lineRule="exact"/>
        <w:rPr>
          <w:rFonts w:hint="eastAsia"/>
        </w:rPr>
      </w:pPr>
      <w:r>
        <w:rPr>
          <w:rFonts w:hint="eastAsia"/>
        </w:rPr>
        <w:t xml:space="preserve">高风险设备：不低于每3个月1次；</w:t>
      </w:r>
      <w:r/>
    </w:p>
    <w:p>
      <w:pPr>
        <w:pStyle w:val="1090"/>
        <w:ind w:firstLine="480"/>
        <w:jc w:val="both"/>
        <w:spacing w:before="0" w:beforeAutospacing="0" w:after="0" w:afterAutospacing="0" w:line="400" w:lineRule="exact"/>
        <w:rPr>
          <w:rFonts w:hint="eastAsia"/>
        </w:rPr>
      </w:pPr>
      <w:r>
        <w:rPr>
          <w:rFonts w:hint="eastAsia"/>
        </w:rPr>
        <w:t xml:space="preserve">中风险设备：不低于每6个月</w:t>
      </w:r>
      <w:r>
        <w:rPr>
          <w:rFonts w:hint="eastAsia"/>
        </w:rPr>
        <w:t xml:space="preserve">1次；</w:t>
      </w:r>
      <w:r/>
    </w:p>
    <w:p>
      <w:pPr>
        <w:pStyle w:val="1090"/>
        <w:ind w:firstLine="480"/>
        <w:jc w:val="both"/>
        <w:spacing w:before="0" w:beforeAutospacing="0" w:after="0" w:afterAutospacing="0" w:line="400" w:lineRule="exact"/>
        <w:rPr>
          <w:rFonts w:hint="eastAsia"/>
        </w:rPr>
      </w:pPr>
      <w:r>
        <w:rPr>
          <w:rFonts w:hint="eastAsia"/>
        </w:rPr>
        <w:t xml:space="preserve">低风险设备：不低于每12个月1次。</w:t>
      </w:r>
      <w:r>
        <w:t xml:space="preserve"> </w:t>
      </w:r>
      <w:r>
        <w:rPr>
          <w:rFonts w:hint="eastAsia"/>
        </w:rPr>
        <w:t xml:space="preserve">建立动态调整机制，依据实际运行数据优化周期。</w:t>
      </w:r>
      <w:r/>
    </w:p>
    <w:p>
      <w:pPr>
        <w:pStyle w:val="1090"/>
        <w:ind w:firstLine="480"/>
        <w:jc w:val="both"/>
        <w:spacing w:before="0" w:beforeAutospacing="0" w:after="0" w:afterAutospacing="0" w:line="400" w:lineRule="exact"/>
        <w:rPr>
          <w:rFonts w:hint="eastAsia"/>
        </w:rPr>
      </w:pPr>
      <w:r>
        <w:rPr>
          <w:rFonts w:hint="eastAsia"/>
        </w:rPr>
        <w:t xml:space="preserve">一级保养（使用人员负责，投标人指导）：培训使用人员，保持设备清洁，检查电源稳压，记录使用情况，发现故障及时报修，严禁私自拆卸。</w:t>
      </w:r>
      <w:r/>
    </w:p>
    <w:p>
      <w:pPr>
        <w:pStyle w:val="1090"/>
        <w:ind w:firstLine="480"/>
        <w:jc w:val="both"/>
        <w:spacing w:before="0" w:beforeAutospacing="0" w:after="0" w:afterAutospacing="0" w:line="400" w:lineRule="exact"/>
        <w:rPr>
          <w:rFonts w:hint="eastAsia"/>
        </w:rPr>
      </w:pPr>
      <w:r>
        <w:rPr>
          <w:rFonts w:hint="eastAsia"/>
        </w:rPr>
        <w:t xml:space="preserve">二级保养（投标人全责）：外观检查（按钮、开关、接头、电源线、散热、接地等）；清洁保养（表面、内部、过滤网、插头、机械润滑）；功能检查（指示灯、开关、各模块、报警保护功能）；安全检查（电气安全、机械安全）。重点设备每年至少2次点检，常规设备每半年至少1次全面保养。</w:t>
      </w:r>
      <w:r/>
    </w:p>
    <w:p>
      <w:pPr>
        <w:pStyle w:val="1090"/>
        <w:ind w:firstLine="480"/>
        <w:jc w:val="both"/>
        <w:spacing w:before="0" w:beforeAutospacing="0" w:after="0" w:afterAutospacing="0" w:line="400" w:lineRule="exact"/>
        <w:rPr>
          <w:rFonts w:hint="eastAsia"/>
        </w:rPr>
      </w:pPr>
      <w:r>
        <w:rPr>
          <w:rFonts w:hint="eastAsia"/>
        </w:rPr>
        <w:t xml:space="preserve">三级保养（投标人全责）：对重点大型设备进行主体拆解检查、精度校准、更换磨损易损件、检查电子元器件、隐患元件更换；性能测试校准，确保符合标准。</w:t>
      </w:r>
      <w:r/>
    </w:p>
    <w:p>
      <w:pPr>
        <w:pStyle w:val="1090"/>
        <w:ind w:firstLine="480"/>
        <w:jc w:val="both"/>
        <w:spacing w:before="0" w:beforeAutospacing="0" w:after="0" w:afterAutospacing="0" w:line="400" w:lineRule="exact"/>
        <w:rPr>
          <w:rFonts w:hint="eastAsia"/>
        </w:rPr>
      </w:pPr>
      <w:r>
        <w:rPr>
          <w:rFonts w:hint="eastAsia"/>
        </w:rPr>
        <w:t xml:space="preserve">记录与报告：</w:t>
      </w:r>
      <w:r/>
    </w:p>
    <w:p>
      <w:pPr>
        <w:pStyle w:val="1090"/>
        <w:ind w:firstLine="480"/>
        <w:jc w:val="both"/>
        <w:spacing w:before="0" w:beforeAutospacing="0" w:after="0" w:afterAutospacing="0" w:line="400" w:lineRule="exact"/>
        <w:rPr>
          <w:rFonts w:hint="eastAsia"/>
        </w:rPr>
      </w:pPr>
      <w:r>
        <w:rPr>
          <w:rFonts w:hint="eastAsia"/>
        </w:rPr>
        <w:t xml:space="preserve">原值＞100万元的设备每年不少于2次保养，出具详细报告；</w:t>
      </w:r>
      <w:r/>
    </w:p>
    <w:p>
      <w:pPr>
        <w:pStyle w:val="1090"/>
        <w:ind w:firstLine="480"/>
        <w:jc w:val="both"/>
        <w:spacing w:before="0" w:beforeAutospacing="0" w:after="0" w:afterAutospacing="0" w:line="400" w:lineRule="exact"/>
        <w:rPr>
          <w:rFonts w:hint="eastAsia"/>
        </w:rPr>
      </w:pPr>
      <w:r>
        <w:rPr>
          <w:rFonts w:hint="eastAsia"/>
        </w:rPr>
        <w:t xml:space="preserve">依托医院系统建立电子记录；</w:t>
      </w:r>
      <w:r/>
    </w:p>
    <w:p>
      <w:pPr>
        <w:pStyle w:val="1090"/>
        <w:ind w:firstLine="480"/>
        <w:jc w:val="both"/>
        <w:spacing w:before="0" w:beforeAutospacing="0" w:after="0" w:afterAutospacing="0" w:line="400" w:lineRule="exact"/>
        <w:rPr>
          <w:rFonts w:hint="eastAsia"/>
        </w:rPr>
      </w:pPr>
      <w:r>
        <w:rPr>
          <w:rFonts w:hint="eastAsia"/>
        </w:rPr>
        <w:t xml:space="preserve">规范填写保养记录（时间、人员、故障、配件、结果）；</w:t>
      </w:r>
      <w:r/>
    </w:p>
    <w:p>
      <w:pPr>
        <w:pStyle w:val="1090"/>
        <w:ind w:firstLine="480"/>
        <w:jc w:val="both"/>
        <w:spacing w:before="0" w:beforeAutospacing="0" w:after="0" w:afterAutospacing="0" w:line="400" w:lineRule="exact"/>
        <w:rPr>
          <w:rFonts w:hint="eastAsia"/>
        </w:rPr>
      </w:pPr>
      <w:r>
        <w:rPr>
          <w:rFonts w:hint="eastAsia"/>
        </w:rPr>
        <w:t xml:space="preserve">记录归入设备全生命周期档案；</w:t>
      </w:r>
      <w:r/>
    </w:p>
    <w:p>
      <w:pPr>
        <w:pStyle w:val="1090"/>
        <w:ind w:firstLine="480"/>
        <w:jc w:val="both"/>
        <w:spacing w:before="0" w:beforeAutospacing="0" w:after="0" w:afterAutospacing="0" w:line="400" w:lineRule="exact"/>
        <w:rPr>
          <w:rFonts w:hint="eastAsia"/>
        </w:rPr>
      </w:pPr>
      <w:r>
        <w:rPr>
          <w:rFonts w:hint="eastAsia"/>
        </w:rPr>
        <w:t xml:space="preserve">故障统计分析，为周期调整提供数据；</w:t>
      </w:r>
      <w:r/>
    </w:p>
    <w:p>
      <w:pPr>
        <w:pStyle w:val="1090"/>
        <w:ind w:firstLine="480"/>
        <w:jc w:val="both"/>
        <w:spacing w:before="0" w:beforeAutospacing="0" w:after="0" w:afterAutospacing="0" w:line="400" w:lineRule="exact"/>
        <w:rPr>
          <w:rFonts w:hint="eastAsia"/>
        </w:rPr>
      </w:pPr>
      <w:r>
        <w:rPr>
          <w:rFonts w:hint="eastAsia"/>
        </w:rPr>
        <w:t xml:space="preserve">每季度向设备管理部门提交保养汇总报告（投标文件中提供模板）。</w:t>
      </w:r>
      <w:r/>
    </w:p>
    <w:p>
      <w:pPr>
        <w:pStyle w:val="1090"/>
        <w:ind w:firstLine="480"/>
        <w:jc w:val="both"/>
        <w:spacing w:before="0" w:beforeAutospacing="0" w:after="0" w:afterAutospacing="0" w:line="400" w:lineRule="exact"/>
        <w:rPr>
          <w:rFonts w:hint="eastAsia"/>
        </w:rPr>
      </w:pPr>
      <w:r/>
      <w:bookmarkEnd w:id="342"/>
      <w:r/>
      <w:bookmarkStart w:id="343" w:name="四计量检定校准与检测管理"/>
      <w:r>
        <w:rPr>
          <w:rFonts w:hint="eastAsia"/>
        </w:rPr>
        <w:t xml:space="preserve">4、计量检定校准与检测管理</w:t>
      </w:r>
      <w:r/>
    </w:p>
    <w:p>
      <w:pPr>
        <w:pStyle w:val="1090"/>
        <w:ind w:firstLine="480"/>
        <w:jc w:val="both"/>
        <w:spacing w:before="0" w:beforeAutospacing="0" w:after="0" w:afterAutospacing="0" w:line="400" w:lineRule="exact"/>
        <w:rPr>
          <w:rFonts w:hint="eastAsia"/>
        </w:rPr>
      </w:pPr>
      <w:r>
        <w:rPr>
          <w:rFonts w:hint="eastAsia"/>
        </w:rPr>
        <w:t xml:space="preserve">通用设备：协助完成医院计量检定校准计划，未列入医院目录但临床要求检定的设备，费用由投标人承担</w:t>
      </w:r>
      <w:r>
        <w:rPr>
          <w:rFonts w:hint="eastAsia"/>
        </w:rPr>
        <w:t xml:space="preserve">。</w:t>
      </w:r>
      <w:r/>
    </w:p>
    <w:p>
      <w:pPr>
        <w:pStyle w:val="1090"/>
        <w:ind w:firstLine="480"/>
        <w:jc w:val="both"/>
        <w:spacing w:before="0" w:beforeAutospacing="0" w:after="0" w:afterAutospacing="0" w:line="400" w:lineRule="exact"/>
        <w:rPr>
          <w:rFonts w:hint="eastAsia"/>
        </w:rPr>
      </w:pPr>
      <w:r>
        <w:rPr>
          <w:rFonts w:hint="eastAsia"/>
        </w:rPr>
        <w:t xml:space="preserve">特种设备：全权负责制定专项检定计划并实施，费用由投标人承担。</w:t>
      </w:r>
      <w:r/>
    </w:p>
    <w:p>
      <w:pPr>
        <w:pStyle w:val="1090"/>
        <w:ind w:firstLine="480"/>
        <w:jc w:val="both"/>
        <w:spacing w:before="0" w:beforeAutospacing="0" w:after="0" w:afterAutospacing="0" w:line="400" w:lineRule="exact"/>
        <w:rPr>
          <w:rFonts w:hint="eastAsia"/>
        </w:rPr>
      </w:pPr>
      <w:r>
        <w:rPr>
          <w:rFonts w:hint="eastAsia"/>
        </w:rPr>
        <w:t xml:space="preserve">影像类设备：</w:t>
      </w:r>
      <w:r/>
    </w:p>
    <w:p>
      <w:pPr>
        <w:pStyle w:val="1090"/>
        <w:ind w:firstLine="480"/>
        <w:jc w:val="both"/>
        <w:spacing w:before="0" w:beforeAutospacing="0" w:after="0" w:afterAutospacing="0" w:line="400" w:lineRule="exact"/>
        <w:rPr>
          <w:rFonts w:hint="eastAsia"/>
        </w:rPr>
      </w:pPr>
      <w:r>
        <w:rPr>
          <w:rFonts w:hint="eastAsia"/>
        </w:rPr>
        <w:t xml:space="preserve">年度检测评估：每年1次，出具正式报告。</w:t>
      </w:r>
      <w:r/>
    </w:p>
    <w:p>
      <w:pPr>
        <w:pStyle w:val="1090"/>
        <w:ind w:firstLine="480"/>
        <w:jc w:val="both"/>
        <w:spacing w:before="0" w:beforeAutospacing="0" w:after="0" w:afterAutospacing="0" w:line="400" w:lineRule="exact"/>
        <w:rPr>
          <w:rFonts w:hint="eastAsia"/>
        </w:rPr>
      </w:pPr>
      <w:r>
        <w:rPr>
          <w:rFonts w:hint="eastAsia"/>
        </w:rPr>
        <w:t xml:space="preserve">稳定性检测：按对应设备类别质控规范执行。</w:t>
      </w:r>
      <w:r/>
    </w:p>
    <w:p>
      <w:pPr>
        <w:pStyle w:val="1090"/>
        <w:ind w:firstLine="480"/>
        <w:jc w:val="both"/>
        <w:spacing w:before="0" w:beforeAutospacing="0" w:after="0" w:afterAutospacing="0" w:line="400" w:lineRule="exact"/>
        <w:rPr>
          <w:rFonts w:hint="eastAsia"/>
        </w:rPr>
      </w:pPr>
      <w:r>
        <w:rPr>
          <w:rFonts w:hint="eastAsia"/>
        </w:rPr>
        <w:t xml:space="preserve">重大维修后验收检测（更换球管、接收器等核心部件）：依据WS</w:t>
      </w:r>
      <w:r>
        <w:t xml:space="preserve"> </w:t>
      </w:r>
      <w:r>
        <w:rPr>
          <w:rFonts w:hint="eastAsia"/>
        </w:rPr>
        <w:t xml:space="preserve">76-2020标准执行。</w:t>
      </w:r>
      <w:r/>
    </w:p>
    <w:p>
      <w:pPr>
        <w:pStyle w:val="1090"/>
        <w:ind w:firstLine="480"/>
        <w:jc w:val="both"/>
        <w:spacing w:before="0" w:beforeAutospacing="0" w:after="0" w:afterAutospacing="0" w:line="400" w:lineRule="exact"/>
        <w:rPr>
          <w:rFonts w:hint="eastAsia"/>
        </w:rPr>
      </w:pPr>
      <w:r>
        <w:rPr>
          <w:rFonts w:hint="eastAsia"/>
        </w:rPr>
        <w:t xml:space="preserve">超声探头质控检测：每年1次专业检测，含漏电流电气安全、图像质量、声学检测。</w:t>
      </w:r>
      <w:r/>
    </w:p>
    <w:p>
      <w:pPr>
        <w:pStyle w:val="1090"/>
        <w:ind w:firstLine="480"/>
        <w:jc w:val="both"/>
        <w:spacing w:before="0" w:beforeAutospacing="0" w:after="0" w:afterAutospacing="0" w:line="400" w:lineRule="exact"/>
        <w:rPr>
          <w:rFonts w:hint="eastAsia"/>
        </w:rPr>
      </w:pPr>
      <w:r>
        <w:rPr>
          <w:rFonts w:hint="eastAsia"/>
        </w:rPr>
        <w:t xml:space="preserve">通用要求：所有检定、校准、检测须委托具备国家认定资质的正规机构，出具合法有效的报告/证书。强制检定器具强检率100%，非强检器具按期检定。计量检测清单见附件。</w:t>
      </w:r>
      <w:r/>
    </w:p>
    <w:p>
      <w:pPr>
        <w:pStyle w:val="1090"/>
        <w:ind w:firstLine="480"/>
        <w:jc w:val="both"/>
        <w:spacing w:before="0" w:beforeAutospacing="0" w:after="0" w:afterAutospacing="0" w:line="400" w:lineRule="exact"/>
        <w:rPr>
          <w:rFonts w:hint="eastAsia"/>
        </w:rPr>
      </w:pPr>
      <w:r/>
      <w:bookmarkEnd w:id="343"/>
      <w:r/>
      <w:bookmarkStart w:id="344" w:name="五质控检测管理"/>
      <w:r>
        <w:rPr>
          <w:rFonts w:hint="eastAsia"/>
        </w:rPr>
        <w:t xml:space="preserve">5、质控检测管理</w:t>
      </w:r>
      <w:r/>
    </w:p>
    <w:p>
      <w:pPr>
        <w:pStyle w:val="1090"/>
        <w:ind w:firstLine="480"/>
        <w:jc w:val="both"/>
        <w:spacing w:before="0" w:beforeAutospacing="0" w:after="0" w:afterAutospacing="0" w:line="400" w:lineRule="exact"/>
        <w:rPr>
          <w:rFonts w:hint="eastAsia"/>
        </w:rPr>
      </w:pPr>
      <w:r>
        <w:rPr>
          <w:rFonts w:hint="eastAsia"/>
        </w:rPr>
        <w:t xml:space="preserve">配备专业质控设备（生命体征模拟器、脑电模拟器、输液泵分析仪、除颤分析仪、心电监护仪检测仪、呼吸机检测仪、高频电刀检测仪、血透质控设备等），提供清单及采购/租用证明。</w:t>
      </w:r>
      <w:r/>
    </w:p>
    <w:p>
      <w:pPr>
        <w:pStyle w:val="1090"/>
        <w:ind w:firstLine="480"/>
        <w:jc w:val="both"/>
        <w:spacing w:before="0" w:beforeAutospacing="0" w:after="0" w:afterAutospacing="0" w:line="400" w:lineRule="exact"/>
        <w:rPr>
          <w:rFonts w:hint="eastAsia"/>
        </w:rPr>
      </w:pPr>
      <w:r>
        <w:rPr>
          <w:rFonts w:hint="eastAsia"/>
        </w:rPr>
        <w:t xml:space="preserve">每年对维保设备进行一次质控检测（覆盖呼吸机、麻醉机、除颤仪、监护仪、电刀、血透、输液泵、注射泵、彩超、检验病理等设备），出具符合国家/行业规范的检测报告。</w:t>
      </w:r>
      <w:r/>
    </w:p>
    <w:p>
      <w:pPr>
        <w:pStyle w:val="1090"/>
        <w:ind w:firstLine="480"/>
        <w:jc w:val="both"/>
        <w:spacing w:before="0" w:beforeAutospacing="0" w:after="0" w:afterAutospacing="0" w:line="400" w:lineRule="exact"/>
        <w:rPr>
          <w:rFonts w:hint="eastAsia"/>
        </w:rPr>
      </w:pPr>
      <w:r>
        <w:rPr>
          <w:rFonts w:hint="eastAsia"/>
        </w:rPr>
        <w:t xml:space="preserve">若委托第三方，第三方须具备国家认可资质，费用由投标人承担。</w:t>
      </w:r>
      <w:r/>
    </w:p>
    <w:p>
      <w:pPr>
        <w:pStyle w:val="1090"/>
        <w:ind w:firstLine="480"/>
        <w:jc w:val="both"/>
        <w:spacing w:before="0" w:beforeAutospacing="0" w:after="0" w:afterAutospacing="0" w:line="400" w:lineRule="exact"/>
        <w:rPr>
          <w:rFonts w:hint="eastAsia"/>
        </w:rPr>
      </w:pPr>
      <w:r/>
      <w:bookmarkEnd w:id="344"/>
      <w:r/>
      <w:bookmarkStart w:id="345" w:name="六服务档案管理"/>
      <w:r>
        <w:rPr>
          <w:rFonts w:hint="eastAsia"/>
        </w:rPr>
        <w:t xml:space="preserve">6、服务档案管理</w:t>
      </w:r>
      <w:r/>
    </w:p>
    <w:p>
      <w:pPr>
        <w:pStyle w:val="1090"/>
        <w:ind w:firstLine="480"/>
        <w:jc w:val="both"/>
        <w:spacing w:before="0" w:beforeAutospacing="0" w:after="0" w:afterAutospacing="0" w:line="400" w:lineRule="exact"/>
        <w:rPr>
          <w:rFonts w:hint="eastAsia"/>
        </w:rPr>
      </w:pPr>
      <w:r>
        <w:rPr>
          <w:rFonts w:hint="eastAsia"/>
        </w:rPr>
        <w:t xml:space="preserve">按科室建立“一科一档”，全程留痕。</w:t>
      </w:r>
      <w:r/>
    </w:p>
    <w:p>
      <w:pPr>
        <w:pStyle w:val="1090"/>
        <w:ind w:firstLine="480"/>
        <w:jc w:val="both"/>
        <w:spacing w:before="0" w:beforeAutospacing="0" w:after="0" w:afterAutospacing="0" w:line="400" w:lineRule="exact"/>
        <w:rPr>
          <w:rFonts w:hint="eastAsia"/>
        </w:rPr>
      </w:pPr>
      <w:r>
        <w:rPr>
          <w:rFonts w:hint="eastAsia"/>
        </w:rPr>
        <w:t xml:space="preserve">档案内容至少含：维修记录、巡检记录、保养记录、质控检测记录、计量检定记录（含证书编号）</w:t>
      </w:r>
      <w:r>
        <w:rPr>
          <w:rFonts w:hint="eastAsia"/>
        </w:rPr>
        <w:t xml:space="preserve">。</w:t>
      </w:r>
      <w:r/>
    </w:p>
    <w:p>
      <w:pPr>
        <w:pStyle w:val="1090"/>
        <w:ind w:firstLine="480"/>
        <w:jc w:val="both"/>
        <w:spacing w:before="0" w:beforeAutospacing="0" w:after="0" w:afterAutospacing="0" w:line="400" w:lineRule="exact"/>
        <w:rPr>
          <w:rFonts w:hint="eastAsia"/>
        </w:rPr>
      </w:pPr>
      <w:r>
        <w:rPr>
          <w:rFonts w:hint="eastAsia"/>
        </w:rPr>
        <w:t xml:space="preserve">建立档案管理制度，专人负责，确保完整、安全。投标文件中提供服务档案模板，经医院审核后统一执行。</w:t>
      </w:r>
      <w:r/>
    </w:p>
    <w:p>
      <w:pPr>
        <w:pStyle w:val="1090"/>
        <w:ind w:firstLine="480"/>
        <w:jc w:val="both"/>
        <w:spacing w:before="0" w:beforeAutospacing="0" w:after="0" w:afterAutospacing="0" w:line="400" w:lineRule="exact"/>
        <w:rPr>
          <w:rFonts w:hint="eastAsia"/>
        </w:rPr>
      </w:pPr>
      <w:r/>
      <w:bookmarkEnd w:id="345"/>
      <w:r/>
      <w:bookmarkStart w:id="346" w:name="七培训管理"/>
      <w:r>
        <w:rPr>
          <w:rFonts w:hint="eastAsia"/>
        </w:rPr>
        <w:t xml:space="preserve">7、培训管理</w:t>
      </w:r>
      <w:r/>
    </w:p>
    <w:p>
      <w:pPr>
        <w:pStyle w:val="1090"/>
        <w:ind w:firstLine="480"/>
        <w:jc w:val="both"/>
        <w:spacing w:before="0" w:beforeAutospacing="0" w:after="0" w:afterAutospacing="0" w:line="400" w:lineRule="exact"/>
        <w:rPr>
          <w:rFonts w:hint="eastAsia"/>
        </w:rPr>
      </w:pPr>
      <w:r>
        <w:rPr>
          <w:rFonts w:hint="eastAsia"/>
        </w:rPr>
        <w:t xml:space="preserve">临床操作人员培训：制定年度培训方案，每年不少于2次，内容涵盖安全使用、操作流程、日常维护、常见故障识别等。培训记录（签到、课件、考核、总结）提交设备管理部门存档。</w:t>
      </w:r>
      <w:r/>
    </w:p>
    <w:p>
      <w:pPr>
        <w:pStyle w:val="1090"/>
        <w:ind w:firstLine="480"/>
        <w:jc w:val="both"/>
        <w:spacing w:before="0" w:beforeAutospacing="0" w:after="0" w:afterAutospacing="0" w:line="400" w:lineRule="exact"/>
        <w:rPr>
          <w:rFonts w:hint="eastAsia"/>
        </w:rPr>
      </w:pPr>
      <w:r>
        <w:rPr>
          <w:rFonts w:hint="eastAsia"/>
        </w:rPr>
        <w:t xml:space="preserve">院方维修工程师培训：每年提供不少于2个外出原厂技术培训名额，涵盖超声、内镜、氧舱、供应室、手术室、生命支持、腔镜等设备。所有培训费用（交通、培训、住宿、资料等）由投标人承担。</w:t>
      </w:r>
      <w:r/>
    </w:p>
    <w:p>
      <w:pPr>
        <w:pStyle w:val="1090"/>
        <w:ind w:firstLine="480"/>
        <w:jc w:val="both"/>
        <w:spacing w:before="0" w:beforeAutospacing="0" w:after="0" w:afterAutospacing="0" w:line="400" w:lineRule="exact"/>
        <w:rPr>
          <w:rFonts w:hint="eastAsia"/>
        </w:rPr>
      </w:pPr>
      <w:r/>
      <w:bookmarkEnd w:id="346"/>
      <w:r/>
      <w:bookmarkStart w:id="347" w:name="八不良事件管理"/>
      <w:r>
        <w:rPr>
          <w:rFonts w:hint="eastAsia"/>
        </w:rPr>
        <w:t xml:space="preserve">8、不良事件管理</w:t>
      </w:r>
      <w:r/>
    </w:p>
    <w:p>
      <w:pPr>
        <w:pStyle w:val="1090"/>
        <w:ind w:firstLine="480"/>
        <w:jc w:val="both"/>
        <w:spacing w:before="0" w:beforeAutospacing="0" w:after="0" w:afterAutospacing="0" w:line="400" w:lineRule="exact"/>
        <w:rPr>
          <w:rFonts w:hint="eastAsia"/>
        </w:rPr>
      </w:pPr>
      <w:r>
        <w:rPr>
          <w:rFonts w:hint="eastAsia"/>
        </w:rPr>
        <w:t xml:space="preserve">投标人应全力协助医院开展医疗器械不良事件上报工作，遵循“可疑必报”原则，指导相关人员规范填写《可疑医疗器械不良事件报告》，确保信息真实完整，及时上交指定部门，并妥善保存原始记录（现场记录、设备日志、报告底稿等），留存期限符合法规及医院要求。同时配合后续跟踪、分析与整改。</w:t>
      </w:r>
      <w:r/>
    </w:p>
    <w:p>
      <w:pPr>
        <w:pStyle w:val="1090"/>
        <w:ind w:firstLine="480"/>
        <w:jc w:val="both"/>
        <w:spacing w:before="0" w:beforeAutospacing="0" w:after="0" w:afterAutospacing="0" w:line="400" w:lineRule="exact"/>
        <w:rPr>
          <w:rFonts w:hint="eastAsia"/>
        </w:rPr>
      </w:pPr>
      <w:r/>
      <w:bookmarkEnd w:id="347"/>
      <w:r/>
      <w:bookmarkStart w:id="348" w:name="九协助设备报废管理"/>
      <w:r>
        <w:rPr>
          <w:rFonts w:hint="eastAsia"/>
        </w:rPr>
        <w:t xml:space="preserve">9、协助设备报废管理</w:t>
      </w:r>
      <w:r/>
    </w:p>
    <w:p>
      <w:pPr>
        <w:pStyle w:val="1090"/>
        <w:ind w:firstLine="480"/>
        <w:jc w:val="both"/>
        <w:spacing w:before="0" w:beforeAutospacing="0" w:after="0" w:afterAutospacing="0" w:line="400" w:lineRule="exact"/>
        <w:rPr>
          <w:rFonts w:hint="eastAsia"/>
        </w:rPr>
      </w:pPr>
      <w:r>
        <w:rPr>
          <w:rFonts w:hint="eastAsia"/>
        </w:rPr>
        <w:t xml:space="preserve">协助核实临床科室报废申请，确保信息真实。</w:t>
      </w:r>
      <w:r/>
    </w:p>
    <w:p>
      <w:pPr>
        <w:pStyle w:val="1090"/>
        <w:ind w:firstLine="480"/>
        <w:jc w:val="both"/>
        <w:spacing w:before="0" w:beforeAutospacing="0" w:after="0" w:afterAutospacing="0" w:line="400" w:lineRule="exact"/>
        <w:rPr>
          <w:rFonts w:hint="eastAsia"/>
        </w:rPr>
      </w:pPr>
      <w:r>
        <w:rPr>
          <w:rFonts w:hint="eastAsia"/>
        </w:rPr>
        <w:t xml:space="preserve">若因厂家停产或停止服务导致无法修复，须出具正式证明材料，提交设备管理部门备案。</w:t>
      </w:r>
      <w:r/>
    </w:p>
    <w:p>
      <w:pPr>
        <w:pStyle w:val="1090"/>
        <w:ind w:firstLine="480"/>
        <w:jc w:val="both"/>
        <w:spacing w:before="0" w:beforeAutospacing="0" w:after="0" w:afterAutospacing="0" w:line="400" w:lineRule="exact"/>
        <w:rPr>
          <w:rFonts w:hint="eastAsia"/>
        </w:rPr>
      </w:pPr>
      <w:r>
        <w:rPr>
          <w:rFonts w:hint="eastAsia"/>
        </w:rPr>
        <w:t xml:space="preserve">坚持“应修尽修”，未达报废年限不得擅自报废；已达报废年限但具备修复价值的，医院将考核投标人维保工作。</w:t>
      </w:r>
      <w:r/>
    </w:p>
    <w:p>
      <w:pPr>
        <w:pStyle w:val="1090"/>
        <w:ind w:firstLine="480"/>
        <w:jc w:val="both"/>
        <w:spacing w:before="0" w:beforeAutospacing="0" w:after="0" w:afterAutospacing="0" w:line="400" w:lineRule="exact"/>
        <w:rPr>
          <w:rFonts w:hint="eastAsia"/>
        </w:rPr>
      </w:pPr>
      <w:r>
        <w:rPr>
          <w:rFonts w:hint="eastAsia"/>
        </w:rPr>
        <w:t xml:space="preserve">投标文件中提供完善的《</w:t>
      </w:r>
      <w:bookmarkStart w:id="349" w:name="OLE_LINK5"/>
      <w:r>
        <w:rPr>
          <w:rFonts w:hint="eastAsia"/>
        </w:rPr>
        <w:t xml:space="preserve">设备报废管理</w:t>
      </w:r>
      <w:r>
        <w:rPr>
          <w:rFonts w:hint="eastAsia"/>
        </w:rPr>
        <w:t xml:space="preserve">方案</w:t>
      </w:r>
      <w:bookmarkEnd w:id="349"/>
      <w:r>
        <w:rPr>
          <w:rFonts w:hint="eastAsia"/>
        </w:rPr>
        <w:t xml:space="preserve">》，明确流程、分工、证明材料规范。</w:t>
      </w:r>
      <w:r/>
    </w:p>
    <w:p>
      <w:pPr>
        <w:pStyle w:val="1090"/>
        <w:ind w:firstLine="480"/>
        <w:jc w:val="both"/>
        <w:spacing w:before="0" w:beforeAutospacing="0" w:after="0" w:afterAutospacing="0" w:line="400" w:lineRule="exact"/>
        <w:rPr>
          <w:rFonts w:hint="eastAsia"/>
        </w:rPr>
      </w:pPr>
      <w:r/>
      <w:bookmarkEnd w:id="348"/>
      <w:r/>
      <w:bookmarkStart w:id="350" w:name="十应急保障"/>
      <w:r>
        <w:rPr>
          <w:rFonts w:hint="eastAsia"/>
        </w:rPr>
        <w:t xml:space="preserve">10、应急保障</w:t>
      </w:r>
      <w:r/>
    </w:p>
    <w:p>
      <w:pPr>
        <w:pStyle w:val="1090"/>
        <w:ind w:firstLine="480"/>
        <w:jc w:val="both"/>
        <w:spacing w:before="0" w:beforeAutospacing="0" w:after="0" w:afterAutospacing="0" w:line="400" w:lineRule="exact"/>
        <w:rPr>
          <w:rFonts w:hint="eastAsia"/>
        </w:rPr>
      </w:pPr>
      <w:r>
        <w:rPr>
          <w:rFonts w:hint="eastAsia"/>
        </w:rPr>
        <w:t xml:space="preserve">应急库管理：全权负责应急库设备日常维护，每日清点核对，记录数量、状态、位置，确保账物相符、性能完好。协助应急调配，优先保障急救、生命支持类设备。</w:t>
      </w:r>
      <w:r/>
    </w:p>
    <w:p>
      <w:pPr>
        <w:pStyle w:val="1090"/>
        <w:ind w:firstLine="480"/>
        <w:jc w:val="both"/>
        <w:spacing w:before="0" w:beforeAutospacing="0" w:after="0" w:afterAutospacing="0" w:line="400" w:lineRule="exact"/>
        <w:rPr>
          <w:rFonts w:hint="eastAsia"/>
        </w:rPr>
      </w:pPr>
      <w:r>
        <w:rPr>
          <w:rFonts w:hint="eastAsia"/>
        </w:rPr>
        <w:t xml:space="preserve">应急演练：制定应急演练方案及计划（含脚本、时间、地点、人员、职责、考核标准），组织临床人员开展应急演练，重点演练设备紧急启用、故障排查、应急操作。演练后总结问题并提出改进措施，提交审核。</w:t>
      </w:r>
      <w:r/>
    </w:p>
    <w:p>
      <w:pPr>
        <w:pStyle w:val="1090"/>
        <w:ind w:firstLine="480"/>
        <w:jc w:val="both"/>
        <w:spacing w:before="0" w:beforeAutospacing="0" w:after="0" w:afterAutospacing="0" w:line="400" w:lineRule="exact"/>
        <w:rPr>
          <w:rFonts w:hint="eastAsia"/>
        </w:rPr>
      </w:pPr>
      <w:r/>
      <w:bookmarkEnd w:id="350"/>
      <w:r/>
      <w:bookmarkStart w:id="351" w:name="十一整体运维智慧化管理"/>
      <w:r>
        <w:rPr>
          <w:rFonts w:hint="eastAsia"/>
        </w:rPr>
        <w:t xml:space="preserve">11、整体运维智慧化管理</w:t>
      </w:r>
      <w:r/>
    </w:p>
    <w:p>
      <w:pPr>
        <w:pStyle w:val="1090"/>
        <w:ind w:firstLine="480"/>
        <w:jc w:val="both"/>
        <w:spacing w:before="0" w:beforeAutospacing="0" w:after="0" w:afterAutospacing="0" w:line="400" w:lineRule="exact"/>
        <w:rPr>
          <w:rFonts w:hint="eastAsia"/>
        </w:rPr>
      </w:pPr>
      <w:r>
        <w:rPr>
          <w:rFonts w:hint="eastAsia"/>
        </w:rPr>
        <w:t xml:space="preserve">投标人须全面配合医院使用自有医疗设备全生命周期精细化管理软件系统，协助落地实施及配套运维，实现管理规范化、流程电子化、数据可视化。</w:t>
      </w:r>
      <w:r/>
    </w:p>
    <w:p>
      <w:pPr>
        <w:pStyle w:val="1090"/>
        <w:ind w:firstLine="480"/>
        <w:jc w:val="both"/>
        <w:spacing w:before="0" w:beforeAutospacing="0" w:after="0" w:afterAutospacing="0" w:line="400" w:lineRule="exact"/>
        <w:rPr>
          <w:rFonts w:hint="eastAsia"/>
        </w:rPr>
      </w:pPr>
      <w:r/>
      <w:bookmarkEnd w:id="351"/>
      <w:r/>
      <w:bookmarkStart w:id="352" w:name="十二其他协助工作"/>
      <w:r>
        <w:rPr>
          <w:rFonts w:hint="eastAsia"/>
        </w:rPr>
        <w:t xml:space="preserve">12、其他协助工作</w:t>
      </w:r>
      <w:r/>
    </w:p>
    <w:p>
      <w:pPr>
        <w:pStyle w:val="1090"/>
        <w:ind w:firstLine="480"/>
        <w:jc w:val="both"/>
        <w:spacing w:before="0" w:beforeAutospacing="0" w:after="0" w:afterAutospacing="0" w:line="400" w:lineRule="exact"/>
        <w:rPr>
          <w:rFonts w:hint="eastAsia"/>
        </w:rPr>
      </w:pPr>
      <w:r>
        <w:rPr>
          <w:rFonts w:hint="eastAsia"/>
        </w:rPr>
        <w:t xml:space="preserve">协助医院设备管理部门完成三级甲等公立医院等级评审、绩效监测、江苏省质控检查等相关工作。</w:t>
      </w:r>
      <w:r/>
    </w:p>
    <w:p>
      <w:pPr>
        <w:pStyle w:val="1090"/>
        <w:ind w:firstLine="480"/>
        <w:jc w:val="both"/>
        <w:spacing w:before="0" w:beforeAutospacing="0" w:after="0" w:afterAutospacing="0" w:line="400" w:lineRule="exact"/>
        <w:rPr>
          <w:rFonts w:hint="eastAsia"/>
        </w:rPr>
      </w:pPr>
      <w:r/>
      <w:bookmarkEnd w:id="339"/>
      <w:r/>
      <w:bookmarkEnd w:id="352"/>
      <w:r/>
      <w:bookmarkStart w:id="353" w:name="六其他要求"/>
      <w:r>
        <w:rPr>
          <w:rFonts w:hint="eastAsia"/>
        </w:rPr>
        <w:t xml:space="preserve">（十二）其他要求</w:t>
      </w:r>
      <w:r/>
    </w:p>
    <w:p>
      <w:pPr>
        <w:pStyle w:val="1090"/>
        <w:ind w:firstLine="480"/>
        <w:jc w:val="both"/>
        <w:spacing w:before="0" w:beforeAutospacing="0" w:after="0" w:afterAutospacing="0" w:line="400" w:lineRule="exact"/>
        <w:rPr>
          <w:rFonts w:hint="eastAsia"/>
        </w:rPr>
      </w:pPr>
      <w:r/>
      <w:bookmarkStart w:id="354" w:name="一安全管理"/>
      <w:r>
        <w:rPr>
          <w:rFonts w:hint="eastAsia"/>
        </w:rPr>
        <w:t xml:space="preserve">1、安全管理</w:t>
      </w:r>
      <w:r/>
    </w:p>
    <w:p>
      <w:pPr>
        <w:pStyle w:val="1090"/>
        <w:ind w:firstLine="480"/>
        <w:jc w:val="both"/>
        <w:spacing w:before="0" w:beforeAutospacing="0" w:after="0" w:afterAutospacing="0" w:line="400" w:lineRule="exact"/>
        <w:rPr>
          <w:rFonts w:hint="eastAsia"/>
        </w:rPr>
      </w:pPr>
      <w:r>
        <w:rPr>
          <w:rFonts w:hint="eastAsia"/>
        </w:rPr>
        <w:t xml:space="preserve">投标人在服务过程中须遵守安全法律法规及医院安全制度，落实防护措施。须评估安全风险，制定应急预案。发生事故时立即启动预案，控制事态，通知医院，配合调查。定期对驻场人员开展安全教育和应急处置培训，加强维修工具和检测设备的规范化管理，建立使用台账。</w:t>
      </w:r>
      <w:r/>
    </w:p>
    <w:p>
      <w:pPr>
        <w:pStyle w:val="1090"/>
        <w:ind w:firstLine="480"/>
        <w:jc w:val="both"/>
        <w:spacing w:before="0" w:beforeAutospacing="0" w:after="0" w:afterAutospacing="0" w:line="400" w:lineRule="exact"/>
        <w:rPr>
          <w:rFonts w:hint="eastAsia"/>
        </w:rPr>
      </w:pPr>
      <w:r/>
      <w:bookmarkEnd w:id="354"/>
      <w:r/>
      <w:bookmarkStart w:id="355" w:name="二责任承担"/>
      <w:r>
        <w:rPr>
          <w:rFonts w:hint="eastAsia"/>
        </w:rPr>
        <w:t xml:space="preserve">2、责任承担</w:t>
      </w:r>
      <w:r/>
    </w:p>
    <w:p>
      <w:pPr>
        <w:pStyle w:val="1090"/>
        <w:ind w:firstLine="480"/>
        <w:jc w:val="both"/>
        <w:spacing w:before="0" w:beforeAutospacing="0" w:after="0" w:afterAutospacing="0" w:line="400" w:lineRule="exact"/>
        <w:rPr>
          <w:rFonts w:hint="eastAsia"/>
        </w:rPr>
      </w:pPr>
      <w:r>
        <w:rPr>
          <w:rFonts w:hint="eastAsia"/>
        </w:rPr>
        <w:t xml:space="preserve">因投标人操作不当、管理不善等自身原因造成设备损坏、人员伤亡等，承担全部责任。若</w:t>
      </w:r>
      <w:r>
        <w:rPr>
          <w:rFonts w:hint="eastAsia"/>
        </w:rPr>
        <w:t xml:space="preserve">因投标人过错导致医院经济损失、法律纠纷或不良影响，须全额赔偿实际损失并承担法律责任。</w:t>
      </w:r>
      <w:r/>
    </w:p>
    <w:p>
      <w:pPr>
        <w:pStyle w:val="1090"/>
        <w:ind w:firstLine="480"/>
        <w:jc w:val="both"/>
        <w:spacing w:before="0" w:beforeAutospacing="0" w:after="0" w:afterAutospacing="0" w:line="400" w:lineRule="exact"/>
        <w:rPr>
          <w:rFonts w:hint="eastAsia"/>
        </w:rPr>
      </w:pPr>
      <w:r/>
      <w:bookmarkEnd w:id="355"/>
      <w:r/>
      <w:bookmarkStart w:id="356" w:name="三采购需求调整"/>
      <w:r>
        <w:rPr>
          <w:rFonts w:hint="eastAsia"/>
        </w:rPr>
        <w:t xml:space="preserve">3、采购需求调整</w:t>
      </w:r>
      <w:r/>
    </w:p>
    <w:p>
      <w:pPr>
        <w:pStyle w:val="1090"/>
        <w:ind w:firstLine="480"/>
        <w:jc w:val="both"/>
        <w:spacing w:before="0" w:beforeAutospacing="0" w:after="0" w:afterAutospacing="0" w:line="400" w:lineRule="exact"/>
        <w:rPr>
          <w:rFonts w:hint="eastAsia"/>
        </w:rPr>
      </w:pPr>
      <w:r>
        <w:rPr>
          <w:rFonts w:hint="eastAsia"/>
        </w:rPr>
        <w:t xml:space="preserve">若遇国家政策调整或医院实际工作需要，采购人有权合理调整采购需求，提前书面通知投标人。投标人须积极配合，依法办理相关手续。</w:t>
      </w:r>
      <w:r/>
    </w:p>
    <w:p>
      <w:pPr>
        <w:pStyle w:val="1090"/>
        <w:ind w:firstLine="480"/>
        <w:jc w:val="both"/>
        <w:spacing w:before="0" w:beforeAutospacing="0" w:after="0" w:afterAutospacing="0" w:line="400" w:lineRule="exact"/>
        <w:rPr>
          <w:rFonts w:hint="eastAsia"/>
        </w:rPr>
      </w:pPr>
      <w:r/>
      <w:bookmarkEnd w:id="356"/>
      <w:r/>
      <w:bookmarkStart w:id="357" w:name="四保密要求"/>
      <w:r>
        <w:rPr>
          <w:rFonts w:hint="eastAsia"/>
        </w:rPr>
        <w:t xml:space="preserve">4、保密要求</w:t>
      </w:r>
      <w:r/>
    </w:p>
    <w:p>
      <w:pPr>
        <w:pStyle w:val="1090"/>
        <w:ind w:firstLine="480"/>
        <w:jc w:val="both"/>
        <w:spacing w:before="0" w:beforeAutospacing="0" w:after="0" w:afterAutospacing="0" w:line="400" w:lineRule="exact"/>
        <w:rPr>
          <w:rFonts w:hint="eastAsia"/>
        </w:rPr>
      </w:pPr>
      <w:r>
        <w:rPr>
          <w:rFonts w:hint="eastAsia"/>
        </w:rPr>
        <w:t xml:space="preserve">投标人须对医院设备信息、医疗数据、技术资料、管理文件等涉密信息严格保密，未经书面同意不得泄露或用于其他用途。所有信息仅限本项目服务使用。</w:t>
      </w:r>
      <w:r/>
    </w:p>
    <w:p>
      <w:pPr>
        <w:pStyle w:val="1090"/>
        <w:ind w:firstLine="480"/>
        <w:jc w:val="both"/>
        <w:spacing w:before="0" w:beforeAutospacing="0" w:after="0" w:afterAutospacing="0" w:line="400" w:lineRule="exact"/>
        <w:rPr>
          <w:rFonts w:hint="eastAsia"/>
        </w:rPr>
      </w:pPr>
      <w:r>
        <w:rPr>
          <w:rFonts w:hint="eastAsia"/>
        </w:rPr>
        <w:t xml:space="preserve">服务结束后，须将全部相关资料交还医院或按规范销毁，并出具书面保密承诺函。违反规定造成损失的，依法承担法律责任及赔偿。</w:t>
      </w:r>
      <w:r/>
    </w:p>
    <w:p>
      <w:pPr>
        <w:pStyle w:val="1090"/>
        <w:ind w:firstLine="480"/>
        <w:jc w:val="both"/>
        <w:spacing w:before="0" w:beforeAutospacing="0" w:after="0" w:afterAutospacing="0" w:line="400" w:lineRule="exact"/>
        <w:rPr>
          <w:rFonts w:hint="eastAsia"/>
        </w:rPr>
      </w:pPr>
      <w:r/>
      <w:bookmarkEnd w:id="357"/>
      <w:r/>
      <w:bookmarkStart w:id="358" w:name="五应急配合"/>
      <w:r>
        <w:rPr>
          <w:rFonts w:hint="eastAsia"/>
        </w:rPr>
        <w:t xml:space="preserve">5、应急配合</w:t>
      </w:r>
      <w:r/>
    </w:p>
    <w:p>
      <w:pPr>
        <w:pStyle w:val="1090"/>
        <w:ind w:firstLine="480"/>
        <w:jc w:val="both"/>
        <w:spacing w:before="0" w:beforeAutospacing="0" w:after="0" w:afterAutospacing="0" w:line="400" w:lineRule="exact"/>
        <w:rPr>
          <w:rFonts w:hint="eastAsia"/>
        </w:rPr>
      </w:pPr>
      <w:r>
        <w:rPr>
          <w:rFonts w:hint="eastAsia"/>
        </w:rPr>
        <w:t xml:space="preserve">因国家政策、突发公共卫生事件、重大疫情等不可预见因素产生的临时任务，投标人须无条件配合，服从医院统一调度。</w:t>
      </w:r>
      <w:r/>
    </w:p>
    <w:p>
      <w:pPr>
        <w:pStyle w:val="1090"/>
        <w:ind w:firstLine="480"/>
        <w:jc w:val="both"/>
        <w:spacing w:before="0" w:beforeAutospacing="0" w:after="0" w:afterAutospacing="0" w:line="400" w:lineRule="exact"/>
        <w:rPr>
          <w:rFonts w:hint="eastAsia"/>
        </w:rPr>
      </w:pPr>
      <w:r/>
      <w:bookmarkEnd w:id="358"/>
      <w:r/>
      <w:bookmarkStart w:id="359" w:name="六合同解除条款"/>
      <w:r>
        <w:rPr>
          <w:rFonts w:hint="eastAsia"/>
        </w:rPr>
        <w:t xml:space="preserve">6、合同解除条款</w:t>
      </w:r>
      <w:r/>
    </w:p>
    <w:p>
      <w:pPr>
        <w:pStyle w:val="1090"/>
        <w:ind w:firstLine="480"/>
        <w:jc w:val="both"/>
        <w:spacing w:before="0" w:beforeAutospacing="0" w:after="0" w:afterAutospacing="0" w:line="400" w:lineRule="exact"/>
        <w:rPr>
          <w:rFonts w:hint="eastAsia"/>
        </w:rPr>
      </w:pPr>
      <w:r>
        <w:rPr>
          <w:rFonts w:hint="eastAsia"/>
        </w:rPr>
        <w:t xml:space="preserve">出现以下情形之一，医院有权单方提前解除合同，且投标人须赔偿全部实际损失：</w:t>
      </w:r>
      <w:r>
        <w:t xml:space="preserve"> - </w:t>
      </w:r>
      <w:r>
        <w:rPr>
          <w:rFonts w:hint="eastAsia"/>
        </w:rPr>
        <w:t xml:space="preserve">因投标人原因造成医院工作人员或第三方人员伤亡；</w:t>
      </w:r>
      <w:r>
        <w:t xml:space="preserve"> - </w:t>
      </w:r>
      <w:r>
        <w:rPr>
          <w:rFonts w:hint="eastAsia"/>
        </w:rPr>
        <w:t xml:space="preserve">因投标人过错导致医院遭受重大经济损失、重大负面影响或重大法律纠纷；</w:t>
      </w:r>
      <w:r>
        <w:t xml:space="preserve"> - </w:t>
      </w:r>
      <w:r>
        <w:rPr>
          <w:rFonts w:hint="eastAsia"/>
        </w:rPr>
        <w:t xml:space="preserve">维保服务综合考核结果低于60分。</w:t>
      </w:r>
      <w:r/>
    </w:p>
    <w:p>
      <w:pPr>
        <w:pStyle w:val="1090"/>
        <w:ind w:firstLine="480"/>
        <w:jc w:val="both"/>
        <w:spacing w:before="0" w:beforeAutospacing="0" w:after="0" w:afterAutospacing="0" w:line="400" w:lineRule="exact"/>
        <w:rPr>
          <w:rFonts w:hint="eastAsia"/>
        </w:rPr>
      </w:pPr>
      <w:r/>
      <w:bookmarkEnd w:id="359"/>
      <w:r/>
      <w:bookmarkStart w:id="360" w:name="七服务补充说明"/>
      <w:r>
        <w:rPr>
          <w:rFonts w:hint="eastAsia"/>
        </w:rPr>
        <w:t xml:space="preserve">7、服务补充说明</w:t>
      </w:r>
      <w:r/>
    </w:p>
    <w:p>
      <w:pPr>
        <w:pStyle w:val="1090"/>
        <w:ind w:firstLine="480"/>
        <w:jc w:val="both"/>
        <w:spacing w:before="0" w:beforeAutospacing="0" w:after="0" w:afterAutospacing="0" w:line="400" w:lineRule="exact"/>
        <w:rPr>
          <w:rFonts w:hint="eastAsia"/>
        </w:rPr>
      </w:pPr>
      <w:r>
        <w:rPr>
          <w:rFonts w:hint="eastAsia"/>
        </w:rPr>
        <w:t xml:space="preserve">服务范围及内容包含但不限于上述条款，具体</w:t>
      </w:r>
      <w:bookmarkEnd w:id="353"/>
      <w:r/>
      <w:bookmarkEnd w:id="360"/>
      <w:r>
        <w:rPr>
          <w:rFonts w:hint="eastAsia"/>
        </w:rPr>
        <w:t xml:space="preserve">具体以医院实际、合理的工作需求为准。对于符合约定、合理可行的服务要求，投标人须积极配合落实，不</w:t>
      </w:r>
      <w:r>
        <w:rPr>
          <w:rFonts w:hint="eastAsia"/>
        </w:rPr>
        <w:t xml:space="preserve">得无故推诿拖延。</w:t>
      </w:r>
      <w:r/>
    </w:p>
    <w:p>
      <w:pPr>
        <w:pStyle w:val="1090"/>
        <w:ind w:firstLine="480"/>
        <w:jc w:val="both"/>
        <w:spacing w:before="0" w:beforeAutospacing="0" w:after="0" w:afterAutospacing="0" w:line="400" w:lineRule="exact"/>
        <w:rPr>
          <w:rFonts w:hint="eastAsia"/>
        </w:rPr>
      </w:pPr>
      <w:r>
        <w:rPr>
          <w:rFonts w:hint="eastAsia"/>
        </w:rPr>
        <w:t xml:space="preserve">（十三）</w:t>
      </w:r>
      <w:r>
        <w:t xml:space="preserve">服务考核要求</w:t>
      </w:r>
      <w:r>
        <w:rPr>
          <w:rFonts w:hint="eastAsia"/>
        </w:rPr>
      </w:r>
      <w:r/>
    </w:p>
    <w:p>
      <w:pPr>
        <w:pStyle w:val="1090"/>
        <w:ind w:firstLine="480"/>
        <w:jc w:val="both"/>
        <w:spacing w:before="0" w:beforeAutospacing="0" w:after="0" w:afterAutospacing="0" w:line="400" w:lineRule="exact"/>
        <w:rPr>
          <w:rFonts w:hint="eastAsia"/>
        </w:rPr>
      </w:pPr>
      <w:r>
        <w:t xml:space="preserve">医院每季度对投标人的服务质量开展一次考核。考核指标包括但不限于：服务响应时间、维修响应及修复率、保养完成率、设备故障率、客户满意度、设备开机率等（详见附件《金坛第一人民医院全院医疗设备托管服务考核细则》）。具体考核指标和权重，医院可根据实际情况进行调整，并在服务合同中明确约定。</w:t>
      </w:r>
      <w:r>
        <w:rPr>
          <w:rFonts w:hint="eastAsia"/>
        </w:rPr>
      </w:r>
      <w:r/>
    </w:p>
    <w:p>
      <w:pPr>
        <w:pStyle w:val="1090"/>
        <w:ind w:firstLine="480"/>
        <w:jc w:val="both"/>
        <w:spacing w:before="0" w:beforeAutospacing="0" w:after="0" w:afterAutospacing="0" w:line="400" w:lineRule="exact"/>
        <w:rPr>
          <w:rFonts w:hint="eastAsia"/>
        </w:rPr>
      </w:pPr>
      <w:r>
        <w:t xml:space="preserve">每季度考核结果作为医院支付服务费用的重要依据，考核兑现标准如下：</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1520"/>
        <w:gridCol w:w="5803"/>
      </w:tblGrid>
      <w:tr>
        <w:trPr/>
        <w:tc>
          <w:tcPr>
            <w:tcW w:w="1205" w:type="dxa"/>
            <w:vAlign w:val="top"/>
            <w:textDirection w:val="lrTb"/>
            <w:noWrap w:val="false"/>
          </w:tcPr>
          <w:p>
            <w:pPr>
              <w:pStyle w:val="1090"/>
              <w:ind w:firstLine="480"/>
              <w:jc w:val="both"/>
              <w:spacing w:before="0" w:beforeAutospacing="0" w:after="0" w:afterAutospacing="0" w:line="400" w:lineRule="exact"/>
              <w:rPr>
                <w:rFonts w:hint="eastAsia"/>
              </w:rPr>
            </w:pPr>
            <w:r>
              <w:rPr>
                <w:rFonts w:hint="eastAsia"/>
              </w:rPr>
              <w:t xml:space="preserve">序号</w:t>
            </w:r>
            <w:r/>
          </w:p>
        </w:tc>
        <w:tc>
          <w:tcPr>
            <w:tcW w:w="1520" w:type="dxa"/>
            <w:vAlign w:val="top"/>
            <w:textDirection w:val="lrTb"/>
            <w:noWrap w:val="false"/>
          </w:tcPr>
          <w:p>
            <w:pPr>
              <w:pStyle w:val="1090"/>
              <w:ind w:firstLine="480"/>
              <w:jc w:val="both"/>
              <w:spacing w:before="0" w:beforeAutospacing="0" w:after="0" w:afterAutospacing="0" w:line="400" w:lineRule="exact"/>
              <w:rPr>
                <w:rFonts w:hint="eastAsia"/>
              </w:rPr>
            </w:pPr>
            <w:r>
              <w:t xml:space="preserve">考核分</w:t>
            </w:r>
            <w:r>
              <w:rPr>
                <w:rFonts w:hint="eastAsia"/>
              </w:rPr>
            </w:r>
            <w:r/>
          </w:p>
        </w:tc>
        <w:tc>
          <w:tcPr>
            <w:tcW w:w="5803" w:type="dxa"/>
            <w:vAlign w:val="top"/>
            <w:textDirection w:val="lrTb"/>
            <w:noWrap w:val="false"/>
          </w:tcPr>
          <w:p>
            <w:pPr>
              <w:pStyle w:val="1090"/>
              <w:ind w:firstLine="480"/>
              <w:jc w:val="both"/>
              <w:spacing w:before="0" w:beforeAutospacing="0" w:after="0" w:afterAutospacing="0" w:line="400" w:lineRule="exact"/>
              <w:rPr>
                <w:rFonts w:hint="eastAsia"/>
              </w:rPr>
            </w:pPr>
            <w:r>
              <w:t xml:space="preserve">处理方式</w:t>
            </w:r>
            <w:r>
              <w:rPr>
                <w:rFonts w:hint="eastAsia"/>
              </w:rPr>
            </w:r>
            <w:r/>
          </w:p>
        </w:tc>
      </w:tr>
      <w:tr>
        <w:trPr/>
        <w:tc>
          <w:tcPr>
            <w:tcW w:w="1205" w:type="dxa"/>
            <w:vAlign w:val="top"/>
            <w:textDirection w:val="lrTb"/>
            <w:noWrap w:val="false"/>
          </w:tcPr>
          <w:p>
            <w:pPr>
              <w:pStyle w:val="1090"/>
              <w:ind w:firstLine="480"/>
              <w:jc w:val="both"/>
              <w:spacing w:before="0" w:beforeAutospacing="0" w:after="0" w:afterAutospacing="0" w:line="400" w:lineRule="exact"/>
              <w:rPr>
                <w:rFonts w:hint="eastAsia"/>
              </w:rPr>
            </w:pPr>
            <w:r>
              <w:rPr>
                <w:rFonts w:hint="eastAsia"/>
              </w:rPr>
              <w:t xml:space="preserve">1</w:t>
            </w:r>
            <w:r/>
          </w:p>
        </w:tc>
        <w:tc>
          <w:tcPr>
            <w:tcW w:w="1520"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≥90分</w:t>
            </w:r>
            <w:r>
              <w:rPr>
                <w:rFonts w:hint="eastAsia"/>
              </w:rPr>
            </w:r>
            <w:r/>
          </w:p>
        </w:tc>
        <w:tc>
          <w:tcPr>
            <w:tcW w:w="5803"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当期服务费全额给付</w:t>
            </w:r>
            <w:r>
              <w:rPr>
                <w:rFonts w:hint="eastAsia"/>
              </w:rPr>
            </w:r>
            <w:r/>
          </w:p>
        </w:tc>
      </w:tr>
      <w:tr>
        <w:trPr/>
        <w:tc>
          <w:tcPr>
            <w:tcW w:w="1205" w:type="dxa"/>
            <w:vAlign w:val="top"/>
            <w:textDirection w:val="lrTb"/>
            <w:noWrap w:val="false"/>
          </w:tcPr>
          <w:p>
            <w:pPr>
              <w:pStyle w:val="1090"/>
              <w:ind w:firstLine="480"/>
              <w:jc w:val="both"/>
              <w:spacing w:before="0" w:beforeAutospacing="0" w:after="0" w:afterAutospacing="0" w:line="400" w:lineRule="exact"/>
              <w:rPr>
                <w:rFonts w:hint="eastAsia"/>
              </w:rPr>
            </w:pPr>
            <w:r>
              <w:rPr>
                <w:rFonts w:hint="eastAsia"/>
              </w:rPr>
              <w:t xml:space="preserve">2</w:t>
            </w:r>
            <w:r/>
          </w:p>
        </w:tc>
        <w:tc>
          <w:tcPr>
            <w:tcW w:w="1520"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80分≤考核分＜90分</w:t>
            </w:r>
            <w:r>
              <w:rPr>
                <w:rFonts w:hint="eastAsia"/>
              </w:rPr>
            </w:r>
            <w:r/>
          </w:p>
        </w:tc>
        <w:tc>
          <w:tcPr>
            <w:tcW w:w="5803"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以90分为基准，每扣1分，扣除当期服务费的0.2%作为违约金</w:t>
            </w:r>
            <w:r>
              <w:rPr>
                <w:rFonts w:hint="eastAsia"/>
              </w:rPr>
            </w:r>
            <w:r/>
          </w:p>
        </w:tc>
      </w:tr>
      <w:tr>
        <w:trPr/>
        <w:tc>
          <w:tcPr>
            <w:tcW w:w="1205" w:type="dxa"/>
            <w:vAlign w:val="top"/>
            <w:textDirection w:val="lrTb"/>
            <w:noWrap w:val="false"/>
          </w:tcPr>
          <w:p>
            <w:pPr>
              <w:pStyle w:val="1090"/>
              <w:ind w:firstLine="480"/>
              <w:jc w:val="both"/>
              <w:spacing w:before="0" w:beforeAutospacing="0" w:after="0" w:afterAutospacing="0" w:line="400" w:lineRule="exact"/>
              <w:rPr>
                <w:rFonts w:hint="eastAsia"/>
              </w:rPr>
            </w:pPr>
            <w:r>
              <w:rPr>
                <w:rFonts w:hint="eastAsia"/>
              </w:rPr>
              <w:t xml:space="preserve">3</w:t>
            </w:r>
            <w:r/>
          </w:p>
        </w:tc>
        <w:tc>
          <w:tcPr>
            <w:tcW w:w="1520"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60分≤考核分＜80分</w:t>
            </w:r>
            <w:r>
              <w:rPr>
                <w:rFonts w:hint="eastAsia"/>
              </w:rPr>
            </w:r>
            <w:r/>
          </w:p>
        </w:tc>
        <w:tc>
          <w:tcPr>
            <w:tcW w:w="5803"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以90分为基准，每扣1分，扣除当期服务费的0.2%作为违约金；医院有权要求限期整改，整改后仍不合格的，终止合同并追究违约责任</w:t>
            </w:r>
            <w:r>
              <w:rPr>
                <w:rFonts w:hint="eastAsia"/>
              </w:rPr>
            </w:r>
            <w:r/>
          </w:p>
        </w:tc>
      </w:tr>
      <w:tr>
        <w:trPr/>
        <w:tc>
          <w:tcPr>
            <w:tcW w:w="1205" w:type="dxa"/>
            <w:vAlign w:val="top"/>
            <w:textDirection w:val="lrTb"/>
            <w:noWrap w:val="false"/>
          </w:tcPr>
          <w:p>
            <w:pPr>
              <w:pStyle w:val="1090"/>
              <w:ind w:firstLine="480"/>
              <w:jc w:val="both"/>
              <w:spacing w:before="0" w:beforeAutospacing="0" w:after="0" w:afterAutospacing="0" w:line="400" w:lineRule="exact"/>
              <w:rPr>
                <w:rFonts w:hint="eastAsia"/>
              </w:rPr>
            </w:pPr>
            <w:r>
              <w:rPr>
                <w:rFonts w:hint="eastAsia"/>
              </w:rPr>
              <w:t xml:space="preserve">4</w:t>
            </w:r>
            <w:r/>
          </w:p>
        </w:tc>
        <w:tc>
          <w:tcPr>
            <w:tcW w:w="1520"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＜60分</w:t>
            </w:r>
            <w:r>
              <w:rPr>
                <w:rFonts w:hint="eastAsia"/>
              </w:rPr>
            </w:r>
            <w:r/>
          </w:p>
        </w:tc>
        <w:tc>
          <w:tcPr>
            <w:tcW w:w="5803" w:type="dxa"/>
            <w:vAlign w:val="center"/>
            <w:textDirection w:val="lrTb"/>
            <w:noWrap w:val="false"/>
          </w:tcPr>
          <w:p>
            <w:pPr>
              <w:pStyle w:val="1090"/>
              <w:ind w:firstLine="480"/>
              <w:jc w:val="both"/>
              <w:spacing w:before="0" w:beforeAutospacing="0" w:after="0" w:afterAutospacing="0" w:line="400" w:lineRule="exact"/>
              <w:rPr>
                <w:rFonts w:hint="eastAsia"/>
              </w:rPr>
            </w:pPr>
            <w:r>
              <w:t xml:space="preserve">医院有权终止服务合同，并追究违约责任</w:t>
            </w:r>
            <w:r>
              <w:rPr>
                <w:rFonts w:hint="eastAsia"/>
              </w:rPr>
            </w:r>
            <w:r/>
          </w:p>
        </w:tc>
      </w:tr>
    </w:tbl>
    <w:p>
      <w:pPr>
        <w:pStyle w:val="1090"/>
        <w:ind w:firstLine="482"/>
        <w:jc w:val="both"/>
        <w:spacing w:before="0" w:beforeAutospacing="0" w:after="0" w:afterAutospacing="0" w:line="400" w:lineRule="exact"/>
        <w:rPr>
          <w:b/>
          <w:bCs/>
        </w:rPr>
      </w:pPr>
      <w:r/>
      <w:bookmarkStart w:id="361" w:name="OLE_LINK22"/>
      <w:r/>
      <w:bookmarkStart w:id="362" w:name="OLE_LINK27"/>
      <w:r>
        <w:rPr>
          <w:rFonts w:hint="eastAsia"/>
          <w:b/>
          <w:bCs/>
        </w:rPr>
        <w:t xml:space="preserve">★</w:t>
      </w:r>
      <w:bookmarkEnd w:id="362"/>
      <w:r>
        <w:rPr>
          <w:rFonts w:hint="eastAsia"/>
          <w:b/>
          <w:bCs/>
        </w:rPr>
        <w:t xml:space="preserve">（十四）投标人承诺，将严格遵照本项目全部服务要求、技术标准及相关规定，完整、保质保量完成本项目项全部服务工作。提供承诺函，格式自拟。</w:t>
      </w:r>
      <w:bookmarkStart w:id="363" w:name="OLE_LINK28"/>
      <w:r>
        <w:rPr>
          <w:rFonts w:hint="eastAsia"/>
          <w:b/>
          <w:bCs/>
        </w:rPr>
        <w:t xml:space="preserve">(需提供的相关材料通过“苏采云”上传至“符合条件”--“投标（响应）文件有效性”)。</w:t>
      </w:r>
      <w:bookmarkEnd w:id="363"/>
      <w:r>
        <w:rPr>
          <w:b/>
          <w:bCs/>
        </w:rPr>
      </w:r>
      <w:r/>
    </w:p>
    <w:p>
      <w:pPr>
        <w:pStyle w:val="1090"/>
        <w:ind w:firstLine="482"/>
        <w:jc w:val="both"/>
        <w:spacing w:before="0" w:beforeAutospacing="0" w:after="0" w:afterAutospacing="0" w:line="400" w:lineRule="exact"/>
        <w:rPr>
          <w:rFonts w:hint="eastAsia"/>
          <w:b/>
          <w:bCs/>
        </w:rPr>
      </w:pPr>
      <w:r>
        <w:rPr>
          <w:rFonts w:hint="eastAsia"/>
          <w:b/>
          <w:bCs/>
        </w:rPr>
        <w:t xml:space="preserve">★（十五）</w:t>
      </w:r>
      <w:bookmarkStart w:id="364" w:name="OLE_LINK11"/>
      <w:r/>
      <w:bookmarkStart w:id="365" w:name="OLE_LINK29"/>
      <w:r>
        <w:rPr>
          <w:rFonts w:hint="eastAsia"/>
          <w:b/>
          <w:bCs/>
        </w:rPr>
        <w:t xml:space="preserve">投标人承诺维保放射性医疗设备的供应商具有有效</w:t>
      </w:r>
      <w:r>
        <w:rPr>
          <w:rFonts w:hint="eastAsia"/>
          <w:b/>
          <w:bCs/>
        </w:rPr>
        <w:t xml:space="preserve">期内辐射安全许可证，维保医疗设备需更换零配件时，若更换零配件属于依法纳入医疗器械管理范畴的，零配件供应商须具备对应有效的医疗器械经营许可证，该零配件持有合法有效的医疗器械注册证。提供承诺函，格式自拟。(需提供的相关材料通过“苏采云”上传至“符合条件”--“投标（响应）文件有效性”)</w:t>
      </w:r>
      <w:bookmarkEnd w:id="364"/>
      <w:r>
        <w:rPr>
          <w:rFonts w:hint="eastAsia"/>
          <w:b/>
          <w:bCs/>
        </w:rPr>
        <w:t xml:space="preserve">。</w:t>
      </w:r>
      <w:r/>
    </w:p>
    <w:p>
      <w:pPr>
        <w:pStyle w:val="1028"/>
        <w:spacing w:line="400" w:lineRule="exact"/>
        <w:widowControl/>
        <w:rPr>
          <w:rFonts w:ascii="宋体" w:hAnsi="宋体" w:cs="宋体"/>
          <w:b/>
          <w:bCs/>
          <w:sz w:val="24"/>
        </w:rPr>
      </w:pPr>
      <w:r/>
      <w:bookmarkEnd w:id="361"/>
      <w:r/>
      <w:bookmarkEnd w:id="365"/>
      <w:r>
        <w:rPr>
          <w:rFonts w:hint="eastAsia" w:ascii="宋体" w:hAnsi="宋体" w:cs="宋体"/>
          <w:b/>
          <w:bCs/>
          <w:sz w:val="24"/>
        </w:rPr>
        <w:t xml:space="preserve">四、实质性要求</w:t>
      </w:r>
      <w:r>
        <w:rPr>
          <w:rFonts w:ascii="宋体" w:hAnsi="宋体" w:cs="宋体"/>
          <w:b/>
          <w:bCs/>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8817"/>
      </w:tblGrid>
      <w:tr>
        <w:trPr/>
        <w:tc>
          <w:tcPr>
            <w:tcW w:w="428" w:type="pct"/>
            <w:vAlign w:val="center"/>
            <w:textDirection w:val="lrTb"/>
            <w:noWrap w:val="false"/>
          </w:tcPr>
          <w:p>
            <w:pPr>
              <w:pStyle w:val="1028"/>
              <w:jc w:val="center"/>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pStyle w:val="1028"/>
              <w:jc w:val="center"/>
              <w:rPr>
                <w:rFonts w:hint="eastAsia" w:ascii="宋体" w:hAnsi="宋体" w:cs="宋体"/>
                <w:szCs w:val="28"/>
              </w:rPr>
            </w:pPr>
            <w:r>
              <w:rPr>
                <w:rFonts w:hint="eastAsia" w:ascii="宋体" w:hAnsi="宋体" w:cs="宋体"/>
                <w:szCs w:val="28"/>
              </w:rPr>
              <w:t xml:space="preserve">实质性条款具体内容</w:t>
            </w:r>
            <w:r/>
          </w:p>
        </w:tc>
      </w:tr>
      <w:tr>
        <w:trPr/>
        <w:tc>
          <w:tcPr>
            <w:tcW w:w="428" w:type="pct"/>
            <w:vAlign w:val="center"/>
            <w:textDirection w:val="lrTb"/>
            <w:noWrap w:val="false"/>
          </w:tcPr>
          <w:p>
            <w:pPr>
              <w:pStyle w:val="1028"/>
              <w:jc w:val="center"/>
              <w:rPr>
                <w:rFonts w:hint="eastAsia" w:ascii="宋体" w:hAnsi="宋体" w:cs="宋体"/>
                <w:szCs w:val="28"/>
              </w:rPr>
            </w:pPr>
            <w:r>
              <w:rPr>
                <w:rFonts w:hint="eastAsia" w:ascii="宋体" w:hAnsi="宋体" w:cs="宋体"/>
                <w:szCs w:val="28"/>
              </w:rPr>
              <w:t xml:space="preserve">1</w:t>
            </w:r>
            <w:r/>
          </w:p>
        </w:tc>
        <w:tc>
          <w:tcPr>
            <w:tcW w:w="4572" w:type="pct"/>
            <w:vAlign w:val="center"/>
            <w:textDirection w:val="lrTb"/>
            <w:noWrap w:val="false"/>
          </w:tcPr>
          <w:p>
            <w:pPr>
              <w:pStyle w:val="1090"/>
              <w:spacing w:line="400" w:lineRule="exact"/>
              <w:rPr>
                <w:b/>
                <w:bCs/>
              </w:rPr>
            </w:pPr>
            <w:r>
              <w:rPr>
                <w:rFonts w:hint="eastAsia"/>
                <w:b/>
                <w:bCs/>
              </w:rPr>
              <w:t xml:space="preserve">投标人承诺，将严格遵照本项目全部服务要求、技术标准及相关规定，完整、保质保量完成本项目项全部服务工作。提供承诺函，格式自拟。(需提供的相关材料通过“苏采云”上传至“符合条件”--“投标（响应）文件有效性”)。</w:t>
            </w:r>
            <w:r>
              <w:rPr>
                <w:b/>
                <w:bCs/>
              </w:rPr>
            </w:r>
            <w:r/>
          </w:p>
          <w:p>
            <w:pPr>
              <w:pStyle w:val="1028"/>
              <w:jc w:val="center"/>
              <w:rPr>
                <w:rFonts w:hint="eastAsia" w:ascii="宋体" w:hAnsi="宋体" w:cs="宋体"/>
                <w:szCs w:val="28"/>
              </w:rPr>
            </w:pPr>
            <w:r>
              <w:rPr>
                <w:rFonts w:hint="eastAsia" w:ascii="宋体" w:hAnsi="宋体" w:cs="宋体"/>
                <w:szCs w:val="28"/>
              </w:rPr>
            </w:r>
            <w:r/>
          </w:p>
        </w:tc>
      </w:tr>
      <w:tr>
        <w:trPr/>
        <w:tc>
          <w:tcPr>
            <w:tcW w:w="428" w:type="pct"/>
            <w:vAlign w:val="center"/>
            <w:textDirection w:val="lrTb"/>
            <w:noWrap w:val="false"/>
          </w:tcPr>
          <w:p>
            <w:pPr>
              <w:pStyle w:val="1028"/>
              <w:jc w:val="center"/>
              <w:rPr>
                <w:rFonts w:hint="eastAsia" w:ascii="宋体" w:hAnsi="宋体" w:cs="宋体"/>
                <w:szCs w:val="28"/>
              </w:rPr>
            </w:pPr>
            <w:r>
              <w:rPr>
                <w:rFonts w:hint="eastAsia" w:ascii="宋体" w:hAnsi="宋体" w:cs="宋体"/>
                <w:szCs w:val="28"/>
              </w:rPr>
              <w:t xml:space="preserve">2</w:t>
            </w:r>
            <w:r/>
          </w:p>
        </w:tc>
        <w:tc>
          <w:tcPr>
            <w:tcW w:w="4572" w:type="pct"/>
            <w:vAlign w:val="center"/>
            <w:textDirection w:val="lrTb"/>
            <w:noWrap w:val="false"/>
          </w:tcPr>
          <w:p>
            <w:pPr>
              <w:pStyle w:val="1090"/>
              <w:spacing w:line="400" w:lineRule="exact"/>
              <w:rPr>
                <w:rFonts w:hint="eastAsia"/>
                <w:b/>
                <w:bCs/>
              </w:rPr>
            </w:pPr>
            <w:r>
              <w:rPr>
                <w:rFonts w:hint="eastAsia"/>
                <w:b/>
                <w:bCs/>
              </w:rPr>
              <w:t xml:space="preserve">投标人承诺维保放射性医疗设备的供应商具有有效期内辐射安全许可证，维保医疗设备需更换零配件时，若更换零配件属于依法纳入医疗器械管理范畴的，零配件供应商须具备对应有效的医疗器械经营许可证，该零配件持有合法有效的医疗器械注册证。提供承诺函，格式自拟。(需提供的相关材料通过“苏采云”上传至“符合条件”--“投标（响应）文件有效性”)。</w:t>
            </w:r>
            <w:r/>
          </w:p>
        </w:tc>
      </w:tr>
    </w:tbl>
    <w:p>
      <w:pPr>
        <w:pStyle w:val="1028"/>
        <w:jc w:val="left"/>
        <w:spacing w:line="400" w:lineRule="exact"/>
        <w:widowControl/>
        <w:rPr>
          <w:rFonts w:ascii="宋体" w:hAnsi="宋体" w:cs="宋体"/>
          <w:b/>
          <w:bCs/>
          <w:sz w:val="24"/>
        </w:rPr>
      </w:pPr>
      <w:r>
        <w:rPr>
          <w:rFonts w:ascii="宋体" w:hAnsi="宋体" w:cs="宋体"/>
          <w:b/>
          <w:bCs/>
          <w:sz w:val="24"/>
        </w:rPr>
      </w:r>
      <w:r/>
    </w:p>
    <w:p>
      <w:pPr>
        <w:pStyle w:val="1028"/>
        <w:jc w:val="left"/>
        <w:spacing w:line="400" w:lineRule="exact"/>
        <w:widowControl/>
        <w:rPr>
          <w:rFonts w:ascii="宋体" w:hAnsi="宋体" w:cs="宋体"/>
          <w:b/>
          <w:bCs/>
          <w:sz w:val="24"/>
        </w:rPr>
      </w:pPr>
      <w:r>
        <w:rPr>
          <w:rFonts w:hint="eastAsia" w:ascii="宋体" w:hAnsi="宋体" w:cs="宋体"/>
          <w:b/>
          <w:bCs/>
          <w:sz w:val="24"/>
        </w:rPr>
        <w:t xml:space="preserve">五、采购标的对应的中小企业划分标准所属行业一览表</w:t>
      </w:r>
      <w:r>
        <w:rPr>
          <w:rFonts w:ascii="宋体" w:hAnsi="宋体" w:cs="宋体"/>
          <w:b/>
          <w:bCs/>
          <w:sz w:val="24"/>
        </w:rPr>
      </w:r>
      <w:r/>
    </w:p>
    <w:tbl>
      <w:tblPr>
        <w:tblW w:w="8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10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10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对应中小企业划分标准所属行业</w:t>
            </w:r>
            <w:r/>
          </w:p>
        </w:tc>
      </w:tr>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28"/>
              <w:jc w:val="left"/>
              <w:spacing w:before="100" w:beforeAutospacing="1" w:after="100" w:afterAutospacing="1" w:line="40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1028"/>
              <w:jc w:val="center"/>
              <w:spacing w:before="100" w:beforeAutospacing="1" w:after="100" w:afterAutospacing="1" w:line="400" w:lineRule="exact"/>
              <w:widowControl/>
              <w:rPr>
                <w:rFonts w:ascii="宋体" w:hAnsi="宋体" w:cs="宋体"/>
                <w:sz w:val="24"/>
              </w:rPr>
            </w:pPr>
            <w:r/>
            <w:bookmarkStart w:id="366" w:name="OLE_LINK24"/>
            <w:r>
              <w:rPr>
                <w:rFonts w:hint="eastAsia" w:ascii="宋体" w:hAnsi="宋体" w:cs="宋体"/>
                <w:sz w:val="24"/>
              </w:rPr>
              <w:t xml:space="preserve">金坛第一人民医院全院医疗设备托管服务</w:t>
            </w:r>
            <w:r>
              <w:rPr>
                <w:rFonts w:hint="eastAsia" w:ascii="宋体" w:hAnsi="宋体" w:cs="宋体"/>
                <w:sz w:val="24"/>
              </w:rPr>
              <w:t xml:space="preserve">项目</w:t>
            </w:r>
            <w:bookmarkEnd w:id="366"/>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sz w:val="24"/>
              </w:rPr>
              <w:t xml:space="preserve">本项目属于</w:t>
            </w:r>
            <w:r>
              <w:rPr>
                <w:rFonts w:hint="eastAsia"/>
                <w:b/>
                <w:bCs/>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s="宋体"/>
                <w:sz w:val="24"/>
              </w:rPr>
            </w:r>
            <w:r/>
          </w:p>
        </w:tc>
      </w:tr>
    </w:tbl>
    <w:p>
      <w:pPr>
        <w:pStyle w:val="1028"/>
        <w:jc w:val="left"/>
        <w:spacing w:line="400" w:lineRule="exact"/>
        <w:widowControl/>
        <w:rPr>
          <w:rFonts w:ascii="宋体" w:hAnsi="宋体" w:cs="宋体"/>
          <w:b/>
          <w:bCs/>
          <w:sz w:val="24"/>
        </w:rPr>
      </w:pPr>
      <w:r>
        <w:rPr>
          <w:rFonts w:hint="eastAsia" w:ascii="宋体" w:hAnsi="宋体" w:cs="宋体"/>
          <w:b/>
          <w:bCs/>
          <w:sz w:val="24"/>
        </w:rPr>
        <w:t xml:space="preserve">六、采购明细</w:t>
      </w:r>
      <w:r>
        <w:rPr>
          <w:rFonts w:ascii="宋体" w:hAnsi="宋体" w:cs="宋体"/>
          <w:b/>
          <w:bCs/>
          <w:sz w:val="24"/>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041"/>
        <w:gridCol w:w="1660"/>
        <w:gridCol w:w="1658"/>
        <w:gridCol w:w="3093"/>
      </w:tblGrid>
      <w:tr>
        <w:trPr>
          <w:cantSplit/>
          <w:trHeight w:val="771"/>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93" w:type="dxa"/>
            <w:vAlign w:val="top"/>
            <w:textDirection w:val="lrTb"/>
            <w:noWrap w:val="false"/>
          </w:tcPr>
          <w:p>
            <w:pPr>
              <w:pStyle w:val="10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备注</w:t>
            </w:r>
            <w:r/>
          </w:p>
        </w:tc>
      </w:tr>
      <w:tr>
        <w:trPr>
          <w:cantSplit/>
          <w:trHeight w:val="771"/>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金坛第一人民医院全院医疗设备托管服务项目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028"/>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93" w:type="dxa"/>
            <w:vAlign w:val="top"/>
            <w:textDirection w:val="lrTb"/>
            <w:noWrap w:val="false"/>
          </w:tcPr>
          <w:p>
            <w:pPr>
              <w:pStyle w:val="1028"/>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r>
            <w:r/>
          </w:p>
        </w:tc>
      </w:tr>
    </w:tbl>
    <w:p>
      <w:pPr>
        <w:pStyle w:val="1028"/>
        <w:jc w:val="left"/>
        <w:spacing w:line="400" w:lineRule="exact"/>
        <w:widowControl/>
        <w:rPr>
          <w:rFonts w:hint="eastAsia" w:ascii="宋体" w:hAnsi="宋体" w:cs="宋体"/>
          <w:sz w:val="24"/>
        </w:rPr>
      </w:pPr>
      <w:r>
        <w:rPr>
          <w:rFonts w:hint="eastAsia" w:ascii="宋体" w:hAnsi="宋体" w:cs="宋体"/>
          <w:sz w:val="24"/>
        </w:rPr>
      </w:r>
      <w:r/>
    </w:p>
    <w:p>
      <w:pPr>
        <w:pStyle w:val="1028"/>
        <w:spacing w:line="400" w:lineRule="exact"/>
        <w:widowControl/>
        <w:rPr>
          <w:rFonts w:ascii="宋体" w:hAnsi="宋体" w:cs="宋体"/>
          <w:sz w:val="24"/>
        </w:rPr>
      </w:pPr>
      <w:r>
        <w:rPr>
          <w:rFonts w:hint="eastAsia" w:ascii="宋体" w:hAnsi="宋体" w:cs="宋体"/>
          <w:b/>
          <w:bCs/>
          <w:sz w:val="24"/>
        </w:rPr>
        <w:t xml:space="preserve">七、其它</w:t>
      </w:r>
      <w:r>
        <w:rPr>
          <w:rFonts w:ascii="宋体" w:hAnsi="宋体" w:cs="宋体"/>
          <w:sz w:val="24"/>
        </w:rPr>
      </w:r>
      <w:r/>
    </w:p>
    <w:p>
      <w:pPr>
        <w:pStyle w:val="1096"/>
        <w:ind w:firstLine="422"/>
        <w:spacing w:line="360" w:lineRule="auto"/>
        <w:rPr>
          <w:rFonts w:hint="eastAsia" w:cs="宋体"/>
        </w:rPr>
      </w:pPr>
      <w:r>
        <w:rPr>
          <w:rFonts w:hint="eastAsia" w:cs="宋体"/>
        </w:rPr>
        <w:t xml:space="preserve">1、本次采购包括项目范围内的所有内容及采购人合理要求的其他内容，当采购人有合理要求时，中标人不得以任何理由予以拒绝。</w:t>
      </w:r>
      <w:r/>
    </w:p>
    <w:p>
      <w:pPr>
        <w:pStyle w:val="1096"/>
        <w:ind w:firstLine="422"/>
        <w:spacing w:line="360" w:lineRule="auto"/>
        <w:rPr>
          <w:rFonts w:cs="宋体"/>
        </w:rPr>
      </w:pPr>
      <w:r>
        <w:rPr>
          <w:rFonts w:hint="eastAsia" w:cs="宋体"/>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rFonts w:cs="宋体"/>
        </w:rPr>
      </w:r>
      <w:r/>
    </w:p>
    <w:p>
      <w:pPr>
        <w:pStyle w:val="1096"/>
        <w:ind w:firstLine="424"/>
        <w:spacing w:line="360" w:lineRule="auto"/>
        <w:rPr>
          <w:rFonts w:cs="宋体"/>
          <w:b/>
          <w:bCs/>
        </w:rPr>
      </w:pPr>
      <w:r>
        <w:rPr>
          <w:rFonts w:hint="eastAsia" w:cs="宋体"/>
          <w:b/>
          <w:bCs/>
        </w:rPr>
        <w:t xml:space="preserve">注：以上打“★”条款为实质性条款，投标人须实质性响应，否则，作无效标处理。</w:t>
      </w:r>
      <w:r>
        <w:rPr>
          <w:rFonts w:cs="宋体"/>
          <w:b/>
          <w:bCs/>
        </w:rPr>
      </w:r>
      <w:r/>
    </w:p>
    <w:p>
      <w:pPr>
        <w:pStyle w:val="1096"/>
        <w:ind w:firstLine="424"/>
        <w:spacing w:line="360" w:lineRule="auto"/>
        <w:rPr>
          <w:rFonts w:cs="宋体"/>
          <w:b/>
          <w:bCs/>
        </w:rPr>
      </w:pPr>
      <w:r>
        <w:rPr>
          <w:rFonts w:hint="eastAsia" w:cs="宋体"/>
          <w:b/>
          <w:bCs/>
        </w:rPr>
        <w:t xml:space="preserve">附件：</w:t>
      </w:r>
      <w:r>
        <w:rPr>
          <w:rFonts w:cs="宋体"/>
          <w:b/>
          <w:bCs/>
        </w:rPr>
      </w:r>
      <w:r/>
    </w:p>
    <w:p>
      <w:pPr>
        <w:pStyle w:val="1096"/>
        <w:ind w:firstLine="424"/>
        <w:spacing w:line="360" w:lineRule="auto"/>
        <w:rPr>
          <w:rFonts w:hint="eastAsia" w:cs="宋体"/>
          <w:b/>
          <w:bCs/>
        </w:rPr>
      </w:pPr>
      <w:r>
        <w:rPr>
          <w:rFonts w:hint="eastAsia" w:cs="宋体"/>
          <w:b/>
          <w:bCs/>
        </w:rPr>
        <w:t xml:space="preserve">附件1设备清单（包含救护车内部配置医疗设备）</w:t>
      </w:r>
      <w:r/>
    </w:p>
    <w:tbl>
      <w:tblPr>
        <w:tblW w:w="9613" w:type="dxa"/>
        <w:tblInd w:w="33" w:type="dxa"/>
        <w:tblLayout w:type="autofit"/>
        <w:tblCellMar>
          <w:left w:w="108" w:type="dxa"/>
          <w:top w:w="0" w:type="dxa"/>
          <w:right w:w="108" w:type="dxa"/>
          <w:bottom w:w="0" w:type="dxa"/>
        </w:tblCellMar>
        <w:tblLook w:val="04A0" w:firstRow="1" w:lastRow="0" w:firstColumn="1" w:lastColumn="0" w:noHBand="0" w:noVBand="1"/>
      </w:tblPr>
      <w:tblGrid>
        <w:gridCol w:w="4222"/>
        <w:gridCol w:w="3190"/>
        <w:gridCol w:w="2201"/>
      </w:tblGrid>
      <w:tr>
        <w:trPr>
          <w:trHeight w:val="270"/>
          <w:tblHeader/>
        </w:trPr>
        <w:tc>
          <w:tcPr>
            <w:shd w:val="clear" w:color="000000" w:fill="c0c0c0"/>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ind w:firstLine="1044"/>
              <w:jc w:val="center"/>
              <w:rPr>
                <w:rFonts w:hint="eastAsia" w:ascii="宋体" w:hAnsi="宋体" w:cs="宋体"/>
                <w:sz w:val="24"/>
              </w:rPr>
            </w:pPr>
            <w:r>
              <w:rPr>
                <w:rFonts w:hint="eastAsia" w:ascii="宋体" w:hAnsi="宋体" w:cs="宋体"/>
                <w:sz w:val="24"/>
              </w:rPr>
              <w:t xml:space="preserve">资产名称</w:t>
            </w:r>
            <w:r/>
          </w:p>
        </w:tc>
        <w:tc>
          <w:tcPr>
            <w:shd w:val="clear" w:color="000000" w:fill="c0c0c0"/>
            <w:tcBorders>
              <w:top w:val="single" w:color="000000" w:sz="4" w:space="0"/>
              <w:left w:val="none" w:color="000000" w:sz="4" w:space="0"/>
              <w:bottom w:val="single" w:color="000000" w:sz="4" w:space="0"/>
              <w:right w:val="single" w:color="000000" w:sz="4" w:space="0"/>
            </w:tcBorders>
            <w:tcW w:w="3190" w:type="dxa"/>
            <w:vAlign w:val="center"/>
            <w:textDirection w:val="lrTb"/>
            <w:noWrap/>
          </w:tcPr>
          <w:p>
            <w:pPr>
              <w:pStyle w:val="1028"/>
              <w:ind w:firstLine="1044"/>
              <w:jc w:val="center"/>
              <w:rPr>
                <w:rFonts w:hint="eastAsia" w:ascii="宋体" w:hAnsi="宋体" w:cs="宋体"/>
                <w:sz w:val="24"/>
              </w:rPr>
            </w:pPr>
            <w:r>
              <w:rPr>
                <w:rFonts w:hint="eastAsia" w:ascii="宋体" w:hAnsi="宋体" w:cs="宋体"/>
                <w:sz w:val="24"/>
              </w:rPr>
              <w:t xml:space="preserve">规格型号</w:t>
            </w:r>
            <w:r/>
          </w:p>
        </w:tc>
        <w:tc>
          <w:tcPr>
            <w:shd w:val="clear" w:color="000000" w:fill="c0c0c0"/>
            <w:tcBorders>
              <w:top w:val="singl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宋体"/>
                <w:sz w:val="24"/>
              </w:rPr>
            </w:pPr>
            <w:r>
              <w:rPr>
                <w:rFonts w:hint="eastAsia" w:ascii="宋体" w:hAnsi="宋体" w:cs="宋体"/>
                <w:sz w:val="24"/>
              </w:rPr>
              <w:t xml:space="preserve">数量（台）</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移动式数字化医用X射线摄影系统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联影uDR370i</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数字胃肠X光机</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康达Apsara</w:t>
            </w:r>
            <w:r>
              <w:rPr>
                <w:rFonts w:hint="eastAsia" w:ascii="宋体" w:hAnsi="宋体" w:cs="等线 Light"/>
                <w:sz w:val="24"/>
              </w:rPr>
              <w:t xml:space="preserve">s Opera FP</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双能X射线骨密度仪</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color w:val="333333"/>
                <w:sz w:val="24"/>
                <w:shd w:val="clear" w:color="auto" w:fill="ffffff"/>
              </w:rPr>
              <w:t xml:space="preserve">美国HOLOGIC</w:t>
            </w:r>
            <w:r>
              <w:rPr>
                <w:rFonts w:hint="eastAsia" w:ascii="宋体" w:hAnsi="宋体" w:cs="等线 Light"/>
                <w:sz w:val="24"/>
              </w:rPr>
              <w:t xml:space="preserve">Discovery CI</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SPECT/CT</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DiscoveryNM/CT670ES</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256排X射线计算机体层摄影系统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Revolution CT</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64排X射线计算机体层摄影系统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西门子SOMATOM Definition AS</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64排X射线计算机体层摄影系统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optima670</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16排X线计算机断层扫描系统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BrightSpeed Elite Select</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9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数字化医用X射线摄像系统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西门子AXICM VX（单板）</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数字化医用X射线摄像系统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西门子Yiso（双板）</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数字化医用x射线摄影系统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联影uDR 780(单板)</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数字化医用x射线摄影系统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联影uDR 7801(双板)</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乳腺钼靶机</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西门子MammomatInspiration</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口腔X射线计算机体层摄影设备</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西诺德ORTHOPHOS XG 3D C</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牙片X射线机</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Planmeca ProX</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数字化C臂移动x射线</w:t>
            </w:r>
            <w:r>
              <w:rPr>
                <w:rFonts w:hint="eastAsia" w:ascii="宋体" w:hAnsi="宋体" w:cs="等线 Light"/>
                <w:sz w:val="24"/>
              </w:rPr>
              <w:t xml:space="preserve">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飞利浦BV  Endura</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数字化C臂移动x射线摄影系统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西门子Cios   Alpha</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数字化C臂移动x射线摄影系统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OEC One CFD</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医用血管造影X射线机</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INNOVA 3100</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医用血管造影X射线机</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西门子Artis zee III ceiling</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医用血管造影X射线机（心脏平板）</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西门子Artis zee III ceiling</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1.5T核磁共振成像系统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西门子MAGNETOM Avanto</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3.0T核磁共振成像系统</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 SIGNA Architect</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医用直线加速器</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瓦里安VitalBeam</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non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医用直线加速器</w:t>
            </w:r>
            <w:r/>
          </w:p>
        </w:tc>
        <w:tc>
          <w:tcPr>
            <w:tcBorders>
              <w:top w:val="none" w:color="000000" w:sz="4" w:space="0"/>
              <w:left w:val="non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Elekte Precise</w:t>
            </w:r>
            <w:r/>
          </w:p>
        </w:tc>
        <w:tc>
          <w:tcPr>
            <w:tcBorders>
              <w:top w:val="none" w:color="000000" w:sz="4" w:space="0"/>
              <w:left w:val="non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监护仪</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迈瑞、飞利浦、理邦</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271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呼吸机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GE、柯惠、德尔格、中讯、谊安、飞利浦、万曼、迈柯唯</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82</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除颤仪</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光电、迈瑞、美邦</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37</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麻醉机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德尔格、GE</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27</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心电图机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麦迪克斯、理邦、中旗、光电</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洗胃机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斯曼峰、鱼跃</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心肺复苏仪</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尚领MCC-E4</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ECMO</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迈柯唯ROTAFLOW</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CRRT</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日机装、百特、爱德华</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脑电图机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光电</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电子血压计</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鱼跃、欧姆龙</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71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电动吸引器</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斯曼峰、鱼跃</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34</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病房护理设备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国产</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402</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手术设备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STORZ、史赛克、奥林巴斯、力申、三丰、斯密斯、沪通、强生、美敦力、威力、沈大、延陵等</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375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消毒灭菌设备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新华、倍力曼、强生、3M、三浦</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305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检验设备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ind w:firstLine="1044"/>
              <w:jc w:val="center"/>
              <w:rPr>
                <w:rFonts w:hint="eastAsia" w:ascii="宋体" w:hAnsi="宋体" w:cs="等线 Light"/>
                <w:sz w:val="24"/>
              </w:rPr>
            </w:pPr>
            <w:r>
              <w:rPr>
                <w:rFonts w:hint="eastAsia" w:ascii="宋体" w:hAnsi="宋体" w:cs="等线 Light"/>
                <w:sz w:val="24"/>
              </w:rPr>
              <w:t xml:space="preserve">帝迈、积水、诺尔曼、万孚、迪瑞、强生、BIOBASE、奥林巴斯、希森美康、优利特、硕世、罗氏</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247</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内窥镜设备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奥林巴斯、富士、STORZ、史赛克、施乐辉、天松、沈大等</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237</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康复理疗设备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倍益康、龙之杰等</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184</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治疗设备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国产/进口</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142</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诊断设备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国产/进口</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141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透析治疗设备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贝朗、费森尤斯、百特</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88</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功能检查设备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ind w:firstLine="1044"/>
              <w:jc w:val="center"/>
              <w:rPr>
                <w:rFonts w:hint="eastAsia" w:ascii="宋体" w:hAnsi="宋体" w:cs="等线 Light"/>
                <w:sz w:val="24"/>
              </w:rPr>
            </w:pPr>
            <w:r>
              <w:rPr>
                <w:rFonts w:hint="eastAsia" w:ascii="宋体" w:hAnsi="宋体" w:cs="等线 Light"/>
                <w:sz w:val="24"/>
              </w:rPr>
              <w:t xml:space="preserve">国产/进口</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68</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病理诊断设备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泰普、徕卡、永耀、达科为、樱花、派斯杰、赛默、罗氏、尼康、</w:t>
            </w:r>
            <w:r/>
          </w:p>
          <w:p>
            <w:pPr>
              <w:pStyle w:val="1028"/>
              <w:jc w:val="center"/>
              <w:rPr>
                <w:rFonts w:hint="eastAsia" w:ascii="宋体" w:hAnsi="宋体" w:cs="等线 Light"/>
                <w:sz w:val="24"/>
              </w:rPr>
            </w:pPr>
            <w:r>
              <w:rPr>
                <w:rFonts w:hint="eastAsia" w:ascii="宋体" w:hAnsi="宋体" w:cs="等线 Light"/>
                <w:sz w:val="24"/>
              </w:rPr>
              <w:t xml:space="preserve">奥林巴斯</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45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超声诊断设备（包括便携）</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飞利浦、迈瑞、索诺声、GE、西门子</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44</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辅助设备</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国产/进口</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465</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医用制冷设备（包括四个冷库）</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海尔、美的等</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84</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AI人工智能软件</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数坤（肺结节、冠脉、血管CTA、脑灌注）及服务器的维保</w:t>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t xml:space="preserve">总计</w:t>
            </w:r>
            <w:r/>
          </w:p>
        </w:tc>
        <w:tc>
          <w:tcPr>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pStyle w:val="1028"/>
              <w:jc w:val="center"/>
              <w:rPr>
                <w:rFonts w:hint="eastAsia" w:ascii="宋体" w:hAnsi="宋体" w:cs="等线 Light"/>
                <w:sz w:val="24"/>
              </w:rPr>
            </w:pPr>
            <w:r>
              <w:rPr>
                <w:rFonts w:hint="eastAsia" w:ascii="宋体" w:hAnsi="宋体" w:cs="等线 Light"/>
                <w:color w:val="ff0000"/>
                <w:sz w:val="24"/>
              </w:rPr>
              <w:t xml:space="preserve">以中标后现场盘点数量为准</w:t>
            </w:r>
            <w:r>
              <w:rPr>
                <w:rFonts w:hint="eastAsia" w:ascii="宋体" w:hAnsi="宋体" w:cs="等线 Light"/>
                <w:sz w:val="24"/>
              </w:rPr>
            </w:r>
            <w:r/>
          </w:p>
        </w:tc>
        <w:tc>
          <w:tcPr>
            <w:tcBorders>
              <w:top w:val="single" w:color="000000" w:sz="4" w:space="0"/>
              <w:left w:val="single" w:color="000000" w:sz="4" w:space="0"/>
              <w:bottom w:val="single" w:color="000000" w:sz="4" w:space="0"/>
              <w:right w:val="single" w:color="000000" w:sz="4" w:space="0"/>
            </w:tcBorders>
            <w:tcW w:w="2201" w:type="dxa"/>
            <w:vAlign w:val="center"/>
            <w:textDirection w:val="lrTb"/>
            <w:noWrap/>
          </w:tcPr>
          <w:p>
            <w:pPr>
              <w:pStyle w:val="1028"/>
              <w:jc w:val="center"/>
              <w:rPr>
                <w:rFonts w:hint="eastAsia" w:ascii="宋体" w:hAnsi="宋体" w:cs="等线 Light"/>
                <w:sz w:val="24"/>
              </w:rPr>
            </w:pPr>
            <w:r>
              <w:rPr>
                <w:rFonts w:hint="eastAsia" w:ascii="宋体" w:hAnsi="宋体" w:cs="等线 Light"/>
                <w:sz w:val="24"/>
              </w:rPr>
              <w:fldChar w:fldCharType="begin"/>
            </w:r>
            <w:r>
              <w:rPr>
                <w:rFonts w:hint="eastAsia" w:ascii="宋体" w:hAnsi="宋体" w:cs="等线 Light"/>
                <w:sz w:val="24"/>
              </w:rPr>
              <w:instrText xml:space="preserve"> = sum(C2:</w:instrText>
            </w:r>
            <w:r>
              <w:rPr>
                <w:rFonts w:hint="eastAsia" w:ascii="宋体" w:hAnsi="宋体" w:cs="等线 Light"/>
                <w:sz w:val="24"/>
              </w:rPr>
              <w:instrText xml:space="preserve">C53) \* MERGEFORMAT </w:instrText>
            </w:r>
            <w:r>
              <w:rPr>
                <w:rFonts w:hint="eastAsia" w:ascii="宋体" w:hAnsi="宋体" w:cs="等线 Light"/>
                <w:sz w:val="24"/>
              </w:rPr>
              <w:fldChar w:fldCharType="separate"/>
            </w:r>
            <w:r>
              <w:rPr>
                <w:rFonts w:hint="eastAsia" w:ascii="宋体" w:hAnsi="宋体" w:cs="等线 Light"/>
                <w:sz w:val="24"/>
              </w:rPr>
              <w:t xml:space="preserve">3418</w:t>
            </w:r>
            <w:r>
              <w:rPr>
                <w:rFonts w:hint="eastAsia" w:ascii="宋体" w:hAnsi="宋体" w:cs="等线 Light"/>
                <w:sz w:val="24"/>
              </w:rPr>
              <w:fldChar w:fldCharType="end"/>
            </w:r>
            <w:r>
              <w:rPr>
                <w:rFonts w:hint="eastAsia" w:ascii="宋体" w:hAnsi="宋体" w:cs="等线 Light"/>
                <w:sz w:val="24"/>
              </w:rPr>
            </w:r>
            <w:r/>
          </w:p>
        </w:tc>
      </w:tr>
    </w:tbl>
    <w:p>
      <w:pPr>
        <w:pStyle w:val="1096"/>
        <w:ind w:firstLine="424"/>
        <w:spacing w:line="360" w:lineRule="auto"/>
        <w:rPr>
          <w:rFonts w:cs="宋体"/>
          <w:b/>
          <w:bCs/>
        </w:rPr>
      </w:pPr>
      <w:r>
        <w:rPr>
          <w:rFonts w:hint="eastAsia" w:cs="宋体"/>
          <w:b/>
          <w:bCs/>
        </w:rPr>
        <w:t xml:space="preserve">附件2：易损件清单</w:t>
      </w:r>
      <w:r>
        <w:rPr>
          <w:rFonts w:cs="宋体"/>
          <w:b/>
          <w:bCs/>
        </w:rPr>
      </w:r>
      <w:r/>
    </w:p>
    <w:p>
      <w:pPr>
        <w:pStyle w:val="1028"/>
        <w:jc w:val="left"/>
        <w:spacing w:after="200"/>
        <w:widowControl/>
        <w:rPr>
          <w:rFonts w:hint="eastAsia" w:ascii="宋体" w:hAnsi="宋体"/>
          <w:sz w:val="24"/>
        </w:rPr>
      </w:pPr>
      <w:r>
        <w:rPr>
          <w:rFonts w:hint="eastAsia" w:ascii="宋体" w:hAnsi="宋体"/>
          <w:sz w:val="24"/>
        </w:rPr>
        <w:t xml:space="preserve">质保内不在原厂质保范围内的及质保外设备均包含在内</w:t>
      </w:r>
      <w:r/>
    </w:p>
    <w:tbl>
      <w:tblPr>
        <w:tblW w:w="8000" w:type="dxa"/>
        <w:tblInd w:w="113" w:type="dxa"/>
        <w:tblLayout w:type="autofit"/>
        <w:tblCellMar>
          <w:left w:w="108" w:type="dxa"/>
          <w:top w:w="0" w:type="dxa"/>
          <w:right w:w="108" w:type="dxa"/>
          <w:bottom w:w="0" w:type="dxa"/>
        </w:tblCellMar>
        <w:tblLook w:val="04A0" w:firstRow="1" w:lastRow="0" w:firstColumn="1" w:lastColumn="0" w:noHBand="0" w:noVBand="1"/>
      </w:tblPr>
      <w:tblGrid>
        <w:gridCol w:w="1020"/>
        <w:gridCol w:w="1420"/>
        <w:gridCol w:w="3940"/>
        <w:gridCol w:w="1620"/>
      </w:tblGrid>
      <w:tr>
        <w:trPr>
          <w:trHeight w:val="645"/>
          <w:tblHeade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b/>
                <w:bCs/>
                <w:color w:val="0f1115"/>
                <w:sz w:val="24"/>
              </w:rPr>
            </w:pPr>
            <w:r>
              <w:rPr>
                <w:rFonts w:hint="eastAsia" w:ascii="宋体" w:hAnsi="宋体" w:cs="宋体"/>
                <w:b/>
                <w:bCs/>
                <w:color w:val="0f1115"/>
                <w:sz w:val="24"/>
              </w:rPr>
              <w:t xml:space="preserve">设备名称</w:t>
            </w:r>
            <w:r/>
          </w:p>
        </w:tc>
        <w:tc>
          <w:tcPr>
            <w:shd w:val="clear" w:color="000000" w:fill="ffffff"/>
            <w:tcBorders>
              <w:top w:val="singl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b/>
                <w:bCs/>
                <w:color w:val="0f1115"/>
                <w:sz w:val="24"/>
              </w:rPr>
            </w:pPr>
            <w:r>
              <w:rPr>
                <w:rFonts w:hint="eastAsia" w:ascii="宋体" w:hAnsi="宋体" w:cs="宋体"/>
                <w:b/>
                <w:bCs/>
                <w:color w:val="0f1115"/>
                <w:sz w:val="24"/>
              </w:rPr>
              <w:t xml:space="preserve">易损件及设备耗材</w:t>
            </w:r>
            <w:r/>
          </w:p>
        </w:tc>
        <w:tc>
          <w:tcPr>
            <w:shd w:val="clear" w:color="000000" w:fill="ffffff"/>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b/>
                <w:bCs/>
                <w:color w:val="0f1115"/>
                <w:sz w:val="24"/>
              </w:rPr>
            </w:pPr>
            <w:r>
              <w:rPr>
                <w:rFonts w:hint="eastAsia" w:ascii="宋体" w:hAnsi="宋体" w:cs="宋体"/>
                <w:b/>
                <w:bCs/>
                <w:color w:val="0f1115"/>
                <w:sz w:val="24"/>
              </w:rPr>
              <w:t xml:space="preserve">备注</w:t>
            </w:r>
            <w:r/>
          </w:p>
        </w:tc>
      </w:tr>
      <w:tr>
        <w:trPr>
          <w:trHeight w:val="407"/>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医用泵类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电池、气泡传感器、压力传感器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89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监护仪类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空气过滤网、袖带及延长管、一次性血氧探头及缆线、血氧探头及缆线、心电导联线及缆线、温度传感器及缆线、有创压力传感器及缆线、特殊检测模块外部附件、触摸屏、打印头及其组件、电池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心电图机类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心电导联线及缆线、心电吸球及夹板、打印头及其组件、电池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57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母婴类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胎心探头及缆线、宫缩探头及缆线、血氧探头及缆线、心电导联线及缆线、空气过滤网、加热灯管、暖箱衬套、暖箱温度探头、打印头及其组件、电池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黄疸治疗仪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蓝光灯管、模组</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新生儿复温台</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肤温传感器、湿化瓶</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医用液体膨宫泵</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膨宫泵管、膨宫膜</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超声诊断仪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过滤网、散热风扇</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负压吸引类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负压吸引管路及瓶子、防倒流装置、脚踏</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定量分析仪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灯泡及校准</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气垫床类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气床垫、通气管路、膜及膜片</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电针仪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电极线、电极板、可调节式电位器（控制开关）</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亚低温治疗仪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冰毯、温度传感器、冷煤补充</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皮肤治疗仪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电极及导线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微波治疗仪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导联线/理疗线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超短波治疗仪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灯泡、导联线、电极板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温热式低周波治疗仪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导联线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止血仪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止血带</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空气压力波循环治疗仪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配件（上下肢套筒、接头等）</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欧姆龙全自动血压计</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臂带筒</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医用降温毯</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体温探头、附件（冰毯、冰帽等）</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电动手术床</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各类配件（紧固器、滑块、腿架等）</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气垫床类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膜、膜片、气垫</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电动吸引器</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负压吸引管路及瓶子</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动态心电监护仪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心电导联线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遥测心电监护仪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心电导联线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动态血压监护仪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袖带、记忆电池、气泵</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动态脑电记录仪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电极线、电极夹、脑电图帽</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血氧饱和度仪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血氧指夹</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裂隙灯显微镜</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肌电图</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爱尔博高频电刀</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单级连接电缆、负极板导线、氩气电极软性（带过滤器，直喷，直径2.3mm，长2.2M）</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肌电生物反馈仪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胃肠镜主机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各类灯泡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吞咽障碍电刺激仪</w:t>
            </w:r>
            <w:r>
              <w:rPr>
                <w:rFonts w:hint="eastAsia" w:ascii="宋体" w:hAnsi="宋体" w:cs="宋体"/>
                <w:color w:val="0f1115"/>
                <w:sz w:val="24"/>
              </w:rPr>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电极片连接线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波科电生理仪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心电导联线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锦江电子</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锦江心电导联线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ECMO</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干涉波疼痛治疗仪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四极输出线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低频治疗仪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吸附式电极套件</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中频治疗仪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电极线、电极板、可调节式电位器（控制开关）</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红外线治疗仪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治疗探头</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特定电磁波治疗仪（神灯）</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灯头组件、发热盘、云母片、定时器、轮子、伸缩杆</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稳压、变压类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稳压源、变压器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26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空气消毒机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过滤网及过滤棉、紫外线灯管、等离子发生器、活性炭过滤器/分子过滤器、镇流器、高压包、臭氧管、中效过滤器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床单位消毒仪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紫外线灯管、启辉器、高压包、臭氧发生器、连接管路</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视力表</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灯泡、镇流器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医用光栅</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电机</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医用观片灯</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灯泡、镇流器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26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麻醉机及麻醉监护</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氧传感器及缆线、流量传感器、电池、湿化罐温度探头、心电导联线及缆线、袖带及延长管、排气管、空气过滤网、气体滤芯、积水杯、挥发罐</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57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呼吸机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氧传感器、空气过滤网、气体滤芯、流量传感器、进出口细菌过滤器、呼吸膜肺、硅胶管路、呼吸面罩、湿化器加热导丝、</w:t>
            </w:r>
            <w:r>
              <w:rPr>
                <w:rFonts w:hint="eastAsia" w:ascii="宋体" w:hAnsi="宋体" w:cs="宋体"/>
                <w:color w:val="0f1115"/>
                <w:sz w:val="24"/>
              </w:rPr>
              <w:t xml:space="preserve">积水杯、呼气阀、氧气减压阀、电池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心肺复苏机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绑带</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腔镜系统</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光源灯泡、超声镜、摄像手柄缆线、二氧化碳气体连接管及连接器、导光束</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鼻窦镜/咽喉镜</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导光束、灯泡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内窥镜系统</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灯泡（氙灯）、水汽按钮、先端帽、防水帽</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高频电刀类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单极电凝连接线、电刀笔、负极板连接线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动力系统</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手柄、手钻</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除颤仪类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心电导联线及缆线、除颤手柄连接线、电极片、打印头及其组件、电池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清洗槽</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塞子、管路转接头、滤芯</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清洗机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排水过滤网、发热丝、门封、压力传感器、温度传感器、风机、酶或油吸入泵管、物品观察灯泡、高效过滤器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超声刀</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刀把、刀头、换能器、手柄线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无影灯</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灯泡、固态继电器、阻尼套件</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吊塔</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各类气体终端、刹车气囊、刹车</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手术显微镜</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光源灯泡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激光治疗仪类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激光发生器、激光头、纯水滤芯、钬激光保养耗材、铥激光保养耗材、手具</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全自动生化分析仪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比色杯、光源灯泡、电极、吸样针、穿刺针</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26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水处理</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滤芯、石英砂、树脂、活性炭、RO膜、ppe棉、消毒检测、穿</w:t>
            </w:r>
            <w:r>
              <w:rPr>
                <w:rFonts w:hint="eastAsia" w:ascii="宋体" w:hAnsi="宋体" w:cs="宋体"/>
                <w:color w:val="0f1115"/>
                <w:sz w:val="24"/>
              </w:rPr>
              <w:t xml:space="preserve">刺针、吸样针、计数池、混匀池、皮带、负压阀、负压罐、微量泵、激光器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血凝仪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灯泡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电解质分析仪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电极（钠、钾、氯等）、泵管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生物安全柜</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高效过滤器、紫外线灯管、照明灯管、玻璃、通风管路</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220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高压氧舱（单人舱、多人舱）</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各类舱门密封条、滑轮模块、座吸（空气加压舱）、氧传感器、温度传感器、湿度传感器、接近传感器、灯泡、后备电池、空气管路滤芯、空气源压缩机保养包（空滤、油滤、水汽分离过滤器、机油、校准、定期排水）</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220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高压高温消毒炉或灭菌锅</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门封或密封条、接头密封圈、进出水过滤器、回风过滤器、空气管路过滤器、水位传感器、温度传感器、压力传感器、空气控制软管、发热丝、真空泵、空气源压缩机保养包（空滤、油滤、水汽分离过滤器、机油、校准、定期排水）</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消毒类</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消毒盒、密封圈</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全自动清洗机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耐高温过滤器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牙科综合治疗仪</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三用枪、手机头、光固化、管路</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126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76</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血透、血滤机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电机碳刷、调压阀、空气过滤网及水路过滤器、散热风扇、温度传感器、电导度传感器、压力传感器、A/B液吸杆、清洗液吸管、电池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CRRT</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94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磁共</w:t>
            </w:r>
            <w:r>
              <w:rPr>
                <w:rFonts w:hint="eastAsia" w:ascii="宋体" w:hAnsi="宋体" w:cs="宋体"/>
                <w:color w:val="0f1115"/>
                <w:sz w:val="24"/>
              </w:rPr>
              <w:t xml:space="preserve">振成像设备(MRI)</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液氦（正常消耗）、精密空调中效过滤器、氦气、系统主机过滤网、散热风扇</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CT</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球管、探测器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X射线机</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球管</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CR</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IP板</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ECT</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球管、探测器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315"/>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DSA</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球管、平板探测器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DR</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球管、平板探测器（有线）、平板探测器（无线）、无线平板电池</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　</w:t>
            </w:r>
            <w:r/>
          </w:p>
        </w:tc>
      </w:tr>
      <w:tr>
        <w:trPr>
          <w:trHeight w:val="63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直线加速器</w:t>
            </w:r>
            <w:r/>
          </w:p>
        </w:tc>
        <w:tc>
          <w:tcPr>
            <w:shd w:val="clear" w:color="000000" w:fill="ffffff"/>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pStyle w:val="1028"/>
              <w:jc w:val="center"/>
              <w:widowControl/>
              <w:rPr>
                <w:rFonts w:hint="eastAsia" w:ascii="宋体" w:hAnsi="宋体" w:cs="宋体"/>
                <w:color w:val="0f1115"/>
                <w:sz w:val="24"/>
              </w:rPr>
            </w:pPr>
            <w:r>
              <w:rPr>
                <w:rFonts w:hint="eastAsia" w:ascii="宋体" w:hAnsi="宋体" w:cs="宋体"/>
                <w:color w:val="0f1115"/>
                <w:sz w:val="24"/>
              </w:rPr>
              <w:t xml:space="preserve">磁控管、闸流管、六氟化硫气体、离子过滤器</w:t>
            </w:r>
            <w:r/>
          </w:p>
        </w:tc>
        <w:tc>
          <w:tcPr>
            <w:shd w:val="clear" w:color="000000" w:fill="ffffff"/>
            <w:tcBorders>
              <w:top w:val="none" w:color="000000" w:sz="4" w:space="0"/>
              <w:left w:val="none" w:color="000000" w:sz="4" w:space="0"/>
              <w:bottom w:val="single" w:color="000000" w:sz="4" w:space="0"/>
              <w:right w:val="single" w:color="000000" w:sz="4" w:space="0"/>
            </w:tcBorders>
            <w:tcW w:w="1620" w:type="dxa"/>
            <w:vAlign w:val="center"/>
            <w:textDirection w:val="lrTb"/>
            <w:noWrap/>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　</w:t>
            </w:r>
            <w:r/>
          </w:p>
        </w:tc>
      </w:tr>
    </w:tbl>
    <w:p>
      <w:pPr>
        <w:pStyle w:val="1096"/>
        <w:ind w:firstLine="424"/>
        <w:spacing w:line="360" w:lineRule="auto"/>
        <w:rPr>
          <w:rFonts w:hint="eastAsia" w:cs="宋体"/>
          <w:b/>
          <w:bCs/>
        </w:rPr>
      </w:pPr>
      <w:r>
        <w:rPr>
          <w:rFonts w:hint="eastAsia" w:cs="宋体"/>
          <w:b/>
          <w:bCs/>
        </w:rPr>
        <w:t xml:space="preserve">附件3：计量检测清单</w:t>
      </w:r>
      <w:r/>
    </w:p>
    <w:tbl>
      <w:tblPr>
        <w:tblW w:w="10040" w:type="dxa"/>
        <w:tblInd w:w="118" w:type="dxa"/>
        <w:tblLayout w:type="autofit"/>
        <w:tblCellMar>
          <w:left w:w="108" w:type="dxa"/>
          <w:top w:w="0" w:type="dxa"/>
          <w:right w:w="108" w:type="dxa"/>
          <w:bottom w:w="0" w:type="dxa"/>
        </w:tblCellMar>
        <w:tblLook w:val="04A0" w:firstRow="1" w:lastRow="0" w:firstColumn="1" w:lastColumn="0" w:noHBand="0" w:noVBand="1"/>
      </w:tblPr>
      <w:tblGrid>
        <w:gridCol w:w="720"/>
        <w:gridCol w:w="4520"/>
        <w:gridCol w:w="1600"/>
        <w:gridCol w:w="1600"/>
        <w:gridCol w:w="1600"/>
      </w:tblGrid>
      <w:tr>
        <w:trPr>
          <w:trHeight w:val="445"/>
          <w:tblHeader/>
        </w:trPr>
        <w:tc>
          <w:tcPr>
            <w:gridSpan w:val="5"/>
            <w:tcBorders>
              <w:top w:val="single" w:color="000000" w:sz="8" w:space="0"/>
              <w:left w:val="single" w:color="000000" w:sz="8" w:space="0"/>
              <w:bottom w:val="single" w:color="000000" w:sz="8" w:space="0"/>
              <w:right w:val="single" w:color="000000" w:sz="8" w:space="0"/>
            </w:tcBorders>
            <w:tcW w:w="1004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金坛第一人民医院医疗设备计量检测清单</w:t>
            </w:r>
            <w:r/>
          </w:p>
        </w:tc>
      </w:tr>
      <w:tr>
        <w:trPr>
          <w:trHeight w:val="428"/>
          <w:tblHeader/>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项目名称</w:t>
            </w:r>
            <w:r/>
          </w:p>
        </w:tc>
        <w:tc>
          <w:tcPr>
            <w:tcBorders>
              <w:top w:val="none" w:color="000000" w:sz="4" w:space="0"/>
              <w:left w:val="none" w:color="000000" w:sz="4" w:space="0"/>
              <w:bottom w:val="single" w:color="000000" w:sz="8" w:space="0"/>
              <w:right w:val="single" w:color="000000" w:sz="8" w:space="0"/>
            </w:tcBorders>
            <w:tcW w:w="160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费用情况</w:t>
            </w:r>
            <w:r/>
          </w:p>
        </w:tc>
        <w:tc>
          <w:tcPr>
            <w:tcBorders>
              <w:top w:val="none" w:color="000000" w:sz="4" w:space="0"/>
              <w:left w:val="none" w:color="000000" w:sz="4" w:space="0"/>
              <w:bottom w:val="single" w:color="000000" w:sz="8" w:space="0"/>
              <w:right w:val="single" w:color="000000" w:sz="8" w:space="0"/>
            </w:tcBorders>
            <w:tcW w:w="160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预计检测台数</w:t>
            </w:r>
            <w:r/>
          </w:p>
        </w:tc>
        <w:tc>
          <w:tcPr>
            <w:tcBorders>
              <w:top w:val="none" w:color="000000" w:sz="4" w:space="0"/>
              <w:left w:val="none" w:color="000000" w:sz="4" w:space="0"/>
              <w:bottom w:val="single" w:color="000000" w:sz="8" w:space="0"/>
              <w:right w:val="single" w:color="000000" w:sz="8" w:space="0"/>
            </w:tcBorders>
            <w:tcW w:w="160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备注</w:t>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水银血压计</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强检可减免费用</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按实际数量检测</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强检设备清单根据国家规定的强检目录执行</w:t>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电子血压计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多参数监护仪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心电图仪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脑电图有仪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CT</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DR</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全景口腔CT机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牙片机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钼靶机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透视胃肠机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X线骨密度仪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DSA</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移动C臂X线机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直线加速器</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体温计（耳温仪）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天平</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眼压计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19 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听力计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验光仪器</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放射治疗用电离室</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活度计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氧气吸入器</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非强检需收费</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按实际数量检测</w:t>
            </w:r>
            <w:r/>
          </w:p>
        </w:tc>
        <w:tc>
          <w:tcPr>
            <w:tcBorders>
              <w:top w:val="none" w:color="000000" w:sz="4" w:space="0"/>
              <w:left w:val="single" w:color="000000" w:sz="8" w:space="0"/>
              <w:bottom w:val="single" w:color="000000" w:sz="8" w:space="0"/>
              <w:right w:val="single" w:color="000000" w:sz="8" w:space="0"/>
            </w:tcBorders>
            <w:tcW w:w="1600" w:type="dxa"/>
            <w:vAlign w:val="center"/>
            <w:vMerge w:val="restart"/>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非强检设备清单依据实际使用情况确定检测目录，确保所有设备使用合法合规</w:t>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彩色多普勒超声诊断仪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输液泵、注射泵</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营养泵（肠内泵）</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尿液分析仪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全自动尿沉渣分析仪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29 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血细胞分析仪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全自动生化分析仪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凝血分析仪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PCR分析仪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核酸提取仪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全自动发光免疫分析仪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酶标分析仪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血液透析机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离心机（包括低温冷冻）</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负压吸引器</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39 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负压吸引装置</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呼吸机（包括有创、无创、转运）</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电解质分析仪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高频电刀</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婴儿培养箱</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移液枪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生物安全柜</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洁净工作台</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核磁共振</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麻醉机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除颤仪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胰岛素泵</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体重秤</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温湿度计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婴儿电子秤</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医用冰箱</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婴儿辐射保暖台</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中药铜杆称</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速冻机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低温操作台</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59 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解冻仪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水浴箱</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肺功能测定仪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24小时动态心电检测仪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24小时动态血压检测仪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显微镜</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超声经颅多普勒血流分析仪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培养箱、孵育器、金属浴、干燥箱、恒温箱、冷藏箱、冷冻箱、保存箱等</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超声波治疗机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医用超声治疗机超声源（超声洁牙机）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69 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医用微波治疗机</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颅内压监护仪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71 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4G环境连续性采集系统（数字式温湿度计）</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72 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医用激光源</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73 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病理设备</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74 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生命体征模拟仪</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75 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15189实验室检测</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76 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消毒灭菌设备年度检测</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77 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压力表半年度检测</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78 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安全阀年度检测</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79 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辐射防护仪器设备</w:t>
            </w:r>
            <w:r>
              <w:rPr>
                <w:rFonts w:hint="eastAsia" w:ascii="宋体" w:hAnsi="宋体" w:cs="宋体"/>
                <w:color w:val="000000"/>
                <w:sz w:val="22"/>
                <w:szCs w:val="22"/>
              </w:rPr>
              <w:t xml:space="preserve">的年度检测</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428"/>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pStyle w:val="1028"/>
              <w:jc w:val="center"/>
              <w:widowControl/>
              <w:rPr>
                <w:rFonts w:hint="eastAsia" w:ascii="宋体" w:hAnsi="宋体" w:cs="宋体"/>
                <w:color w:val="000000"/>
                <w:sz w:val="24"/>
              </w:rPr>
            </w:pPr>
            <w:r>
              <w:rPr>
                <w:rFonts w:hint="eastAsia" w:ascii="宋体" w:hAnsi="宋体" w:cs="宋体"/>
                <w:color w:val="000000"/>
                <w:sz w:val="24"/>
              </w:rPr>
              <w:t xml:space="preserve">80 </w:t>
            </w:r>
            <w:r/>
          </w:p>
        </w:tc>
        <w:tc>
          <w:tcPr>
            <w:tcBorders>
              <w:top w:val="none" w:color="000000" w:sz="4" w:space="0"/>
              <w:left w:val="none" w:color="000000" w:sz="4" w:space="0"/>
              <w:bottom w:val="single" w:color="000000" w:sz="8" w:space="0"/>
              <w:right w:val="single" w:color="000000" w:sz="8" w:space="0"/>
            </w:tcBorders>
            <w:tcW w:w="4520" w:type="dxa"/>
            <w:vAlign w:val="center"/>
            <w:textDirection w:val="lrTb"/>
            <w:noWrap w:val="false"/>
          </w:tcPr>
          <w:p>
            <w:pPr>
              <w:pStyle w:val="1028"/>
              <w:jc w:val="center"/>
              <w:widowControl/>
              <w:rPr>
                <w:rFonts w:hint="eastAsia" w:ascii="宋体" w:hAnsi="宋体" w:cs="宋体"/>
                <w:color w:val="000000"/>
                <w:sz w:val="22"/>
                <w:szCs w:val="22"/>
              </w:rPr>
            </w:pPr>
            <w:r>
              <w:rPr>
                <w:rFonts w:hint="eastAsia" w:ascii="宋体" w:hAnsi="宋体" w:cs="宋体"/>
                <w:color w:val="000000"/>
                <w:sz w:val="22"/>
                <w:szCs w:val="22"/>
              </w:rPr>
              <w:t xml:space="preserve">特种设备年度检测（包括高压氧舱、中央供氧、中央负压空气等）</w:t>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600" w:type="dxa"/>
            <w:vAlign w:val="center"/>
            <w:vMerge w:val="continue"/>
            <w:textDirection w:val="lrTb"/>
            <w:noWrap w:val="false"/>
          </w:tcPr>
          <w:p>
            <w:pPr>
              <w:pStyle w:val="1028"/>
              <w:jc w:val="left"/>
              <w:widowControl/>
              <w:rPr>
                <w:rFonts w:hint="eastAsia" w:ascii="宋体" w:hAnsi="宋体" w:cs="宋体"/>
                <w:color w:val="000000"/>
                <w:sz w:val="22"/>
                <w:szCs w:val="22"/>
              </w:rPr>
            </w:pPr>
            <w:r>
              <w:rPr>
                <w:rFonts w:hint="eastAsia" w:ascii="宋体" w:hAnsi="宋体" w:cs="宋体"/>
                <w:color w:val="000000"/>
                <w:sz w:val="22"/>
                <w:szCs w:val="22"/>
              </w:rPr>
            </w:r>
            <w:r/>
          </w:p>
        </w:tc>
      </w:tr>
    </w:tbl>
    <w:p>
      <w:pPr>
        <w:pStyle w:val="1096"/>
        <w:ind w:firstLine="424"/>
        <w:spacing w:line="360" w:lineRule="auto"/>
        <w:rPr>
          <w:rFonts w:cs="宋体"/>
          <w:b/>
          <w:bCs/>
        </w:rPr>
      </w:pPr>
      <w:r>
        <w:rPr>
          <w:rFonts w:hint="eastAsia" w:cs="宋体"/>
          <w:b/>
          <w:bCs/>
        </w:rPr>
        <w:t xml:space="preserve">附件4：</w:t>
      </w:r>
      <w:r>
        <w:rPr>
          <w:rFonts w:cs="宋体"/>
          <w:b/>
          <w:bCs/>
        </w:rPr>
      </w:r>
      <w:r/>
    </w:p>
    <w:p>
      <w:pPr>
        <w:pStyle w:val="1028"/>
        <w:ind w:firstLine="422"/>
        <w:spacing w:line="480" w:lineRule="exact"/>
        <w:rPr>
          <w:rFonts w:hint="eastAsia" w:ascii="宋体" w:hAnsi="宋体"/>
          <w:b/>
          <w:bCs/>
          <w:sz w:val="24"/>
        </w:rPr>
      </w:pPr>
      <w:r>
        <w:rPr>
          <w:rFonts w:hint="eastAsia" w:cs="宋体"/>
          <w:b/>
          <w:bCs/>
        </w:rPr>
        <w:t xml:space="preserve">《金坛第一人民医院全院医疗设备托管服务考核细则》</w:t>
      </w:r>
      <w:r>
        <w:rPr>
          <w:rFonts w:hint="eastAsia" w:ascii="宋体" w:hAnsi="宋体"/>
          <w:b/>
          <w:bCs/>
          <w:sz w:val="24"/>
        </w:rPr>
        <w:t xml:space="preserve">一、评分原则</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1.构建主客观结合的评分管理机制。参照政府采购管理要求，建立健全主客观评分体系，主观评分以设备使用部门的服务满意度为核心依据，客观评分融入医疗设备全生命周期管理理念，围绕设备安装、维修、维护、质控、安全使用等核心管理环节制定评分细则，全面提升全院医疗设备精细化管理水平。</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2.全力保障临床科室医疗技术开展。以考核评价为抓手，推动服务方优化服务模式、提升服务效率，持续强化本院医疗设备技术处理、临床服务及设备管理能力，保障医疗设备的临床实效性、可用性与可靠性，为临床科室依托医疗设备开展诊疗工作提供坚实支撑。</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3.深化医疗设备信息化精细化管理。通过考核引导服务方持续完善医疗设备及固定资产信息化、精细化管理平台，为重点医疗设备逐台建立全流程管理档案，逐步健全医疗设备分类、分级管理机制。</w:t>
      </w:r>
      <w:r/>
    </w:p>
    <w:p>
      <w:pPr>
        <w:pStyle w:val="1028"/>
        <w:ind w:firstLine="482"/>
        <w:jc w:val="left"/>
        <w:spacing w:after="200" w:line="480" w:lineRule="exact"/>
        <w:widowControl/>
        <w:rPr>
          <w:rFonts w:hint="eastAsia" w:ascii="宋体" w:hAnsi="宋体"/>
          <w:b/>
          <w:bCs/>
          <w:sz w:val="24"/>
        </w:rPr>
      </w:pPr>
      <w:r>
        <w:rPr>
          <w:rFonts w:hint="eastAsia" w:ascii="宋体" w:hAnsi="宋体"/>
          <w:b/>
          <w:bCs/>
          <w:sz w:val="24"/>
        </w:rPr>
        <w:t xml:space="preserve">二、考核标准及处理方案</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医院每季度末对服务方本季度服务开展评分考核，考核由日常工作考核（50分）和服务满意度考核（50分）两部分组成，根据考核总分实施差异化处理，具体方案</w:t>
      </w:r>
      <w:r>
        <w:rPr>
          <w:rFonts w:hint="eastAsia" w:ascii="宋体" w:hAnsi="宋体"/>
          <w:sz w:val="24"/>
        </w:rPr>
        <w:t xml:space="preserve">如下：</w:t>
      </w:r>
      <w:r/>
    </w:p>
    <w:p>
      <w:pPr>
        <w:pStyle w:val="1028"/>
        <w:ind w:firstLine="480"/>
        <w:jc w:val="left"/>
        <w:spacing w:after="200" w:line="400" w:lineRule="exact"/>
        <w:widowControl/>
        <w:rPr>
          <w:rFonts w:hint="eastAsia" w:ascii="宋体" w:hAnsi="宋体"/>
          <w:sz w:val="24"/>
        </w:rPr>
      </w:pPr>
      <w:r>
        <w:rPr>
          <w:rFonts w:hint="eastAsia" w:ascii="宋体" w:hAnsi="宋体"/>
          <w:sz w:val="24"/>
        </w:rPr>
        <w:t xml:space="preserve">考核分≥90分：服务费全额给付；</w:t>
      </w:r>
      <w:r/>
    </w:p>
    <w:p>
      <w:pPr>
        <w:pStyle w:val="1028"/>
        <w:ind w:firstLine="480"/>
        <w:jc w:val="left"/>
        <w:spacing w:after="200" w:line="400" w:lineRule="exact"/>
        <w:widowControl/>
        <w:rPr>
          <w:rFonts w:hint="eastAsia" w:ascii="宋体" w:hAnsi="宋体"/>
          <w:sz w:val="24"/>
        </w:rPr>
      </w:pPr>
      <w:r>
        <w:rPr>
          <w:rFonts w:hint="eastAsia" w:ascii="宋体" w:hAnsi="宋体"/>
          <w:sz w:val="24"/>
        </w:rPr>
        <w:t xml:space="preserve">80≤考核分＜90分：以90分为基准，每扣1分，医院将从当期服务费中扣除投标人需支付的违约金，该违约金为当期服务费的0.2%。</w:t>
      </w:r>
      <w:r/>
    </w:p>
    <w:p>
      <w:pPr>
        <w:pStyle w:val="1028"/>
        <w:ind w:firstLine="480"/>
        <w:jc w:val="left"/>
        <w:spacing w:after="200" w:line="400" w:lineRule="exact"/>
        <w:widowControl/>
        <w:rPr>
          <w:rFonts w:hint="eastAsia" w:ascii="宋体" w:hAnsi="宋体"/>
          <w:sz w:val="24"/>
        </w:rPr>
      </w:pPr>
      <w:r>
        <w:rPr>
          <w:rFonts w:hint="eastAsia" w:ascii="宋体" w:hAnsi="宋体"/>
          <w:sz w:val="24"/>
        </w:rPr>
        <w:t xml:space="preserve">60≤考核分＜80分：以 90 分为基准，每扣1分，医院将从当期服务费中扣除投标人需支付的违约金，该违约金为当期服务费的0.2%，且医院有权要求投标人限期整改；若整改后仍不合格，医院有权终止服务合同，并按照合同约定追究投标人的违约责任；</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考核分＜60分：医院有权终止服务合同，并按照合同约定追究投标人的违约责任。</w:t>
      </w:r>
      <w:r/>
    </w:p>
    <w:p>
      <w:pPr>
        <w:pStyle w:val="1028"/>
        <w:ind w:firstLine="482"/>
        <w:jc w:val="left"/>
        <w:spacing w:after="200" w:line="480" w:lineRule="exact"/>
        <w:widowControl/>
        <w:rPr>
          <w:rFonts w:hint="eastAsia" w:ascii="宋体" w:hAnsi="宋体"/>
          <w:b/>
          <w:bCs/>
          <w:sz w:val="24"/>
        </w:rPr>
      </w:pPr>
      <w:r>
        <w:rPr>
          <w:rFonts w:hint="eastAsia" w:ascii="宋体" w:hAnsi="宋体"/>
          <w:b/>
          <w:bCs/>
          <w:sz w:val="24"/>
        </w:rPr>
        <w:t xml:space="preserve">三、考核细则</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（一）考核内容</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1.日常工作考核（50 分）：涵盖人员管理、设备管理、配件储存管理、维修场地管理、设备安全使用巡检管理、不良事件上报管理、报废管理及其他协助事宜等环节。考核内容细则详见附件 《医疗设备全托管服务考核评价表（季度）》。</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2.服务满意度考核（50 分）：具体评分标准详见附件。</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（二）评分规则</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1.日常工作考核：每季度末最后一周，由设备管理部门依据本细则完成评分。</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2.服务满意度考核：每季度末最后一周，在监察部门全程监督下，设备管理部门随机抽取 20 个临床科室开展满意度调查，填写附件 《使用科室满意度调查汇总</w:t>
      </w:r>
      <w:r>
        <w:rPr>
          <w:rFonts w:hint="eastAsia" w:ascii="宋体" w:hAnsi="宋体"/>
          <w:sz w:val="24"/>
        </w:rPr>
        <w:t xml:space="preserve">表（季度）》，统分换算后取平均值作为该部分考核分值。</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3.投诉扣分项：若设备管理部门本季度收到设备使用部门有效投诉单，除将投诉科室纳入满意度调查范围外，每确认 1 次有效投诉，在考核总分中扣除 3 分。</w:t>
      </w:r>
      <w:r/>
    </w:p>
    <w:p>
      <w:pPr>
        <w:pStyle w:val="1028"/>
        <w:ind w:firstLine="482"/>
        <w:jc w:val="left"/>
        <w:spacing w:after="200" w:line="480" w:lineRule="exact"/>
        <w:widowControl/>
        <w:rPr>
          <w:rFonts w:hint="eastAsia" w:ascii="宋体" w:hAnsi="宋体"/>
          <w:b/>
          <w:bCs/>
          <w:sz w:val="24"/>
        </w:rPr>
      </w:pPr>
      <w:r>
        <w:rPr>
          <w:rFonts w:hint="eastAsia" w:ascii="宋体" w:hAnsi="宋体"/>
          <w:b/>
          <w:bCs/>
          <w:sz w:val="24"/>
        </w:rPr>
        <w:t xml:space="preserve">四、监督管理</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纪检监察部门全程监督医疗设备资产管理及维修保养外包服务的考核评价工作，若考核过程中发现违反公平、公正原则的行为，将按医院相关规定追究涉事科室及个人的责任。</w:t>
      </w:r>
      <w:r/>
    </w:p>
    <w:p>
      <w:pPr>
        <w:pStyle w:val="1028"/>
        <w:ind w:firstLine="480"/>
        <w:jc w:val="left"/>
        <w:spacing w:after="200" w:line="480" w:lineRule="exact"/>
        <w:widowControl/>
        <w:rPr>
          <w:rFonts w:hint="eastAsia" w:ascii="宋体" w:hAnsi="宋体"/>
          <w:sz w:val="24"/>
        </w:rPr>
      </w:pPr>
      <w:r>
        <w:rPr>
          <w:rFonts w:hint="eastAsia" w:ascii="宋体" w:hAnsi="宋体"/>
          <w:sz w:val="24"/>
        </w:rPr>
        <w:t xml:space="preserve">本细则未尽事宜，由医学装备管理委员会审议后，上报院长办公会、院党委会研究决议。</w:t>
      </w:r>
      <w:r/>
    </w:p>
    <w:p>
      <w:pPr>
        <w:pStyle w:val="1028"/>
        <w:ind w:firstLine="480"/>
        <w:jc w:val="left"/>
        <w:spacing w:after="200" w:line="480" w:lineRule="exact"/>
        <w:widowControl/>
        <w:rPr>
          <w:rFonts w:hint="eastAsia" w:ascii="宋体" w:hAnsi="宋体"/>
          <w:sz w:val="24"/>
        </w:rPr>
      </w:pPr>
      <w:r>
        <w:rPr>
          <w:rFonts w:hint="eastAsia" w:ascii="宋体" w:hAnsi="宋体"/>
          <w:sz w:val="24"/>
        </w:rPr>
      </w:r>
      <w:r/>
    </w:p>
    <w:p>
      <w:pPr>
        <w:pStyle w:val="1028"/>
        <w:jc w:val="left"/>
        <w:keepLines/>
        <w:keepNext/>
        <w:spacing w:before="160" w:after="80" w:line="276" w:lineRule="auto"/>
        <w:widowControl/>
        <w:rPr>
          <w:rFonts w:hint="eastAsia" w:ascii="宋体" w:hAnsi="宋体"/>
          <w:sz w:val="32"/>
          <w:szCs w:val="32"/>
        </w:rPr>
        <w:outlineLvl w:val="1"/>
      </w:pPr>
      <w:r>
        <w:rPr>
          <w:rFonts w:hint="eastAsia" w:ascii="宋体" w:hAnsi="宋体"/>
          <w:sz w:val="32"/>
          <w:szCs w:val="32"/>
        </w:rPr>
        <w:t xml:space="preserve">附件A：医疗设备全托管服务考核评价表（季度）</w:t>
      </w:r>
      <w:r/>
    </w:p>
    <w:p>
      <w:pPr>
        <w:pStyle w:val="1028"/>
        <w:jc w:val="left"/>
        <w:keepLines/>
        <w:keepNext/>
        <w:spacing w:before="160" w:after="80" w:line="276" w:lineRule="auto"/>
        <w:widowControl/>
        <w:rPr>
          <w:rFonts w:hint="eastAsia" w:ascii="宋体" w:hAnsi="宋体"/>
          <w:sz w:val="32"/>
          <w:szCs w:val="32"/>
        </w:rPr>
        <w:outlineLvl w:val="1"/>
      </w:pPr>
      <w:r>
        <w:rPr>
          <w:rFonts w:hint="eastAsia" w:ascii="宋体" w:hAnsi="宋体"/>
          <w:sz w:val="32"/>
          <w:szCs w:val="32"/>
        </w:rPr>
        <w:t xml:space="preserve">附件B：使用科室满意度调查汇总表（季度）</w:t>
      </w:r>
      <w:r/>
    </w:p>
    <w:p>
      <w:pPr>
        <w:pStyle w:val="1028"/>
        <w:jc w:val="left"/>
        <w:spacing w:after="200"/>
        <w:widowControl/>
        <w:rPr>
          <w:rFonts w:hint="eastAsia" w:ascii="宋体" w:hAnsi="宋体" w:cs="黑体"/>
          <w:spacing w:val="-19"/>
          <w:sz w:val="31"/>
          <w:szCs w:val="31"/>
        </w:rPr>
      </w:pPr>
      <w:r>
        <w:rPr>
          <w:rFonts w:hint="eastAsia" w:ascii="宋体" w:hAnsi="宋体" w:cs="黑体"/>
          <w:spacing w:val="-19"/>
          <w:sz w:val="31"/>
          <w:szCs w:val="31"/>
        </w:rPr>
      </w:r>
      <w:r/>
    </w:p>
    <w:p>
      <w:pPr>
        <w:pStyle w:val="1028"/>
        <w:jc w:val="left"/>
        <w:spacing w:after="200"/>
        <w:widowControl/>
        <w:rPr>
          <w:rFonts w:hint="eastAsia" w:ascii="宋体" w:hAnsi="宋体" w:cs="黑体"/>
          <w:spacing w:val="-19"/>
          <w:sz w:val="31"/>
          <w:szCs w:val="31"/>
        </w:rPr>
        <w:sectPr>
          <w:footerReference w:type="default" r:id="rId16"/>
          <w:footnotePr/>
          <w:endnotePr/>
          <w:type w:val="nextPage"/>
          <w:pgSz w:w="11907" w:h="16839" w:orient="portrait"/>
          <w:pgMar w:top="1431" w:right="1247" w:bottom="1417" w:left="1230" w:header="0" w:footer="850" w:gutter="0"/>
          <w:pgNumType w:start="1"/>
          <w:cols w:num="1" w:sep="0" w:space="720" w:equalWidth="1"/>
          <w:docGrid w:linePitch="360"/>
        </w:sectPr>
      </w:pPr>
      <w:r>
        <w:rPr>
          <w:rFonts w:hint="eastAsia" w:ascii="宋体" w:hAnsi="宋体" w:cs="黑体"/>
          <w:spacing w:val="-19"/>
          <w:sz w:val="31"/>
          <w:szCs w:val="31"/>
        </w:rPr>
      </w:r>
      <w:r/>
    </w:p>
    <w:tbl>
      <w:tblPr>
        <w:tblpPr w:horzAnchor="page" w:tblpX="1022" w:vertAnchor="text" w:tblpY="50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413"/>
        <w:gridCol w:w="6082"/>
        <w:gridCol w:w="5666"/>
        <w:gridCol w:w="1212"/>
      </w:tblGrid>
      <w:tr>
        <w:trPr>
          <w:cantSplit/>
          <w:trHeight w:val="401"/>
        </w:trPr>
        <w:tc>
          <w:tcPr>
            <w:gridSpan w:val="5"/>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pStyle w:val="1028"/>
              <w:jc w:val="left"/>
              <w:spacing w:after="200" w:line="520" w:lineRule="exact"/>
              <w:widowControl/>
              <w:rPr>
                <w:rFonts w:hint="eastAsia" w:ascii="宋体" w:hAnsi="宋体" w:cs="仿宋_GB2312"/>
                <w:b/>
                <w:bCs/>
                <w:sz w:val="32"/>
                <w:szCs w:val="32"/>
                <w:lang w:bidi="ar"/>
              </w:rPr>
              <w:framePr w:hSpace="180" w:wrap="around" w:vAnchor="text" w:hAnchor="page" w:x="1022" w:y="501"/>
            </w:pPr>
            <w:r>
              <w:rPr>
                <w:rFonts w:hint="eastAsia" w:ascii="宋体" w:hAnsi="宋体" w:cs="仿宋_GB2312"/>
                <w:spacing w:val="-2"/>
                <w:sz w:val="24"/>
              </w:rPr>
              <w:t xml:space="preserve">附件A</w:t>
            </w:r>
            <w:r>
              <w:rPr>
                <w:rFonts w:hint="eastAsia" w:ascii="宋体" w:hAnsi="宋体" w:cs="仿宋_GB2312"/>
                <w:b/>
                <w:bCs/>
                <w:sz w:val="32"/>
                <w:szCs w:val="32"/>
                <w:lang w:bidi="ar"/>
              </w:rPr>
            </w:r>
            <w:r/>
          </w:p>
        </w:tc>
      </w:tr>
      <w:tr>
        <w:trPr>
          <w:cantSplit/>
          <w:trHeight w:val="5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28"/>
              <w:jc w:val="center"/>
              <w:spacing w:after="200"/>
              <w:widowControl/>
              <w:rPr>
                <w:rFonts w:hint="eastAsia" w:ascii="宋体" w:hAnsi="宋体" w:cs="仿宋_GB2312"/>
                <w:b/>
                <w:bCs/>
                <w:sz w:val="32"/>
                <w:szCs w:val="32"/>
              </w:rPr>
              <w:framePr w:hSpace="180" w:wrap="around" w:vAnchor="text" w:hAnchor="page" w:x="1022" w:y="501"/>
            </w:pPr>
            <w:r>
              <w:rPr>
                <w:rFonts w:hint="eastAsia" w:ascii="宋体" w:hAnsi="宋体" w:cs="仿宋_GB2312"/>
                <w:b/>
                <w:bCs/>
                <w:sz w:val="32"/>
                <w:szCs w:val="32"/>
                <w:lang w:bidi="ar"/>
              </w:rPr>
              <w:t xml:space="preserve">医疗设备全托管服务考核评价表（季度）</w:t>
            </w:r>
            <w:r>
              <w:rPr>
                <w:rFonts w:hint="eastAsia" w:ascii="宋体" w:hAnsi="宋体" w:cs="仿宋_GB2312"/>
                <w:b/>
                <w:bCs/>
                <w:sz w:val="32"/>
                <w:szCs w:val="32"/>
              </w:rPr>
            </w:r>
            <w:r/>
          </w:p>
        </w:tc>
      </w:tr>
      <w:tr>
        <w:trPr>
          <w:cantSplit/>
          <w:trHeight w:val="5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28"/>
              <w:jc w:val="left"/>
              <w:spacing w:after="200"/>
              <w:widowControl/>
              <w:rPr>
                <w:rFonts w:hint="eastAsia" w:ascii="宋体" w:hAnsi="宋体" w:cs="仿宋_GB2312"/>
                <w:b/>
                <w:bCs/>
                <w:sz w:val="22"/>
                <w:szCs w:val="22"/>
              </w:rPr>
              <w:framePr w:hSpace="180" w:wrap="around" w:vAnchor="text" w:hAnchor="page" w:x="1022" w:y="501"/>
            </w:pPr>
            <w:r>
              <w:rPr>
                <w:rFonts w:hint="eastAsia" w:ascii="宋体" w:hAnsi="宋体" w:cs="仿宋_GB2312"/>
                <w:b/>
                <w:bCs/>
                <w:sz w:val="22"/>
                <w:szCs w:val="22"/>
                <w:lang w:bidi="ar"/>
              </w:rPr>
              <w:t xml:space="preserve">一、日常工作考核（50分）</w:t>
            </w:r>
            <w:r>
              <w:rPr>
                <w:rFonts w:hint="eastAsia" w:ascii="宋体" w:hAnsi="宋体" w:cs="仿宋_GB2312"/>
                <w:b/>
                <w:bCs/>
                <w:sz w:val="22"/>
                <w:szCs w:val="22"/>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仿宋"/>
                <w:b/>
                <w:bCs/>
                <w:sz w:val="24"/>
              </w:rPr>
              <w:framePr w:hSpace="180" w:wrap="around" w:vAnchor="text" w:hAnchor="page" w:x="1022" w:y="501"/>
            </w:pPr>
            <w:r>
              <w:rPr>
                <w:rFonts w:hint="eastAsia" w:ascii="宋体" w:hAnsi="宋体" w:cs="仿宋"/>
                <w:b/>
                <w:bCs/>
                <w:sz w:val="24"/>
                <w:lang w:bidi="ar"/>
              </w:rPr>
              <w:t xml:space="preserve">类别</w:t>
            </w:r>
            <w:r>
              <w:rPr>
                <w:rFonts w:hint="eastAsia" w:ascii="宋体" w:hAnsi="宋体" w:cs="仿宋"/>
                <w:b/>
                <w:bCs/>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center"/>
              <w:spacing w:after="200"/>
              <w:widowControl/>
              <w:rPr>
                <w:rFonts w:hint="eastAsia" w:ascii="宋体" w:hAnsi="宋体" w:cs="仿宋"/>
                <w:b/>
                <w:bCs/>
                <w:sz w:val="24"/>
              </w:rPr>
              <w:framePr w:hSpace="180" w:wrap="around" w:vAnchor="text" w:hAnchor="page" w:x="1022" w:y="501"/>
            </w:pPr>
            <w:r>
              <w:rPr>
                <w:rFonts w:hint="eastAsia" w:ascii="宋体" w:hAnsi="宋体" w:cs="仿宋"/>
                <w:b/>
                <w:bCs/>
                <w:sz w:val="24"/>
                <w:lang w:bidi="ar"/>
              </w:rPr>
              <w:t xml:space="preserve">考核要求</w:t>
            </w:r>
            <w:r>
              <w:rPr>
                <w:rFonts w:hint="eastAsia"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center"/>
              <w:spacing w:after="200"/>
              <w:widowControl/>
              <w:rPr>
                <w:rFonts w:hint="eastAsia" w:ascii="宋体" w:hAnsi="宋体" w:cs="仿宋"/>
                <w:b/>
                <w:bCs/>
                <w:sz w:val="24"/>
              </w:rPr>
              <w:framePr w:hSpace="180" w:wrap="around" w:vAnchor="text" w:hAnchor="page" w:x="1022" w:y="501"/>
            </w:pPr>
            <w:r>
              <w:rPr>
                <w:rFonts w:hint="eastAsia" w:ascii="宋体" w:hAnsi="宋体" w:cs="仿宋"/>
                <w:b/>
                <w:bCs/>
                <w:sz w:val="24"/>
                <w:lang w:bidi="ar"/>
              </w:rPr>
              <w:t xml:space="preserve">评分规则</w:t>
            </w:r>
            <w:r>
              <w:rPr>
                <w:rFonts w:hint="eastAsia"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center"/>
              <w:spacing w:after="200"/>
              <w:widowControl/>
              <w:rPr>
                <w:rFonts w:hint="eastAsia" w:ascii="宋体" w:hAnsi="宋体" w:cs="仿宋"/>
                <w:b/>
                <w:bCs/>
                <w:sz w:val="24"/>
              </w:rPr>
              <w:framePr w:hSpace="180" w:wrap="around" w:vAnchor="text" w:hAnchor="page" w:x="1022" w:y="501"/>
            </w:pPr>
            <w:r>
              <w:rPr>
                <w:rFonts w:hint="eastAsia" w:ascii="宋体" w:hAnsi="宋体" w:cs="仿宋"/>
                <w:b/>
                <w:bCs/>
                <w:sz w:val="24"/>
                <w:lang w:bidi="ar"/>
              </w:rPr>
              <w:t xml:space="preserve">考核扣分</w:t>
            </w:r>
            <w:r>
              <w:rPr>
                <w:rFonts w:hint="eastAsia" w:ascii="宋体" w:hAnsi="宋体" w:cs="仿宋"/>
                <w:b/>
                <w:bCs/>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仿宋"/>
                <w:b/>
                <w:bCs/>
                <w:sz w:val="24"/>
                <w:lang w:bidi="ar"/>
              </w:rPr>
              <w:framePr w:hSpace="180" w:wrap="around" w:vAnchor="text" w:hAnchor="page" w:x="1022" w:y="501"/>
            </w:pPr>
            <w:r>
              <w:rPr>
                <w:rFonts w:hint="eastAsia" w:ascii="宋体" w:hAnsi="宋体" w:cs="楷体"/>
                <w:sz w:val="24"/>
                <w:lang w:bidi="ar"/>
              </w:rPr>
              <w:t xml:space="preserve">人员管理</w:t>
            </w:r>
            <w:r>
              <w:rPr>
                <w:rFonts w:hint="eastAsia" w:ascii="宋体" w:hAnsi="宋体" w:cs="仿宋"/>
                <w:b/>
                <w:bCs/>
                <w:sz w:val="24"/>
                <w:lang w:bidi="ar"/>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b/>
                <w:bCs/>
                <w:sz w:val="24"/>
                <w:lang w:bidi="ar"/>
              </w:rPr>
              <w:framePr w:hSpace="180" w:wrap="around" w:vAnchor="text" w:hAnchor="page" w:x="1022" w:y="501"/>
            </w:pPr>
            <w:r>
              <w:rPr>
                <w:rFonts w:hint="eastAsia" w:ascii="宋体" w:hAnsi="宋体" w:cs="仿宋"/>
                <w:sz w:val="24"/>
                <w:lang w:bidi="ar"/>
              </w:rPr>
              <w:t xml:space="preserve">驻场人员变动需经设备管理部门负责人同意，并按规定完成交接手续</w:t>
            </w:r>
            <w:r>
              <w:rPr>
                <w:rFonts w:hint="eastAsia" w:ascii="宋体" w:hAnsi="宋体" w:cs="仿宋"/>
                <w:b/>
                <w:bCs/>
                <w:sz w:val="24"/>
                <w:lang w:bidi="ar"/>
              </w:rPr>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b/>
                <w:bCs/>
                <w:sz w:val="24"/>
                <w:lang w:bidi="ar"/>
              </w:rPr>
              <w:framePr w:hSpace="180" w:wrap="around" w:vAnchor="text" w:hAnchor="page" w:x="1022" w:y="501"/>
            </w:pPr>
            <w:r>
              <w:rPr>
                <w:rFonts w:hint="eastAsia" w:ascii="宋体" w:hAnsi="宋体" w:cs="仿宋"/>
                <w:sz w:val="24"/>
                <w:lang w:bidi="ar"/>
              </w:rPr>
              <w:t xml:space="preserve">未经同意擅自变动人员的，扣除5分/次。</w:t>
            </w:r>
            <w:r>
              <w:rPr>
                <w:rFonts w:hint="eastAsia" w:ascii="宋体" w:hAnsi="宋体" w:cs="仿宋"/>
                <w:b/>
                <w:bCs/>
                <w:sz w:val="24"/>
                <w:lang w:bidi="ar"/>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center"/>
              <w:spacing w:after="200"/>
              <w:widowControl/>
              <w:rPr>
                <w:rFonts w:hint="eastAsia" w:ascii="宋体" w:hAnsi="宋体" w:cs="仿宋"/>
                <w:b/>
                <w:bCs/>
                <w:sz w:val="24"/>
                <w:lang w:bidi="ar"/>
              </w:rPr>
              <w:framePr w:hSpace="180" w:wrap="around" w:vAnchor="text" w:hAnchor="page" w:x="1022" w:y="501"/>
            </w:pPr>
            <w:r>
              <w:rPr>
                <w:rFonts w:hint="eastAsia" w:ascii="宋体" w:hAnsi="宋体" w:cs="仿宋"/>
                <w:b/>
                <w:bCs/>
                <w:sz w:val="24"/>
                <w:lang w:bidi="ar"/>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367" w:type="pct"/>
            <w:vAlign w:val="center"/>
            <w:vMerge w:val="restart"/>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设备管理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1.急救生命支持类设备100%完好待机状态，发生故障时提供备用机。</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急救生命支持类设备故障期间因未提供备用机，而导致临床工作受影响的，扣除1分/例。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1261"/>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2.设备故障报修电话实时响应；紧急停机故障 / 事件：10分钟内到场；其他故</w:t>
            </w:r>
            <w:r>
              <w:rPr>
                <w:rFonts w:hint="eastAsia" w:ascii="宋体" w:hAnsi="宋体" w:cs="仿宋"/>
                <w:sz w:val="24"/>
                <w:lang w:bidi="ar"/>
              </w:rPr>
              <w:t xml:space="preserve">障： 30 分钟内到场；无法按时到场的，需经使用科室护士长 / 科主任同意并签字确认延期。</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rPr>
              <w:framePr w:hSpace="180" w:wrap="around" w:vAnchor="text" w:hAnchor="page" w:x="1022" w:y="501"/>
            </w:pPr>
            <w:r>
              <w:rPr>
                <w:rFonts w:hint="eastAsia" w:ascii="宋体" w:hAnsi="宋体" w:cs="仿宋"/>
                <w:sz w:val="24"/>
                <w:lang w:bidi="ar"/>
              </w:rPr>
              <w:t xml:space="preserve">报修电话未实时响应，扣除1分/例；紧急故障 / 事件：工作日未立即到场或系统记录开工时间超报修时间 5 分钟、非工作日超 25 分钟，扣除1分/例；其他故障：工作日开工时间超报修时间 20 分钟、非工作日超 40 分钟，扣除1分/例。</w:t>
            </w: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1147"/>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3.提供备用机的维修周期≤72小时，无备用机的维修周期≤48小时，结单需经报修科室护士长 / 科主任及设备管理部门工程师确认；无法按时完成的需经使用科室同意延期，若科室不同意且无院内同类设备调配，服务方必须提供备用机。</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维修结单超时限、维修质量不符合医院标准，扣除1分/例。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896"/>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4.按巡检周期开展巡检，重点检查设备外观、开机状态、运行环境等，巡检报告经使用科室及设备管理部门确认后方可生效。</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未按时巡检、巡检报告未按要求确认，扣除1分/例。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832"/>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5.按预防性维护保养计划执行保养，及时更换易损耗件及保养套包，保养报告经使用科室及设备管理部门确认后方可生效。</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未按时保养、保养周期 / 质量不达标、保养报告未按要求确认，扣除1分/例。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808"/>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6.按质控计划完成医疗设备质量控制检测并出具</w:t>
            </w:r>
            <w:r>
              <w:rPr>
                <w:rFonts w:hint="eastAsia" w:ascii="宋体" w:hAnsi="宋体" w:cs="仿宋"/>
                <w:sz w:val="24"/>
                <w:lang w:bidi="ar"/>
              </w:rPr>
              <w:t xml:space="preserve">报告，检测报告经使用科室及设备管理部门确认后方可生效。</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未按时开展质控检测、检测报告未按要求确认，扣除1分/例。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782"/>
        </w:trPr>
        <w:tc>
          <w:tcPr>
            <w:tcBorders>
              <w:top w:val="single" w:color="000000" w:sz="4" w:space="0"/>
              <w:left w:val="single" w:color="000000" w:sz="4" w:space="0"/>
              <w:bottom w:val="single" w:color="000000" w:sz="4" w:space="0"/>
              <w:right w:val="single" w:color="000000" w:sz="4" w:space="0"/>
            </w:tcBorders>
            <w:tcW w:w="367" w:type="pct"/>
            <w:vAlign w:val="center"/>
            <w:vMerge w:val="continue"/>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7.现场维修第一时间扫码报修，各工序完成后及时在管理系统登记维修信息（含故障现象、故障原因、处理方式、维修进展）。</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未在系统登记维修相关信息，扣除1分/例。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1785"/>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配件储存管理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1.日常工作中，服务方工程师应根据配件的类别、性质、用途等属性实行分类、分区域、网格化存放管理，禁止混放，遵循院方9S管理考核要求。</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2.在验收或使用过程中，若发现产品存在包装或质量问题，应及时进行更换或维修。</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3.确保售后配件供应及时。</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设备管理部门每季度抽查并拍照留档，发现配件存放混乱、储备不足、消耗后未及时补足，扣除1分/例。不合格配件未及时更换 / 维修，扣除1分/例。配件发货 / 调货延迟，扣除1分/例。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966"/>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维修场地管理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1.设备维修完毕后及时送回临床科室。</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2.未维修设备存放于待维修区，备用机存放于备品区。</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3.备用机及已维修设备保持物表清洁、面板干净、线路清晰</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设备管理部门每季度抽查并拍照留档，未按区域存放、备用机 / 已维修设备外表脏乱、维修完毕设备未及时送回，扣除1分/例。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888"/>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设备安全使用巡检管理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对生命支持类、急救类、辐射类、特种设备及大型医用设备的安全使用情况进行监控，按需巡检其开机、使用、维修保养情况。</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未按时进行设备安全使用巡检，扣除1分/例。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1249"/>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不良事件上报管理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1.协助院方收集上报不良事件信息（含注册证号、品牌、型号、产品编号、故障表现）；若事件造成人体伤害，额外收集患者资料、事件发生情况及地点。</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 医疗器械维修相关不良事件上报设备管理部门审批后，完成平台上报。</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不良事件信息未及时上报的，扣除1分/例。</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因产品质量问题发生不良反应，扣除3分/例。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1097"/>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楷体"/>
                <w:sz w:val="24"/>
                <w:lang w:bidi="ar"/>
              </w:rPr>
              <w:t xml:space="preserve">报废管理</w:t>
            </w:r>
            <w:r>
              <w:rPr>
                <w:rFonts w:hint="eastAsia" w:ascii="宋体" w:hAnsi="宋体" w:cs="楷体"/>
                <w:sz w:val="24"/>
              </w:rPr>
            </w:r>
            <w:r/>
          </w:p>
        </w:tc>
        <w:tc>
          <w:tcPr>
            <w:gridSpan w:val="2"/>
            <w:tcBorders>
              <w:top w:val="single" w:color="000000" w:sz="4" w:space="0"/>
              <w:left w:val="single" w:color="000000" w:sz="4" w:space="0"/>
              <w:bottom w:val="single" w:color="000000" w:sz="4" w:space="0"/>
              <w:right w:val="single" w:color="000000" w:sz="4" w:space="0"/>
            </w:tcBorders>
            <w:tcW w:w="2249"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1.设备使用部门提出报废需求后，先完成初步评估并报设备管理部门负责人同意，再将设备移至待报废区域。</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 配合职能部门完成设备报废处置工作。</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设备未超本院同类 / 近似功能设备使用年限中位值且可维修却不予维修扣除1分/例。未及时将待报废设备移至指定区域，扣除1分/例。</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620"/>
        </w:trPr>
        <w:tc>
          <w:tcPr>
            <w:gridSpan w:val="3"/>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pStyle w:val="1028"/>
              <w:jc w:val="center"/>
              <w:spacing w:after="200"/>
              <w:widowControl/>
              <w:rPr>
                <w:rFonts w:hint="eastAsia" w:ascii="宋体" w:hAnsi="宋体" w:cs="仿宋"/>
                <w:sz w:val="24"/>
                <w:lang w:bidi="ar"/>
              </w:rPr>
              <w:framePr w:hSpace="180" w:wrap="around" w:vAnchor="text" w:hAnchor="page" w:x="1022" w:y="501"/>
            </w:pPr>
            <w:r>
              <w:rPr>
                <w:rFonts w:hint="eastAsia" w:ascii="宋体" w:hAnsi="宋体" w:cs="仿宋"/>
                <w:b/>
                <w:bCs/>
                <w:sz w:val="24"/>
                <w:lang w:bidi="ar"/>
              </w:rPr>
              <w:t xml:space="preserve">扣分合计：</w:t>
            </w:r>
            <w:r>
              <w:rPr>
                <w:rFonts w:hint="eastAsia" w:ascii="宋体" w:hAnsi="宋体" w:cs="仿宋"/>
                <w:sz w:val="24"/>
                <w:lang w:bidi="ar"/>
              </w:rPr>
            </w:r>
            <w:r/>
          </w:p>
        </w:tc>
        <w:tc>
          <w:tcPr>
            <w:gridSpan w:val="2"/>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pStyle w:val="1028"/>
              <w:jc w:val="center"/>
              <w:spacing w:after="200"/>
              <w:widowControl/>
              <w:rPr>
                <w:rFonts w:hint="eastAsia" w:ascii="宋体" w:hAnsi="宋体"/>
                <w:sz w:val="22"/>
                <w:szCs w:val="22"/>
              </w:rPr>
              <w:framePr w:hSpace="180" w:wrap="around" w:vAnchor="text" w:hAnchor="page" w:x="1022" w:y="501"/>
            </w:pPr>
            <w:r>
              <w:rPr>
                <w:rFonts w:hint="eastAsia" w:ascii="宋体" w:hAnsi="宋体" w:cs="仿宋"/>
                <w:b/>
                <w:bCs/>
                <w:sz w:val="24"/>
                <w:lang w:bidi="ar"/>
              </w:rPr>
              <w:t xml:space="preserve">考评得分：</w:t>
            </w:r>
            <w:r>
              <w:rPr>
                <w:rFonts w:hint="eastAsia" w:ascii="宋体" w:hAnsi="宋体"/>
                <w:sz w:val="22"/>
                <w:szCs w:val="22"/>
              </w:rPr>
            </w:r>
            <w:r/>
          </w:p>
        </w:tc>
      </w:tr>
      <w:tr>
        <w:trPr>
          <w:cantSplit/>
          <w:trHeight w:val="6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28"/>
              <w:jc w:val="left"/>
              <w:spacing w:after="200"/>
              <w:widowControl/>
              <w:rPr>
                <w:rFonts w:hint="eastAsia" w:ascii="宋体" w:hAnsi="宋体" w:cs="仿宋"/>
                <w:b/>
                <w:bCs/>
                <w:sz w:val="24"/>
              </w:rPr>
              <w:framePr w:hSpace="180" w:wrap="around" w:vAnchor="text" w:hAnchor="page" w:x="1022" w:y="501"/>
            </w:pPr>
            <w:r>
              <w:rPr>
                <w:rFonts w:hint="eastAsia" w:ascii="宋体" w:hAnsi="宋体" w:cs="仿宋_GB2312"/>
                <w:b/>
                <w:bCs/>
                <w:sz w:val="22"/>
                <w:szCs w:val="22"/>
                <w:lang w:bidi="ar"/>
              </w:rPr>
              <w:t xml:space="preserve">二、服务满意度考核（50分）</w:t>
            </w:r>
            <w:r>
              <w:rPr>
                <w:rFonts w:hint="eastAsia" w:ascii="宋体" w:hAnsi="宋体" w:cs="仿宋"/>
                <w:b/>
                <w:bCs/>
                <w:sz w:val="24"/>
              </w:rPr>
            </w:r>
            <w:r/>
          </w:p>
        </w:tc>
      </w:tr>
      <w:tr>
        <w:trPr>
          <w:cantSplit/>
          <w:trHeight w:val="693"/>
        </w:trPr>
        <w:tc>
          <w:tcPr>
            <w:gridSpan w:val="2"/>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28"/>
              <w:jc w:val="center"/>
              <w:spacing w:after="200"/>
              <w:widowControl/>
              <w:rPr>
                <w:rFonts w:hint="eastAsia" w:ascii="宋体" w:hAnsi="宋体" w:cs="楷体"/>
                <w:sz w:val="24"/>
              </w:rPr>
              <w:framePr w:hSpace="180" w:wrap="around" w:vAnchor="text" w:hAnchor="page" w:x="1022" w:y="501"/>
            </w:pPr>
            <w:r>
              <w:rPr>
                <w:rFonts w:hint="eastAsia" w:ascii="宋体" w:hAnsi="宋体" w:cs="仿宋"/>
                <w:b/>
                <w:bCs/>
                <w:sz w:val="24"/>
                <w:lang w:bidi="ar"/>
              </w:rPr>
              <w:t xml:space="preserve">类别</w:t>
            </w:r>
            <w:r>
              <w:rPr>
                <w:rFonts w:hint="eastAsia" w:ascii="宋体" w:hAnsi="宋体" w:cs="楷体"/>
                <w:sz w:val="24"/>
              </w:rPr>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pStyle w:val="1028"/>
              <w:jc w:val="center"/>
              <w:spacing w:after="200"/>
              <w:widowControl/>
              <w:rPr>
                <w:rFonts w:hint="eastAsia" w:ascii="宋体" w:hAnsi="宋体" w:cs="仿宋"/>
                <w:sz w:val="24"/>
              </w:rPr>
              <w:framePr w:hSpace="180" w:wrap="around" w:vAnchor="text" w:hAnchor="page" w:x="1022" w:y="501"/>
            </w:pPr>
            <w:r>
              <w:rPr>
                <w:rFonts w:hint="eastAsia" w:ascii="宋体" w:hAnsi="宋体" w:cs="仿宋"/>
                <w:b/>
                <w:bCs/>
                <w:sz w:val="24"/>
                <w:lang w:bidi="ar"/>
              </w:rPr>
              <w:t xml:space="preserve">考核要求</w:t>
            </w: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center"/>
              <w:spacing w:after="200"/>
              <w:widowControl/>
              <w:rPr>
                <w:rFonts w:hint="eastAsia" w:ascii="宋体" w:hAnsi="宋体" w:cs="仿宋"/>
                <w:sz w:val="24"/>
              </w:rPr>
              <w:framePr w:hSpace="180" w:wrap="around" w:vAnchor="text" w:hAnchor="page" w:x="1022" w:y="501"/>
            </w:pPr>
            <w:r>
              <w:rPr>
                <w:rFonts w:hint="eastAsia" w:ascii="宋体" w:hAnsi="宋体" w:cs="仿宋"/>
                <w:b/>
                <w:bCs/>
                <w:sz w:val="24"/>
                <w:lang w:bidi="ar"/>
              </w:rPr>
              <w:t xml:space="preserve">评分规则</w:t>
            </w: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cs="仿宋"/>
                <w:b/>
                <w:bCs/>
                <w:sz w:val="24"/>
                <w:lang w:bidi="ar"/>
              </w:rPr>
              <w:t xml:space="preserve">考评得分</w:t>
            </w:r>
            <w:r>
              <w:rPr>
                <w:rFonts w:hint="eastAsia" w:ascii="宋体" w:hAnsi="宋体"/>
                <w:sz w:val="22"/>
                <w:szCs w:val="22"/>
              </w:rPr>
            </w:r>
            <w:r/>
          </w:p>
        </w:tc>
      </w:tr>
      <w:tr>
        <w:trPr>
          <w:cantSplit/>
          <w:trHeight w:val="1518"/>
        </w:trPr>
        <w:tc>
          <w:tcPr>
            <w:gridSpan w:val="2"/>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28"/>
              <w:jc w:val="center"/>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临床满意度</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每季度末最后一周，在监察部门监督下，由设备管理部门随机抽取20个临床科室做满意度调查。</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1.设备管理部门向抽取科室护士长 / 科主任发放满意度调查表，</w:t>
            </w:r>
            <w:r>
              <w:rPr>
                <w:rFonts w:hint="eastAsia" w:ascii="宋体" w:hAnsi="宋体" w:cs="仿宋"/>
                <w:sz w:val="24"/>
                <w:lang w:bidi="ar"/>
              </w:rPr>
              <w:t xml:space="preserve">统分后取平均值计入考核；一周内两次发邀请未回复的，默认按 “满意” 计分。</w:t>
            </w:r>
            <w:r/>
          </w:p>
          <w:p>
            <w:pPr>
              <w:pStyle w:val="1028"/>
              <w:jc w:val="left"/>
              <w:spacing w:after="200"/>
              <w:widowControl/>
              <w:rPr>
                <w:rFonts w:hint="eastAsia" w:ascii="宋体" w:hAnsi="宋体" w:cs="仿宋"/>
                <w:sz w:val="24"/>
                <w:lang w:bidi="ar"/>
              </w:rPr>
              <w:framePr w:hSpace="180" w:wrap="around" w:vAnchor="text" w:hAnchor="page" w:x="1022" w:y="501"/>
            </w:pPr>
            <w:r>
              <w:rPr>
                <w:rFonts w:hint="eastAsia" w:ascii="宋体" w:hAnsi="宋体" w:cs="仿宋"/>
                <w:sz w:val="24"/>
                <w:lang w:bidi="ar"/>
              </w:rPr>
              <w:t xml:space="preserve">2.本季度收到有效投诉的，将投诉科室纳入调查，且每确认 1 次有效投诉，考核总分扣 1 分。</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4"/>
              </w:rPr>
              <w:framePr w:hSpace="180" w:wrap="around" w:vAnchor="text" w:hAnchor="page" w:x="1022" w:y="501"/>
            </w:pPr>
            <w:r>
              <w:rPr>
                <w:rFonts w:hint="eastAsia" w:ascii="宋体" w:hAnsi="宋体"/>
                <w:sz w:val="24"/>
              </w:rPr>
            </w:r>
            <w:r/>
          </w:p>
        </w:tc>
      </w:tr>
      <w:tr>
        <w:trPr>
          <w:cantSplit/>
          <w:trHeight w:val="587"/>
        </w:trPr>
        <w:tc>
          <w:tcPr>
            <w:gridSpan w:val="4"/>
            <w:tcBorders>
              <w:top w:val="single" w:color="000000" w:sz="4" w:space="0"/>
              <w:left w:val="single" w:color="000000" w:sz="4" w:space="0"/>
              <w:bottom w:val="single" w:color="000000" w:sz="4" w:space="0"/>
              <w:right w:val="single" w:color="000000" w:sz="4" w:space="0"/>
            </w:tcBorders>
            <w:tcW w:w="4580" w:type="pct"/>
            <w:vAlign w:val="center"/>
            <w:textDirection w:val="lrTb"/>
            <w:noWrap w:val="false"/>
          </w:tcPr>
          <w:p>
            <w:pPr>
              <w:pStyle w:val="1028"/>
              <w:jc w:val="right"/>
              <w:spacing w:after="200"/>
              <w:widowControl/>
              <w:rPr>
                <w:rFonts w:hint="eastAsia" w:ascii="宋体" w:hAnsi="宋体" w:cs="仿宋"/>
                <w:sz w:val="24"/>
                <w:lang w:bidi="ar"/>
              </w:rPr>
              <w:framePr w:hSpace="180" w:wrap="around" w:vAnchor="text" w:hAnchor="page" w:x="1022" w:y="501"/>
            </w:pPr>
            <w:r>
              <w:rPr>
                <w:rFonts w:hint="eastAsia" w:ascii="宋体" w:hAnsi="宋体" w:cs="仿宋"/>
                <w:b/>
                <w:bCs/>
                <w:sz w:val="24"/>
                <w:lang w:bidi="ar"/>
              </w:rPr>
              <w:t xml:space="preserve">总分合计：</w:t>
            </w:r>
            <w:r>
              <w:rPr>
                <w:rFonts w:hint="eastAsia" w:ascii="宋体" w:hAnsi="宋体" w:cs="仿宋"/>
                <w:sz w:val="24"/>
                <w:lang w:bidi="ar"/>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pStyle w:val="1028"/>
              <w:jc w:val="left"/>
              <w:spacing w:after="200"/>
              <w:widowControl/>
              <w:rPr>
                <w:rFonts w:hint="eastAsia" w:ascii="宋体" w:hAnsi="宋体"/>
                <w:sz w:val="22"/>
                <w:szCs w:val="22"/>
              </w:rPr>
              <w:framePr w:hSpace="180" w:wrap="around" w:vAnchor="text" w:hAnchor="page" w:x="1022" w:y="501"/>
            </w:pPr>
            <w:r>
              <w:rPr>
                <w:rFonts w:hint="eastAsia" w:ascii="宋体" w:hAnsi="宋体"/>
                <w:sz w:val="22"/>
                <w:szCs w:val="22"/>
              </w:rPr>
            </w:r>
            <w:r/>
          </w:p>
        </w:tc>
      </w:tr>
      <w:tr>
        <w:trPr>
          <w:cantSplit/>
          <w:trHeight w:val="48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28"/>
              <w:jc w:val="left"/>
              <w:spacing w:after="200"/>
              <w:widowControl/>
              <w:rPr>
                <w:rFonts w:hint="eastAsia" w:ascii="宋体" w:hAnsi="宋体"/>
                <w:sz w:val="24"/>
              </w:rPr>
              <w:framePr w:hSpace="180" w:wrap="around" w:vAnchor="text" w:hAnchor="page" w:x="1022" w:y="501"/>
            </w:pPr>
            <w:r>
              <w:rPr>
                <w:rFonts w:hint="eastAsia" w:ascii="宋体" w:hAnsi="宋体" w:cs="仿宋"/>
                <w:b/>
                <w:bCs/>
                <w:sz w:val="24"/>
                <w:lang w:bidi="ar"/>
              </w:rPr>
              <w:t xml:space="preserve">日期：               </w:t>
            </w:r>
            <w:r>
              <w:rPr>
                <w:rFonts w:hint="eastAsia" w:ascii="宋体" w:hAnsi="宋体"/>
                <w:sz w:val="24"/>
              </w:rPr>
            </w:r>
            <w:r/>
          </w:p>
        </w:tc>
      </w:tr>
    </w:tbl>
    <w:p>
      <w:pPr>
        <w:pStyle w:val="1028"/>
        <w:jc w:val="left"/>
        <w:spacing w:after="200"/>
        <w:widowControl/>
        <w:rPr>
          <w:rFonts w:hint="eastAsia" w:ascii="宋体" w:hAnsi="宋体"/>
          <w:sz w:val="24"/>
        </w:rPr>
      </w:pPr>
      <w:r>
        <w:rPr>
          <w:rFonts w:hint="eastAsia" w:ascii="宋体" w:hAnsi="宋体"/>
          <w:sz w:val="24"/>
        </w:rPr>
      </w:r>
      <w:r/>
    </w:p>
    <w:p>
      <w:pPr>
        <w:pStyle w:val="1028"/>
        <w:jc w:val="left"/>
        <w:spacing w:after="200"/>
        <w:widowControl/>
        <w:rPr>
          <w:rFonts w:hint="eastAsia" w:ascii="宋体" w:hAnsi="宋体"/>
          <w:sz w:val="24"/>
        </w:rPr>
        <w:sectPr>
          <w:footnotePr/>
          <w:endnotePr/>
          <w:type w:val="nextPage"/>
          <w:pgSz w:w="16839" w:h="11907" w:orient="landscape"/>
          <w:pgMar w:top="1459" w:right="1431" w:bottom="1759" w:left="1191" w:header="0" w:footer="0" w:gutter="0"/>
          <w:cols w:num="1" w:sep="0" w:space="720" w:equalWidth="1"/>
          <w:docGrid w:linePitch="360"/>
        </w:sectPr>
      </w:pPr>
      <w:r>
        <w:rPr>
          <w:rFonts w:hint="eastAsia" w:ascii="宋体" w:hAnsi="宋体"/>
          <w:sz w:val="24"/>
        </w:rPr>
      </w:r>
      <w:r/>
    </w:p>
    <w:p>
      <w:pPr>
        <w:pStyle w:val="1028"/>
        <w:jc w:val="left"/>
        <w:spacing w:after="200"/>
        <w:widowControl/>
        <w:rPr>
          <w:rFonts w:hint="eastAsia" w:ascii="宋体" w:hAnsi="宋体"/>
          <w:sz w:val="24"/>
        </w:rPr>
        <w:sectPr>
          <w:footnotePr/>
          <w:endnotePr/>
          <w:type w:val="continuous"/>
          <w:pgSz w:w="16839" w:h="11907" w:orient="landscape"/>
          <w:pgMar w:top="1459" w:right="1431" w:bottom="1759" w:left="1191" w:header="0" w:footer="0" w:gutter="0"/>
          <w:cols w:num="1" w:sep="0" w:space="720" w:equalWidth="1"/>
          <w:docGrid w:linePitch="360"/>
        </w:sectPr>
      </w:pPr>
      <w:r>
        <w:rPr>
          <w:rFonts w:hint="eastAsia" w:ascii="宋体" w:hAnsi="宋体"/>
          <w:sz w:val="24"/>
        </w:rPr>
        <w:br w:type="page" w:clear="all"/>
      </w:r>
      <w:r/>
    </w:p>
    <w:p>
      <w:pPr>
        <w:pStyle w:val="1028"/>
        <w:jc w:val="left"/>
        <w:spacing w:after="200"/>
        <w:widowControl/>
        <w:rPr>
          <w:rFonts w:hint="eastAsia" w:ascii="宋体" w:hAnsi="宋体" w:cs="仿宋"/>
          <w:sz w:val="28"/>
          <w:szCs w:val="28"/>
        </w:rPr>
      </w:pPr>
      <w:r>
        <w:rPr>
          <w:rFonts w:hint="eastAsia" w:ascii="宋体" w:hAnsi="宋体" w:cs="仿宋_GB2312"/>
          <w:sz w:val="24"/>
        </w:rPr>
        <w:t xml:space="preserve">附件B</w:t>
      </w:r>
      <w:r>
        <w:rPr>
          <w:rFonts w:hint="eastAsia" w:ascii="宋体" w:hAnsi="宋体" w:cs="仿宋"/>
          <w:sz w:val="28"/>
          <w:szCs w:val="28"/>
        </w:rPr>
      </w:r>
      <w:r/>
    </w:p>
    <w:p>
      <w:pPr>
        <w:pStyle w:val="1028"/>
        <w:jc w:val="center"/>
        <w:spacing w:after="200"/>
        <w:widowControl/>
        <w:rPr>
          <w:rFonts w:hint="eastAsia" w:ascii="宋体" w:hAnsi="宋体" w:cs="仿宋"/>
          <w:b/>
          <w:bCs/>
          <w:sz w:val="28"/>
          <w:szCs w:val="28"/>
        </w:rPr>
      </w:pPr>
      <w:r>
        <w:rPr>
          <w:rFonts w:hint="eastAsia" w:ascii="宋体" w:hAnsi="宋体" w:cs="仿宋"/>
          <w:b/>
          <w:bCs/>
          <w:sz w:val="28"/>
          <w:szCs w:val="28"/>
        </w:rPr>
        <w:t xml:space="preserve">使用科室满意度调查汇总表（季度）</w:t>
      </w:r>
      <w:r/>
    </w:p>
    <w:p>
      <w:pPr>
        <w:pStyle w:val="1028"/>
        <w:jc w:val="left"/>
        <w:spacing w:after="200"/>
        <w:widowControl/>
        <w:rPr>
          <w:rFonts w:hint="eastAsia" w:ascii="宋体" w:hAnsi="宋体" w:cs="仿宋"/>
          <w:b/>
          <w:bCs/>
          <w:sz w:val="24"/>
        </w:rPr>
      </w:pPr>
      <w:r>
        <w:rPr>
          <w:rFonts w:hint="eastAsia" w:ascii="宋体" w:hAnsi="宋体" w:cs="仿宋"/>
          <w:b/>
          <w:bCs/>
          <w:sz w:val="24"/>
        </w:rPr>
        <w:t xml:space="preserve">使用科室：</w:t>
      </w:r>
      <w:r>
        <w:rPr>
          <w:rFonts w:hint="eastAsia" w:ascii="宋体" w:hAnsi="宋体" w:cs="仿宋"/>
          <w:b/>
          <w:bCs/>
          <w:sz w:val="24"/>
          <w:u w:val="single"/>
        </w:rPr>
        <w:t xml:space="preserve">          </w:t>
      </w:r>
      <w:r>
        <w:rPr>
          <w:rFonts w:hint="eastAsia" w:ascii="宋体" w:hAnsi="宋体" w:cs="仿宋"/>
          <w:b/>
          <w:bCs/>
          <w:sz w:val="24"/>
        </w:rPr>
      </w:r>
      <w:r/>
    </w:p>
    <w:tbl>
      <w:tblPr>
        <w:tblW w:w="5113" w:type="pct"/>
        <w:tblInd w:w="0" w:type="dxa"/>
        <w:tblLayout w:type="autofit"/>
        <w:tblCellMar>
          <w:left w:w="108" w:type="dxa"/>
          <w:top w:w="0" w:type="dxa"/>
          <w:right w:w="108" w:type="dxa"/>
          <w:bottom w:w="0" w:type="dxa"/>
        </w:tblCellMar>
        <w:tblLook w:val="04A0" w:firstRow="1" w:lastRow="0" w:firstColumn="1" w:lastColumn="0" w:noHBand="0" w:noVBand="1"/>
      </w:tblPr>
      <w:tblGrid>
        <w:gridCol w:w="798"/>
        <w:gridCol w:w="823"/>
        <w:gridCol w:w="797"/>
        <w:gridCol w:w="4064"/>
        <w:gridCol w:w="1545"/>
        <w:gridCol w:w="1887"/>
        <w:gridCol w:w="1916"/>
        <w:gridCol w:w="1064"/>
        <w:gridCol w:w="1600"/>
      </w:tblGrid>
      <w:tr>
        <w:trPr>
          <w:cantSplit/>
          <w:trHeight w:val="344"/>
          <w:tblHeader/>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序号</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分类</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分值</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考核内容</w:t>
            </w:r>
            <w:r>
              <w:rPr>
                <w:rFonts w:hint="eastAsia" w:ascii="宋体" w:hAnsi="宋体" w:cs="仿宋"/>
                <w:b/>
                <w:bCs/>
                <w:sz w:val="22"/>
                <w:szCs w:val="22"/>
              </w:rPr>
            </w:r>
            <w:r/>
          </w:p>
        </w:tc>
        <w:tc>
          <w:tcPr>
            <w:gridSpan w:val="5"/>
            <w:tcBorders>
              <w:top w:val="single" w:color="000000" w:sz="4" w:space="0"/>
              <w:left w:val="single" w:color="000000" w:sz="4" w:space="0"/>
              <w:bottom w:val="single" w:color="000000" w:sz="4" w:space="0"/>
              <w:right w:val="single" w:color="000000" w:sz="4" w:space="0"/>
            </w:tcBorders>
            <w:tcW w:w="2764"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考评得分</w:t>
            </w:r>
            <w:r>
              <w:rPr>
                <w:rFonts w:hint="eastAsia" w:ascii="宋体" w:hAnsi="宋体" w:cs="仿宋"/>
                <w:b/>
                <w:bCs/>
                <w:sz w:val="22"/>
                <w:szCs w:val="22"/>
              </w:rPr>
            </w:r>
            <w:r/>
          </w:p>
        </w:tc>
      </w:tr>
      <w:tr>
        <w:trPr>
          <w:cantSplit/>
          <w:trHeight w:val="92"/>
          <w:tblHeader/>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33"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满意</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基本满意</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一般</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不满意</w:t>
            </w: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lang w:bidi="ar"/>
              </w:rPr>
              <w:t xml:space="preserve">非常不满意</w:t>
            </w:r>
            <w:r>
              <w:rPr>
                <w:rFonts w:hint="eastAsia" w:ascii="宋体" w:hAnsi="宋体" w:cs="仿宋"/>
                <w:b/>
                <w:bCs/>
                <w:sz w:val="22"/>
                <w:szCs w:val="22"/>
              </w:rPr>
            </w:r>
            <w:r/>
          </w:p>
        </w:tc>
      </w:tr>
      <w:tr>
        <w:trPr>
          <w:cantSplit/>
          <w:trHeight w:val="325"/>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rPr>
            </w:pPr>
            <w:r>
              <w:rPr>
                <w:rFonts w:hint="eastAsia" w:ascii="宋体" w:hAnsi="宋体" w:cs="仿宋"/>
                <w:sz w:val="22"/>
                <w:szCs w:val="22"/>
                <w:lang w:bidi="ar"/>
              </w:rPr>
              <w:t xml:space="preserve">1</w:t>
            </w:r>
            <w:r>
              <w:rPr>
                <w:rFonts w:hint="eastAsia" w:ascii="宋体" w:hAnsi="宋体" w:cs="仿宋"/>
                <w:sz w:val="22"/>
                <w:szCs w:val="22"/>
              </w:rPr>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礼仪规范</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4"/>
                <w:lang w:bidi="ar"/>
              </w:rPr>
            </w:pPr>
            <w:r>
              <w:rPr>
                <w:rFonts w:hint="eastAsia" w:ascii="宋体" w:hAnsi="宋体"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4"/>
                <w:lang w:bidi="ar"/>
              </w:rPr>
            </w:pPr>
            <w:r>
              <w:rPr>
                <w:rFonts w:hint="eastAsia" w:ascii="宋体" w:hAnsi="宋体" w:cs="仿宋"/>
                <w:sz w:val="24"/>
                <w:lang w:bidi="ar"/>
              </w:rPr>
              <w:t xml:space="preserve">严格遵纪守法，自觉遵守医院规定，规范着装、按要求佩戴工牌、举止文明得体、服务礼貌热情</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302"/>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rPr>
            </w:pPr>
            <w:r>
              <w:rPr>
                <w:rFonts w:hint="eastAsia" w:ascii="宋体" w:hAnsi="宋体" w:cs="仿宋"/>
                <w:sz w:val="22"/>
                <w:szCs w:val="22"/>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left"/>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5</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292"/>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作业规范</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严格遵守科室内部各项目管理规定，进入特殊区域作业时，全程严格遵循特殊区域作业规范；作业完成后，及时清理现场，做到工完场清，保持现场整洁。</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327"/>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856"/>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响应及时</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接到设备报修通知后，需及时响应，并严格按照规定时间到场处理故障，具体要求如下：</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紧急停机故障及紧急事件：</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工作日（7:30-17:30）立即现场响应；</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非工作日（17:30—次日7:30、周末及法定节假日），科室报修后20分钟内到达现场；</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其他故障：</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工作日（</w:t>
            </w:r>
            <w:r>
              <w:rPr>
                <w:rFonts w:hint="eastAsia" w:ascii="宋体" w:hAnsi="宋体" w:cs="仿宋"/>
                <w:sz w:val="22"/>
                <w:szCs w:val="22"/>
                <w:lang w:bidi="ar"/>
              </w:rPr>
              <w:t xml:space="preserve">7:30-17:30），科室报修后10分钟内到达现场；</w:t>
            </w:r>
            <w:r/>
          </w:p>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非工作日（17:30—次日7:30、周末及法定节假日），科室报修后30分钟内到达现场。</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1015"/>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315"/>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故障判断</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到达现场后，需及时、准确判断设备故障部位及原因，并第一时间告知科室相关人员具体处理方法（包括现场修复、协调医院相关资源及时修复、更换备用设备以维持正常工作等）。</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365"/>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410"/>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巡检保养</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严格按照既定计划开展设备巡检工作，主动前往相关科室询问设备使用情况；严格按照规定标准及要求完成设备保养、质量控制工作，全力保障设备正常、稳定运转。</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323"/>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沟通能力</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及时将设备运行状况、存在问题及相关情况，与医院相关科室工作人员沟通说明；针对医院反馈的各类设备相关问题，快速响应、高效推进，确保问题得到及时解决。</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291"/>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7</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6</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412"/>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处理投诉</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配备专职人员负责售后服务，及时响应医院及各临床科室的投诉/反馈，规范处置、全程跟踪，妥善解决各类投诉及反馈问题，形成闭环管理。</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412"/>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5</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cantSplit/>
          <w:trHeight w:val="412"/>
        </w:trPr>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汇报总结</w:t>
            </w:r>
            <w:r>
              <w:rPr>
                <w:rFonts w:hint="eastAsia" w:ascii="宋体" w:hAnsi="宋体" w:cs="仿宋"/>
                <w:sz w:val="22"/>
                <w:szCs w:val="22"/>
                <w:lang w:bidi="ar"/>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pStyle w:val="1028"/>
              <w:jc w:val="center"/>
              <w:spacing w:after="200"/>
              <w:widowControl/>
              <w:rPr>
                <w:rFonts w:hint="eastAsia" w:ascii="宋体" w:hAnsi="宋体" w:cs="仿宋"/>
                <w:sz w:val="22"/>
                <w:szCs w:val="22"/>
                <w:lang w:bidi="ar"/>
              </w:rPr>
            </w:pPr>
            <w:r>
              <w:rPr>
                <w:rFonts w:hint="eastAsia" w:ascii="宋体" w:hAnsi="宋体" w:cs="仿宋"/>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402" w:type="pct"/>
            <w:vAlign w:val="center"/>
            <w:vMerge w:val="restart"/>
            <w:textDirection w:val="lrTb"/>
            <w:noWrap w:val="false"/>
          </w:tcPr>
          <w:p>
            <w:pPr>
              <w:pStyle w:val="1028"/>
              <w:jc w:val="left"/>
              <w:spacing w:after="200"/>
              <w:widowControl/>
              <w:rPr>
                <w:rFonts w:hint="eastAsia" w:ascii="宋体" w:hAnsi="宋体" w:cs="仿宋"/>
                <w:sz w:val="22"/>
                <w:szCs w:val="22"/>
                <w:lang w:bidi="ar"/>
              </w:rPr>
            </w:pPr>
            <w:r>
              <w:rPr>
                <w:rFonts w:hint="eastAsia" w:ascii="宋体" w:hAnsi="宋体" w:cs="仿宋"/>
                <w:sz w:val="22"/>
                <w:szCs w:val="22"/>
                <w:lang w:bidi="ar"/>
              </w:rPr>
              <w:t xml:space="preserve">及时沟通设备维修进度，深入分析设备故障原因并提出合理可行的改进建议，定期汇报设备运行状况、维护保养等相关情况</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cantSplit/>
          <w:trHeight w:val="327"/>
        </w:trPr>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tcPr>
          <w:p>
            <w:pPr>
              <w:pStyle w:val="1028"/>
              <w:jc w:val="center"/>
              <w:spacing w:after="200"/>
              <w:widowControl/>
              <w:rPr>
                <w:rFonts w:hint="eastAsia" w:ascii="宋体" w:hAnsi="宋体" w:cs="仿宋"/>
                <w:sz w:val="22"/>
                <w:szCs w:val="22"/>
              </w:rPr>
            </w:pPr>
            <w:r>
              <w:rPr>
                <w:rFonts w:hint="eastAsia" w:ascii="宋体" w:hAnsi="宋体" w:cs="仿宋"/>
                <w:sz w:val="22"/>
                <w:szCs w:val="22"/>
              </w:rPr>
            </w:r>
            <w:r/>
          </w:p>
        </w:tc>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pStyle w:val="1028"/>
              <w:jc w:val="center"/>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pStyle w:val="1028"/>
              <w:jc w:val="center"/>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1402" w:type="pct"/>
            <w:vAlign w:val="center"/>
            <w:vMerge w:val="continue"/>
            <w:textDirection w:val="lrTb"/>
            <w:noWrap w:val="false"/>
          </w:tcPr>
          <w:p>
            <w:pPr>
              <w:pStyle w:val="1028"/>
              <w:jc w:val="left"/>
              <w:spacing w:after="200"/>
              <w:widowControl/>
              <w:rPr>
                <w:rFonts w:hint="eastAsia" w:ascii="宋体" w:hAnsi="宋体" w:cs="仿宋"/>
                <w:sz w:val="24"/>
              </w:rPr>
            </w:pPr>
            <w:r>
              <w:rPr>
                <w:rFonts w:hint="eastAsia" w:ascii="宋体" w:hAnsi="宋体" w:cs="仿宋"/>
                <w:sz w:val="24"/>
              </w:rPr>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5</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4</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t xml:space="preserve">0</w:t>
            </w:r>
            <w:r/>
          </w:p>
        </w:tc>
      </w:tr>
      <w:tr>
        <w:trPr>
          <w:trHeight w:val="327"/>
        </w:trPr>
        <w:tc>
          <w:tcPr>
            <w:gridSpan w:val="4"/>
            <w:tcBorders>
              <w:top w:val="single" w:color="000000" w:sz="4" w:space="0"/>
              <w:left w:val="single" w:color="000000" w:sz="4" w:space="0"/>
              <w:bottom w:val="single" w:color="000000" w:sz="4" w:space="0"/>
              <w:right w:val="single" w:color="000000" w:sz="4" w:space="0"/>
            </w:tcBorders>
            <w:tcW w:w="2236" w:type="pct"/>
            <w:vAlign w:val="bottom"/>
            <w:textDirection w:val="lrTb"/>
            <w:noWrap/>
          </w:tcPr>
          <w:p>
            <w:pPr>
              <w:pStyle w:val="1028"/>
              <w:jc w:val="right"/>
              <w:spacing w:after="200"/>
              <w:widowControl/>
              <w:rPr>
                <w:rFonts w:hint="eastAsia" w:ascii="宋体" w:hAnsi="宋体" w:cs="仿宋"/>
                <w:sz w:val="22"/>
                <w:szCs w:val="22"/>
              </w:rPr>
            </w:pPr>
            <w:r>
              <w:rPr>
                <w:rFonts w:hint="eastAsia" w:ascii="宋体" w:hAnsi="宋体" w:cs="仿宋"/>
                <w:sz w:val="22"/>
                <w:szCs w:val="22"/>
                <w:lang w:bidi="ar"/>
              </w:rPr>
              <w:t xml:space="preserve">分值小计</w:t>
            </w:r>
            <w:r>
              <w:rPr>
                <w:rFonts w:hint="eastAsia" w:ascii="宋体" w:hAnsi="宋体" w:cs="仿宋"/>
                <w:sz w:val="22"/>
                <w:szCs w:val="22"/>
              </w:rPr>
            </w:r>
            <w:r/>
          </w:p>
        </w:tc>
        <w:tc>
          <w:tcPr>
            <w:tcBorders>
              <w:top w:val="single" w:color="000000" w:sz="4" w:space="0"/>
              <w:left w:val="single" w:color="000000" w:sz="4" w:space="0"/>
              <w:bottom w:val="single" w:color="000000" w:sz="4" w:space="0"/>
              <w:right w:val="single" w:color="000000" w:sz="4" w:space="0"/>
            </w:tcBorders>
            <w:tcW w:w="533"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51"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661"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367"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trHeight w:val="344"/>
        </w:trPr>
        <w:tc>
          <w:tcPr>
            <w:gridSpan w:val="4"/>
            <w:tcBorders>
              <w:top w:val="single" w:color="000000" w:sz="4" w:space="0"/>
              <w:left w:val="single" w:color="000000" w:sz="4" w:space="0"/>
              <w:bottom w:val="single" w:color="000000" w:sz="4" w:space="0"/>
              <w:right w:val="single" w:color="000000" w:sz="4" w:space="0"/>
            </w:tcBorders>
            <w:tcW w:w="2236" w:type="pct"/>
            <w:vAlign w:val="bottom"/>
            <w:textDirection w:val="lrTb"/>
            <w:noWrap/>
          </w:tcPr>
          <w:p>
            <w:pPr>
              <w:pStyle w:val="1028"/>
              <w:jc w:val="right"/>
              <w:spacing w:after="200"/>
              <w:widowControl/>
              <w:rPr>
                <w:rFonts w:hint="eastAsia" w:ascii="宋体" w:hAnsi="宋体" w:cs="仿宋"/>
                <w:sz w:val="22"/>
                <w:szCs w:val="22"/>
              </w:rPr>
            </w:pPr>
            <w:r>
              <w:rPr>
                <w:rFonts w:hint="eastAsia" w:ascii="宋体" w:hAnsi="宋体" w:cs="仿宋"/>
                <w:sz w:val="22"/>
                <w:szCs w:val="22"/>
                <w:lang w:bidi="ar"/>
              </w:rPr>
              <w:t xml:space="preserve">分值总计</w:t>
            </w:r>
            <w:r>
              <w:rPr>
                <w:rFonts w:hint="eastAsia" w:ascii="宋体" w:hAnsi="宋体" w:cs="仿宋"/>
                <w:sz w:val="22"/>
                <w:szCs w:val="22"/>
              </w:rPr>
            </w:r>
            <w:r/>
          </w:p>
        </w:tc>
        <w:tc>
          <w:tcPr>
            <w:gridSpan w:val="5"/>
            <w:tcBorders>
              <w:top w:val="single" w:color="000000" w:sz="4" w:space="0"/>
              <w:left w:val="single" w:color="000000" w:sz="4" w:space="0"/>
              <w:bottom w:val="single" w:color="000000" w:sz="4" w:space="0"/>
              <w:right w:val="single" w:color="000000" w:sz="4" w:space="0"/>
            </w:tcBorders>
            <w:tcW w:w="2764"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trHeight w:val="355"/>
        </w:trPr>
        <w:tc>
          <w:tcPr>
            <w:gridSpan w:val="4"/>
            <w:tcBorders>
              <w:top w:val="single" w:color="000000" w:sz="4" w:space="0"/>
              <w:left w:val="single" w:color="000000" w:sz="4" w:space="0"/>
              <w:bottom w:val="single" w:color="000000" w:sz="4" w:space="0"/>
              <w:right w:val="single" w:color="000000" w:sz="4" w:space="0"/>
            </w:tcBorders>
            <w:tcW w:w="2236" w:type="pct"/>
            <w:vAlign w:val="bottom"/>
            <w:textDirection w:val="lrTb"/>
            <w:noWrap/>
          </w:tcPr>
          <w:p>
            <w:pPr>
              <w:pStyle w:val="1028"/>
              <w:jc w:val="right"/>
              <w:spacing w:after="200"/>
              <w:widowControl/>
              <w:rPr>
                <w:rFonts w:hint="eastAsia" w:ascii="宋体" w:hAnsi="宋体" w:cs="仿宋"/>
                <w:b/>
                <w:bCs/>
                <w:sz w:val="22"/>
                <w:szCs w:val="22"/>
              </w:rPr>
            </w:pPr>
            <w:r>
              <w:rPr>
                <w:rFonts w:hint="eastAsia" w:ascii="宋体" w:hAnsi="宋体" w:cs="仿宋"/>
                <w:b/>
                <w:bCs/>
                <w:sz w:val="22"/>
                <w:szCs w:val="22"/>
                <w:lang w:bidi="ar"/>
              </w:rPr>
              <w:t xml:space="preserve">满意度得分（满分50分）</w:t>
            </w:r>
            <w:r>
              <w:rPr>
                <w:rFonts w:hint="eastAsia" w:ascii="宋体" w:hAnsi="宋体" w:cs="仿宋"/>
                <w:b/>
                <w:bCs/>
                <w:sz w:val="22"/>
                <w:szCs w:val="22"/>
              </w:rPr>
            </w:r>
            <w:r/>
          </w:p>
        </w:tc>
        <w:tc>
          <w:tcPr>
            <w:gridSpan w:val="5"/>
            <w:tcBorders>
              <w:top w:val="single" w:color="000000" w:sz="4" w:space="0"/>
              <w:left w:val="single" w:color="000000" w:sz="4" w:space="0"/>
              <w:bottom w:val="single" w:color="000000" w:sz="4" w:space="0"/>
              <w:right w:val="single" w:color="000000" w:sz="4" w:space="0"/>
            </w:tcBorders>
            <w:tcW w:w="2764"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2"/>
                <w:szCs w:val="22"/>
              </w:rPr>
            </w:r>
            <w:r/>
          </w:p>
        </w:tc>
      </w:tr>
      <w:tr>
        <w:trPr>
          <w:trHeight w:val="355"/>
        </w:trPr>
        <w:tc>
          <w:tcPr>
            <w:gridSpan w:val="9"/>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pStyle w:val="1028"/>
              <w:jc w:val="center"/>
              <w:spacing w:after="200"/>
              <w:widowControl/>
              <w:rPr>
                <w:rFonts w:hint="eastAsia" w:ascii="宋体" w:hAnsi="宋体" w:cs="仿宋"/>
                <w:b/>
                <w:bCs/>
                <w:sz w:val="22"/>
                <w:szCs w:val="22"/>
              </w:rPr>
            </w:pPr>
            <w:r>
              <w:rPr>
                <w:rFonts w:hint="eastAsia" w:ascii="宋体" w:hAnsi="宋体" w:cs="仿宋"/>
                <w:b/>
                <w:bCs/>
                <w:sz w:val="24"/>
              </w:rPr>
              <w:t xml:space="preserve">                                                               负责人签字：                日期：</w:t>
            </w:r>
            <w:r>
              <w:rPr>
                <w:rFonts w:hint="eastAsia" w:ascii="宋体" w:hAnsi="宋体" w:cs="仿宋"/>
                <w:b/>
                <w:bCs/>
                <w:sz w:val="22"/>
                <w:szCs w:val="22"/>
              </w:rPr>
            </w:r>
            <w:r/>
          </w:p>
        </w:tc>
      </w:tr>
    </w:tbl>
    <w:p>
      <w:pPr>
        <w:pStyle w:val="1028"/>
        <w:contextualSpacing/>
        <w:rPr>
          <w:rFonts w:hint="eastAsia" w:ascii="宋体" w:hAnsi="宋体" w:cs="仿宋_GB2312"/>
          <w:szCs w:val="21"/>
        </w:rPr>
      </w:pPr>
      <w:r>
        <w:rPr>
          <w:rFonts w:hint="eastAsia" w:ascii="宋体" w:hAnsi="宋体" w:cs="仿宋_GB2312"/>
          <w:szCs w:val="21"/>
        </w:rPr>
        <w:t xml:space="preserve">说明：</w:t>
      </w:r>
      <w:r/>
    </w:p>
    <w:p>
      <w:pPr>
        <w:pStyle w:val="1028"/>
        <w:jc w:val="left"/>
        <w:spacing w:after="200"/>
        <w:widowControl/>
        <w:rPr>
          <w:rFonts w:hint="eastAsia" w:ascii="宋体" w:hAnsi="宋体"/>
          <w:sz w:val="24"/>
        </w:rPr>
      </w:pPr>
      <w:r>
        <w:rPr>
          <w:rFonts w:hint="eastAsia" w:ascii="宋体" w:hAnsi="宋体" w:cs="仿宋_GB2312"/>
          <w:sz w:val="24"/>
        </w:rPr>
        <w:t xml:space="preserve">1.请在“考评得分栏”勾选考核评判（打勾）。</w:t>
      </w:r>
      <w:r>
        <w:rPr>
          <w:rFonts w:hint="eastAsia" w:ascii="宋体" w:hAnsi="宋体"/>
          <w:sz w:val="24"/>
        </w:rPr>
      </w:r>
      <w:r/>
    </w:p>
    <w:p>
      <w:pPr>
        <w:pStyle w:val="1096"/>
        <w:ind w:firstLine="424"/>
        <w:spacing w:line="360" w:lineRule="auto"/>
        <w:rPr>
          <w:rFonts w:hint="eastAsia" w:cs="宋体"/>
          <w:b/>
          <w:bCs/>
        </w:rPr>
      </w:pPr>
      <w:r/>
      <w:bookmarkEnd w:id="319"/>
      <w:r>
        <w:rPr>
          <w:rFonts w:hint="eastAsia" w:cs="宋体"/>
          <w:b/>
          <w:bCs/>
        </w:rPr>
      </w:r>
      <w:r/>
    </w:p>
    <w:p>
      <w:pPr>
        <w:pStyle w:val="1028"/>
        <w:jc w:val="center"/>
        <w:rPr>
          <w:rFonts w:hint="eastAsia" w:ascii="宋体" w:hAnsi="宋体" w:cs="宋体"/>
          <w:b/>
          <w:bCs/>
        </w:rPr>
        <w:sectPr>
          <w:headerReference w:type="default" r:id="rId11"/>
          <w:footerReference w:type="default" r:id="rId17"/>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rPr>
      </w:r>
      <w:r/>
    </w:p>
    <w:p>
      <w:pPr>
        <w:pStyle w:val="1028"/>
        <w:jc w:val="center"/>
        <w:rPr>
          <w:rFonts w:ascii="宋体" w:hAnsi="宋体"/>
          <w:b/>
          <w:bCs/>
          <w:sz w:val="36"/>
          <w:szCs w:val="36"/>
        </w:rPr>
      </w:pPr>
      <w:r/>
      <w:bookmarkEnd w:id="320"/>
      <w:r/>
      <w:bookmarkEnd w:id="321"/>
      <w:r>
        <w:rPr>
          <w:rFonts w:ascii="宋体" w:hAnsi="宋体"/>
          <w:b/>
          <w:bCs/>
          <w:sz w:val="36"/>
          <w:szCs w:val="36"/>
        </w:rPr>
        <w:t xml:space="preserve">第六章   拟签订的合同文本</w:t>
      </w:r>
      <w:bookmarkEnd w:id="322"/>
      <w:r>
        <w:rPr>
          <w:rFonts w:ascii="宋体" w:hAnsi="宋体"/>
          <w:b/>
          <w:bCs/>
          <w:sz w:val="36"/>
          <w:szCs w:val="36"/>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6"/>
      </w:tblGrid>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1060"/>
              <w:jc w:val="center"/>
              <w:rPr>
                <w:rFonts w:hint="eastAsia"/>
                <w:sz w:val="22"/>
                <w:szCs w:val="22"/>
              </w:rPr>
            </w:pPr>
            <w:r/>
            <w:bookmarkStart w:id="367" w:name="_Hlk206668745"/>
            <w:r>
              <w:rPr>
                <w:rFonts w:hint="eastAsia"/>
                <w:b/>
                <w:bCs/>
                <w:sz w:val="52"/>
                <w:szCs w:val="22"/>
              </w:rPr>
              <w:t xml:space="preserve">金坛第一人民医院全院医疗设备托管服务项目</w:t>
            </w:r>
            <w:r>
              <w:rPr>
                <w:b/>
                <w:bCs/>
                <w:sz w:val="48"/>
                <w:szCs w:val="22"/>
              </w:rPr>
              <w:t xml:space="preserve">合同</w:t>
            </w:r>
            <w:r>
              <w:rPr>
                <w:rFonts w:hint="eastAsia"/>
                <w:sz w:val="22"/>
                <w:szCs w:val="22"/>
              </w:rPr>
            </w:r>
            <w:r/>
          </w:p>
          <w:p>
            <w:pPr>
              <w:pStyle w:val="1028"/>
              <w:rPr>
                <w:sz w:val="30"/>
                <w:szCs w:val="30"/>
              </w:rPr>
            </w:pPr>
            <w:r>
              <w:rPr>
                <w:rFonts w:hint="eastAsia"/>
                <w:sz w:val="30"/>
                <w:szCs w:val="30"/>
              </w:rPr>
              <w:t xml:space="preserve"> </w:t>
            </w:r>
            <w:r>
              <w:rPr>
                <w:sz w:val="30"/>
                <w:szCs w:val="30"/>
              </w:rPr>
            </w:r>
            <w:r/>
          </w:p>
          <w:tbl>
            <w:tblPr>
              <w:tblW w:w="949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86"/>
              </w:trPr>
              <w:tc>
                <w:tcPr>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1028"/>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甲方：</w:t>
                  </w:r>
                  <w:r/>
                </w:p>
                <w:p>
                  <w:pPr>
                    <w:pStyle w:val="1028"/>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乙方：</w:t>
                  </w:r>
                  <w:r/>
                </w:p>
                <w:p>
                  <w:pPr>
                    <w:pStyle w:val="1028"/>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签订时间：</w:t>
                  </w:r>
                  <w:r>
                    <w:rPr>
                      <w:rFonts w:hint="eastAsia" w:ascii="宋体" w:hAnsi="宋体" w:cs="宋体"/>
                      <w:sz w:val="24"/>
                      <w:lang w:bidi="zh-CN"/>
                    </w:rPr>
                    <w:t xml:space="preserve">   年   月    日</w:t>
                  </w:r>
                  <w:r>
                    <w:rPr>
                      <w:rFonts w:hint="eastAsia" w:ascii="宋体" w:hAnsi="宋体" w:cs="宋体"/>
                      <w:sz w:val="24"/>
                      <w:u w:val="single"/>
                      <w:lang w:bidi="zh-CN"/>
                    </w:rPr>
                  </w:r>
                  <w:r/>
                </w:p>
                <w:p>
                  <w:pPr>
                    <w:pStyle w:val="1028"/>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签订地点： </w:t>
                  </w:r>
                  <w:r>
                    <w:rPr>
                      <w:rFonts w:hint="eastAsia" w:ascii="宋体" w:hAnsi="宋体" w:cs="宋体"/>
                      <w:sz w:val="24"/>
                      <w:u w:val="single"/>
                      <w:lang w:bidi="zh-CN"/>
                    </w:rPr>
                  </w:r>
                  <w:r/>
                </w:p>
                <w:p>
                  <w:pPr>
                    <w:pStyle w:val="1028"/>
                    <w:ind w:firstLine="480"/>
                    <w:jc w:val="left"/>
                    <w:spacing w:line="400" w:lineRule="exact"/>
                    <w:rPr>
                      <w:rFonts w:hint="eastAsia" w:ascii="宋体" w:hAnsi="宋体" w:cs="宋体"/>
                      <w:sz w:val="24"/>
                      <w:lang w:bidi="zh-CN"/>
                    </w:rPr>
                  </w:pPr>
                  <w:r>
                    <w:rPr>
                      <w:rFonts w:hint="eastAsia" w:ascii="宋体" w:hAnsi="宋体" w:cs="宋体"/>
                      <w:sz w:val="24"/>
                      <w:lang w:bidi="zh-CN"/>
                    </w:rPr>
                    <w:t xml:space="preserve">根据《中华人民共和国民法典》、《中华人民共和国政府采购法》以及</w:t>
                  </w:r>
                  <w:r>
                    <w:rPr>
                      <w:rFonts w:hint="eastAsia" w:ascii="宋体" w:hAnsi="宋体" w:cs="宋体"/>
                      <w:sz w:val="24"/>
                      <w:u w:val="single"/>
                      <w:lang w:bidi="zh-CN"/>
                    </w:rPr>
                    <w:t xml:space="preserve">            </w:t>
                  </w:r>
                  <w:r>
                    <w:rPr>
                      <w:rFonts w:hint="eastAsia" w:ascii="宋体" w:hAnsi="宋体" w:cs="宋体"/>
                      <w:sz w:val="24"/>
                      <w:lang w:bidi="zh-CN"/>
                    </w:rPr>
                    <w:t xml:space="preserve">《招标（采购）文件》、乙方《投标（响应）文件》，遵循平等、自愿、公平和诚实信用等原则，经甲乙双方协商一致，约定以下合同条款，以兹共同遵守、全面履行。</w:t>
                  </w:r>
                  <w:r/>
                </w:p>
                <w:p>
                  <w:pPr>
                    <w:pStyle w:val="1028"/>
                    <w:contextualSpacing/>
                    <w:ind w:firstLine="241"/>
                    <w:spacing w:line="400" w:lineRule="exact"/>
                    <w:rPr>
                      <w:rFonts w:ascii="Calibri" w:hAnsi="Calibri"/>
                      <w:bCs/>
                      <w:sz w:val="24"/>
                    </w:rPr>
                  </w:pPr>
                  <w:r>
                    <w:rPr>
                      <w:rFonts w:hint="eastAsia"/>
                      <w:b/>
                      <w:sz w:val="24"/>
                    </w:rPr>
                    <w:t xml:space="preserve">一、</w:t>
                  </w:r>
                  <w:r>
                    <w:rPr>
                      <w:b/>
                      <w:sz w:val="24"/>
                    </w:rPr>
                    <w:t xml:space="preserve">采购标的</w:t>
                  </w:r>
                  <w:r>
                    <w:rPr>
                      <w:rFonts w:ascii="Calibri" w:hAnsi="Calibri"/>
                      <w:bCs/>
                      <w:sz w:val="24"/>
                    </w:rPr>
                  </w:r>
                  <w:r/>
                </w:p>
                <w:p>
                  <w:pPr>
                    <w:pStyle w:val="1028"/>
                    <w:ind w:firstLine="720"/>
                    <w:jc w:val="left"/>
                    <w:spacing w:line="400" w:lineRule="exact"/>
                    <w:rPr>
                      <w:bCs/>
                      <w:sz w:val="24"/>
                    </w:rPr>
                  </w:pPr>
                  <w:r>
                    <w:rPr>
                      <w:rFonts w:hint="eastAsia"/>
                      <w:bCs/>
                      <w:sz w:val="24"/>
                    </w:rPr>
                    <w:t xml:space="preserve">1、标的名称：</w:t>
                  </w:r>
                  <w:r>
                    <w:rPr>
                      <w:bCs/>
                      <w:sz w:val="24"/>
                    </w:rPr>
                  </w:r>
                  <w:r/>
                </w:p>
                <w:p>
                  <w:pPr>
                    <w:pStyle w:val="1028"/>
                    <w:ind w:firstLine="720"/>
                    <w:jc w:val="left"/>
                    <w:spacing w:line="400" w:lineRule="exact"/>
                    <w:rPr>
                      <w:bCs/>
                      <w:sz w:val="24"/>
                    </w:rPr>
                  </w:pPr>
                  <w:r>
                    <w:rPr>
                      <w:rFonts w:hint="eastAsia"/>
                      <w:bCs/>
                      <w:sz w:val="24"/>
                    </w:rPr>
                    <w:t xml:space="preserve">2、标的质量：合格，满足采购人要求、符合行业及国家规定标准。</w:t>
                  </w:r>
                  <w:r>
                    <w:rPr>
                      <w:bCs/>
                      <w:sz w:val="24"/>
                    </w:rPr>
                  </w:r>
                  <w:r/>
                </w:p>
                <w:p>
                  <w:pPr>
                    <w:pStyle w:val="1028"/>
                    <w:ind w:firstLine="720"/>
                    <w:jc w:val="left"/>
                    <w:spacing w:line="400" w:lineRule="exact"/>
                    <w:rPr>
                      <w:rFonts w:hint="eastAsia" w:ascii="宋体" w:hAnsi="宋体" w:cs="宋体"/>
                      <w:color w:val="0000ff"/>
                      <w:sz w:val="24"/>
                      <w:lang w:bidi="ar"/>
                    </w:rPr>
                  </w:pPr>
                  <w:r>
                    <w:rPr>
                      <w:rFonts w:hint="eastAsia"/>
                      <w:bCs/>
                      <w:sz w:val="24"/>
                    </w:rPr>
                    <w:t xml:space="preserve">3、履行时间（期限）：</w:t>
                  </w:r>
                  <w:r>
                    <w:rPr>
                      <w:rFonts w:hint="eastAsia" w:ascii="宋体" w:hAnsi="宋体" w:cs="宋体"/>
                      <w:color w:val="0000ff"/>
                      <w:sz w:val="24"/>
                      <w:lang w:bidi="ar"/>
                    </w:rPr>
                    <w:t xml:space="preserve">合同签订之日起1年。</w:t>
                  </w:r>
                  <w:r/>
                </w:p>
                <w:p>
                  <w:pPr>
                    <w:pStyle w:val="1028"/>
                    <w:ind w:firstLine="928"/>
                    <w:jc w:val="left"/>
                    <w:spacing w:line="400" w:lineRule="exact"/>
                    <w:rPr>
                      <w:bCs/>
                      <w:color w:val="0000ff"/>
                      <w:sz w:val="24"/>
                    </w:rPr>
                  </w:pPr>
                  <w:r>
                    <w:rPr>
                      <w:rFonts w:ascii="宋体" w:hAnsi="宋体" w:cs="宋体"/>
                      <w:color w:val="0000ff"/>
                      <w:spacing w:val="-4"/>
                      <w:sz w:val="24"/>
                      <w:u w:val="single"/>
                    </w:rPr>
                    <w:t xml:space="preserve">自    年   月   日  至   </w:t>
                  </w:r>
                  <w:r>
                    <w:rPr>
                      <w:rFonts w:ascii="宋体" w:hAnsi="宋体" w:cs="宋体"/>
                      <w:color w:val="0000ff"/>
                      <w:spacing w:val="-4"/>
                      <w:sz w:val="24"/>
                      <w:u w:val="single"/>
                    </w:rPr>
                    <w:t xml:space="preserve"> 年   月   日</w:t>
                  </w:r>
                  <w:r>
                    <w:rPr>
                      <w:bCs/>
                      <w:color w:val="0000ff"/>
                      <w:sz w:val="24"/>
                    </w:rPr>
                  </w:r>
                  <w:r/>
                </w:p>
                <w:p>
                  <w:pPr>
                    <w:pStyle w:val="1028"/>
                    <w:ind w:firstLine="720"/>
                    <w:jc w:val="left"/>
                    <w:spacing w:line="400" w:lineRule="exact"/>
                    <w:widowControl/>
                    <w:rPr>
                      <w:bCs/>
                      <w:sz w:val="24"/>
                    </w:rPr>
                  </w:pPr>
                  <w:r>
                    <w:rPr>
                      <w:rFonts w:hint="eastAsia"/>
                      <w:bCs/>
                      <w:sz w:val="24"/>
                    </w:rPr>
                    <w:t xml:space="preserve">4、履行地点：</w:t>
                  </w:r>
                  <w:r>
                    <w:rPr>
                      <w:rFonts w:hint="eastAsia" w:ascii="宋体" w:hAnsi="宋体" w:cs="宋体"/>
                      <w:color w:val="000000"/>
                      <w:sz w:val="24"/>
                    </w:rPr>
                    <w:t xml:space="preserve">常州市金坛第一人民医院</w:t>
                  </w:r>
                  <w:r>
                    <w:rPr>
                      <w:bCs/>
                      <w:sz w:val="24"/>
                    </w:rPr>
                  </w:r>
                  <w:r/>
                </w:p>
                <w:p>
                  <w:pPr>
                    <w:pStyle w:val="1028"/>
                    <w:ind w:firstLine="720"/>
                    <w:jc w:val="left"/>
                    <w:spacing w:line="400" w:lineRule="exact"/>
                    <w:rPr>
                      <w:bCs/>
                      <w:sz w:val="24"/>
                    </w:rPr>
                  </w:pPr>
                  <w:r>
                    <w:rPr>
                      <w:rFonts w:hint="eastAsia"/>
                      <w:bCs/>
                      <w:sz w:val="24"/>
                    </w:rPr>
                    <w:t xml:space="preserve">5、履行方式：现场服务 </w:t>
                  </w:r>
                  <w:r>
                    <w:rPr>
                      <w:bCs/>
                      <w:sz w:val="24"/>
                    </w:rPr>
                  </w:r>
                  <w:r/>
                </w:p>
                <w:p>
                  <w:pPr>
                    <w:pStyle w:val="1028"/>
                    <w:contextualSpacing/>
                    <w:ind w:firstLine="241"/>
                    <w:jc w:val="left"/>
                    <w:spacing w:line="400" w:lineRule="exact"/>
                    <w:rPr>
                      <w:rFonts w:hint="eastAsia" w:ascii="宋体" w:hAnsi="宋体" w:cs="宋体"/>
                      <w:b/>
                      <w:bCs/>
                      <w:sz w:val="24"/>
                      <w:lang w:bidi="zh-CN"/>
                    </w:rPr>
                  </w:pPr>
                  <w:r>
                    <w:rPr>
                      <w:rFonts w:hint="eastAsia" w:ascii="宋体" w:hAnsi="宋体" w:cs="宋体"/>
                      <w:b/>
                      <w:bCs/>
                      <w:sz w:val="24"/>
                    </w:rPr>
                    <w:t xml:space="preserve">二、</w:t>
                  </w:r>
                  <w:r>
                    <w:rPr>
                      <w:rFonts w:hint="eastAsia" w:ascii="宋体" w:hAnsi="宋体" w:cs="宋体"/>
                      <w:b/>
                      <w:bCs/>
                      <w:sz w:val="24"/>
                      <w:lang w:bidi="zh-CN"/>
                    </w:rPr>
                    <w:t xml:space="preserve">合同总价</w:t>
                  </w:r>
                  <w:r/>
                </w:p>
                <w:p>
                  <w:pPr>
                    <w:pStyle w:val="1028"/>
                    <w:ind w:firstLine="720"/>
                    <w:jc w:val="left"/>
                    <w:spacing w:line="400" w:lineRule="exact"/>
                    <w:rPr>
                      <w:rFonts w:hint="eastAsia" w:ascii="宋体" w:hAnsi="宋体" w:cs="宋体"/>
                      <w:sz w:val="24"/>
                      <w:lang w:bidi="zh-CN"/>
                    </w:rPr>
                  </w:pPr>
                  <w:r>
                    <w:rPr>
                      <w:rFonts w:hint="eastAsia" w:ascii="宋体" w:hAnsi="宋体" w:cs="宋体"/>
                      <w:sz w:val="24"/>
                      <w:lang w:bidi="zh-CN"/>
                    </w:rPr>
                    <w:t xml:space="preserve">1、本合同总价为：</w:t>
                  </w:r>
                  <w:r>
                    <w:rPr>
                      <w:rFonts w:hint="eastAsia" w:ascii="宋体" w:hAnsi="宋体" w:cs="宋体"/>
                      <w:sz w:val="24"/>
                      <w:u w:val="single"/>
                      <w:lang w:bidi="zh-CN"/>
                    </w:rPr>
                    <w:t xml:space="preserve">￥        元（人民币       元整）</w:t>
                  </w:r>
                  <w:r>
                    <w:rPr>
                      <w:rFonts w:hint="eastAsia" w:ascii="宋体" w:hAnsi="宋体" w:cs="宋体"/>
                      <w:sz w:val="24"/>
                      <w:lang w:bidi="zh-CN"/>
                    </w:rPr>
                    <w:t xml:space="preserve">。</w:t>
                  </w:r>
                  <w:r/>
                </w:p>
                <w:p>
                  <w:pPr>
                    <w:pStyle w:val="1028"/>
                    <w:ind w:firstLine="720"/>
                    <w:jc w:val="left"/>
                    <w:spacing w:line="400" w:lineRule="exact"/>
                    <w:rPr>
                      <w:rFonts w:hint="eastAsia" w:ascii="宋体" w:hAnsi="宋体" w:cs="宋体"/>
                      <w:color w:val="0000ff"/>
                      <w:sz w:val="24"/>
                      <w:u w:val="single"/>
                      <w:lang w:bidi="zh-CN"/>
                    </w:rPr>
                  </w:pPr>
                  <w:r>
                    <w:rPr>
                      <w:rFonts w:hint="eastAsia" w:ascii="宋体" w:hAnsi="宋体" w:cs="宋体"/>
                      <w:sz w:val="24"/>
                      <w:lang w:bidi="zh-CN"/>
                    </w:rPr>
                    <w:t xml:space="preserve">2、合同价格形式：</w:t>
                  </w:r>
                  <w:r>
                    <w:rPr>
                      <w:rFonts w:hint="eastAsia" w:ascii="宋体" w:hAnsi="宋体" w:cs="宋体"/>
                      <w:color w:val="0000ff"/>
                      <w:sz w:val="24"/>
                      <w:u w:val="single"/>
                      <w:lang w:bidi="zh-CN"/>
                    </w:rPr>
                    <w:t xml:space="preserve">  固定总价  </w:t>
                  </w:r>
                  <w:r/>
                </w:p>
                <w:p>
                  <w:pPr>
                    <w:pStyle w:val="1028"/>
                    <w:ind w:firstLine="720"/>
                    <w:jc w:val="left"/>
                    <w:spacing w:line="400" w:lineRule="exact"/>
                    <w:rPr>
                      <w:rFonts w:hint="eastAsia" w:ascii="宋体" w:hAnsi="宋体" w:cs="宋体"/>
                      <w:b/>
                      <w:bCs/>
                      <w:sz w:val="24"/>
                      <w:lang w:bidi="zh-CN"/>
                    </w:rPr>
                  </w:pPr>
                  <w:r>
                    <w:rPr>
                      <w:rFonts w:hint="eastAsia" w:ascii="宋体" w:hAnsi="宋体" w:cs="宋体"/>
                      <w:sz w:val="24"/>
                    </w:rPr>
                    <w:t xml:space="preserve">3、合同价包含但不限于服务所需的人工材料费、机械费、运输费，各项人员费用、税金、利润，以及提供消毒服务所需要 的其他所有费用。甲方不再支付报价以外的任何费用。</w:t>
                  </w:r>
                  <w:r>
                    <w:rPr>
                      <w:rFonts w:hint="eastAsia" w:ascii="宋体" w:hAnsi="宋体" w:cs="宋体"/>
                      <w:b/>
                      <w:bCs/>
                      <w:sz w:val="24"/>
                      <w:lang w:bidi="zh-CN"/>
                    </w:rPr>
                  </w:r>
                  <w:r/>
                </w:p>
                <w:p>
                  <w:pPr>
                    <w:pStyle w:val="1028"/>
                    <w:ind w:firstLine="241"/>
                    <w:jc w:val="left"/>
                    <w:spacing w:line="400" w:lineRule="exact"/>
                    <w:rPr>
                      <w:rFonts w:hint="eastAsia" w:ascii="宋体" w:hAnsi="宋体" w:cs="宋体"/>
                      <w:sz w:val="24"/>
                    </w:rPr>
                  </w:pPr>
                  <w:r>
                    <w:rPr>
                      <w:rFonts w:hint="eastAsia" w:ascii="宋体" w:hAnsi="宋体" w:cs="宋体"/>
                      <w:b/>
                      <w:bCs/>
                      <w:sz w:val="24"/>
                    </w:rPr>
                    <w:t xml:space="preserve">三、维保清单：</w:t>
                  </w:r>
                  <w:r>
                    <w:rPr>
                      <w:rFonts w:hint="eastAsia" w:ascii="宋体" w:hAnsi="宋体" w:cs="宋体"/>
                      <w:sz w:val="24"/>
                    </w:rPr>
                  </w:r>
                  <w:r/>
                </w:p>
                <w:p>
                  <w:pPr>
                    <w:pStyle w:val="1028"/>
                    <w:ind w:firstLine="241"/>
                    <w:jc w:val="left"/>
                    <w:spacing w:line="400" w:lineRule="exact"/>
                    <w:rPr>
                      <w:rFonts w:hint="eastAsia" w:ascii="宋体" w:hAnsi="宋体" w:cs="宋体"/>
                      <w:b/>
                      <w:bCs/>
                      <w:sz w:val="24"/>
                    </w:rPr>
                  </w:pPr>
                  <w:r>
                    <w:rPr>
                      <w:rFonts w:hint="eastAsia" w:ascii="宋体" w:hAnsi="宋体" w:cs="宋体"/>
                      <w:b/>
                      <w:bCs/>
                      <w:sz w:val="24"/>
                    </w:rPr>
                    <w:t xml:space="preserve">四、维保服务要求</w:t>
                  </w:r>
                  <w:r/>
                </w:p>
                <w:p>
                  <w:pPr>
                    <w:pStyle w:val="1028"/>
                    <w:ind w:firstLine="267"/>
                    <w:jc w:val="left"/>
                    <w:spacing w:line="440" w:lineRule="exact"/>
                    <w:rPr>
                      <w:rFonts w:hint="eastAsia" w:ascii="宋体" w:hAnsi="宋体" w:cs="宋体"/>
                      <w:b/>
                      <w:bCs/>
                      <w:sz w:val="24"/>
                    </w:rPr>
                  </w:pPr>
                  <w:r>
                    <w:rPr>
                      <w:rFonts w:hint="eastAsia" w:ascii="宋体" w:hAnsi="宋体" w:cs="宋体"/>
                      <w:b/>
                      <w:bCs/>
                      <w:spacing w:val="13"/>
                      <w:sz w:val="24"/>
                    </w:rPr>
                    <w:t xml:space="preserve">1、服务要求：</w:t>
                  </w:r>
                  <w:r>
                    <w:rPr>
                      <w:rFonts w:hint="eastAsia" w:ascii="宋体" w:hAnsi="宋体" w:cs="宋体"/>
                      <w:b/>
                      <w:bCs/>
                      <w:sz w:val="24"/>
                    </w:rPr>
                  </w:r>
                  <w:r/>
                </w:p>
                <w:p>
                  <w:pPr>
                    <w:pStyle w:val="1028"/>
                    <w:ind w:firstLine="269"/>
                    <w:spacing w:line="440" w:lineRule="exact"/>
                    <w:rPr>
                      <w:rFonts w:hint="eastAsia" w:ascii="宋体" w:hAnsi="宋体" w:cs="宋体"/>
                      <w:b/>
                      <w:bCs/>
                      <w:sz w:val="24"/>
                    </w:rPr>
                  </w:pPr>
                  <w:r>
                    <w:rPr>
                      <w:rFonts w:hint="eastAsia" w:ascii="宋体" w:hAnsi="宋体" w:cs="宋体"/>
                      <w:b/>
                      <w:bCs/>
                      <w:spacing w:val="14"/>
                      <w:sz w:val="24"/>
                    </w:rPr>
                    <w:t xml:space="preserve">2、维保质量：</w:t>
                  </w:r>
                  <w:r>
                    <w:rPr>
                      <w:rFonts w:hint="eastAsia" w:ascii="宋体" w:hAnsi="宋体" w:cs="宋体"/>
                      <w:b/>
                      <w:bCs/>
                      <w:sz w:val="24"/>
                    </w:rPr>
                  </w:r>
                  <w:r/>
                </w:p>
                <w:p>
                  <w:pPr>
                    <w:pStyle w:val="1028"/>
                    <w:ind w:firstLine="269"/>
                    <w:spacing w:line="440" w:lineRule="exact"/>
                    <w:rPr>
                      <w:rFonts w:hint="eastAsia" w:ascii="宋体" w:hAnsi="宋体" w:cs="宋体"/>
                      <w:b/>
                      <w:bCs/>
                      <w:spacing w:val="14"/>
                      <w:sz w:val="24"/>
                    </w:rPr>
                  </w:pPr>
                  <w:r>
                    <w:rPr>
                      <w:rFonts w:hint="eastAsia" w:ascii="宋体" w:hAnsi="宋体" w:cs="宋体"/>
                      <w:b/>
                      <w:bCs/>
                      <w:spacing w:val="14"/>
                      <w:sz w:val="24"/>
                    </w:rPr>
                    <w:t xml:space="preserve">3、服务评价要求：</w:t>
                  </w:r>
                  <w:r/>
                </w:p>
                <w:p>
                  <w:pPr>
                    <w:pStyle w:val="1028"/>
                    <w:ind w:firstLine="269"/>
                    <w:spacing w:line="440" w:lineRule="exact"/>
                    <w:rPr>
                      <w:rFonts w:hint="eastAsia" w:ascii="宋体" w:hAnsi="宋体" w:cs="宋体"/>
                      <w:b/>
                      <w:bCs/>
                      <w:spacing w:val="14"/>
                      <w:sz w:val="24"/>
                    </w:rPr>
                  </w:pPr>
                  <w:r>
                    <w:rPr>
                      <w:rFonts w:hint="eastAsia" w:ascii="宋体" w:hAnsi="宋体" w:cs="宋体"/>
                      <w:b/>
                      <w:bCs/>
                      <w:spacing w:val="14"/>
                      <w:sz w:val="24"/>
                    </w:rPr>
                    <w:t xml:space="preserve">4、人员及实施要求</w:t>
                  </w:r>
                  <w:r/>
                </w:p>
                <w:p>
                  <w:pPr>
                    <w:pStyle w:val="1028"/>
                    <w:ind w:firstLine="269"/>
                    <w:spacing w:line="440" w:lineRule="exact"/>
                    <w:rPr>
                      <w:rFonts w:hint="eastAsia" w:ascii="宋体" w:hAnsi="宋体" w:cs="宋体"/>
                      <w:b/>
                      <w:bCs/>
                      <w:spacing w:val="14"/>
                      <w:sz w:val="24"/>
                    </w:rPr>
                  </w:pPr>
                  <w:r>
                    <w:rPr>
                      <w:rFonts w:hint="eastAsia" w:ascii="宋体" w:hAnsi="宋体" w:cs="宋体"/>
                      <w:b/>
                      <w:bCs/>
                      <w:spacing w:val="14"/>
                      <w:sz w:val="24"/>
                    </w:rPr>
                    <w:t xml:space="preserve">5、其他</w:t>
                  </w:r>
                  <w:r/>
                </w:p>
                <w:p>
                  <w:pPr>
                    <w:pStyle w:val="1028"/>
                    <w:ind w:firstLine="241"/>
                    <w:jc w:val="left"/>
                    <w:spacing w:line="400" w:lineRule="exact"/>
                    <w:rPr>
                      <w:rFonts w:hint="eastAsia" w:ascii="宋体" w:hAnsi="宋体" w:cs="宋体"/>
                      <w:b/>
                      <w:bCs/>
                      <w:sz w:val="24"/>
                      <w:lang w:bidi="zh-CN"/>
                    </w:rPr>
                  </w:pPr>
                  <w:r>
                    <w:rPr>
                      <w:rFonts w:hint="eastAsia" w:ascii="宋体" w:hAnsi="宋体" w:cs="宋体"/>
                      <w:b/>
                      <w:bCs/>
                      <w:sz w:val="24"/>
                      <w:lang w:bidi="zh-CN"/>
                    </w:rPr>
                    <w:t xml:space="preserve">四、付款方式：</w:t>
                  </w:r>
                  <w:r/>
                </w:p>
                <w:p>
                  <w:pPr>
                    <w:pStyle w:val="1028"/>
                    <w:ind w:firstLine="720"/>
                    <w:jc w:val="left"/>
                    <w:spacing w:line="400" w:lineRule="exact"/>
                    <w:rPr>
                      <w:rFonts w:hint="eastAsia" w:ascii="宋体" w:hAnsi="宋体" w:cs="宋体"/>
                      <w:sz w:val="24"/>
                    </w:rPr>
                  </w:pPr>
                  <w:r>
                    <w:rPr>
                      <w:rFonts w:hint="eastAsia" w:ascii="宋体" w:hAnsi="宋体" w:cs="宋体"/>
                      <w:sz w:val="24"/>
                    </w:rPr>
                    <w:t xml:space="preserve">每年分四次支付合同费用，具体为：</w:t>
                  </w:r>
                  <w:r/>
                </w:p>
                <w:p>
                  <w:pPr>
                    <w:pStyle w:val="1028"/>
                    <w:ind w:firstLine="720"/>
                    <w:jc w:val="left"/>
                    <w:spacing w:line="400" w:lineRule="exact"/>
                    <w:rPr>
                      <w:rFonts w:hint="eastAsia" w:ascii="宋体" w:hAnsi="宋体" w:cs="宋体"/>
                      <w:sz w:val="24"/>
                    </w:rPr>
                  </w:pPr>
                  <w:r>
                    <w:rPr>
                      <w:rFonts w:hint="eastAsia" w:ascii="宋体" w:hAnsi="宋体" w:cs="宋体"/>
                      <w:sz w:val="24"/>
                    </w:rPr>
                    <w:t xml:space="preserve">第一期：服务期满三个月后，支付合同金额的25%；</w:t>
                  </w:r>
                  <w:r/>
                </w:p>
                <w:p>
                  <w:pPr>
                    <w:pStyle w:val="1028"/>
                    <w:ind w:firstLine="720"/>
                    <w:jc w:val="left"/>
                    <w:spacing w:line="400" w:lineRule="exact"/>
                    <w:rPr>
                      <w:rFonts w:hint="eastAsia" w:ascii="宋体" w:hAnsi="宋体" w:cs="宋体"/>
                      <w:sz w:val="24"/>
                    </w:rPr>
                  </w:pPr>
                  <w:r>
                    <w:rPr>
                      <w:rFonts w:hint="eastAsia" w:ascii="宋体" w:hAnsi="宋体" w:cs="宋体"/>
                      <w:sz w:val="24"/>
                    </w:rPr>
                    <w:t xml:space="preserve">第二期：服务期满六个月后，支付合同金额的25%；</w:t>
                  </w:r>
                  <w:r/>
                </w:p>
                <w:p>
                  <w:pPr>
                    <w:pStyle w:val="1028"/>
                    <w:ind w:firstLine="720"/>
                    <w:jc w:val="left"/>
                    <w:spacing w:line="400" w:lineRule="exact"/>
                    <w:rPr>
                      <w:rFonts w:hint="eastAsia" w:ascii="宋体" w:hAnsi="宋体" w:cs="宋体"/>
                      <w:sz w:val="24"/>
                    </w:rPr>
                  </w:pPr>
                  <w:r>
                    <w:rPr>
                      <w:rFonts w:hint="eastAsia" w:ascii="宋体" w:hAnsi="宋体" w:cs="宋体"/>
                      <w:sz w:val="24"/>
                    </w:rPr>
                    <w:t xml:space="preserve">第三期：服务期满九个月后，支付合同金额的25%；</w:t>
                  </w:r>
                  <w:r/>
                </w:p>
                <w:p>
                  <w:pPr>
                    <w:pStyle w:val="1028"/>
                    <w:ind w:firstLine="720"/>
                    <w:jc w:val="left"/>
                    <w:spacing w:line="400" w:lineRule="exact"/>
                    <w:rPr>
                      <w:rFonts w:hint="eastAsia" w:ascii="宋体" w:hAnsi="宋体" w:cs="宋体"/>
                      <w:sz w:val="24"/>
                    </w:rPr>
                  </w:pPr>
                  <w:r>
                    <w:rPr>
                      <w:rFonts w:hint="eastAsia" w:ascii="宋体" w:hAnsi="宋体" w:cs="宋体"/>
                      <w:sz w:val="24"/>
                    </w:rPr>
                    <w:t xml:space="preserve">第四期：服务期满十二个月后，支付合同金额的25%。</w:t>
                  </w:r>
                  <w:r/>
                </w:p>
                <w:p>
                  <w:pPr>
                    <w:pStyle w:val="1028"/>
                    <w:ind w:firstLine="241"/>
                    <w:spacing w:line="400" w:lineRule="exact"/>
                    <w:rPr>
                      <w:rFonts w:ascii="宋体" w:hAnsi="宋体" w:cs="宋体"/>
                      <w:sz w:val="24"/>
                    </w:rPr>
                  </w:pPr>
                  <w:r>
                    <w:rPr>
                      <w:rFonts w:hint="eastAsia" w:ascii="宋体" w:hAnsi="宋体" w:cs="宋体"/>
                      <w:sz w:val="24"/>
                    </w:rPr>
                    <w:t xml:space="preserve">医院根据每季度考核情况，组织服务验收并签字确认后，支付对应款项。</w:t>
                  </w:r>
                  <w:r>
                    <w:rPr>
                      <w:rFonts w:ascii="宋体" w:hAnsi="宋体" w:cs="宋体"/>
                      <w:sz w:val="24"/>
                    </w:rPr>
                  </w:r>
                  <w:r/>
                </w:p>
                <w:p>
                  <w:pPr>
                    <w:pStyle w:val="1028"/>
                    <w:ind w:firstLine="241"/>
                    <w:spacing w:line="400" w:lineRule="exact"/>
                    <w:rPr>
                      <w:rFonts w:hint="eastAsia" w:ascii="宋体" w:hAnsi="宋体" w:cs="宋体"/>
                      <w:b/>
                      <w:bCs/>
                      <w:sz w:val="24"/>
                    </w:rPr>
                  </w:pPr>
                  <w:r>
                    <w:rPr>
                      <w:rFonts w:hint="eastAsia" w:ascii="宋体" w:hAnsi="宋体" w:cs="宋体"/>
                      <w:b/>
                      <w:bCs/>
                      <w:sz w:val="24"/>
                    </w:rPr>
                    <w:t xml:space="preserve">五、违约责任</w:t>
                  </w:r>
                  <w:r/>
                </w:p>
                <w:p>
                  <w:pPr>
                    <w:pStyle w:val="1028"/>
                    <w:ind w:firstLine="480"/>
                    <w:spacing w:line="400" w:lineRule="exact"/>
                    <w:rPr>
                      <w:rFonts w:hint="eastAsia" w:ascii="宋体" w:hAnsi="宋体" w:cs="宋体"/>
                      <w:sz w:val="24"/>
                    </w:rPr>
                  </w:pPr>
                  <w:r>
                    <w:rPr>
                      <w:rFonts w:hint="eastAsia" w:ascii="宋体" w:hAnsi="宋体" w:cs="宋体"/>
                      <w:sz w:val="24"/>
                    </w:rPr>
                    <w:t xml:space="preserve">5.1.由于公认的不可抗力事件造成的损坏(如自然灾害、爆炸、房屋倒塌、暴乱、坠机及蓄意破坏、战争等)，双方均不承担违约责任，但应及时通知对方。</w:t>
                  </w:r>
                  <w:r/>
                </w:p>
                <w:p>
                  <w:pPr>
                    <w:pStyle w:val="1028"/>
                    <w:ind w:firstLine="480"/>
                    <w:spacing w:line="400" w:lineRule="exact"/>
                    <w:rPr>
                      <w:rFonts w:hint="eastAsia" w:ascii="宋体" w:hAnsi="宋体" w:cs="宋体"/>
                      <w:sz w:val="24"/>
                    </w:rPr>
                  </w:pPr>
                  <w:r>
                    <w:rPr>
                      <w:rFonts w:hint="eastAsia" w:ascii="宋体" w:hAnsi="宋体" w:cs="宋体"/>
                      <w:sz w:val="24"/>
                    </w:rPr>
                    <w:t xml:space="preserve">5.2.在执行合同期间，乙方由于非甲方的原因而不再履行本合同，造成</w:t>
                  </w:r>
                  <w:r>
                    <w:rPr>
                      <w:rFonts w:hint="eastAsia" w:ascii="宋体" w:hAnsi="宋体" w:cs="宋体"/>
                      <w:sz w:val="24"/>
                    </w:rPr>
                    <w:t xml:space="preserve">甲方损失的，乙方负责赔偿服务期限内的全部损失，该损失赔偿额以合同价款为限，并承担违约责任，违约金按照本合同总额10%来计算。</w:t>
                  </w:r>
                  <w:r/>
                </w:p>
                <w:p>
                  <w:pPr>
                    <w:pStyle w:val="1028"/>
                    <w:ind w:firstLine="480"/>
                    <w:spacing w:line="400" w:lineRule="exact"/>
                    <w:rPr>
                      <w:rFonts w:hint="eastAsia" w:ascii="宋体" w:hAnsi="宋体" w:cs="宋体"/>
                      <w:sz w:val="24"/>
                    </w:rPr>
                  </w:pPr>
                  <w:r>
                    <w:rPr>
                      <w:rFonts w:hint="eastAsia" w:ascii="宋体" w:hAnsi="宋体" w:cs="宋体"/>
                      <w:sz w:val="24"/>
                    </w:rPr>
                    <w:t xml:space="preserve">5.3.在执行合同期间，甲方由于非乙方的原因而不再履行本合同，应付清至终止合同日期前应付的款项并承担违约责任。</w:t>
                  </w:r>
                  <w:r/>
                </w:p>
                <w:p>
                  <w:pPr>
                    <w:pStyle w:val="1028"/>
                    <w:ind w:firstLine="480"/>
                    <w:spacing w:line="400" w:lineRule="exact"/>
                    <w:rPr>
                      <w:rFonts w:hint="eastAsia" w:ascii="宋体" w:hAnsi="宋体" w:cs="宋体"/>
                      <w:sz w:val="24"/>
                    </w:rPr>
                  </w:pPr>
                  <w:r>
                    <w:rPr>
                      <w:rFonts w:hint="eastAsia" w:ascii="宋体" w:hAnsi="宋体" w:cs="宋体"/>
                      <w:sz w:val="24"/>
                    </w:rPr>
                    <w:t xml:space="preserve">5.4乙方在履行本合同期间所知悉的甲方商业秘密信息，应予保密。非经甲方书面同意，不得擅自使用或泄露给外界，否则乙方应按合同金额10%向甲方承担惩罚性违约金，并赔偿服务期限内由此给甲方所造成的全部损失。</w:t>
                  </w:r>
                  <w:r/>
                </w:p>
                <w:p>
                  <w:pPr>
                    <w:pStyle w:val="1028"/>
                    <w:ind w:firstLine="480"/>
                    <w:spacing w:line="400" w:lineRule="exact"/>
                    <w:rPr>
                      <w:rFonts w:hint="eastAsia" w:ascii="宋体" w:hAnsi="宋体" w:cs="宋体"/>
                      <w:sz w:val="24"/>
                    </w:rPr>
                  </w:pPr>
                  <w:r>
                    <w:rPr>
                      <w:rFonts w:hint="eastAsia" w:ascii="宋体" w:hAnsi="宋体" w:cs="宋体"/>
                      <w:sz w:val="24"/>
                    </w:rPr>
                    <w:t xml:space="preserve">5.5.在执行服务合同期间，如经甲方对乙方考核不合格时，甲方有权终止合同，甲方不承担违约责任。</w:t>
                  </w:r>
                  <w:r/>
                </w:p>
                <w:p>
                  <w:pPr>
                    <w:pStyle w:val="1028"/>
                    <w:ind w:firstLine="480"/>
                    <w:spacing w:line="400" w:lineRule="exact"/>
                    <w:rPr>
                      <w:rFonts w:hint="eastAsia" w:ascii="宋体" w:hAnsi="宋体" w:cs="宋体"/>
                      <w:sz w:val="24"/>
                    </w:rPr>
                  </w:pPr>
                  <w:r>
                    <w:rPr>
                      <w:rFonts w:hint="eastAsia" w:ascii="宋体" w:hAnsi="宋体" w:cs="宋体"/>
                      <w:sz w:val="24"/>
                    </w:rPr>
                    <w:t xml:space="preserve">5.6.如果乙方没有按照合同约定及甲方要求的时间及时按质按量提供服务，甲方每</w:t>
                  </w:r>
                  <w:r/>
                </w:p>
                <w:p>
                  <w:pPr>
                    <w:pStyle w:val="1028"/>
                    <w:ind w:firstLine="480"/>
                    <w:spacing w:line="400" w:lineRule="exact"/>
                    <w:rPr>
                      <w:rFonts w:hint="eastAsia" w:ascii="宋体" w:hAnsi="宋体" w:cs="宋体"/>
                      <w:sz w:val="24"/>
                    </w:rPr>
                  </w:pPr>
                  <w:r>
                    <w:rPr>
                      <w:rFonts w:hint="eastAsia" w:ascii="宋体" w:hAnsi="宋体" w:cs="宋体"/>
                      <w:sz w:val="24"/>
                    </w:rPr>
                    <w:t xml:space="preserve">次可要求乙方按照合同总价的1%向甲方支付违约金，甲方有权从该阶段应予支付的合同价款中扣除违约金和损失赠偿额。如经甲方催告后乙方仍不能履行提供服务的义务，甲方有权解除本合同。乙方应退回甲方已经支付的未履行期间的维保费用(如有)，并承担上述违约金及赔偿甲方的全部损失。甲方可以另行委托第三方提供相应服务，产生的一切费用由乙方承担。甲方另行聘请第三方提供上述服务的，不影响乙方继续根据本合同履行维保义务。</w:t>
                  </w:r>
                  <w:r/>
                </w:p>
                <w:p>
                  <w:pPr>
                    <w:pStyle w:val="1028"/>
                    <w:ind w:firstLine="480"/>
                    <w:spacing w:line="400" w:lineRule="exact"/>
                    <w:rPr>
                      <w:rFonts w:hint="eastAsia" w:ascii="宋体" w:hAnsi="宋体" w:cs="宋体"/>
                      <w:sz w:val="24"/>
                    </w:rPr>
                  </w:pPr>
                  <w:r>
                    <w:rPr>
                      <w:rFonts w:hint="eastAsia" w:ascii="宋体" w:hAnsi="宋体" w:cs="宋体"/>
                      <w:sz w:val="24"/>
                    </w:rPr>
                    <w:t xml:space="preserve">5.7.本</w:t>
                  </w:r>
                  <w:r>
                    <w:rPr>
                      <w:rFonts w:hint="eastAsia" w:ascii="宋体" w:hAnsi="宋体" w:cs="宋体"/>
                      <w:sz w:val="24"/>
                    </w:rPr>
                    <w:t xml:space="preserve">合同生效后，如任何一方违约，守约方为维护权益向违约方追偿的一切费用</w:t>
                  </w:r>
                  <w:r/>
                </w:p>
                <w:p>
                  <w:pPr>
                    <w:pStyle w:val="1028"/>
                    <w:ind w:firstLine="480"/>
                    <w:spacing w:line="400" w:lineRule="exact"/>
                    <w:rPr>
                      <w:rFonts w:hint="eastAsia" w:ascii="宋体" w:hAnsi="宋体" w:cs="宋体"/>
                      <w:sz w:val="24"/>
                    </w:rPr>
                  </w:pPr>
                  <w:r>
                    <w:rPr>
                      <w:rFonts w:hint="eastAsia" w:ascii="宋体" w:hAnsi="宋体" w:cs="宋体"/>
                      <w:sz w:val="24"/>
                    </w:rPr>
                    <w:t xml:space="preserve">(包括但不限于律师费，诉讼费，保全费、金定费，差旅费等)由违约方承担。</w:t>
                  </w:r>
                  <w:r/>
                </w:p>
                <w:p>
                  <w:pPr>
                    <w:pStyle w:val="1028"/>
                    <w:ind w:firstLine="241"/>
                    <w:spacing w:line="400" w:lineRule="exact"/>
                    <w:rPr>
                      <w:rFonts w:hint="eastAsia" w:ascii="宋体" w:hAnsi="宋体" w:cs="宋体"/>
                      <w:b/>
                      <w:bCs/>
                      <w:sz w:val="24"/>
                    </w:rPr>
                  </w:pPr>
                  <w:r>
                    <w:rPr>
                      <w:rFonts w:hint="eastAsia" w:ascii="宋体" w:hAnsi="宋体" w:cs="宋体"/>
                      <w:b/>
                      <w:bCs/>
                      <w:sz w:val="24"/>
                    </w:rPr>
                    <w:t xml:space="preserve">六、延迟履行</w:t>
                  </w:r>
                  <w:r/>
                </w:p>
                <w:p>
                  <w:pPr>
                    <w:pStyle w:val="1028"/>
                    <w:ind w:firstLine="480"/>
                    <w:spacing w:line="40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p>
                <w:p>
                  <w:pPr>
                    <w:pStyle w:val="1028"/>
                    <w:ind w:firstLine="241"/>
                    <w:spacing w:line="400" w:lineRule="exact"/>
                    <w:rPr>
                      <w:rFonts w:hint="eastAsia" w:ascii="宋体" w:hAnsi="宋体" w:cs="宋体"/>
                      <w:b/>
                      <w:bCs/>
                      <w:sz w:val="24"/>
                    </w:rPr>
                  </w:pPr>
                  <w:r>
                    <w:rPr>
                      <w:rFonts w:hint="eastAsia" w:ascii="宋体" w:hAnsi="宋体" w:cs="宋体"/>
                      <w:b/>
                      <w:bCs/>
                      <w:sz w:val="24"/>
                    </w:rPr>
                    <w:t xml:space="preserve">七、不可抗力</w:t>
                  </w:r>
                  <w:r/>
                </w:p>
                <w:p>
                  <w:pPr>
                    <w:pStyle w:val="1028"/>
                    <w:ind w:firstLine="480"/>
                    <w:spacing w:line="400" w:lineRule="exact"/>
                    <w:rPr>
                      <w:rFonts w:hint="eastAsia" w:ascii="宋体" w:hAnsi="宋体" w:cs="宋体"/>
                      <w:sz w:val="24"/>
                    </w:rPr>
                  </w:pPr>
                  <w:r>
                    <w:rPr>
                      <w:rFonts w:hint="eastAsia" w:ascii="宋体" w:hAnsi="宋体" w:cs="宋体"/>
                      <w:sz w:val="24"/>
                    </w:rPr>
                    <w:t xml:space="preserve">1、如果合同各方因不可抗力而导致合同实施延误或不能履行合同义务的话，不应该承担误期赔偿或不能履行合同义务的责任。</w:t>
                  </w:r>
                  <w:r/>
                </w:p>
                <w:p>
                  <w:pPr>
                    <w:pStyle w:val="1028"/>
                    <w:ind w:firstLine="480"/>
                    <w:spacing w:line="400" w:lineRule="exact"/>
                    <w:rPr>
                      <w:rFonts w:hint="eastAsia" w:ascii="宋体" w:hAnsi="宋体" w:cs="宋体"/>
                      <w:sz w:val="24"/>
                    </w:rPr>
                  </w:pPr>
                  <w:r>
                    <w:rPr>
                      <w:rFonts w:hint="eastAsia" w:ascii="宋体" w:hAnsi="宋体" w:cs="宋体"/>
                      <w:sz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p>
                <w:p>
                  <w:pPr>
                    <w:pStyle w:val="1028"/>
                    <w:ind w:firstLine="480"/>
                    <w:spacing w:line="400" w:lineRule="exact"/>
                    <w:rPr>
                      <w:rFonts w:hint="eastAsia" w:ascii="宋体" w:hAnsi="宋体" w:cs="宋体"/>
                      <w:sz w:val="24"/>
                    </w:rPr>
                  </w:pPr>
                  <w:r>
                    <w:rPr>
                      <w:rFonts w:hint="eastAsia" w:ascii="宋体" w:hAnsi="宋体" w:cs="宋体"/>
                      <w:sz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p>
                <w:p>
                  <w:pPr>
                    <w:pStyle w:val="1028"/>
                    <w:ind w:firstLine="241"/>
                    <w:spacing w:line="400" w:lineRule="exact"/>
                    <w:rPr>
                      <w:rFonts w:hint="eastAsia" w:ascii="宋体" w:hAnsi="宋体" w:cs="宋体"/>
                      <w:b/>
                      <w:bCs/>
                      <w:sz w:val="24"/>
                    </w:rPr>
                    <w:outlineLvl w:val="0"/>
                  </w:pPr>
                  <w:r>
                    <w:rPr>
                      <w:rFonts w:hint="eastAsia" w:ascii="宋体" w:hAnsi="宋体" w:cs="宋体"/>
                      <w:b/>
                      <w:bCs/>
                      <w:sz w:val="24"/>
                    </w:rPr>
                    <w:t xml:space="preserve">八、 合同中止、解除</w:t>
                  </w:r>
                  <w:r/>
                </w:p>
                <w:p>
                  <w:pPr>
                    <w:pStyle w:val="1028"/>
                    <w:ind w:firstLine="480"/>
                    <w:spacing w:line="400" w:lineRule="exact"/>
                    <w:rPr>
                      <w:rFonts w:hint="eastAsia" w:ascii="宋体" w:hAnsi="宋体" w:cs="宋体"/>
                      <w:color w:val="000000"/>
                      <w:sz w:val="24"/>
                    </w:rPr>
                  </w:pPr>
                  <w:r>
                    <w:rPr>
                      <w:rFonts w:hint="eastAsia" w:ascii="宋体" w:hAnsi="宋体" w:cs="宋体"/>
                      <w:sz w:val="24"/>
                    </w:rPr>
                    <w:t xml:space="preserve">1、双方当事人不得擅自中止或者终止合同；若</w:t>
                  </w:r>
                  <w:r>
                    <w:rPr>
                      <w:rFonts w:hint="eastAsia" w:ascii="宋体" w:hAnsi="宋体" w:cs="宋体"/>
                      <w:color w:val="000000"/>
                      <w:sz w:val="24"/>
                    </w:rPr>
                    <w:t xml:space="preserve">甲方和乙方协商一致</w:t>
                  </w:r>
                  <w:r>
                    <w:rPr>
                      <w:rFonts w:hint="eastAsia" w:ascii="宋体" w:hAnsi="宋体" w:cs="宋体"/>
                      <w:color w:val="000000"/>
                      <w:sz w:val="24"/>
                    </w:rPr>
                    <w:t xml:space="preserve">，可以解除合同。</w:t>
                  </w:r>
                  <w:r/>
                </w:p>
                <w:p>
                  <w:pPr>
                    <w:pStyle w:val="1028"/>
                    <w:ind w:firstLine="480"/>
                    <w:spacing w:line="400" w:lineRule="exact"/>
                    <w:rPr>
                      <w:rFonts w:hint="eastAsia" w:ascii="宋体" w:hAnsi="宋体" w:cs="宋体"/>
                      <w:b/>
                      <w:bCs/>
                      <w:sz w:val="24"/>
                    </w:rPr>
                  </w:pPr>
                  <w:r>
                    <w:rPr>
                      <w:rFonts w:hint="eastAsia" w:ascii="宋体" w:hAnsi="宋体" w:cs="宋体"/>
                      <w:sz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b/>
                      <w:bCs/>
                      <w:sz w:val="24"/>
                    </w:rPr>
                  </w:r>
                  <w:r/>
                </w:p>
                <w:p>
                  <w:pPr>
                    <w:pStyle w:val="1028"/>
                    <w:ind w:firstLine="480"/>
                    <w:spacing w:line="400" w:lineRule="exact"/>
                    <w:rPr>
                      <w:rFonts w:hint="eastAsia" w:ascii="宋体" w:hAnsi="宋体" w:cs="宋体"/>
                      <w:color w:val="000000"/>
                      <w:sz w:val="24"/>
                    </w:rPr>
                  </w:pPr>
                  <w:r>
                    <w:rPr>
                      <w:rFonts w:hint="eastAsia" w:ascii="宋体" w:hAnsi="宋体" w:cs="宋体"/>
                      <w:color w:val="000000"/>
                      <w:sz w:val="24"/>
                    </w:rPr>
                    <w:t xml:space="preserve">3、有权解除合同的一方，应当在违约事实或不可抗力发生之后三十天内书面通知对方提出解除合同，合同在书面通知到达对方时解除。</w:t>
                  </w:r>
                  <w:r/>
                </w:p>
                <w:p>
                  <w:pPr>
                    <w:pStyle w:val="1028"/>
                    <w:ind w:firstLine="480"/>
                    <w:spacing w:line="400" w:lineRule="exact"/>
                    <w:rPr>
                      <w:rFonts w:hint="eastAsia" w:ascii="宋体" w:hAnsi="宋体" w:cs="宋体"/>
                      <w:color w:val="000000"/>
                      <w:sz w:val="24"/>
                    </w:rPr>
                  </w:pPr>
                  <w:r>
                    <w:rPr>
                      <w:rFonts w:hint="eastAsia" w:ascii="宋体" w:hAnsi="宋体" w:cs="宋体"/>
                      <w:color w:val="000000"/>
                      <w:sz w:val="24"/>
                    </w:rPr>
                    <w:t xml:space="preserve">4、合同的部分和全部都不得擅自转让。</w:t>
                  </w:r>
                  <w:r/>
                </w:p>
                <w:p>
                  <w:pPr>
                    <w:pStyle w:val="1028"/>
                    <w:ind w:firstLine="480"/>
                    <w:spacing w:line="400" w:lineRule="exact"/>
                    <w:rPr>
                      <w:rFonts w:hint="eastAsia" w:ascii="宋体" w:hAnsi="宋体" w:cs="宋体"/>
                      <w:color w:val="000000"/>
                      <w:sz w:val="24"/>
                    </w:rPr>
                  </w:pPr>
                  <w:r>
                    <w:rPr>
                      <w:rFonts w:hint="eastAsia" w:ascii="宋体" w:hAnsi="宋体" w:cs="宋体"/>
                      <w:color w:val="000000"/>
                      <w:sz w:val="24"/>
                    </w:rPr>
                    <w:t xml:space="preserve">5、如出现不如实反映情况，提供虚假材料、未按承诺的价格提供服务的，甲方可以解除合同。</w:t>
                  </w:r>
                  <w:r/>
                </w:p>
                <w:p>
                  <w:pPr>
                    <w:pStyle w:val="1028"/>
                    <w:ind w:firstLine="480"/>
                    <w:spacing w:line="400" w:lineRule="exact"/>
                    <w:rPr>
                      <w:rFonts w:hint="eastAsia" w:ascii="宋体" w:hAnsi="宋体" w:cs="宋体"/>
                      <w:color w:val="000000"/>
                      <w:sz w:val="24"/>
                    </w:rPr>
                  </w:pPr>
                  <w:r>
                    <w:rPr>
                      <w:rFonts w:hint="eastAsia" w:ascii="宋体" w:hAnsi="宋体" w:cs="宋体"/>
                      <w:color w:val="000000"/>
                      <w:sz w:val="24"/>
                    </w:rPr>
                    <w:t xml:space="preserve">6、乙方在任何情况下都不得用任何不正当行为影响、干扰委托单位。一经发现可立即解除合同，同时提请有关部门追究有关当事人的责任。</w:t>
                  </w:r>
                  <w:r/>
                </w:p>
                <w:p>
                  <w:pPr>
                    <w:pStyle w:val="1028"/>
                    <w:ind w:firstLine="241"/>
                    <w:spacing w:line="400" w:lineRule="exact"/>
                    <w:rPr>
                      <w:rFonts w:hint="eastAsia" w:ascii="宋体" w:hAnsi="宋体" w:cs="宋体"/>
                      <w:b/>
                      <w:bCs/>
                      <w:color w:val="000000"/>
                      <w:sz w:val="24"/>
                    </w:rPr>
                  </w:pPr>
                  <w:r>
                    <w:rPr>
                      <w:rFonts w:hint="eastAsia" w:ascii="宋体" w:hAnsi="宋体" w:cs="宋体"/>
                      <w:b/>
                      <w:bCs/>
                      <w:color w:val="000000"/>
                      <w:sz w:val="24"/>
                    </w:rPr>
                    <w:t xml:space="preserve">九、履约保证金：不收取</w:t>
                  </w:r>
                  <w:r/>
                </w:p>
                <w:p>
                  <w:pPr>
                    <w:pStyle w:val="1028"/>
                    <w:ind w:firstLine="241"/>
                    <w:spacing w:line="400" w:lineRule="exact"/>
                    <w:rPr>
                      <w:rFonts w:hint="eastAsia" w:ascii="宋体" w:hAnsi="宋体" w:cs="宋体"/>
                      <w:b/>
                      <w:bCs/>
                      <w:sz w:val="24"/>
                    </w:rPr>
                  </w:pPr>
                  <w:r>
                    <w:rPr>
                      <w:rFonts w:hint="eastAsia" w:ascii="宋体" w:hAnsi="宋体" w:cs="宋体"/>
                      <w:b/>
                      <w:bCs/>
                      <w:sz w:val="24"/>
                    </w:rPr>
                    <w:t xml:space="preserve">十、合同争议的解决</w:t>
                  </w:r>
                  <w:r/>
                </w:p>
                <w:p>
                  <w:pPr>
                    <w:pStyle w:val="1028"/>
                    <w:ind w:firstLine="480"/>
                    <w:spacing w:line="400" w:lineRule="exact"/>
                    <w:rPr>
                      <w:rFonts w:hint="eastAsia" w:ascii="宋体" w:hAnsi="宋体" w:cs="宋体"/>
                      <w:sz w:val="24"/>
                    </w:rPr>
                  </w:pPr>
                  <w:r>
                    <w:rPr>
                      <w:rFonts w:hint="eastAsia" w:ascii="宋体" w:hAnsi="宋体" w:cs="宋体"/>
                      <w:sz w:val="24"/>
                    </w:rPr>
                    <w:t xml:space="preserve">本合同在履行过程中发生争议，双方协商解决，协商不成，双方均可向</w:t>
                  </w:r>
                  <w:r>
                    <w:rPr>
                      <w:rFonts w:hint="eastAsia" w:ascii="宋体" w:hAnsi="宋体" w:cs="宋体"/>
                      <w:sz w:val="24"/>
                      <w:u w:val="single"/>
                    </w:rPr>
                    <w:t xml:space="preserve">常州市金坛区人民法院</w:t>
                  </w:r>
                  <w:r>
                    <w:rPr>
                      <w:rFonts w:hint="eastAsia" w:ascii="宋体" w:hAnsi="宋体" w:cs="宋体"/>
                      <w:sz w:val="24"/>
                    </w:rPr>
                    <w:t xml:space="preserve">起诉。</w:t>
                  </w:r>
                  <w:r/>
                </w:p>
                <w:p>
                  <w:pPr>
                    <w:pStyle w:val="1028"/>
                    <w:ind w:firstLine="241"/>
                    <w:spacing w:line="400" w:lineRule="exact"/>
                    <w:rPr>
                      <w:rFonts w:hint="eastAsia" w:ascii="宋体" w:hAnsi="宋体" w:cs="宋体"/>
                      <w:b/>
                      <w:bCs/>
                      <w:sz w:val="24"/>
                    </w:rPr>
                  </w:pPr>
                  <w:r>
                    <w:rPr>
                      <w:rFonts w:hint="eastAsia" w:ascii="宋体" w:hAnsi="宋体" w:cs="宋体"/>
                      <w:b/>
                      <w:bCs/>
                      <w:sz w:val="24"/>
                    </w:rPr>
                    <w:t xml:space="preserve">十一、合同生效及其他</w:t>
                  </w:r>
                  <w:r/>
                </w:p>
                <w:p>
                  <w:pPr>
                    <w:pStyle w:val="1028"/>
                    <w:numPr>
                      <w:ilvl w:val="0"/>
                      <w:numId w:val="27"/>
                    </w:numPr>
                    <w:spacing w:line="400" w:lineRule="exact"/>
                    <w:rPr>
                      <w:rFonts w:hint="eastAsia" w:ascii="宋体" w:hAnsi="宋体" w:cs="宋体"/>
                      <w:sz w:val="24"/>
                    </w:rPr>
                  </w:pPr>
                  <w:r>
                    <w:rPr>
                      <w:rFonts w:hint="eastAsia" w:ascii="宋体" w:hAnsi="宋体" w:cs="宋体"/>
                      <w:sz w:val="24"/>
                    </w:rPr>
                    <w:t xml:space="preserve">本合同经甲乙双方签字盖章后生效。合同执行期内，双方均不得随意变更或解除合同。如有未尽事宜，须经双方共同协商，作出补补充协议，补充协议与本合同具有同等法律效力。本合同及补充协议一式</w:t>
                  </w:r>
                  <w:r>
                    <w:rPr>
                      <w:rFonts w:hint="eastAsia" w:ascii="宋体" w:hAnsi="宋体" w:cs="宋体"/>
                      <w:b/>
                      <w:bCs/>
                      <w:sz w:val="24"/>
                    </w:rPr>
                    <w:t xml:space="preserve">肆</w:t>
                  </w:r>
                  <w:r>
                    <w:rPr>
                      <w:rFonts w:hint="eastAsia" w:ascii="宋体" w:hAnsi="宋体" w:cs="宋体"/>
                      <w:sz w:val="24"/>
                    </w:rPr>
                    <w:t xml:space="preserve">份，甲方执</w:t>
                  </w:r>
                  <w:r>
                    <w:rPr>
                      <w:rFonts w:hint="eastAsia" w:ascii="宋体" w:hAnsi="宋体" w:cs="宋体"/>
                      <w:b/>
                      <w:bCs/>
                      <w:sz w:val="24"/>
                    </w:rPr>
                    <w:t xml:space="preserve">贰</w:t>
                  </w:r>
                  <w:r>
                    <w:rPr>
                      <w:rFonts w:hint="eastAsia" w:ascii="宋体" w:hAnsi="宋体" w:cs="宋体"/>
                      <w:sz w:val="24"/>
                    </w:rPr>
                    <w:t xml:space="preserve">份、乙方执</w:t>
                  </w:r>
                  <w:r>
                    <w:rPr>
                      <w:rFonts w:hint="eastAsia" w:ascii="宋体" w:hAnsi="宋体" w:cs="宋体"/>
                      <w:b/>
                      <w:bCs/>
                      <w:sz w:val="24"/>
                    </w:rPr>
                    <w:t xml:space="preserve">壹</w:t>
                  </w:r>
                  <w:r>
                    <w:rPr>
                      <w:rFonts w:hint="eastAsia" w:ascii="宋体" w:hAnsi="宋体" w:cs="宋体"/>
                      <w:sz w:val="24"/>
                    </w:rPr>
                    <w:t xml:space="preserve">份，采购代理机构执</w:t>
                  </w:r>
                  <w:r>
                    <w:rPr>
                      <w:rFonts w:hint="eastAsia" w:ascii="宋体" w:hAnsi="宋体" w:cs="宋体"/>
                      <w:b/>
                      <w:bCs/>
                      <w:sz w:val="24"/>
                    </w:rPr>
                    <w:t xml:space="preserve">壹</w:t>
                  </w:r>
                  <w:r>
                    <w:rPr>
                      <w:rFonts w:hint="eastAsia" w:ascii="宋体" w:hAnsi="宋体" w:cs="宋体"/>
                      <w:sz w:val="24"/>
                    </w:rPr>
                    <w:t xml:space="preserve">份。</w:t>
                  </w:r>
                  <w:r/>
                </w:p>
                <w:p>
                  <w:pPr>
                    <w:pStyle w:val="1028"/>
                    <w:numPr>
                      <w:ilvl w:val="0"/>
                      <w:numId w:val="27"/>
                    </w:numPr>
                    <w:spacing w:line="400" w:lineRule="exact"/>
                    <w:rPr>
                      <w:rFonts w:hint="eastAsia" w:ascii="宋体" w:hAnsi="宋体"/>
                      <w:sz w:val="24"/>
                    </w:rPr>
                  </w:pPr>
                  <w:r>
                    <w:rPr>
                      <w:rFonts w:hint="eastAsia" w:ascii="宋体" w:hAnsi="宋体" w:cs="宋体"/>
                      <w:sz w:val="24"/>
                    </w:rPr>
                    <w:t xml:space="preserve">其他未尽事宜，参照相关法律，双方协商解决。</w:t>
                  </w:r>
                  <w:r>
                    <w:rPr>
                      <w:rFonts w:hint="eastAsia" w:ascii="宋体" w:hAnsi="宋体"/>
                      <w:sz w:val="24"/>
                    </w:rPr>
                  </w:r>
                  <w:r/>
                </w:p>
                <w:tbl>
                  <w:tblPr>
                    <w:tblW w:w="949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rPr>
                            <w:rFonts w:hint="eastAsia" w:ascii="宋体" w:hAnsi="宋体" w:cs="宋体"/>
                            <w:sz w:val="24"/>
                          </w:rPr>
                        </w:pPr>
                        <w:r>
                          <w:rPr>
                            <w:rFonts w:hint="eastAsia" w:ascii="宋体" w:hAnsi="宋体" w:cs="宋体"/>
                            <w:sz w:val="24"/>
                          </w:rPr>
                          <w:t xml:space="preserve">甲方（盖章）：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乙方（盖章）：</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法定代表人或委</w:t>
                        </w:r>
                        <w:r>
                          <w:rPr>
                            <w:rFonts w:hint="eastAsia" w:ascii="宋体" w:hAnsi="宋体" w:cs="宋体"/>
                            <w:sz w:val="24"/>
                          </w:rPr>
                          <w:t xml:space="preserve">托代理人（签字或盖章）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b/>
                            <w:bCs/>
                            <w:sz w:val="24"/>
                          </w:rPr>
                        </w:pPr>
                        <w:r>
                          <w:rPr>
                            <w:rFonts w:hint="eastAsia" w:ascii="宋体" w:hAnsi="宋体" w:cs="宋体"/>
                            <w:sz w:val="24"/>
                          </w:rPr>
                          <w:t xml:space="preserve">法定代表人或委托代理人（签字或盖章）</w:t>
                        </w:r>
                        <w:r>
                          <w:rPr>
                            <w:rFonts w:hint="eastAsia" w:ascii="宋体" w:hAnsi="宋体" w:cs="宋体"/>
                            <w:b/>
                            <w:bCs/>
                            <w:sz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联系人：</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联系人：</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联系电话：</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联系电话：</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开户银行：</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开户银行：</w:t>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开户名称：</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开户名称：</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帐号：</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1028"/>
                          <w:jc w:val="left"/>
                          <w:spacing w:line="400" w:lineRule="exact"/>
                          <w:widowControl/>
                          <w:rPr>
                            <w:rFonts w:hint="eastAsia" w:ascii="宋体" w:hAnsi="宋体" w:cs="宋体"/>
                            <w:sz w:val="24"/>
                          </w:rPr>
                        </w:pPr>
                        <w:r>
                          <w:rPr>
                            <w:rFonts w:hint="eastAsia" w:ascii="宋体" w:hAnsi="宋体" w:cs="宋体"/>
                            <w:sz w:val="24"/>
                          </w:rPr>
                          <w:t xml:space="preserve">帐号：</w:t>
                        </w:r>
                        <w:r/>
                      </w:p>
                    </w:tc>
                  </w:tr>
                </w:tbl>
                <w:p>
                  <w:pPr>
                    <w:pStyle w:val="1028"/>
                    <w:jc w:val="left"/>
                    <w:spacing w:line="380" w:lineRule="exact"/>
                    <w:widowControl/>
                    <w:rPr>
                      <w:rFonts w:hint="eastAsia" w:ascii="宋体" w:hAnsi="宋体"/>
                      <w:sz w:val="24"/>
                    </w:rPr>
                  </w:pP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1028"/>
                    <w:jc w:val="left"/>
                    <w:spacing w:line="480" w:lineRule="auto"/>
                    <w:widowControl/>
                    <w:rPr>
                      <w:rFonts w:hint="eastAsia" w:ascii="宋体" w:hAnsi="宋体" w:cs="宋体"/>
                      <w:sz w:val="24"/>
                    </w:rPr>
                  </w:pPr>
                  <w:r>
                    <w:rPr>
                      <w:rFonts w:hint="eastAsia" w:ascii="宋体" w:hAnsi="宋体" w:cs="宋体"/>
                      <w:sz w:val="24"/>
                    </w:rPr>
                    <w:t xml:space="preserve">★备注:甲乙双方必须以本格式文本拟订合同。</w:t>
                  </w:r>
                  <w:r/>
                </w:p>
              </w:tc>
            </w:tr>
          </w:tbl>
          <w:p>
            <w:pPr>
              <w:pStyle w:val="1028"/>
              <w:ind w:firstLine="960"/>
              <w:jc w:val="left"/>
              <w:spacing w:line="360" w:lineRule="auto"/>
              <w:widowControl/>
              <w:rPr>
                <w:rFonts w:ascii="宋体" w:hAnsi="宋体"/>
                <w:sz w:val="24"/>
              </w:rPr>
            </w:pPr>
            <w:r>
              <w:rPr>
                <w:rFonts w:ascii="宋体" w:hAnsi="宋体"/>
                <w:sz w:val="24"/>
              </w:rPr>
            </w:r>
            <w:r/>
          </w:p>
        </w:tc>
      </w:tr>
    </w:tbl>
    <w:p>
      <w:pPr>
        <w:pStyle w:val="1028"/>
        <w:ind w:firstLine="480"/>
        <w:jc w:val="center"/>
        <w:spacing w:line="360" w:lineRule="auto"/>
        <w:widowControl/>
        <w:rPr>
          <w:b/>
          <w:sz w:val="36"/>
          <w:szCs w:val="36"/>
        </w:rPr>
      </w:pPr>
      <w:r/>
      <w:bookmarkEnd w:id="367"/>
      <w:r/>
      <w:bookmarkStart w:id="368" w:name="_Toc99301426"/>
      <w:r>
        <w:rPr>
          <w:b/>
          <w:sz w:val="36"/>
          <w:szCs w:val="36"/>
        </w:rPr>
      </w:r>
      <w:r/>
    </w:p>
    <w:p>
      <w:pPr>
        <w:pStyle w:val="1028"/>
        <w:jc w:val="center"/>
        <w:spacing w:line="360" w:lineRule="auto"/>
        <w:rPr>
          <w:b/>
          <w:sz w:val="36"/>
          <w:szCs w:val="36"/>
        </w:rPr>
        <w:outlineLvl w:val="0"/>
      </w:pPr>
      <w: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28"/>
              <w:jc w:val="center"/>
              <w:rPr>
                <w:rFonts w:ascii="宋体" w:hAnsi="宋体" w:cs="宋体"/>
                <w:b/>
                <w:szCs w:val="21"/>
              </w:rPr>
            </w:pPr>
            <w:r/>
            <w:bookmarkStart w:id="369"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102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1028"/>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028"/>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028"/>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hint="eastAsia"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0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1028"/>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102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10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028"/>
              <w:rPr>
                <w:rFonts w:ascii="宋体" w:hAnsi="宋体" w:cs="宋体"/>
                <w:szCs w:val="21"/>
              </w:rPr>
            </w:pPr>
            <w:r>
              <w:rPr>
                <w:rFonts w:hint="eastAsia" w:ascii="宋体" w:hAnsi="宋体" w:cs="宋体"/>
                <w:szCs w:val="21"/>
              </w:rPr>
              <w:t xml:space="preserve">*投标（响应）文件有效性(根据采购文</w:t>
            </w:r>
            <w:r>
              <w:rPr>
                <w:rFonts w:hint="eastAsia" w:ascii="宋体" w:hAnsi="宋体" w:cs="宋体"/>
                <w:szCs w:val="21"/>
              </w:rPr>
              <w:t xml:space="preserve">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1028"/>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02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vMerge w:val="restart"/>
            <w:textDirection w:val="lrTb"/>
            <w:noWrap w:val="false"/>
          </w:tcPr>
          <w:p>
            <w:pPr>
              <w:pStyle w:val="1028"/>
              <w:ind w:firstLine="211"/>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028"/>
              <w:rPr>
                <w:rFonts w:hint="eastAsia" w:ascii="宋体" w:hAnsi="宋体" w:cs="宋体"/>
                <w:szCs w:val="21"/>
              </w:rPr>
            </w:pPr>
            <w:r>
              <w:rPr>
                <w:rFonts w:hint="eastAsia" w:ascii="宋体" w:hAnsi="宋体" w:cs="宋体"/>
                <w:szCs w:val="21"/>
              </w:rPr>
              <w:t xml:space="preserve">中小企业声明函或监狱企业证明或残疾人福利性单位声明函</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10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1028"/>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1028"/>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2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02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1028"/>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10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10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10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1028"/>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1109"/>
        <w:rPr>
          <w:color w:val="000000"/>
        </w:rPr>
      </w:pPr>
      <w:r/>
      <w:bookmarkEnd w:id="369"/>
      <w:r>
        <w:rPr>
          <w:color w:val="000000"/>
        </w:rPr>
      </w:r>
      <w:r/>
    </w:p>
    <w:p>
      <w:pPr>
        <w:pStyle w:val="1028"/>
        <w:jc w:val="center"/>
        <w:spacing w:line="360" w:lineRule="auto"/>
        <w:rPr>
          <w:b/>
          <w:sz w:val="36"/>
          <w:szCs w:val="36"/>
        </w:rPr>
        <w:outlineLvl w:val="0"/>
      </w:pPr>
      <w:r>
        <w:rPr>
          <w:b/>
          <w:sz w:val="36"/>
          <w:szCs w:val="36"/>
        </w:rPr>
      </w:r>
      <w:r/>
    </w:p>
    <w:p>
      <w:pPr>
        <w:pStyle w:val="1028"/>
        <w:spacing w:line="360" w:lineRule="auto"/>
        <w:rPr>
          <w:rFonts w:hint="eastAsia"/>
          <w:b/>
          <w:sz w:val="36"/>
          <w:szCs w:val="36"/>
        </w:rPr>
        <w:outlineLvl w:val="0"/>
      </w:pPr>
      <w:r>
        <w:rPr>
          <w:rFonts w:hint="eastAsia"/>
          <w:b/>
          <w:sz w:val="36"/>
          <w:szCs w:val="36"/>
        </w:rPr>
      </w:r>
      <w:r/>
    </w:p>
    <w:p>
      <w:pPr>
        <w:pStyle w:val="1028"/>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368"/>
      <w:r>
        <w:rPr>
          <w:b/>
          <w:sz w:val="24"/>
        </w:rPr>
      </w:r>
      <w:r/>
    </w:p>
    <w:p>
      <w:pPr>
        <w:pStyle w:val="102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28"/>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28"/>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1028"/>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2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28"/>
        <w:jc w:val="left"/>
        <w:widowControl/>
        <w:rPr>
          <w:sz w:val="24"/>
        </w:rPr>
      </w:pPr>
      <w:r/>
      <w:bookmarkEnd w:id="112"/>
      <w:r/>
      <w:bookmarkEnd w:id="113"/>
      <w:r/>
      <w:bookmarkEnd w:id="114"/>
      <w:r/>
      <w:bookmarkEnd w:id="116"/>
      <w:r/>
      <w:bookmarkEnd w:id="117"/>
      <w:r/>
      <w:bookmarkEnd w:id="118"/>
      <w:r/>
      <w:bookmarkEnd w:id="119"/>
      <w:r/>
      <w:bookmarkEnd w:id="120"/>
      <w:r/>
      <w:bookmarkEnd w:id="121"/>
      <w:r/>
      <w:bookmarkEnd w:id="122"/>
      <w:r/>
      <w:bookmarkEnd w:id="123"/>
      <w:r/>
      <w:bookmarkEnd w:id="124"/>
      <w:r/>
      <w:bookmarkEnd w:id="125"/>
      <w:r/>
      <w:bookmarkEnd w:id="126"/>
      <w:r>
        <w:rPr>
          <w:sz w:val="24"/>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1028"/>
        <w:jc w:val="center"/>
        <w:rPr>
          <w:szCs w:val="21"/>
        </w:rPr>
      </w:pPr>
      <w:r>
        <w:rPr>
          <w:szCs w:val="21"/>
        </w:rPr>
      </w:r>
      <w:r/>
    </w:p>
    <w:p>
      <w:pPr>
        <w:pStyle w:val="1028"/>
        <w:jc w:val="center"/>
        <w:rPr>
          <w:b/>
          <w:spacing w:val="60"/>
          <w:sz w:val="84"/>
          <w:szCs w:val="84"/>
        </w:rPr>
      </w:pPr>
      <w:r>
        <w:rPr>
          <w:b/>
          <w:spacing w:val="60"/>
          <w:sz w:val="84"/>
          <w:szCs w:val="84"/>
        </w:rPr>
      </w:r>
      <w:r/>
    </w:p>
    <w:p>
      <w:pPr>
        <w:pStyle w:val="1028"/>
        <w:jc w:val="center"/>
        <w:rPr>
          <w:b/>
          <w:spacing w:val="60"/>
          <w:sz w:val="84"/>
          <w:szCs w:val="84"/>
        </w:rPr>
      </w:pPr>
      <w:r>
        <w:rPr>
          <w:b/>
          <w:spacing w:val="60"/>
          <w:sz w:val="84"/>
          <w:szCs w:val="84"/>
        </w:rPr>
        <w:t xml:space="preserve">投 标 文 件</w:t>
      </w:r>
      <w:r/>
    </w:p>
    <w:p>
      <w:pPr>
        <w:pStyle w:val="1028"/>
        <w:ind w:firstLine="963"/>
        <w:rPr>
          <w:rFonts w:hint="eastAsia"/>
          <w:b/>
          <w:spacing w:val="60"/>
          <w:sz w:val="52"/>
          <w:szCs w:val="52"/>
        </w:rPr>
      </w:pPr>
      <w:r>
        <w:rPr>
          <w:rFonts w:hint="eastAsia"/>
          <w:b/>
          <w:spacing w:val="60"/>
          <w:sz w:val="52"/>
          <w:szCs w:val="52"/>
        </w:rPr>
      </w:r>
      <w:r/>
    </w:p>
    <w:p>
      <w:pPr>
        <w:pStyle w:val="1028"/>
        <w:ind w:firstLine="963"/>
        <w:rPr>
          <w:b/>
          <w:spacing w:val="60"/>
          <w:sz w:val="52"/>
          <w:szCs w:val="52"/>
        </w:rPr>
      </w:pPr>
      <w:r>
        <w:rPr>
          <w:b/>
          <w:spacing w:val="60"/>
          <w:sz w:val="52"/>
          <w:szCs w:val="52"/>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542"/>
        <w:rPr>
          <w:b/>
          <w:spacing w:val="20"/>
          <w:sz w:val="32"/>
          <w:szCs w:val="32"/>
        </w:rPr>
      </w:pPr>
      <w:r>
        <w:rPr>
          <w:b/>
          <w:spacing w:val="20"/>
          <w:sz w:val="32"/>
          <w:szCs w:val="32"/>
        </w:rPr>
      </w:r>
      <w:r/>
    </w:p>
    <w:p>
      <w:pPr>
        <w:pStyle w:val="1028"/>
        <w:ind w:firstLine="542"/>
        <w:rPr>
          <w:b/>
          <w:spacing w:val="20"/>
          <w:sz w:val="32"/>
          <w:szCs w:val="32"/>
        </w:rPr>
      </w:pPr>
      <w:r>
        <w:rPr>
          <w:b/>
          <w:spacing w:val="20"/>
          <w:sz w:val="32"/>
          <w:szCs w:val="32"/>
        </w:rPr>
      </w:r>
      <w:r/>
    </w:p>
    <w:p>
      <w:pPr>
        <w:pStyle w:val="1028"/>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8"/>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8"/>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1028"/>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1028"/>
        <w:jc w:val="center"/>
        <w:rPr>
          <w:b/>
          <w:sz w:val="32"/>
          <w:szCs w:val="32"/>
        </w:rPr>
      </w:pPr>
      <w:r>
        <w:rPr>
          <w:b/>
          <w:sz w:val="32"/>
          <w:szCs w:val="32"/>
        </w:rPr>
      </w:r>
      <w:r/>
    </w:p>
    <w:p>
      <w:pPr>
        <w:pStyle w:val="1028"/>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1060"/>
        <w:ind w:firstLine="482"/>
        <w:spacing w:line="360" w:lineRule="auto"/>
        <w:rPr>
          <w:b/>
        </w:rPr>
      </w:pPr>
      <w:r>
        <w:rPr>
          <w:rFonts w:hint="eastAsia"/>
          <w:b/>
        </w:rPr>
        <w:t xml:space="preserve">（一）投标人在提交投标文件时，应按照投标</w:t>
      </w:r>
      <w:r>
        <w:rPr>
          <w:rFonts w:hint="eastAsia"/>
          <w:b/>
        </w:rPr>
        <w:t xml:space="preserve">工具（苏采云客户端）的提示流程编制提交开标一览表，开标一览表格式以投标工具中的为准。</w:t>
      </w:r>
      <w:r>
        <w:rPr>
          <w:b/>
        </w:rPr>
      </w:r>
      <w:r/>
    </w:p>
    <w:p>
      <w:pPr>
        <w:pStyle w:val="1060"/>
        <w:ind w:firstLine="482"/>
        <w:spacing w:line="360" w:lineRule="auto"/>
        <w:rPr>
          <w:rFonts w:hint="eastAsia"/>
          <w:b/>
        </w:rPr>
      </w:pPr>
      <w:r>
        <w:rPr>
          <w:rFonts w:hint="eastAsia"/>
          <w:b/>
        </w:rPr>
      </w:r>
      <w:r/>
    </w:p>
    <w:p>
      <w:pPr>
        <w:pStyle w:val="1028"/>
        <w:jc w:val="left"/>
        <w:spacing w:line="412" w:lineRule="auto"/>
        <w:widowControl/>
        <w:rPr>
          <w:rFonts w:ascii="宋体" w:hAnsi="宋体"/>
          <w:bCs/>
          <w:sz w:val="24"/>
        </w:rPr>
      </w:pPr>
      <w:r>
        <w:rPr>
          <w:rFonts w:ascii="宋体" w:hAnsi="宋体"/>
          <w:bCs/>
          <w:sz w:val="24"/>
        </w:rPr>
      </w:r>
      <w:r/>
    </w:p>
    <w:p>
      <w:pPr>
        <w:pStyle w:val="1109"/>
        <w:rPr>
          <w:color w:val="000000"/>
        </w:rPr>
      </w:pPr>
      <w:r>
        <w:rPr>
          <w:color w:val="000000"/>
        </w:rPr>
      </w:r>
      <w:r/>
    </w:p>
    <w:p>
      <w:pPr>
        <w:pStyle w:val="1028"/>
        <w:jc w:val="center"/>
        <w:keepLines/>
        <w:keepNext/>
        <w:spacing w:after="120" w:line="360" w:lineRule="auto"/>
        <w:widowControl/>
        <w:rPr>
          <w:b/>
          <w:spacing w:val="20"/>
          <w:sz w:val="32"/>
          <w:szCs w:val="32"/>
        </w:rPr>
        <w:outlineLvl w:val="0"/>
      </w:pPr>
      <w:r>
        <w:rPr>
          <w:b/>
          <w:spacing w:val="20"/>
          <w:sz w:val="32"/>
          <w:szCs w:val="32"/>
        </w:rPr>
        <w:br w:type="page" w:clear="all"/>
      </w:r>
      <w:r>
        <w:rPr>
          <w:rFonts w:hint="eastAsia"/>
          <w:b/>
          <w:spacing w:val="20"/>
          <w:sz w:val="32"/>
          <w:szCs w:val="32"/>
        </w:rPr>
        <w:t xml:space="preserve">三、报价明细表</w:t>
      </w:r>
      <w:r>
        <w:rPr>
          <w:b/>
          <w:spacing w:val="20"/>
          <w:sz w:val="32"/>
          <w:szCs w:val="32"/>
        </w:rPr>
        <w:t xml:space="preserve">（实质性格式）</w:t>
      </w:r>
      <w:r/>
    </w:p>
    <w:p>
      <w:pPr>
        <w:pStyle w:val="1028"/>
        <w:ind w:firstLine="720"/>
        <w:tabs>
          <w:tab w:val="left" w:pos="1800" w:leader="none"/>
          <w:tab w:val="left" w:pos="5580" w:leader="none"/>
        </w:tabs>
        <w:rPr>
          <w:sz w:val="24"/>
        </w:rPr>
      </w:pPr>
      <w:r>
        <w:rPr>
          <w:sz w:val="24"/>
        </w:rPr>
        <w:t xml:space="preserve">项目编号：___________ 项目名称：__________报价单位：人民币元</w:t>
      </w:r>
      <w:r/>
    </w:p>
    <w:tbl>
      <w:tblPr>
        <w:tblW w:w="87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217"/>
        <w:gridCol w:w="708"/>
        <w:gridCol w:w="1701"/>
        <w:gridCol w:w="1477"/>
        <w:gridCol w:w="1459"/>
        <w:gridCol w:w="1455"/>
      </w:tblGrid>
      <w:tr>
        <w:trPr>
          <w:cantSplit/>
          <w:trHeight w:val="455"/>
        </w:trPr>
        <w:tc>
          <w:tcPr>
            <w:tcW w:w="76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序号</w:t>
            </w:r>
            <w:r/>
          </w:p>
        </w:tc>
        <w:tc>
          <w:tcPr>
            <w:tcW w:w="121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分项名称</w:t>
            </w:r>
            <w:r/>
          </w:p>
        </w:tc>
        <w:tc>
          <w:tcPr>
            <w:tcW w:w="708"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单位</w:t>
            </w:r>
            <w:r/>
          </w:p>
        </w:tc>
        <w:tc>
          <w:tcPr>
            <w:tcW w:w="1701"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预计数量</w:t>
            </w:r>
            <w:r/>
          </w:p>
        </w:tc>
        <w:tc>
          <w:tcPr>
            <w:tcW w:w="147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单价</w:t>
            </w:r>
            <w:r/>
          </w:p>
        </w:tc>
        <w:tc>
          <w:tcPr>
            <w:tcW w:w="1459"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预计合价</w:t>
            </w:r>
            <w:r/>
          </w:p>
        </w:tc>
        <w:tc>
          <w:tcPr>
            <w:tcW w:w="1455" w:type="dxa"/>
            <w:vAlign w:val="top"/>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备注</w:t>
            </w:r>
            <w:r/>
          </w:p>
        </w:tc>
      </w:tr>
      <w:tr>
        <w:trPr>
          <w:cantSplit/>
          <w:trHeight w:val="947"/>
        </w:trPr>
        <w:tc>
          <w:tcPr>
            <w:tcW w:w="76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1</w:t>
            </w:r>
            <w:r/>
          </w:p>
        </w:tc>
        <w:tc>
          <w:tcPr>
            <w:tcW w:w="121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t xml:space="preserve">2</w:t>
            </w:r>
            <w:r/>
          </w:p>
        </w:tc>
        <w:tc>
          <w:tcPr>
            <w:tcW w:w="1217" w:type="dxa"/>
            <w:vAlign w:val="center"/>
            <w:textDirection w:val="lrTb"/>
            <w:noWrap w:val="false"/>
          </w:tcPr>
          <w:p>
            <w:pPr>
              <w:pStyle w:val="1028"/>
              <w:jc w:val="left"/>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1028"/>
              <w:jc w:val="left"/>
              <w:spacing w:line="0" w:lineRule="atLeast"/>
              <w:rPr>
                <w:rFonts w:hint="eastAsia" w:ascii="宋体" w:hAnsi="宋体"/>
                <w:sz w:val="24"/>
              </w:rPr>
            </w:pPr>
            <w:r>
              <w:rPr>
                <w:rFonts w:hint="eastAsia" w:ascii="宋体" w:hAnsi="宋体"/>
                <w:sz w:val="24"/>
              </w:rPr>
            </w:r>
            <w:r/>
          </w:p>
          <w:p>
            <w:pPr>
              <w:pStyle w:val="1028"/>
              <w:jc w:val="left"/>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102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17" w:type="dxa"/>
            <w:vAlign w:val="center"/>
            <w:textDirection w:val="lrTb"/>
            <w:noWrap w:val="false"/>
          </w:tcPr>
          <w:p>
            <w:pPr>
              <w:pStyle w:val="102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708"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1028"/>
              <w:jc w:val="center"/>
              <w:spacing w:line="0" w:lineRule="atLeast"/>
              <w:rPr>
                <w:rFonts w:hint="eastAsia" w:ascii="宋体" w:hAnsi="宋体"/>
                <w:sz w:val="24"/>
              </w:rPr>
            </w:pPr>
            <w:r>
              <w:rPr>
                <w:rFonts w:hint="eastAsia" w:ascii="宋体" w:hAnsi="宋体"/>
                <w:sz w:val="24"/>
              </w:rPr>
            </w:r>
            <w:r/>
          </w:p>
        </w:tc>
      </w:tr>
      <w:tr>
        <w:trPr>
          <w:cantSplit/>
          <w:trHeight w:val="947"/>
        </w:trPr>
        <w:tc>
          <w:tcPr>
            <w:gridSpan w:val="2"/>
            <w:tcW w:w="1984" w:type="dxa"/>
            <w:vAlign w:val="center"/>
            <w:textDirection w:val="lrTb"/>
            <w:noWrap w:val="false"/>
          </w:tcPr>
          <w:p>
            <w:pPr>
              <w:pStyle w:val="1028"/>
              <w:jc w:val="center"/>
              <w:spacing w:line="0" w:lineRule="atLeast"/>
              <w:rPr>
                <w:rFonts w:hint="eastAsia" w:ascii="宋体" w:hAnsi="宋体" w:cs="宋体"/>
                <w:szCs w:val="21"/>
              </w:rPr>
            </w:pPr>
            <w:r>
              <w:rPr>
                <w:rFonts w:hint="eastAsia" w:ascii="宋体" w:hAnsi="宋体" w:cs="宋体"/>
                <w:szCs w:val="21"/>
              </w:rPr>
              <w:t xml:space="preserve">一年总价</w:t>
            </w:r>
            <w:r/>
          </w:p>
        </w:tc>
        <w:tc>
          <w:tcPr>
            <w:gridSpan w:val="4"/>
            <w:tcW w:w="5345" w:type="dxa"/>
            <w:vAlign w:val="center"/>
            <w:textDirection w:val="lrTb"/>
            <w:noWrap w:val="false"/>
          </w:tcPr>
          <w:p>
            <w:pPr>
              <w:pStyle w:val="1028"/>
              <w:jc w:val="left"/>
              <w:spacing w:line="300" w:lineRule="exact"/>
              <w:widowControl/>
              <w:rPr>
                <w:rFonts w:hint="eastAsia" w:ascii="宋体" w:hAnsi="宋体" w:cs="宋体"/>
                <w:szCs w:val="21"/>
                <w:u w:val="single"/>
              </w:rPr>
            </w:pPr>
            <w:r>
              <w:rPr>
                <w:rFonts w:hint="eastAsia" w:ascii="宋体" w:hAnsi="宋体" w:cs="宋体"/>
                <w:szCs w:val="21"/>
                <w:u w:val="single"/>
              </w:rPr>
              <w:t xml:space="preserve">小写：                         元</w:t>
            </w:r>
            <w:r/>
          </w:p>
          <w:p>
            <w:pPr>
              <w:pStyle w:val="1028"/>
              <w:jc w:val="left"/>
              <w:spacing w:line="300" w:lineRule="exact"/>
              <w:widowControl/>
              <w:rPr>
                <w:rFonts w:hint="eastAsia" w:ascii="宋体" w:hAnsi="宋体" w:cs="宋体"/>
                <w:szCs w:val="21"/>
                <w:u w:val="single"/>
              </w:rPr>
            </w:pPr>
            <w:r>
              <w:rPr>
                <w:rFonts w:hint="eastAsia" w:ascii="宋体" w:hAnsi="宋体" w:cs="宋体"/>
                <w:szCs w:val="21"/>
                <w:u w:val="single"/>
              </w:rPr>
              <w:t xml:space="preserve">大写：                         元</w:t>
            </w:r>
            <w:r/>
          </w:p>
        </w:tc>
        <w:tc>
          <w:tcPr>
            <w:tcW w:w="1455" w:type="dxa"/>
            <w:vAlign w:val="top"/>
            <w:textDirection w:val="lrTb"/>
            <w:noWrap w:val="false"/>
          </w:tcPr>
          <w:p>
            <w:pPr>
              <w:pStyle w:val="1028"/>
              <w:jc w:val="left"/>
              <w:spacing w:line="300" w:lineRule="exact"/>
              <w:widowControl/>
              <w:rPr>
                <w:rFonts w:hint="eastAsia" w:ascii="宋体" w:hAnsi="宋体" w:cs="宋体"/>
                <w:szCs w:val="21"/>
                <w:u w:val="single"/>
              </w:rPr>
            </w:pPr>
            <w:r>
              <w:rPr>
                <w:rFonts w:hint="eastAsia" w:ascii="宋体" w:hAnsi="宋体" w:cs="宋体"/>
                <w:szCs w:val="21"/>
                <w:u w:val="single"/>
              </w:rPr>
            </w:r>
            <w:r/>
          </w:p>
        </w:tc>
      </w:tr>
      <w:tr>
        <w:trPr>
          <w:cantSplit/>
          <w:trHeight w:val="947"/>
        </w:trPr>
        <w:tc>
          <w:tcPr>
            <w:gridSpan w:val="2"/>
            <w:tcW w:w="1984" w:type="dxa"/>
            <w:vAlign w:val="center"/>
            <w:textDirection w:val="lrTb"/>
            <w:noWrap w:val="false"/>
          </w:tcPr>
          <w:p>
            <w:pPr>
              <w:pStyle w:val="1028"/>
              <w:jc w:val="center"/>
              <w:spacing w:line="0" w:lineRule="atLeast"/>
              <w:rPr>
                <w:rFonts w:hint="eastAsia" w:ascii="宋体" w:hAnsi="宋体" w:cs="宋体"/>
                <w:szCs w:val="21"/>
              </w:rPr>
            </w:pPr>
            <w:r>
              <w:rPr>
                <w:rFonts w:hint="eastAsia" w:ascii="宋体" w:hAnsi="宋体" w:cs="宋体"/>
                <w:szCs w:val="21"/>
              </w:rPr>
              <w:t xml:space="preserve">两年总价</w:t>
            </w:r>
            <w:r/>
          </w:p>
        </w:tc>
        <w:tc>
          <w:tcPr>
            <w:gridSpan w:val="4"/>
            <w:tcW w:w="5345" w:type="dxa"/>
            <w:vAlign w:val="center"/>
            <w:textDirection w:val="lrTb"/>
            <w:noWrap w:val="false"/>
          </w:tcPr>
          <w:p>
            <w:pPr>
              <w:pStyle w:val="1028"/>
              <w:jc w:val="left"/>
              <w:spacing w:line="300" w:lineRule="exact"/>
              <w:widowControl/>
              <w:rPr>
                <w:rFonts w:hint="eastAsia" w:ascii="宋体" w:hAnsi="宋体" w:cs="宋体"/>
                <w:szCs w:val="21"/>
                <w:u w:val="single"/>
              </w:rPr>
            </w:pPr>
            <w:r>
              <w:rPr>
                <w:rFonts w:hint="eastAsia" w:ascii="宋体" w:hAnsi="宋体" w:cs="宋体"/>
                <w:szCs w:val="21"/>
                <w:u w:val="single"/>
              </w:rPr>
            </w:r>
            <w:r/>
          </w:p>
        </w:tc>
        <w:tc>
          <w:tcPr>
            <w:tcW w:w="1455" w:type="dxa"/>
            <w:vAlign w:val="top"/>
            <w:textDirection w:val="lrTb"/>
            <w:noWrap w:val="false"/>
          </w:tcPr>
          <w:p>
            <w:pPr>
              <w:pStyle w:val="1028"/>
              <w:jc w:val="left"/>
              <w:spacing w:line="300" w:lineRule="exact"/>
              <w:widowControl/>
              <w:rPr>
                <w:rFonts w:hint="eastAsia" w:ascii="宋体" w:hAnsi="宋体" w:cs="宋体"/>
                <w:szCs w:val="21"/>
                <w:u w:val="single"/>
              </w:rPr>
            </w:pPr>
            <w:r>
              <w:rPr>
                <w:rFonts w:hint="eastAsia" w:ascii="宋体" w:hAnsi="宋体" w:cs="宋体"/>
                <w:szCs w:val="21"/>
                <w:u w:val="single"/>
              </w:rPr>
            </w:r>
            <w:r/>
          </w:p>
        </w:tc>
      </w:tr>
    </w:tbl>
    <w:p>
      <w:pPr>
        <w:pStyle w:val="1028"/>
        <w:ind w:firstLine="480"/>
        <w:tabs>
          <w:tab w:val="left" w:pos="1800" w:leader="none"/>
          <w:tab w:val="left" w:pos="5580" w:leader="none"/>
        </w:tabs>
        <w:rPr>
          <w:sz w:val="24"/>
        </w:rPr>
      </w:pPr>
      <w:r>
        <w:rPr>
          <w:sz w:val="24"/>
        </w:rPr>
      </w:r>
      <w:r/>
    </w:p>
    <w:p>
      <w:pPr>
        <w:pStyle w:val="1028"/>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w:t>
      </w:r>
      <w:r>
        <w:rPr>
          <w:rFonts w:hint="eastAsia" w:ascii="宋体" w:hAnsi="宋体" w:cs="楷体"/>
          <w:sz w:val="24"/>
        </w:rPr>
        <w:t xml:space="preserve">1、本报价明细表的投标</w:t>
      </w:r>
      <w:r>
        <w:rPr>
          <w:rFonts w:hint="eastAsia" w:ascii="宋体" w:hAnsi="宋体" w:cs="楷体"/>
          <w:b/>
          <w:bCs/>
          <w:sz w:val="24"/>
        </w:rPr>
        <w:t xml:space="preserve">“两年总价”</w:t>
      </w:r>
      <w:r>
        <w:rPr>
          <w:rFonts w:hint="eastAsia" w:ascii="宋体" w:hAnsi="宋体" w:cs="楷体"/>
          <w:sz w:val="24"/>
        </w:rPr>
        <w:t xml:space="preserve">应与开标一览表</w:t>
      </w:r>
      <w:r>
        <w:rPr>
          <w:rFonts w:hint="eastAsia" w:ascii="宋体" w:hAnsi="宋体" w:cs="楷体"/>
          <w:b/>
          <w:bCs/>
          <w:sz w:val="24"/>
        </w:rPr>
        <w:t xml:space="preserve">“总价”</w:t>
      </w:r>
      <w:r>
        <w:rPr>
          <w:rFonts w:hint="eastAsia" w:ascii="宋体" w:hAnsi="宋体" w:cs="楷体"/>
          <w:sz w:val="24"/>
        </w:rPr>
        <w:t xml:space="preserve">一致。否则视为无效报价。</w:t>
      </w:r>
      <w:r>
        <w:rPr>
          <w:rFonts w:ascii="宋体" w:hAnsi="宋体" w:cs="楷体"/>
          <w:sz w:val="24"/>
        </w:rPr>
      </w:r>
      <w:r/>
    </w:p>
    <w:p>
      <w:pPr>
        <w:pStyle w:val="1028"/>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报价将视为没有实质性投标</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1028"/>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3</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rPr>
          <w:rFonts w:ascii="宋体" w:hAnsi="宋体" w:cs="楷体"/>
          <w:sz w:val="24"/>
        </w:rPr>
      </w:r>
      <w:r/>
    </w:p>
    <w:p>
      <w:pPr>
        <w:pStyle w:val="1028"/>
        <w:ind w:firstLine="480"/>
        <w:jc w:val="left"/>
        <w:spacing w:line="360" w:lineRule="auto"/>
        <w:tabs>
          <w:tab w:val="left" w:pos="1800" w:leader="none"/>
          <w:tab w:val="left" w:pos="5580" w:leader="none"/>
        </w:tabs>
        <w:rPr>
          <w:rFonts w:hint="eastAsia" w:ascii="宋体" w:hAnsi="宋体"/>
          <w:sz w:val="24"/>
          <w:szCs w:val="21"/>
        </w:rPr>
      </w:pPr>
      <w:r>
        <w:rPr>
          <w:rFonts w:ascii="宋体" w:hAnsi="宋体" w:cs="楷体"/>
          <w:sz w:val="24"/>
        </w:rPr>
        <w:t xml:space="preserve">4</w:t>
      </w:r>
      <w:r>
        <w:rPr>
          <w:rFonts w:hint="eastAsia" w:ascii="宋体" w:hAnsi="宋体" w:cs="楷体"/>
          <w:sz w:val="24"/>
        </w:rPr>
        <w:t xml:space="preserve">、</w:t>
      </w:r>
      <w:r>
        <w:rPr>
          <w:sz w:val="24"/>
        </w:rPr>
        <w:t xml:space="preserve">本表应按包分别填写</w:t>
      </w:r>
      <w:r>
        <w:rPr>
          <w:rFonts w:hint="eastAsia"/>
          <w:sz w:val="24"/>
        </w:rPr>
        <w:t xml:space="preserve">，</w:t>
      </w:r>
      <w:r>
        <w:rPr>
          <w:rFonts w:hint="eastAsia" w:ascii="宋体" w:hAnsi="宋体" w:cs="楷体"/>
          <w:sz w:val="24"/>
        </w:rPr>
        <w:t xml:space="preserve">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hint="eastAsia" w:ascii="宋体" w:hAnsi="宋体"/>
          <w:sz w:val="24"/>
          <w:szCs w:val="21"/>
        </w:rPr>
      </w:r>
      <w:r/>
    </w:p>
    <w:p>
      <w:pPr>
        <w:pStyle w:val="1028"/>
        <w:spacing w:before="25" w:after="25"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pStyle w:val="1028"/>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1109"/>
        <w:rPr>
          <w:color w:val="000000"/>
        </w:rPr>
      </w:pPr>
      <w:r>
        <w:rPr>
          <w:color w:val="000000"/>
        </w:rPr>
      </w:r>
      <w:r/>
    </w:p>
    <w:p>
      <w:pPr>
        <w:pStyle w:val="1109"/>
        <w:rPr>
          <w:color w:val="000000"/>
        </w:rPr>
        <w:sectPr>
          <w:footnotePr/>
          <w:endnotePr/>
          <w:type w:val="nextPage"/>
          <w:pgSz w:w="11906" w:h="16838" w:orient="portrait"/>
          <w:pgMar w:top="1440" w:right="1797" w:bottom="1440" w:left="1797" w:header="851" w:footer="992" w:gutter="0"/>
          <w:cols w:num="1" w:sep="0" w:space="720" w:equalWidth="1"/>
          <w:docGrid w:linePitch="360"/>
        </w:sectPr>
      </w:pPr>
      <w:r>
        <w:rPr>
          <w:color w:val="000000"/>
        </w:rPr>
      </w:r>
      <w:r/>
    </w:p>
    <w:p>
      <w:pPr>
        <w:pStyle w:val="1030"/>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1043"/>
        <w:rPr>
          <w:rFonts w:hint="eastAsia"/>
        </w:rPr>
      </w:pPr>
      <w:r>
        <w:rPr>
          <w:rFonts w:hint="eastAsia"/>
        </w:rPr>
      </w:r>
      <w:r/>
    </w:p>
    <w:p>
      <w:pPr>
        <w:pStyle w:val="1030"/>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70"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1028"/>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pStyle w:val="102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1028"/>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1028"/>
        <w:ind w:firstLine="480"/>
        <w:spacing w:line="440" w:lineRule="exact"/>
        <w:rPr>
          <w:rFonts w:ascii="宋体" w:hAnsi="宋体" w:cs="楷体"/>
          <w:sz w:val="24"/>
        </w:rPr>
      </w:pPr>
      <w:r>
        <w:rPr>
          <w:rFonts w:ascii="宋体" w:hAnsi="宋体" w:cs="楷体"/>
          <w:sz w:val="24"/>
        </w:rPr>
      </w:r>
      <w:r/>
    </w:p>
    <w:p>
      <w:pPr>
        <w:pStyle w:val="1028"/>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1028"/>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028"/>
        <w:ind w:firstLine="2650"/>
        <w:spacing w:line="360" w:lineRule="auto"/>
        <w:widowControl/>
        <w:rPr>
          <w:rFonts w:hint="eastAsia" w:ascii="宋体" w:hAnsi="宋体" w:cs="楷体"/>
          <w:b/>
          <w:sz w:val="24"/>
        </w:rPr>
      </w:pPr>
      <w:r>
        <w:rPr>
          <w:rFonts w:hint="eastAsia" w:ascii="宋体" w:hAnsi="宋体" w:cs="楷体"/>
          <w:b/>
          <w:sz w:val="24"/>
        </w:rPr>
      </w:r>
      <w:r/>
    </w:p>
    <w:p>
      <w:pPr>
        <w:pStyle w:val="1060"/>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rPr>
          <w:rFonts w:hint="eastAsia" w:cs="楷体"/>
          <w:szCs w:val="20"/>
        </w:rPr>
      </w:r>
      <w:r/>
    </w:p>
    <w:p>
      <w:pPr>
        <w:pStyle w:val="1281"/>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281"/>
        <w:ind w:firstLine="480"/>
        <w:rPr>
          <w:rFonts w:ascii="宋体" w:hAnsi="宋体" w:eastAsia="宋体" w:cs="楷体"/>
          <w:sz w:val="24"/>
          <w:szCs w:val="24"/>
        </w:rPr>
      </w:pPr>
      <w:r>
        <w:rPr>
          <w:rFonts w:ascii="宋体" w:hAnsi="宋体" w:eastAsia="宋体" w:cs="楷体"/>
          <w:sz w:val="24"/>
          <w:szCs w:val="24"/>
        </w:rPr>
      </w:r>
      <w:r/>
    </w:p>
    <w:p>
      <w:pPr>
        <w:pStyle w:val="1281"/>
        <w:ind w:firstLine="480"/>
        <w:rPr>
          <w:rFonts w:hint="eastAsia" w:ascii="宋体" w:hAnsi="宋体" w:eastAsia="宋体" w:cs="楷体"/>
          <w:sz w:val="24"/>
          <w:szCs w:val="24"/>
        </w:rPr>
      </w:pPr>
      <w:r>
        <w:rPr>
          <w:rFonts w:hint="eastAsia" w:ascii="宋体" w:hAnsi="宋体" w:eastAsia="宋体" w:cs="楷体"/>
          <w:sz w:val="24"/>
          <w:szCs w:val="24"/>
        </w:rPr>
      </w:r>
      <w:r/>
    </w:p>
    <w:p>
      <w:pPr>
        <w:pStyle w:val="1281"/>
        <w:ind w:firstLine="400"/>
        <w:rPr>
          <w:rFonts w:hint="eastAsia"/>
        </w:rPr>
      </w:pPr>
      <w:r>
        <w:rPr>
          <w:rFonts w:hint="eastAsia"/>
        </w:rPr>
      </w:r>
      <w:r/>
    </w:p>
    <w:p>
      <w:pPr>
        <w:pStyle w:val="1281"/>
        <w:ind w:firstLine="0"/>
        <w:rPr>
          <w:rFonts w:hint="eastAsia"/>
        </w:rPr>
      </w:pPr>
      <w:r>
        <w:rPr>
          <w:rFonts w:hint="eastAsia"/>
        </w:rPr>
      </w:r>
      <w:r/>
    </w:p>
    <w:p>
      <w:pPr>
        <w:pStyle w:val="1028"/>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102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w:t>
      </w:r>
      <w:r>
        <w:rPr>
          <w:rFonts w:hint="eastAsia" w:ascii="宋体" w:hAnsi="宋体" w:eastAsia="宋体" w:cs="楷体"/>
          <w:sz w:val="24"/>
          <w:szCs w:val="24"/>
        </w:rPr>
        <w:t xml:space="preserve">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81"/>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1028"/>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pStyle w:val="1028"/>
        <w:ind w:firstLine="4800"/>
        <w:spacing w:line="440" w:lineRule="exact"/>
        <w:rPr>
          <w:rFonts w:hint="eastAsia" w:ascii="宋体" w:hAnsi="宋体" w:cs="楷体"/>
          <w:sz w:val="24"/>
        </w:rPr>
      </w:pPr>
      <w:r>
        <w:rPr>
          <w:rFonts w:hint="eastAsia" w:ascii="宋体" w:hAnsi="宋体" w:cs="楷体"/>
          <w:sz w:val="24"/>
        </w:rPr>
      </w:r>
      <w:r/>
    </w:p>
    <w:p>
      <w:pPr>
        <w:pStyle w:val="1028"/>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1028"/>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81"/>
        <w:ind w:firstLine="400"/>
        <w:rPr>
          <w:rFonts w:hint="eastAsia"/>
        </w:rPr>
      </w:pPr>
      <w:r>
        <w:rPr>
          <w:rFonts w:hint="eastAsia"/>
        </w:rPr>
      </w:r>
      <w:r/>
    </w:p>
    <w:p>
      <w:pPr>
        <w:pStyle w:val="1060"/>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281"/>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60"/>
        <w:spacing w:line="440" w:lineRule="exact"/>
        <w:rPr>
          <w:rFonts w:hint="eastAsia" w:cs="楷体"/>
        </w:rPr>
      </w:pPr>
      <w:r>
        <w:rPr>
          <w:rFonts w:hint="eastAsia" w:cs="楷体"/>
        </w:rPr>
      </w:r>
      <w:r/>
    </w:p>
    <w:p>
      <w:pPr>
        <w:pStyle w:val="1060"/>
        <w:spacing w:line="440" w:lineRule="exact"/>
        <w:rPr>
          <w:rFonts w:hint="eastAsia" w:cs="楷体"/>
        </w:rPr>
      </w:pPr>
      <w:r>
        <w:rPr>
          <w:rFonts w:hint="eastAsia" w:cs="楷体"/>
        </w:rPr>
      </w:r>
      <w:r/>
    </w:p>
    <w:p>
      <w:pPr>
        <w:pStyle w:val="1060"/>
        <w:spacing w:line="440" w:lineRule="exact"/>
        <w:rPr>
          <w:rFonts w:hint="eastAsia" w:cs="楷体"/>
        </w:rPr>
      </w:pPr>
      <w:r>
        <w:rPr>
          <w:rFonts w:hint="eastAsia" w:cs="楷体"/>
        </w:rPr>
      </w:r>
      <w:r/>
    </w:p>
    <w:p>
      <w:pPr>
        <w:pStyle w:val="1028"/>
        <w:jc w:val="left"/>
        <w:widowControl/>
        <w:rPr>
          <w:rFonts w:ascii="宋体" w:hAnsi="宋体" w:cs="楷体"/>
          <w:sz w:val="24"/>
        </w:rPr>
      </w:pPr>
      <w:r>
        <w:rPr>
          <w:rFonts w:ascii="宋体" w:hAnsi="宋体" w:cs="楷体"/>
          <w:sz w:val="24"/>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pStyle w:val="102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w:t>
      </w:r>
      <w:r>
        <w:rPr>
          <w:rFonts w:ascii="宋体" w:hAnsi="宋体"/>
          <w:spacing w:val="6"/>
          <w:sz w:val="24"/>
        </w:rPr>
        <w:t xml:space="preserve">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2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2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2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28"/>
        <w:ind w:firstLine="504"/>
        <w:spacing w:line="588" w:lineRule="exact"/>
        <w:rPr>
          <w:rFonts w:ascii="宋体" w:hAnsi="宋体"/>
          <w:spacing w:val="6"/>
          <w:sz w:val="24"/>
        </w:rPr>
      </w:pPr>
      <w:r>
        <w:rPr>
          <w:rFonts w:ascii="宋体" w:hAnsi="宋体"/>
          <w:spacing w:val="6"/>
          <w:sz w:val="24"/>
        </w:rPr>
      </w:r>
      <w:r/>
    </w:p>
    <w:p>
      <w:pPr>
        <w:pStyle w:val="1028"/>
        <w:ind w:firstLine="504"/>
        <w:spacing w:line="588" w:lineRule="exact"/>
        <w:rPr>
          <w:rFonts w:ascii="宋体" w:hAnsi="宋体"/>
          <w:spacing w:val="6"/>
          <w:sz w:val="24"/>
        </w:rPr>
      </w:pPr>
      <w:r>
        <w:rPr>
          <w:rFonts w:ascii="宋体" w:hAnsi="宋体"/>
          <w:spacing w:val="6"/>
          <w:sz w:val="24"/>
        </w:rPr>
      </w:r>
      <w:r/>
    </w:p>
    <w:p>
      <w:pPr>
        <w:pStyle w:val="102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1028"/>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1028"/>
        <w:jc w:val="center"/>
        <w:spacing w:before="240" w:after="240" w:line="360" w:lineRule="auto"/>
        <w:rPr>
          <w:b/>
          <w:bCs/>
          <w:color w:val="ff0000"/>
          <w:sz w:val="32"/>
          <w:szCs w:val="32"/>
        </w:rPr>
      </w:pPr>
      <w:r/>
      <w:bookmarkEnd w:id="370"/>
      <w:r>
        <w:rPr>
          <w:rFonts w:hint="eastAsia" w:ascii="宋体" w:hAnsi="宋体"/>
          <w:b/>
          <w:bCs/>
          <w:color w:val="ff0000"/>
          <w:sz w:val="32"/>
          <w:szCs w:val="32"/>
        </w:rPr>
        <w:t xml:space="preserve">六、关于符合本国产品标准的声明函（实质性格式）</w:t>
      </w:r>
      <w:r>
        <w:rPr>
          <w:b/>
          <w:bCs/>
          <w:color w:val="ff0000"/>
          <w:sz w:val="32"/>
          <w:szCs w:val="32"/>
        </w:rPr>
      </w:r>
      <w:r/>
    </w:p>
    <w:p>
      <w:pPr>
        <w:pStyle w:val="1090"/>
        <w:ind w:firstLine="420"/>
        <w:spacing w:before="0" w:beforeAutospacing="0" w:after="0" w:afterAutospacing="0" w:line="0" w:lineRule="atLeast"/>
        <w:rPr>
          <w:rFonts w:hint="eastAsia" w:ascii="方正魏碑_GBK" w:hAnsi="方正魏碑_GBK"/>
          <w:color w:val="ff0000"/>
        </w:rPr>
      </w:pPr>
      <w:r>
        <w:rPr>
          <w:rFonts w:ascii="方正魏碑_GBK" w:hAnsi="方正魏碑_GBK"/>
          <w:color w:val="ff0000"/>
        </w:rPr>
        <w:t xml:space="preserve"> </w:t>
      </w:r>
      <w:r>
        <w:rPr>
          <w:rFonts w:hint="eastAsia" w:ascii="方正魏碑_GBK" w:hAnsi="方正魏碑_GBK"/>
          <w:color w:val="ff0000"/>
        </w:rPr>
      </w:r>
      <w:r/>
    </w:p>
    <w:p>
      <w:pPr>
        <w:pStyle w:val="1090"/>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color w:val="ff0000"/>
        </w:rPr>
      </w:r>
      <w:r/>
    </w:p>
    <w:p>
      <w:pPr>
        <w:pStyle w:val="1090"/>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5;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1.</w:t>
      </w:r>
      <w:r>
        <w:rPr>
          <w:rStyle w:val="1289"/>
          <w:rFonts w:hint="eastAsia" w:ascii="宋体" w:hAnsi="宋体"/>
          <w:color w:val="ff0000"/>
          <w:u w:val="single"/>
          <w:shd w:val="clear" w:color="auto" w:fill="ffffff"/>
        </w:rPr>
        <w:t xml:space="preserve">（产品名称1）</w:t>
      </w:r>
      <w:r>
        <w:rPr>
          <w:rStyle w:val="1289"/>
          <w:rFonts w:hint="eastAsia" w:ascii="宋体" w:hAnsi="宋体"/>
          <w:color w:val="ff0000"/>
          <w:shd w:val="clear" w:color="auto" w:fill="ffffff"/>
          <w:vertAlign w:val="superscript"/>
        </w:rPr>
        <w:t xml:space="preserve">1</w:t>
      </w:r>
      <w:r>
        <w:rPr>
          <w:rFonts w:hint="eastAsia"/>
          <w:color w:val="ff0000"/>
          <w:shd w:val="clear" w:color="auto" w:fill="ffffff"/>
        </w:rPr>
        <w:t xml:space="preserve">，生产厂为</w:t>
      </w:r>
      <w:r>
        <w:rPr>
          <w:rStyle w:val="1289"/>
          <w:rFonts w:hint="eastAsia" w:ascii="宋体" w:hAnsi="宋体"/>
          <w:color w:val="ff0000"/>
          <w:u w:val="single"/>
          <w:shd w:val="clear" w:color="auto" w:fill="ffffff"/>
        </w:rPr>
        <w:t xml:space="preserve">（厂名）</w:t>
      </w:r>
      <w:r>
        <w:rPr>
          <w:rStyle w:val="1289"/>
          <w:rFonts w:hint="eastAsia" w:ascii="宋体" w:hAnsi="宋体"/>
          <w:color w:val="ff0000"/>
          <w:shd w:val="clear" w:color="auto" w:fill="ffffff"/>
          <w:vertAlign w:val="superscript"/>
        </w:rPr>
        <w:t xml:space="preserve">2</w:t>
      </w:r>
      <w:r>
        <w:rPr>
          <w:rFonts w:hint="eastAsia"/>
          <w:color w:val="ff0000"/>
          <w:shd w:val="clear" w:color="auto" w:fill="ffffff"/>
        </w:rPr>
        <w:t xml:space="preserve">，厂址为</w:t>
      </w:r>
      <w:r>
        <w:rPr>
          <w:rStyle w:val="1289"/>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289"/>
          <w:rFonts w:hint="eastAsia" w:ascii="宋体" w:hAnsi="宋体"/>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289"/>
          <w:rFonts w:hint="eastAsia" w:ascii="宋体" w:hAnsi="宋体"/>
          <w:color w:val="ff0000"/>
          <w:u w:val="single"/>
          <w:shd w:val="clear" w:color="auto" w:fill="ffffff"/>
        </w:rPr>
        <w:t xml:space="preserve">（规定比例）</w:t>
      </w:r>
      <w:r>
        <w:rPr>
          <w:rStyle w:val="1289"/>
          <w:rFonts w:hint="eastAsia" w:ascii="宋体" w:hAnsi="宋体"/>
          <w:color w:val="ff0000"/>
          <w:shd w:val="clear" w:color="auto" w:fill="ffffff"/>
          <w:vertAlign w:val="superscript"/>
        </w:rPr>
        <w:t xml:space="preserve">3</w:t>
      </w:r>
      <w:r>
        <w:rPr>
          <w:rFonts w:hint="eastAsia"/>
          <w:color w:val="ff0000"/>
          <w:shd w:val="clear" w:color="auto" w:fill="ffffff"/>
        </w:rPr>
        <w:t xml:space="preserve">。</w:t>
      </w:r>
      <w:r>
        <w:rPr>
          <w:rStyle w:val="1289"/>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289"/>
          <w:rFonts w:hint="eastAsia" w:ascii="宋体" w:hAnsi="宋体"/>
          <w:color w:val="ff0000"/>
          <w:u w:val="single"/>
          <w:shd w:val="clear" w:color="auto" w:fill="ffffff"/>
        </w:rPr>
        <w:t xml:space="preserve">（关键组件）</w:t>
      </w:r>
      <w:r>
        <w:rPr>
          <w:rStyle w:val="1289"/>
          <w:rFonts w:hint="eastAsia" w:ascii="宋体" w:hAnsi="宋体"/>
          <w:color w:val="ff0000"/>
          <w:shd w:val="clear" w:color="auto" w:fill="ffffff"/>
          <w:vertAlign w:val="superscript"/>
        </w:rPr>
        <w:t xml:space="preserve">4</w:t>
      </w:r>
      <w:r>
        <w:rPr>
          <w:rFonts w:hint="eastAsia"/>
          <w:color w:val="ff0000"/>
          <w:shd w:val="clear" w:color="auto" w:fill="ffffff"/>
        </w:rPr>
        <w:t xml:space="preserve">在中国境内生产。</w:t>
      </w:r>
      <w:r>
        <w:rPr>
          <w:rStyle w:val="1289"/>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289"/>
          <w:rFonts w:hint="eastAsia" w:ascii="宋体" w:hAnsi="宋体"/>
          <w:color w:val="ff0000"/>
          <w:u w:val="single"/>
          <w:shd w:val="clear" w:color="auto" w:fill="ffffff"/>
        </w:rPr>
        <w:t xml:space="preserve">（关键工序）</w:t>
      </w:r>
      <w:r>
        <w:rPr>
          <w:rStyle w:val="1289"/>
          <w:rFonts w:hint="eastAsia" w:ascii="宋体" w:hAnsi="宋体"/>
          <w:color w:val="ff0000"/>
          <w:shd w:val="clear" w:color="auto" w:fill="ffffff"/>
          <w:vertAlign w:val="superscript"/>
        </w:rPr>
        <w:t xml:space="preserve">5</w:t>
      </w:r>
      <w:r>
        <w:rPr>
          <w:rFonts w:hint="eastAsia"/>
          <w:color w:val="ff0000"/>
          <w:shd w:val="clear" w:color="auto" w:fill="ffffff"/>
        </w:rPr>
        <w:t xml:space="preserve">在中国境内完成。</w:t>
      </w:r>
      <w:r>
        <w:rPr>
          <w:rFonts w:hint="eastAsia"/>
          <w:color w:val="ff0000"/>
        </w:rPr>
      </w:r>
      <w:r/>
    </w:p>
    <w:p>
      <w:pPr>
        <w:pStyle w:val="1090"/>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2.</w:t>
      </w:r>
      <w:r>
        <w:rPr>
          <w:rStyle w:val="1289"/>
          <w:rFonts w:hint="eastAsia" w:ascii="宋体" w:hAnsi="宋体"/>
          <w:color w:val="ff0000"/>
          <w:u w:val="single"/>
          <w:shd w:val="clear" w:color="auto" w:fill="ffffff"/>
        </w:rPr>
        <w:t xml:space="preserve">（</w:t>
      </w:r>
      <w:r>
        <w:rPr>
          <w:rStyle w:val="1289"/>
          <w:rFonts w:hint="eastAsia" w:ascii="宋体" w:hAnsi="宋体"/>
          <w:color w:val="ff0000"/>
          <w:u w:val="single"/>
          <w:shd w:val="clear" w:color="auto" w:fill="ffffff"/>
        </w:rPr>
        <w:t xml:space="preserve">产品名称2）</w:t>
      </w:r>
      <w:r>
        <w:rPr>
          <w:rFonts w:hint="eastAsia"/>
          <w:color w:val="ff0000"/>
          <w:shd w:val="clear" w:color="auto" w:fill="ffffff"/>
        </w:rPr>
        <w:t xml:space="preserve">，生产厂为</w:t>
      </w:r>
      <w:r>
        <w:rPr>
          <w:rStyle w:val="1289"/>
          <w:rFonts w:hint="eastAsia" w:ascii="宋体" w:hAnsi="宋体"/>
          <w:color w:val="ff0000"/>
          <w:u w:val="single"/>
          <w:shd w:val="clear" w:color="auto" w:fill="ffffff"/>
        </w:rPr>
        <w:t xml:space="preserve">（厂名）</w:t>
      </w:r>
      <w:r>
        <w:rPr>
          <w:rFonts w:hint="eastAsia"/>
          <w:color w:val="ff0000"/>
          <w:shd w:val="clear" w:color="auto" w:fill="ffffff"/>
        </w:rPr>
        <w:t xml:space="preserve">，厂址为</w:t>
      </w:r>
      <w:r>
        <w:rPr>
          <w:rStyle w:val="1289"/>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Style w:val="1289"/>
          <w:rFonts w:hint="eastAsia" w:ascii="宋体" w:hAnsi="宋体"/>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289"/>
          <w:rFonts w:hint="eastAsia" w:ascii="宋体" w:hAnsi="宋体"/>
          <w:color w:val="ff0000"/>
          <w:u w:val="single"/>
          <w:shd w:val="clear" w:color="auto" w:fill="ffffff"/>
        </w:rPr>
        <w:t xml:space="preserve">（规定比例）</w:t>
      </w:r>
      <w:r>
        <w:rPr>
          <w:rFonts w:hint="eastAsia"/>
          <w:color w:val="ff0000"/>
          <w:shd w:val="clear" w:color="auto" w:fill="ffffff"/>
        </w:rPr>
        <w:t xml:space="preserve">。</w:t>
      </w:r>
      <w:r>
        <w:rPr>
          <w:rStyle w:val="1289"/>
          <w:rFonts w:hint="eastAsia" w:ascii="宋体" w:hAnsi="宋体"/>
          <w:color w:val="ff0000"/>
          <w:u w:val="single"/>
          <w:shd w:val="clear" w:color="auto" w:fill="ffffff"/>
        </w:rPr>
        <w:t xml:space="preserve">（产品名称2）</w:t>
      </w:r>
      <w:r>
        <w:rPr>
          <w:rFonts w:hint="eastAsia"/>
          <w:color w:val="ff0000"/>
          <w:shd w:val="clear" w:color="auto" w:fill="ffffff"/>
        </w:rPr>
        <w:t xml:space="preserve">的</w:t>
      </w:r>
      <w:r>
        <w:rPr>
          <w:rStyle w:val="1289"/>
          <w:rFonts w:hint="eastAsia" w:ascii="宋体" w:hAnsi="宋体"/>
          <w:color w:val="ff0000"/>
          <w:u w:val="single"/>
          <w:shd w:val="clear" w:color="auto" w:fill="ffffff"/>
        </w:rPr>
        <w:t xml:space="preserve">（关键组件）</w:t>
      </w:r>
      <w:r>
        <w:rPr>
          <w:rFonts w:hint="eastAsia"/>
          <w:color w:val="ff0000"/>
          <w:shd w:val="clear" w:color="auto" w:fill="ffffff"/>
        </w:rPr>
        <w:t xml:space="preserve">在中国境内生产。</w:t>
      </w:r>
      <w:r>
        <w:rPr>
          <w:rStyle w:val="1289"/>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289"/>
          <w:rFonts w:hint="eastAsia" w:ascii="宋体" w:hAnsi="宋体"/>
          <w:color w:val="ff0000"/>
          <w:u w:val="single"/>
          <w:shd w:val="clear" w:color="auto" w:fill="ffffff"/>
        </w:rPr>
        <w:t xml:space="preserve">（关键工序）</w:t>
      </w:r>
      <w:r>
        <w:rPr>
          <w:rFonts w:hint="eastAsia"/>
          <w:color w:val="ff0000"/>
          <w:shd w:val="clear" w:color="auto" w:fill="ffffff"/>
        </w:rPr>
        <w:t xml:space="preserve">在中国境内完成。</w:t>
      </w:r>
      <w:r>
        <w:rPr>
          <w:rFonts w:hint="eastAsia"/>
          <w:color w:val="ff0000"/>
        </w:rPr>
      </w:r>
      <w:r/>
    </w:p>
    <w:p>
      <w:pPr>
        <w:pStyle w:val="1090"/>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rPr>
          <w:rFonts w:hint="eastAsia"/>
          <w:color w:val="ff0000"/>
        </w:rPr>
      </w:r>
      <w:r/>
    </w:p>
    <w:p>
      <w:pPr>
        <w:pStyle w:val="1090"/>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rPr>
        <w:t xml:space="preserve"> </w:t>
      </w:r>
      <w:r/>
    </w:p>
    <w:p>
      <w:pPr>
        <w:pStyle w:val="1090"/>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rPr>
          <w:rFonts w:hint="eastAsia"/>
          <w:color w:val="ff0000"/>
        </w:rPr>
      </w:r>
      <w:r/>
    </w:p>
    <w:p>
      <w:pPr>
        <w:pStyle w:val="1090"/>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rPr>
          <w:rFonts w:hint="eastAsia"/>
          <w:color w:val="ff0000"/>
        </w:rPr>
      </w:r>
      <w:r/>
    </w:p>
    <w:p>
      <w:pPr>
        <w:pStyle w:val="1090"/>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rPr>
          <w:rFonts w:hint="eastAsia"/>
          <w:color w:val="ff0000"/>
        </w:rPr>
      </w:r>
      <w:r/>
    </w:p>
    <w:p>
      <w:pPr>
        <w:pStyle w:val="1090"/>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90"/>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6.用斜线划除的地方无需填写。</w:t>
      </w:r>
      <w:r/>
    </w:p>
    <w:p>
      <w:pPr>
        <w:pStyle w:val="1028"/>
        <w:ind w:firstLine="2890"/>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1060"/>
        <w:rPr>
          <w:rFonts w:hint="eastAsia" w:ascii="Times New Roman" w:hAnsi="Times New Roman"/>
          <w:sz w:val="20"/>
          <w:szCs w:val="20"/>
        </w:rPr>
      </w:pPr>
      <w:r>
        <w:rPr>
          <w:rFonts w:hint="eastAsia" w:ascii="Times New Roman" w:hAnsi="Times New Roman"/>
          <w:sz w:val="20"/>
          <w:szCs w:val="20"/>
        </w:rPr>
      </w:r>
      <w:r/>
    </w:p>
    <w:p>
      <w:pPr>
        <w:pStyle w:val="1028"/>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w:t>
      </w:r>
      <w:r>
        <w:rPr>
          <w:rFonts w:hint="eastAsia" w:ascii="宋体" w:hAnsi="宋体" w:cs="宋体"/>
          <w:sz w:val="24"/>
        </w:rPr>
        <w:t xml:space="preserve">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pStyle w:val="1028"/>
        <w:numPr>
          <w:ilvl w:val="1"/>
          <w:numId w:val="31"/>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1028"/>
        <w:ind w:firstLine="480"/>
        <w:spacing w:line="400" w:lineRule="exact"/>
        <w:rPr>
          <w:rFonts w:ascii="宋体" w:hAnsi="宋体"/>
          <w:sz w:val="24"/>
        </w:rPr>
      </w:pPr>
      <w:r>
        <w:rPr>
          <w:rFonts w:ascii="宋体" w:hAnsi="宋体"/>
          <w:sz w:val="24"/>
        </w:rPr>
      </w:r>
      <w:r/>
    </w:p>
    <w:p>
      <w:pPr>
        <w:pStyle w:val="1109"/>
        <w:rPr>
          <w:color w:val="000000"/>
        </w:rPr>
      </w:pPr>
      <w:r>
        <w:rPr>
          <w:color w:val="000000"/>
        </w:rPr>
      </w:r>
      <w:r/>
    </w:p>
    <w:p>
      <w:pPr>
        <w:pStyle w:val="1028"/>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1028"/>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028"/>
        <w:jc w:val="center"/>
        <w:rPr>
          <w:rFonts w:hint="eastAsia" w:ascii="宋体" w:hAnsi="宋体"/>
          <w:sz w:val="24"/>
          <w:szCs w:val="20"/>
        </w:rPr>
      </w:pPr>
      <w:r>
        <w:rPr>
          <w:rFonts w:hint="eastAsia" w:ascii="宋体" w:hAnsi="宋体"/>
          <w:sz w:val="24"/>
          <w:szCs w:val="20"/>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jc w:val="center"/>
        <w:rPr>
          <w:rFonts w:hint="eastAsia" w:ascii="楷体_GB2312" w:eastAsia="楷体_GB2312"/>
          <w:sz w:val="24"/>
        </w:rPr>
      </w:pPr>
      <w:r>
        <w:rPr>
          <w:rFonts w:hint="eastAsia" w:ascii="楷体_GB2312" w:eastAsia="楷体_GB2312"/>
          <w:sz w:val="24"/>
        </w:rPr>
      </w:r>
      <w:r/>
    </w:p>
    <w:p>
      <w:pPr>
        <w:pStyle w:val="1028"/>
        <w:spacing w:line="400" w:lineRule="exact"/>
        <w:rPr>
          <w:rFonts w:ascii="楷体_GB2312" w:eastAsia="楷体_GB2312"/>
          <w:sz w:val="24"/>
        </w:rPr>
        <w:outlineLvl w:val="1"/>
      </w:pPr>
      <w:r>
        <w:rPr>
          <w:rFonts w:ascii="楷体_GB2312" w:eastAsia="楷体_GB2312"/>
          <w:sz w:val="24"/>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2529"/>
        <w:spacing w:line="400" w:lineRule="exact"/>
        <w:rPr>
          <w:b/>
          <w:spacing w:val="20"/>
          <w:sz w:val="32"/>
          <w:szCs w:val="32"/>
        </w:rPr>
        <w:outlineLvl w:val="1"/>
      </w:pPr>
      <w:r>
        <w:rPr>
          <w:b/>
          <w:spacing w:val="20"/>
          <w:sz w:val="32"/>
          <w:szCs w:val="32"/>
        </w:rPr>
      </w:r>
      <w:r/>
    </w:p>
    <w:p>
      <w:pPr>
        <w:pStyle w:val="1028"/>
        <w:ind w:firstLine="2529"/>
        <w:spacing w:line="400" w:lineRule="exact"/>
        <w:rPr>
          <w:rFonts w:hint="eastAsia"/>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rFonts w:hint="eastAsia"/>
          <w:b/>
          <w:spacing w:val="20"/>
          <w:sz w:val="32"/>
          <w:szCs w:val="32"/>
        </w:rPr>
      </w:r>
      <w:r/>
    </w:p>
    <w:p>
      <w:pPr>
        <w:pStyle w:val="1028"/>
        <w:spacing w:line="400" w:lineRule="exact"/>
        <w:rPr>
          <w:rFonts w:hint="eastAsia" w:ascii="宋体" w:hAnsi="宋体"/>
          <w:b/>
          <w:bCs/>
          <w:sz w:val="28"/>
          <w:szCs w:val="28"/>
        </w:rPr>
      </w:pPr>
      <w:r>
        <w:rPr>
          <w:rFonts w:hint="eastAsia" w:ascii="宋体" w:hAnsi="宋体"/>
          <w:b/>
          <w:bCs/>
          <w:sz w:val="28"/>
          <w:szCs w:val="28"/>
        </w:rPr>
      </w:r>
      <w:r/>
    </w:p>
    <w:p>
      <w:pPr>
        <w:pStyle w:val="1028"/>
        <w:numPr>
          <w:ilvl w:val="0"/>
          <w:numId w:val="32"/>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1028"/>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028"/>
        <w:ind w:firstLine="600"/>
        <w:spacing w:line="400" w:lineRule="exact"/>
        <w:rPr>
          <w:rFonts w:ascii="宋体" w:hAnsi="宋体"/>
          <w:bCs/>
          <w:sz w:val="24"/>
        </w:rPr>
      </w:pPr>
      <w:r>
        <w:rPr>
          <w:rFonts w:ascii="宋体" w:hAnsi="宋体"/>
          <w:bCs/>
          <w:sz w:val="24"/>
        </w:rPr>
      </w:r>
      <w:r/>
    </w:p>
    <w:p>
      <w:pPr>
        <w:pStyle w:val="1109"/>
        <w:rPr>
          <w:color w:val="000000"/>
        </w:rPr>
      </w:pPr>
      <w:r>
        <w:rPr>
          <w:color w:val="000000"/>
        </w:rPr>
      </w:r>
      <w:r/>
    </w:p>
    <w:p>
      <w:pPr>
        <w:pStyle w:val="1028"/>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102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028"/>
        <w:keepLines/>
        <w:keepNext/>
        <w:spacing w:after="240" w:line="360" w:lineRule="auto"/>
        <w:widowControl/>
        <w:outlineLvl w:val="0"/>
      </w:p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1028"/>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1028"/>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1028"/>
        <w:ind w:firstLine="480"/>
        <w:spacing w:line="360" w:lineRule="auto"/>
        <w:tabs>
          <w:tab w:val="left" w:pos="360" w:leader="none"/>
        </w:tabs>
        <w:rPr>
          <w:sz w:val="24"/>
        </w:rPr>
      </w:pPr>
      <w:r>
        <w:rPr>
          <w:sz w:val="24"/>
        </w:rPr>
      </w:r>
      <w:r/>
    </w:p>
    <w:p>
      <w:pPr>
        <w:pStyle w:val="1028"/>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t xml:space="preserve">          </w:t>
      </w:r>
      <w:r/>
    </w:p>
    <w:p>
      <w:pPr>
        <w:pStyle w:val="1028"/>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1028"/>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1028"/>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1028"/>
        <w:ind w:firstLine="4080"/>
        <w:spacing w:line="360" w:lineRule="auto"/>
        <w:tabs>
          <w:tab w:val="left" w:pos="360" w:leader="none"/>
        </w:tabs>
        <w:rPr>
          <w:sz w:val="24"/>
        </w:rPr>
      </w:pPr>
      <w:r>
        <w:rPr>
          <w:sz w:val="24"/>
        </w:rPr>
      </w:r>
      <w:r/>
    </w:p>
    <w:p>
      <w:pPr>
        <w:pStyle w:val="1028"/>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1028"/>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pStyle w:val="1028"/>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71" w:name="_格式3__银行出具的资信证明"/>
      <w:r/>
      <w:bookmarkEnd w:id="371"/>
      <w:r/>
      <w:bookmarkStart w:id="372" w:name="_Hlt26955070"/>
      <w:r/>
      <w:bookmarkEnd w:id="372"/>
      <w:r/>
      <w:bookmarkStart w:id="373" w:name="_Hlt26671380"/>
      <w:r/>
      <w:bookmarkEnd w:id="373"/>
      <w:r>
        <w:rPr>
          <w:sz w:val="24"/>
          <w:u w:val="single"/>
        </w:rPr>
      </w:r>
      <w:r/>
    </w:p>
    <w:p>
      <w:pPr>
        <w:pStyle w:val="1028"/>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723"/>
        <w:jc w:val="center"/>
        <w:spacing w:after="120" w:line="360" w:lineRule="auto"/>
        <w:rPr>
          <w:rFonts w:hint="eastAsia"/>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rFonts w:hint="eastAsia"/>
          <w:b/>
          <w:spacing w:val="20"/>
          <w:sz w:val="32"/>
          <w:szCs w:val="32"/>
        </w:rPr>
      </w:r>
      <w:r/>
    </w:p>
    <w:p>
      <w:pPr>
        <w:pStyle w:val="1028"/>
        <w:spacing w:line="500" w:lineRule="exact"/>
        <w:rPr>
          <w:rFonts w:ascii="宋体" w:hAnsi="宋体" w:cs="楷体"/>
          <w:sz w:val="24"/>
        </w:rPr>
      </w:pPr>
      <w:r>
        <w:rPr>
          <w:rFonts w:hint="eastAsia" w:ascii="宋体" w:hAnsi="宋体" w:cs="楷体"/>
          <w:sz w:val="24"/>
        </w:rPr>
        <w:t xml:space="preserve">致本项目采购单位及常州市智泽南福工程招投标咨询有限公司：</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t xml:space="preserve">  </w:t>
      </w:r>
      <w:r/>
    </w:p>
    <w:p>
      <w:pPr>
        <w:pStyle w:val="1028"/>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1028"/>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1028"/>
        <w:ind w:firstLine="480"/>
        <w:spacing w:line="500" w:lineRule="exact"/>
        <w:rPr>
          <w:rFonts w:ascii="宋体" w:hAnsi="宋体" w:cs="楷体"/>
          <w:sz w:val="24"/>
        </w:rPr>
      </w:pPr>
      <w:r>
        <w:rPr>
          <w:rFonts w:ascii="宋体" w:hAnsi="宋体" w:cs="楷体"/>
          <w:sz w:val="24"/>
        </w:rPr>
      </w:r>
      <w:r/>
    </w:p>
    <w:p>
      <w:pPr>
        <w:pStyle w:val="1281"/>
        <w:ind w:firstLine="480"/>
        <w:rPr>
          <w:rFonts w:ascii="宋体" w:hAnsi="宋体" w:eastAsia="宋体" w:cs="楷体"/>
          <w:sz w:val="24"/>
          <w:szCs w:val="24"/>
        </w:rPr>
      </w:pPr>
      <w:r>
        <w:rPr>
          <w:rFonts w:ascii="宋体" w:hAnsi="宋体" w:eastAsia="宋体" w:cs="楷体"/>
          <w:sz w:val="24"/>
          <w:szCs w:val="24"/>
        </w:rPr>
      </w:r>
      <w:r/>
    </w:p>
    <w:p>
      <w:pPr>
        <w:pStyle w:val="1028"/>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1028"/>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pStyle w:val="1028"/>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1028"/>
        <w:spacing w:line="440" w:lineRule="exact"/>
        <w:widowControl/>
        <w:rPr>
          <w:rFonts w:ascii="宋体" w:hAnsi="宋体" w:cs="楷体"/>
          <w:sz w:val="24"/>
        </w:rPr>
      </w:pPr>
      <w:r>
        <w:rPr>
          <w:rFonts w:ascii="宋体" w:hAnsi="宋体" w:cs="楷体"/>
          <w:sz w:val="24"/>
        </w:rPr>
      </w:r>
      <w:r/>
    </w:p>
    <w:p>
      <w:pPr>
        <w:pStyle w:val="1028"/>
        <w:spacing w:line="440" w:lineRule="exact"/>
        <w:widowControl/>
        <w:rPr>
          <w:rFonts w:hint="eastAsia" w:ascii="宋体" w:hAnsi="宋体"/>
          <w:b/>
          <w:sz w:val="24"/>
        </w:rPr>
      </w:pPr>
      <w:r>
        <w:rPr>
          <w:rFonts w:hint="eastAsia" w:ascii="宋体" w:hAnsi="宋体"/>
          <w:b/>
          <w:sz w:val="24"/>
        </w:rPr>
      </w:r>
      <w:r/>
    </w:p>
    <w:p>
      <w:pPr>
        <w:pStyle w:val="1028"/>
        <w:spacing w:line="440" w:lineRule="exact"/>
        <w:widowControl/>
        <w:rPr>
          <w:rFonts w:ascii="宋体" w:hAnsi="宋体"/>
          <w:b/>
          <w:sz w:val="24"/>
        </w:rPr>
      </w:pPr>
      <w:r>
        <w:rPr>
          <w:rFonts w:ascii="宋体" w:hAnsi="宋体"/>
          <w:b/>
          <w:sz w:val="24"/>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spacing w:line="440" w:lineRule="exact"/>
        <w:widowControl/>
        <w:rPr>
          <w:rFonts w:hint="eastAsia" w:ascii="宋体" w:hAnsi="宋体"/>
          <w:b/>
          <w:sz w:val="24"/>
        </w:rPr>
      </w:pPr>
      <w:r>
        <w:rPr>
          <w:rFonts w:hint="eastAsia" w:ascii="宋体" w:hAnsi="宋体"/>
          <w:b/>
          <w:sz w:val="24"/>
        </w:rPr>
      </w:r>
      <w:r/>
    </w:p>
    <w:p>
      <w:pPr>
        <w:pStyle w:val="1283"/>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1028"/>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1028"/>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pStyle w:val="1028"/>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w:t>
      </w:r>
      <w:r>
        <w:rPr>
          <w:rFonts w:hint="eastAsia" w:ascii="宋体" w:hAnsi="宋体" w:cs="楷体"/>
          <w:sz w:val="24"/>
        </w:rPr>
        <w:t xml:space="preserve">购供应商信用管理暂行办法》，自愿按照《常州市政府采购供应商信用管理暂行办法》规定，发生失信行为将记录并公开到“信用常州”、常州市政府采购网。</w:t>
      </w:r>
      <w:r/>
    </w:p>
    <w:p>
      <w:pPr>
        <w:pStyle w:val="1028"/>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1028"/>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pStyle w:val="1028"/>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pStyle w:val="1028"/>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1028"/>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pStyle w:val="1028"/>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pStyle w:val="1028"/>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pStyle w:val="1028"/>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w:t>
      </w:r>
      <w:r>
        <w:rPr>
          <w:rFonts w:hint="eastAsia" w:ascii="宋体" w:hAnsi="宋体" w:cs="楷体"/>
          <w:sz w:val="24"/>
        </w:rPr>
        <w:t xml:space="preserve">行业主管部门和信用管理部门相应的规定处罚，承担违约责任，并依法承担相应的法律责任。</w:t>
      </w:r>
      <w:r/>
    </w:p>
    <w:p>
      <w:pPr>
        <w:pStyle w:val="1028"/>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1028"/>
        <w:ind w:firstLine="480"/>
        <w:spacing w:line="360" w:lineRule="auto"/>
        <w:rPr>
          <w:rFonts w:hint="eastAsia" w:ascii="宋体" w:hAnsi="宋体" w:cs="楷体"/>
          <w:sz w:val="24"/>
        </w:rPr>
      </w:pPr>
      <w:r>
        <w:rPr>
          <w:rFonts w:hint="eastAsia" w:ascii="宋体" w:hAnsi="宋体" w:cs="楷体"/>
          <w:sz w:val="24"/>
        </w:rPr>
      </w:r>
      <w:r/>
    </w:p>
    <w:p>
      <w:pPr>
        <w:pStyle w:val="1028"/>
        <w:ind w:firstLine="480"/>
        <w:spacing w:line="360" w:lineRule="auto"/>
        <w:rPr>
          <w:rFonts w:hint="eastAsia" w:ascii="宋体" w:hAnsi="宋体" w:cs="楷体"/>
          <w:sz w:val="24"/>
        </w:rPr>
      </w:pPr>
      <w:r>
        <w:rPr>
          <w:rFonts w:hint="eastAsia" w:ascii="宋体" w:hAnsi="宋体" w:cs="楷体"/>
          <w:sz w:val="24"/>
        </w:rPr>
      </w:r>
      <w:r/>
    </w:p>
    <w:p>
      <w:pPr>
        <w:pStyle w:val="1028"/>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1028"/>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78"/>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127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78"/>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78"/>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278"/>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028"/>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协议（如有）</w:t>
      </w:r>
      <w:r>
        <w:rPr>
          <w:b/>
          <w:spacing w:val="20"/>
          <w:sz w:val="32"/>
          <w:szCs w:val="32"/>
        </w:rPr>
        <w:t xml:space="preserve">（实质性格式）</w:t>
      </w:r>
      <w:r/>
    </w:p>
    <w:p>
      <w:pPr>
        <w:pStyle w:val="1028"/>
        <w:spacing w:line="560" w:lineRule="exact"/>
        <w:rPr>
          <w:rFonts w:ascii="宋体" w:hAnsi="宋体"/>
          <w:sz w:val="24"/>
          <w:szCs w:val="21"/>
        </w:rPr>
      </w:pPr>
      <w:r/>
      <w:bookmarkStart w:id="374"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102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自愿组成联合体，参加常州市智泽南福工程招投标咨询有限公司组织的采购编号为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102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102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w:t>
      </w:r>
      <w:r>
        <w:rPr>
          <w:rFonts w:hint="eastAsia" w:ascii="宋体" w:hAnsi="宋体"/>
          <w:sz w:val="24"/>
          <w:szCs w:val="21"/>
        </w:rPr>
        <w:t xml:space="preserve">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1028"/>
        <w:ind w:firstLine="645"/>
        <w:spacing w:line="560" w:lineRule="exact"/>
        <w:rPr>
          <w:rFonts w:hint="eastAsia" w:ascii="宋体" w:hAnsi="宋体"/>
          <w:sz w:val="24"/>
          <w:szCs w:val="21"/>
        </w:rPr>
      </w:pPr>
      <w:r>
        <w:rPr>
          <w:rFonts w:hint="eastAsia" w:ascii="宋体" w:hAnsi="宋体"/>
          <w:sz w:val="24"/>
          <w:szCs w:val="21"/>
        </w:rPr>
      </w:r>
      <w:r/>
    </w:p>
    <w:p>
      <w:pPr>
        <w:pStyle w:val="1028"/>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102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102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102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1028"/>
        <w:ind w:left="480"/>
        <w:jc w:val="right"/>
        <w:spacing w:line="360" w:lineRule="auto"/>
        <w:rPr>
          <w:b/>
          <w:sz w:val="24"/>
        </w:rPr>
      </w:pPr>
      <w:r/>
      <w:bookmarkEnd w:id="374"/>
      <w:r>
        <w:rPr>
          <w:b/>
          <w:sz w:val="24"/>
        </w:rPr>
      </w:r>
      <w:r/>
    </w:p>
    <w:p>
      <w:pPr>
        <w:pStyle w:val="1028"/>
        <w:ind w:firstLine="480"/>
        <w:spacing w:line="360" w:lineRule="auto"/>
        <w:tabs>
          <w:tab w:val="left" w:pos="8280" w:leader="none"/>
        </w:tabs>
        <w:rPr>
          <w:sz w:val="24"/>
        </w:rPr>
      </w:pPr>
      <w:r>
        <w:rPr>
          <w:sz w:val="24"/>
        </w:rPr>
      </w:r>
      <w:r/>
    </w:p>
    <w:p>
      <w:pPr>
        <w:pStyle w:val="1028"/>
        <w:ind w:firstLine="480"/>
        <w:spacing w:line="360" w:lineRule="auto"/>
        <w:tabs>
          <w:tab w:val="left" w:pos="8280" w:leader="none"/>
        </w:tabs>
        <w:rPr>
          <w:sz w:val="24"/>
        </w:rPr>
      </w:pPr>
      <w:r>
        <w:rPr>
          <w:sz w:val="24"/>
        </w:rPr>
      </w:r>
      <w:r/>
    </w:p>
    <w:p>
      <w:pPr>
        <w:pStyle w:val="1109"/>
        <w:rPr>
          <w:color w:val="000000"/>
        </w:rPr>
      </w:pPr>
      <w:r>
        <w:rPr>
          <w:color w:val="000000"/>
        </w:rPr>
      </w:r>
      <w:r/>
    </w:p>
    <w:p>
      <w:pPr>
        <w:pStyle w:val="1028"/>
        <w:spacing w:after="120" w:line="360" w:lineRule="auto"/>
        <w:rPr>
          <w:b/>
          <w:spacing w:val="20"/>
          <w:sz w:val="32"/>
          <w:szCs w:val="32"/>
        </w:rPr>
      </w:pPr>
      <w:r>
        <w:rPr>
          <w:b/>
          <w:spacing w:val="20"/>
          <w:sz w:val="32"/>
          <w:szCs w:val="32"/>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p>
    <w:p>
      <w:pPr>
        <w:pStyle w:val="1028"/>
        <w:jc w:val="left"/>
        <w:spacing w:line="420" w:lineRule="exact"/>
        <w:rPr>
          <w:rFonts w:ascii="宋体" w:hAnsi="宋体"/>
          <w:sz w:val="24"/>
          <w:szCs w:val="21"/>
        </w:rPr>
      </w:pPr>
      <w:r>
        <w:rPr>
          <w:rFonts w:hint="eastAsia" w:ascii="宋体" w:hAnsi="宋体"/>
          <w:sz w:val="24"/>
          <w:szCs w:val="21"/>
        </w:rPr>
        <w:t xml:space="preserve">致：常州市智泽南福工程招投标咨询有限公司</w:t>
      </w:r>
      <w:r>
        <w:rPr>
          <w:rFonts w:ascii="宋体" w:hAnsi="宋体"/>
          <w:sz w:val="24"/>
          <w:szCs w:val="21"/>
        </w:rPr>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102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102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w:t>
      </w:r>
      <w:r>
        <w:rPr>
          <w:rFonts w:hint="eastAsia" w:ascii="宋体" w:hAnsi="宋体"/>
          <w:sz w:val="24"/>
          <w:szCs w:val="21"/>
        </w:rPr>
        <w:t xml:space="preserve">证我方已提供和将要提供的文件是真实的、准确的。</w:t>
      </w:r>
      <w:r/>
    </w:p>
    <w:p>
      <w:pPr>
        <w:pStyle w:val="1028"/>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1028"/>
        <w:ind w:firstLine="480"/>
        <w:jc w:val="left"/>
        <w:spacing w:line="420" w:lineRule="exact"/>
        <w:rPr>
          <w:rFonts w:hint="eastAsia" w:ascii="宋体" w:hAnsi="宋体"/>
          <w:sz w:val="24"/>
          <w:szCs w:val="21"/>
        </w:rPr>
      </w:pPr>
      <w:r/>
      <w:bookmarkStart w:id="375" w:name="_Hlk155201392"/>
      <w:r>
        <w:rPr>
          <w:rFonts w:hint="eastAsia" w:ascii="宋体" w:hAnsi="宋体"/>
          <w:sz w:val="24"/>
          <w:szCs w:val="21"/>
        </w:rPr>
        <w:t xml:space="preserve">7</w:t>
      </w:r>
      <w:r>
        <w:rPr>
          <w:rFonts w:ascii="宋体" w:hAnsi="宋体"/>
          <w:sz w:val="24"/>
          <w:szCs w:val="21"/>
        </w:rPr>
        <w:t xml:space="preserve">.</w:t>
      </w:r>
      <w:r>
        <w:rPr>
          <w:rFonts w:hint="eastAsia" w:ascii="宋体" w:hAnsi="宋体"/>
          <w:sz w:val="24"/>
          <w:szCs w:val="21"/>
        </w:rPr>
        <w:t xml:space="preserve">我们已知悉并同意招标代理费用，并无异议，并承诺我方中标后按招标文件规定日期将招标代理费打款至贵方规定账户内。</w:t>
      </w:r>
      <w:bookmarkEnd w:id="375"/>
      <w:r>
        <w:rPr>
          <w:rFonts w:hint="eastAsia" w:ascii="宋体" w:hAnsi="宋体"/>
          <w:sz w:val="24"/>
          <w:szCs w:val="21"/>
        </w:rPr>
      </w:r>
      <w:r/>
    </w:p>
    <w:p>
      <w:pPr>
        <w:pStyle w:val="1028"/>
        <w:ind w:left="425"/>
        <w:jc w:val="left"/>
        <w:spacing w:line="420" w:lineRule="exact"/>
        <w:rPr>
          <w:rFonts w:hint="eastAsia" w:ascii="宋体" w:hAnsi="宋体"/>
          <w:sz w:val="24"/>
          <w:szCs w:val="21"/>
        </w:rPr>
      </w:pPr>
      <w:r>
        <w:rPr>
          <w:rFonts w:hint="eastAsia" w:ascii="宋体" w:hAnsi="宋体"/>
          <w:sz w:val="24"/>
          <w:szCs w:val="21"/>
        </w:rPr>
        <w:t xml:space="preserve">8.与本投标有关的正式通讯地址为：</w:t>
      </w:r>
      <w:r/>
    </w:p>
    <w:p>
      <w:pPr>
        <w:pStyle w:val="102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102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102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102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102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1028"/>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t xml:space="preserve"></w:t>
      </w:r>
      <w:bookmarkStart w:id="376"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76"/>
      <w:r>
        <w:rPr>
          <w:color w:val="000000"/>
        </w:rPr>
      </w:r>
      <w:r/>
    </w:p>
    <w:p>
      <w:pPr>
        <w:pStyle w:val="1028"/>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60"/>
        <w:rPr>
          <w:rFonts w:hint="eastAsia" w:ascii="Times New Roman" w:hAnsi="Times New Roman"/>
          <w:sz w:val="20"/>
          <w:szCs w:val="20"/>
        </w:rPr>
      </w:pPr>
      <w:r>
        <w:rPr>
          <w:rFonts w:hint="eastAsia" w:ascii="Times New Roman" w:hAnsi="Times New Roman"/>
          <w:sz w:val="20"/>
          <w:szCs w:val="20"/>
        </w:rPr>
      </w:r>
      <w:r/>
    </w:p>
    <w:p>
      <w:pPr>
        <w:pStyle w:val="1060"/>
      </w:pPr>
      <w:r/>
      <w:r/>
    </w:p>
    <w:p>
      <w:pPr>
        <w:pStyle w:val="1060"/>
      </w:pPr>
      <w:r/>
      <w:r/>
    </w:p>
    <w:p>
      <w:pPr>
        <w:pStyle w:val="1028"/>
        <w:jc w:val="center"/>
        <w:rPr>
          <w:b/>
          <w:spacing w:val="20"/>
          <w:sz w:val="32"/>
          <w:szCs w:val="32"/>
        </w:rPr>
      </w:pPr>
      <w:r>
        <w:rPr>
          <w:b/>
          <w:spacing w:val="20"/>
          <w:sz w:val="32"/>
          <w:szCs w:val="32"/>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p>
    <w:p>
      <w:pPr>
        <w:pStyle w:val="1028"/>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10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序号</w:t>
            </w:r>
            <w:r/>
          </w:p>
        </w:tc>
        <w:tc>
          <w:tcPr>
            <w:tcW w:w="2419" w:type="dxa"/>
            <w:vAlign w:val="center"/>
            <w:textDirection w:val="lrTb"/>
            <w:noWrap w:val="false"/>
          </w:tcPr>
          <w:p>
            <w:pPr>
              <w:pStyle w:val="102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名称及内容</w:t>
            </w:r>
            <w:r/>
          </w:p>
        </w:tc>
        <w:tc>
          <w:tcPr>
            <w:tcW w:w="1559" w:type="dxa"/>
            <w:vAlign w:val="center"/>
            <w:textDirection w:val="lrTb"/>
            <w:noWrap w:val="false"/>
          </w:tcPr>
          <w:p>
            <w:pPr>
              <w:pStyle w:val="10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招标文件技术参数</w:t>
            </w:r>
            <w:r/>
          </w:p>
        </w:tc>
        <w:tc>
          <w:tcPr>
            <w:tcW w:w="1418" w:type="dxa"/>
            <w:vAlign w:val="center"/>
            <w:textDirection w:val="lrTb"/>
            <w:noWrap w:val="false"/>
          </w:tcPr>
          <w:p>
            <w:pPr>
              <w:pStyle w:val="1028"/>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投标文件技术参数</w:t>
            </w:r>
            <w:r/>
          </w:p>
        </w:tc>
        <w:tc>
          <w:tcPr>
            <w:tcW w:w="2119" w:type="dxa"/>
            <w:vAlign w:val="center"/>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证明材料</w:t>
            </w:r>
            <w:r/>
          </w:p>
        </w:tc>
        <w:tc>
          <w:tcPr>
            <w:tcW w:w="1710" w:type="dxa"/>
            <w:vAlign w:val="center"/>
            <w:textDirection w:val="lrTb"/>
            <w:noWrap w:val="false"/>
          </w:tcPr>
          <w:p>
            <w:pPr>
              <w:pStyle w:val="1028"/>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偏离情况</w:t>
            </w:r>
            <w:r/>
          </w:p>
          <w:p>
            <w:pPr>
              <w:pStyle w:val="102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90"/>
        </w:trPr>
        <w:tc>
          <w:tcPr>
            <w:tcW w:w="728"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1</w:t>
            </w:r>
            <w:r/>
          </w:p>
        </w:tc>
        <w:tc>
          <w:tcPr>
            <w:tcW w:w="2419" w:type="dxa"/>
            <w:vAlign w:val="top"/>
            <w:textDirection w:val="lrTb"/>
            <w:noWrap w:val="false"/>
          </w:tcPr>
          <w:p>
            <w:pPr>
              <w:pStyle w:val="1028"/>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2</w:t>
            </w:r>
            <w:r/>
          </w:p>
        </w:tc>
        <w:tc>
          <w:tcPr>
            <w:tcW w:w="24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102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3</w:t>
            </w:r>
            <w:r/>
          </w:p>
        </w:tc>
        <w:tc>
          <w:tcPr>
            <w:tcW w:w="24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1028"/>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65"/>
        </w:trPr>
        <w:tc>
          <w:tcPr>
            <w:tcW w:w="728"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w:t>
            </w:r>
            <w:r/>
          </w:p>
        </w:tc>
        <w:tc>
          <w:tcPr>
            <w:tcW w:w="24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1028"/>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1028"/>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bl>
    <w:p>
      <w:pPr>
        <w:pStyle w:val="1028"/>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p>
    <w:p>
      <w:pPr>
        <w:pStyle w:val="1028"/>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1028"/>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109"/>
        <w:ind w:firstLine="4800"/>
        <w:rPr>
          <w:color w:val="000000"/>
          <w:lang w:bidi="ar"/>
        </w:rPr>
      </w:pPr>
      <w:r>
        <w:rPr>
          <w:rFonts w:ascii="黑体" w:eastAsia="黑体" w:cs="黑体"/>
          <w:bCs/>
          <w:color w:val="000000"/>
          <w:lang w:bidi="ar"/>
        </w:rPr>
        <w:t xml:space="preserve">日期：_____年______月______日</w:t>
      </w:r>
      <w:r>
        <w:rPr>
          <w:color w:val="000000"/>
          <w:lang w:bidi="ar"/>
        </w:rPr>
      </w:r>
      <w:r/>
    </w:p>
    <w:p>
      <w:pPr>
        <w:pStyle w:val="1028"/>
        <w:spacing w:line="360" w:lineRule="auto"/>
        <w:rPr>
          <w:rFonts w:hint="eastAsia"/>
          <w:b/>
          <w:sz w:val="24"/>
          <w:szCs w:val="20"/>
        </w:rPr>
      </w:pPr>
      <w:r>
        <w:rPr>
          <w:rFonts w:hint="eastAsia"/>
          <w:b/>
          <w:sz w:val="24"/>
          <w:szCs w:val="20"/>
        </w:rPr>
        <w:t xml:space="preserve">注意事项：</w:t>
      </w:r>
      <w:r/>
    </w:p>
    <w:p>
      <w:pPr>
        <w:pStyle w:val="1028"/>
        <w:numPr>
          <w:ilvl w:val="0"/>
          <w:numId w:val="33"/>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1028"/>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pStyle w:val="1028"/>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1028"/>
        <w:spacing w:line="360" w:lineRule="auto"/>
        <w:rPr>
          <w:rFonts w:hint="eastAsia"/>
          <w:sz w:val="20"/>
          <w:szCs w:val="20"/>
        </w:rPr>
      </w:pPr>
      <w:r>
        <w:rPr>
          <w:rFonts w:hint="eastAsia"/>
          <w:sz w:val="20"/>
          <w:szCs w:val="20"/>
        </w:rPr>
      </w:r>
      <w:r/>
    </w:p>
    <w:p>
      <w:pPr>
        <w:pStyle w:val="1028"/>
        <w:spacing w:line="360" w:lineRule="auto"/>
        <w:rPr>
          <w:sz w:val="20"/>
          <w:szCs w:val="20"/>
        </w:rPr>
      </w:pPr>
      <w:r>
        <w:rPr>
          <w:sz w:val="20"/>
          <w:szCs w:val="20"/>
        </w:rPr>
        <w:t xml:space="preserve">                      </w:t>
      </w:r>
      <w:r/>
    </w:p>
    <w:p>
      <w:pPr>
        <w:pStyle w:val="1028"/>
        <w:spacing w:line="360" w:lineRule="auto"/>
        <w:rPr>
          <w:sz w:val="20"/>
          <w:szCs w:val="20"/>
        </w:rPr>
      </w:pPr>
      <w:r>
        <w:rPr>
          <w:sz w:val="20"/>
          <w:szCs w:val="20"/>
        </w:rPr>
      </w:r>
      <w:r/>
    </w:p>
    <w:p>
      <w:pPr>
        <w:pStyle w:val="1028"/>
        <w:spacing w:line="360" w:lineRule="auto"/>
        <w:rPr>
          <w:sz w:val="20"/>
          <w:szCs w:val="20"/>
        </w:rPr>
      </w:pPr>
      <w:r>
        <w:rPr>
          <w:sz w:val="20"/>
          <w:szCs w:val="20"/>
        </w:rPr>
      </w:r>
      <w:r/>
    </w:p>
    <w:p>
      <w:pPr>
        <w:pStyle w:val="1028"/>
        <w:spacing w:line="360" w:lineRule="auto"/>
        <w:rPr>
          <w:sz w:val="20"/>
          <w:szCs w:val="20"/>
        </w:rPr>
      </w:pPr>
      <w:r>
        <w:rPr>
          <w:sz w:val="20"/>
          <w:szCs w:val="20"/>
        </w:rPr>
      </w:r>
      <w:r/>
    </w:p>
    <w:p>
      <w:pPr>
        <w:pStyle w:val="1028"/>
        <w:spacing w:line="360" w:lineRule="auto"/>
        <w:rPr>
          <w:sz w:val="20"/>
          <w:szCs w:val="20"/>
        </w:rPr>
      </w:pPr>
      <w:r>
        <w:rPr>
          <w:sz w:val="20"/>
          <w:szCs w:val="20"/>
        </w:rPr>
      </w:r>
      <w:r/>
    </w:p>
    <w:p>
      <w:pPr>
        <w:pStyle w:val="1028"/>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1028"/>
        <w:rPr>
          <w:rFonts w:hint="eastAsia"/>
          <w:sz w:val="20"/>
          <w:szCs w:val="20"/>
        </w:rPr>
      </w:pPr>
      <w:r>
        <w:rPr>
          <w:rFonts w:hint="eastAsia"/>
          <w:sz w:val="20"/>
          <w:szCs w:val="20"/>
        </w:rPr>
      </w:r>
      <w:r/>
    </w:p>
    <w:p>
      <w:pPr>
        <w:pStyle w:val="1028"/>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1028"/>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1028"/>
        <w:spacing w:line="360" w:lineRule="auto"/>
        <w:rPr>
          <w:rFonts w:ascii="宋体" w:hAnsi="宋体"/>
          <w:sz w:val="22"/>
        </w:rPr>
      </w:pPr>
      <w:r>
        <w:rPr>
          <w:rFonts w:ascii="宋体" w:hAnsi="宋体"/>
          <w:sz w:val="22"/>
        </w:rPr>
      </w:r>
      <w:r/>
    </w:p>
    <w:p>
      <w:pPr>
        <w:pStyle w:val="102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8"/>
        <w:tabs>
          <w:tab w:val="left" w:pos="9765" w:leader="none"/>
        </w:tabs>
        <w:rPr>
          <w:rFonts w:ascii="宋体" w:hAnsi="宋体" w:cs="宋体"/>
          <w:b/>
          <w:sz w:val="24"/>
          <w:lang w:val="zh-CN"/>
        </w:rPr>
      </w:pPr>
      <w:r>
        <w:rPr>
          <w:rFonts w:ascii="宋体" w:hAnsi="宋体" w:cs="宋体"/>
          <w:b/>
          <w:sz w:val="24"/>
          <w:lang w:val="zh-CN"/>
        </w:rPr>
      </w:r>
      <w:r/>
    </w:p>
    <w:p>
      <w:pPr>
        <w:pStyle w:val="102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28"/>
        <w:spacing w:line="360" w:lineRule="auto"/>
        <w:rPr>
          <w:rFonts w:ascii="宋体" w:hAnsi="宋体"/>
          <w:sz w:val="24"/>
        </w:rPr>
      </w:pPr>
      <w:r>
        <w:rPr>
          <w:rFonts w:ascii="宋体" w:hAnsi="宋体"/>
          <w:sz w:val="24"/>
        </w:rPr>
      </w:r>
      <w:r/>
    </w:p>
    <w:p>
      <w:pPr>
        <w:pStyle w:val="1109"/>
        <w:ind w:firstLine="4560"/>
        <w:rPr>
          <w:rFonts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ascii="宋体" w:hAnsi="宋体" w:cs="楷体"/>
          <w:color w:val="000000"/>
        </w:rPr>
      </w:r>
      <w:r/>
    </w:p>
    <w:p>
      <w:pPr>
        <w:pStyle w:val="1109"/>
        <w:ind w:firstLine="4560"/>
        <w:rPr>
          <w:color w:val="000000"/>
          <w:lang w:bidi="ar"/>
        </w:rPr>
      </w:pPr>
      <w:r>
        <w:rPr>
          <w:rFonts w:ascii="黑体" w:eastAsia="黑体" w:cs="黑体"/>
          <w:bCs/>
          <w:color w:val="000000"/>
          <w:lang w:bidi="ar"/>
        </w:rPr>
        <w:t xml:space="preserve">日期：_____年______月______日</w:t>
      </w:r>
      <w:r>
        <w:rPr>
          <w:color w:val="000000"/>
          <w:lang w:bidi="ar"/>
        </w:rPr>
      </w:r>
      <w:r/>
    </w:p>
    <w:p>
      <w:pPr>
        <w:pStyle w:val="1028"/>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1028"/>
        <w:jc w:val="center"/>
        <w:spacing w:line="360" w:lineRule="auto"/>
        <w:rPr>
          <w:rFonts w:ascii="宋体" w:hAnsi="宋体"/>
          <w:b/>
          <w:sz w:val="28"/>
          <w:szCs w:val="30"/>
        </w:rPr>
      </w:pPr>
      <w:r>
        <w:rPr>
          <w:rFonts w:ascii="宋体" w:hAnsi="宋体"/>
          <w:b/>
          <w:sz w:val="28"/>
          <w:szCs w:val="30"/>
        </w:rPr>
      </w:r>
      <w:r/>
    </w:p>
    <w:p>
      <w:pPr>
        <w:pStyle w:val="102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sz w:val="24"/>
              </w:rPr>
            </w:pPr>
            <w:r>
              <w:rPr>
                <w:rFonts w:ascii="宋体" w:hAnsi="宋体" w:cs="宋体"/>
                <w:sz w:val="24"/>
              </w:rPr>
            </w:r>
            <w:r/>
          </w:p>
        </w:tc>
      </w:tr>
    </w:tbl>
    <w:p>
      <w:pPr>
        <w:pStyle w:val="1028"/>
        <w:tabs>
          <w:tab w:val="left" w:pos="9765" w:leader="none"/>
        </w:tabs>
        <w:rPr>
          <w:rFonts w:ascii="宋体" w:hAnsi="宋体" w:cs="宋体"/>
          <w:sz w:val="24"/>
          <w:lang w:val="zh-CN"/>
        </w:rPr>
      </w:pPr>
      <w:r>
        <w:rPr>
          <w:rFonts w:ascii="宋体" w:hAnsi="宋体" w:cs="宋体"/>
          <w:sz w:val="24"/>
          <w:lang w:val="zh-CN"/>
        </w:rPr>
      </w:r>
      <w:r/>
    </w:p>
    <w:p>
      <w:pPr>
        <w:pStyle w:val="1028"/>
        <w:spacing w:line="360" w:lineRule="auto"/>
        <w:rPr>
          <w:rFonts w:ascii="宋体" w:hAnsi="宋体" w:cs="宋体"/>
          <w:sz w:val="24"/>
        </w:rPr>
      </w:pPr>
      <w:r>
        <w:rPr>
          <w:rFonts w:ascii="宋体" w:hAnsi="宋体" w:cs="宋体"/>
          <w:sz w:val="24"/>
        </w:rPr>
      </w:r>
      <w:r/>
    </w:p>
    <w:p>
      <w:pPr>
        <w:pStyle w:val="1028"/>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109"/>
        <w:ind w:firstLine="5040"/>
        <w:rPr>
          <w:color w:val="000000"/>
          <w:lang w:bidi="ar"/>
        </w:rPr>
      </w:pPr>
      <w:r>
        <w:rPr>
          <w:rFonts w:ascii="黑体" w:eastAsia="黑体" w:cs="黑体"/>
          <w:bCs/>
          <w:color w:val="000000"/>
          <w:lang w:bidi="ar"/>
        </w:rPr>
        <w:t xml:space="preserve">日期：_____年______月______日</w:t>
      </w:r>
      <w:r>
        <w:rPr>
          <w:color w:val="000000"/>
          <w:lang w:bidi="ar"/>
        </w:rPr>
      </w:r>
      <w:r/>
    </w:p>
    <w:p>
      <w:pPr>
        <w:pStyle w:val="1028"/>
        <w:keepLines/>
        <w:keepNext/>
        <w:spacing w:before="260" w:after="260" w:line="415" w:lineRule="auto"/>
        <w:rPr>
          <w:rFonts w:ascii="宋体" w:hAnsi="宋体"/>
          <w:b/>
          <w:sz w:val="24"/>
        </w:rPr>
        <w:outlineLvl w:val="2"/>
      </w:pPr>
      <w:r>
        <w:rPr>
          <w:rFonts w:ascii="宋体" w:hAnsi="宋体"/>
          <w:b/>
          <w:sz w:val="24"/>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1028"/>
        <w:jc w:val="left"/>
        <w:spacing w:line="360" w:lineRule="auto"/>
        <w:widowControl/>
        <w:rPr>
          <w:rFonts w:ascii="宋体" w:hAnsi="宋体"/>
          <w:sz w:val="24"/>
        </w:rPr>
      </w:pPr>
      <w:r>
        <w:rPr>
          <w:rFonts w:ascii="宋体" w:hAnsi="宋体"/>
          <w:sz w:val="24"/>
        </w:rPr>
      </w:r>
      <w:r/>
    </w:p>
    <w:p>
      <w:pPr>
        <w:pStyle w:val="1028"/>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1028"/>
        <w:jc w:val="left"/>
        <w:spacing w:line="360" w:lineRule="auto"/>
        <w:widowControl/>
        <w:rPr>
          <w:rFonts w:hint="eastAsia" w:ascii="宋体" w:hAnsi="宋体"/>
          <w:sz w:val="24"/>
        </w:rPr>
      </w:pPr>
      <w:r>
        <w:rPr>
          <w:rFonts w:hint="eastAsia" w:ascii="宋体" w:hAnsi="宋体"/>
          <w:sz w:val="24"/>
        </w:rPr>
        <w:t xml:space="preserve">采购编号：</w:t>
      </w:r>
      <w:r/>
    </w:p>
    <w:p>
      <w:pPr>
        <w:pStyle w:val="1028"/>
        <w:jc w:val="left"/>
        <w:spacing w:line="360" w:lineRule="auto"/>
        <w:widowControl/>
        <w:rPr>
          <w:rFonts w:hint="eastAsia" w:ascii="宋体" w:hAnsi="宋体"/>
          <w:sz w:val="24"/>
        </w:rPr>
      </w:pPr>
      <w:r>
        <w:rPr>
          <w:rFonts w:hint="eastAsia" w:ascii="宋体" w:hAnsi="宋体"/>
          <w:sz w:val="24"/>
        </w:rPr>
        <w:t xml:space="preserve">内容：</w:t>
      </w:r>
      <w:r/>
    </w:p>
    <w:p>
      <w:pPr>
        <w:pStyle w:val="1028"/>
        <w:jc w:val="left"/>
        <w:spacing w:line="360" w:lineRule="auto"/>
        <w:widowControl/>
        <w:rPr>
          <w:rFonts w:hint="eastAsia" w:ascii="宋体" w:hAnsi="宋体"/>
          <w:b/>
          <w:sz w:val="24"/>
          <w:u w:val="single"/>
        </w:rPr>
      </w:pPr>
      <w:r>
        <w:rPr>
          <w:rFonts w:hint="eastAsia" w:ascii="宋体" w:hAnsi="宋体"/>
          <w:b/>
          <w:sz w:val="24"/>
          <w:u w:val="single"/>
        </w:rPr>
      </w:r>
      <w:r/>
    </w:p>
    <w:p>
      <w:pPr>
        <w:pStyle w:val="1028"/>
        <w:jc w:val="left"/>
        <w:spacing w:line="360" w:lineRule="auto"/>
        <w:widowControl/>
        <w:rPr>
          <w:rFonts w:hint="eastAsia" w:ascii="宋体" w:hAnsi="宋体"/>
          <w:b/>
          <w:sz w:val="24"/>
          <w:u w:val="single"/>
        </w:rPr>
      </w:pPr>
      <w:r>
        <w:rPr>
          <w:rFonts w:hint="eastAsia" w:ascii="宋体" w:hAnsi="宋体"/>
          <w:b/>
          <w:sz w:val="24"/>
          <w:u w:val="single"/>
        </w:rPr>
      </w:r>
      <w:r/>
    </w:p>
    <w:p>
      <w:pPr>
        <w:pStyle w:val="1028"/>
        <w:jc w:val="left"/>
        <w:spacing w:line="360" w:lineRule="auto"/>
        <w:widowControl/>
        <w:rPr>
          <w:rFonts w:hint="eastAsia" w:ascii="宋体" w:hAnsi="宋体"/>
          <w:b/>
          <w:sz w:val="24"/>
          <w:u w:val="single"/>
        </w:rPr>
      </w:pPr>
      <w:r>
        <w:rPr>
          <w:rFonts w:hint="eastAsia" w:ascii="宋体" w:hAnsi="宋体"/>
          <w:b/>
          <w:sz w:val="24"/>
          <w:u w:val="single"/>
        </w:rPr>
      </w:r>
      <w:r/>
    </w:p>
    <w:p>
      <w:pPr>
        <w:pStyle w:val="1028"/>
        <w:spacing w:line="360" w:lineRule="auto"/>
        <w:rPr>
          <w:sz w:val="24"/>
        </w:rPr>
      </w:pPr>
      <w:r>
        <w:rPr>
          <w:rFonts w:hint="eastAsia"/>
          <w:sz w:val="24"/>
        </w:rPr>
        <w:t xml:space="preserve">被授权人姓名：</w:t>
      </w:r>
      <w:r>
        <w:rPr>
          <w:sz w:val="24"/>
          <w:u w:val="single"/>
        </w:rPr>
        <w:t xml:space="preserve">                   </w:t>
      </w:r>
      <w:r>
        <w:rPr>
          <w:sz w:val="24"/>
        </w:rPr>
      </w:r>
      <w:r/>
    </w:p>
    <w:p>
      <w:pPr>
        <w:pStyle w:val="1028"/>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pStyle w:val="1028"/>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028"/>
        <w:jc w:val="left"/>
        <w:spacing w:line="360" w:lineRule="auto"/>
        <w:widowControl/>
        <w:rPr>
          <w:rFonts w:hint="eastAsia" w:ascii="宋体" w:hAnsi="宋体"/>
          <w:b/>
          <w:sz w:val="24"/>
          <w:u w:val="single"/>
        </w:rPr>
      </w:pPr>
      <w:r>
        <w:rPr>
          <w:rFonts w:hint="eastAsia" w:ascii="宋体" w:hAnsi="宋体"/>
          <w:b/>
          <w:sz w:val="24"/>
          <w:u w:val="single"/>
        </w:rPr>
      </w:r>
      <w:r/>
    </w:p>
    <w:p>
      <w:pPr>
        <w:pStyle w:val="1028"/>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1028"/>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w:t>
      </w:r>
      <w:r>
        <w:rPr>
          <w:rFonts w:hint="eastAsia" w:ascii="宋体" w:hAnsi="宋体"/>
          <w:sz w:val="24"/>
        </w:rPr>
        <w:t xml:space="preserve">章）：</w:t>
      </w:r>
      <w:r/>
    </w:p>
    <w:p>
      <w:pPr>
        <w:pStyle w:val="1028"/>
        <w:ind w:firstLine="4800"/>
        <w:jc w:val="left"/>
        <w:spacing w:line="360" w:lineRule="auto"/>
        <w:widowControl/>
        <w:rPr>
          <w:rFonts w:hint="eastAsia"/>
          <w:sz w:val="20"/>
          <w:szCs w:val="20"/>
        </w:rPr>
      </w:pPr>
      <w:r>
        <w:rPr>
          <w:rFonts w:hint="eastAsia" w:ascii="宋体" w:hAnsi="宋体"/>
          <w:sz w:val="24"/>
        </w:rPr>
        <w:t xml:space="preserve">时间：    年   月  日</w:t>
      </w:r>
      <w:r>
        <w:rPr>
          <w:rFonts w:hint="eastAsia"/>
          <w:sz w:val="20"/>
          <w:szCs w:val="2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p>
      <w:pPr>
        <w:pStyle w:val="1109"/>
        <w:rPr>
          <w:color w:val="000000"/>
        </w:rPr>
      </w:pPr>
      <w:r>
        <w:rPr>
          <w:color w:val="000000"/>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等线 Light">
    <w:panose1 w:val="02010600030101010101"/>
  </w:font>
  <w:font w:name="等线">
    <w:panose1 w:val="02010600030101010101"/>
  </w:font>
  <w:font w:name="方正小标宋简体">
    <w:panose1 w:val="020B0503020202020204"/>
  </w:font>
  <w:font w:name="Adobe 仿宋 Std R">
    <w:panose1 w:val="020B0503020202020204"/>
  </w:font>
  <w:font w:name="Tahoma">
    <w:panose1 w:val="020B0604030504040204"/>
  </w:font>
  <w:font w:name="Aptos">
    <w:panose1 w:val="020B0503020202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3"/>
      </w:rPr>
      <w:framePr w:wrap="around" w:vAnchor="text" w:hAnchor="margin" w:xAlign="right" w:y="1"/>
    </w:pPr>
    <w:r>
      <w:rPr>
        <w:rStyle w:val="1103"/>
      </w:rPr>
    </w:r>
    <w:r/>
  </w:p>
  <w:p>
    <w:pPr>
      <w:pStyle w:val="107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2957195</wp:posOffset>
              </wp:positionH>
              <wp:positionV relativeFrom="paragraph">
                <wp:posOffset>0</wp:posOffset>
              </wp:positionV>
              <wp:extent cx="140335" cy="4146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0335" cy="414655"/>
                      </a:xfrm>
                      <a:prstGeom prst="rect">
                        <a:avLst/>
                      </a:prstGeom>
                      <a:noFill/>
                      <a:ln w="6350">
                        <a:noFill/>
                      </a:ln>
                    </wps:spPr>
                    <wps:txbx>
                      <w:txbxContent>
                        <w:p>
                          <w:pPr>
                            <w:pStyle w:val="1028"/>
                          </w:pPr>
                          <w:r>
                            <w:fldChar w:fldCharType="begin"/>
                          </w:r>
                          <w:r>
                            <w:instrText xml:space="preserve"> PAGE  \* MERGEFORMAT </w:instrText>
                          </w:r>
                          <w:r>
                            <w:fldChar w:fldCharType="separate"/>
                          </w:r>
                          <w:r>
                            <w:t xml:space="preserve">1</w:t>
                          </w:r>
                          <w:r>
                            <w:fldChar w:fldCharType="end"/>
                          </w:r>
                          <w:r/>
                        </w:p>
                        <w:p>
                          <w:pPr>
                            <w:pStyle w:val="1028"/>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2.8pt;mso-position-horizontal:absolute;mso-position-vertical-relative:text;margin-top:0.0pt;mso-position-vertical:absolute;width:11.0pt;height:32.6pt;mso-wrap-distance-left:9.0pt;mso-wrap-distance-top:0.0pt;mso-wrap-distance-right:9.0pt;mso-wrap-distance-bottom:0.0pt;visibility:visible;" filled="f" stroked="f" strokeweight="0.50pt">
              <v:textbox inset="0,0,0,0">
                <w:txbxContent>
                  <w:p>
                    <w:pPr>
                      <w:pStyle w:val="1028"/>
                    </w:pPr>
                    <w:r>
                      <w:fldChar w:fldCharType="begin"/>
                    </w:r>
                    <w:r>
                      <w:instrText xml:space="preserve"> PAGE  \* MERGEFORMAT </w:instrText>
                    </w:r>
                    <w:r>
                      <w:fldChar w:fldCharType="separate"/>
                    </w:r>
                    <w:r>
                      <w:t xml:space="preserve">1</w:t>
                    </w:r>
                    <w:r>
                      <w:fldChar w:fldCharType="end"/>
                    </w:r>
                    <w:r/>
                  </w:p>
                  <w:p>
                    <w:pPr>
                      <w:pStyle w:val="1028"/>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rPr>
        <w:rStyle w:val="1103"/>
      </w:rPr>
    </w:r>
    <w:r/>
  </w:p>
  <w:p>
    <w:pPr>
      <w:pStyle w:val="1077"/>
      <w:ind w:right="360"/>
    </w:pPr>
    <w:r/>
    <w:r/>
  </w:p>
  <w:p>
    <w:pPr>
      <w:pStyle w:val="102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p>
    <w:pPr>
      <w:pStyle w:val="102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0"/>
      <w:isLgl w:val="false"/>
      <w:suff w:val="tab"/>
      <w:lvlText w:val="%1."/>
      <w:lvlJc w:val="left"/>
      <w:pPr>
        <w:pStyle w:val="1028"/>
        <w:ind w:left="420" w:hanging="420"/>
      </w:pPr>
    </w:lvl>
    <w:lvl w:ilvl="1">
      <w:start w:val="1"/>
      <w:numFmt w:val="decimal"/>
      <w:isLgl w:val="false"/>
      <w:suff w:val="tab"/>
      <w:lvlText w:val="（%2）"/>
      <w:lvlJc w:val="left"/>
      <w:pPr>
        <w:pStyle w:val="1028"/>
        <w:ind w:left="1140" w:hanging="720"/>
        <w:tabs>
          <w:tab w:val="num" w:pos="1140" w:leader="none"/>
        </w:tabs>
      </w:pPr>
      <w:rPr>
        <w:rFonts w:hint="eastAsia"/>
      </w:r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4">
    <w:multiLevelType w:val="hybridMultilevel"/>
    <w:lvl w:ilvl="0">
      <w:start w:val="1"/>
      <w:numFmt w:val="lowerLetter"/>
      <w:pStyle w:val="1214"/>
      <w:isLgl w:val="false"/>
      <w:suff w:val="tab"/>
      <w:lvlText w:val="%1)"/>
      <w:lvlJc w:val="left"/>
      <w:pPr>
        <w:pStyle w:val="1028"/>
        <w:ind w:left="902" w:hanging="420"/>
      </w:pPr>
      <w:rPr>
        <w:color w:val="000000"/>
      </w:rPr>
    </w:lvl>
    <w:lvl w:ilvl="1">
      <w:start w:val="1"/>
      <w:numFmt w:val="lowerLetter"/>
      <w:isLgl w:val="false"/>
      <w:suff w:val="tab"/>
      <w:lvlText w:val="%2)"/>
      <w:lvlJc w:val="left"/>
      <w:pPr>
        <w:pStyle w:val="1028"/>
        <w:ind w:left="1322" w:hanging="420"/>
      </w:pPr>
    </w:lvl>
    <w:lvl w:ilvl="2">
      <w:start w:val="1"/>
      <w:numFmt w:val="lowerRoman"/>
      <w:isLgl w:val="false"/>
      <w:suff w:val="tab"/>
      <w:lvlText w:val="%3."/>
      <w:lvlJc w:val="right"/>
      <w:pPr>
        <w:pStyle w:val="1028"/>
        <w:ind w:left="1742" w:hanging="420"/>
      </w:pPr>
    </w:lvl>
    <w:lvl w:ilvl="3">
      <w:start w:val="1"/>
      <w:numFmt w:val="decimal"/>
      <w:isLgl w:val="false"/>
      <w:suff w:val="tab"/>
      <w:lvlText w:val="%4."/>
      <w:lvlJc w:val="left"/>
      <w:pPr>
        <w:pStyle w:val="1028"/>
        <w:ind w:left="2162" w:hanging="420"/>
      </w:pPr>
    </w:lvl>
    <w:lvl w:ilvl="4">
      <w:start w:val="1"/>
      <w:numFmt w:val="lowerLetter"/>
      <w:isLgl w:val="false"/>
      <w:suff w:val="tab"/>
      <w:lvlText w:val="%5)"/>
      <w:lvlJc w:val="left"/>
      <w:pPr>
        <w:pStyle w:val="1028"/>
        <w:ind w:left="2582" w:hanging="420"/>
      </w:pPr>
    </w:lvl>
    <w:lvl w:ilvl="5">
      <w:start w:val="1"/>
      <w:numFmt w:val="lowerRoman"/>
      <w:isLgl w:val="false"/>
      <w:suff w:val="tab"/>
      <w:lvlText w:val="%6."/>
      <w:lvlJc w:val="right"/>
      <w:pPr>
        <w:pStyle w:val="1028"/>
        <w:ind w:left="3002" w:hanging="420"/>
      </w:pPr>
    </w:lvl>
    <w:lvl w:ilvl="6">
      <w:start w:val="1"/>
      <w:numFmt w:val="decimal"/>
      <w:isLgl w:val="false"/>
      <w:suff w:val="tab"/>
      <w:lvlText w:val="%7."/>
      <w:lvlJc w:val="left"/>
      <w:pPr>
        <w:pStyle w:val="1028"/>
        <w:ind w:left="3422" w:hanging="420"/>
      </w:pPr>
    </w:lvl>
    <w:lvl w:ilvl="7">
      <w:start w:val="1"/>
      <w:numFmt w:val="lowerLetter"/>
      <w:isLgl w:val="false"/>
      <w:suff w:val="tab"/>
      <w:lvlText w:val="%8)"/>
      <w:lvlJc w:val="left"/>
      <w:pPr>
        <w:pStyle w:val="1028"/>
        <w:ind w:left="3842" w:hanging="420"/>
      </w:pPr>
    </w:lvl>
    <w:lvl w:ilvl="8">
      <w:start w:val="1"/>
      <w:numFmt w:val="lowerRoman"/>
      <w:isLgl w:val="false"/>
      <w:suff w:val="tab"/>
      <w:lvlText w:val="%9."/>
      <w:lvlJc w:val="right"/>
      <w:pPr>
        <w:pStyle w:val="1028"/>
        <w:ind w:left="4262" w:hanging="420"/>
      </w:pPr>
    </w:lvl>
  </w:abstractNum>
  <w:abstractNum w:abstractNumId="5">
    <w:multiLevelType w:val="hybridMultilevel"/>
    <w:lvl w:ilvl="0">
      <w:start w:val="1"/>
      <w:numFmt w:val="decimal"/>
      <w:isLgl w:val="false"/>
      <w:suff w:val="tab"/>
      <w:lvlText w:val="%1."/>
      <w:lvlJc w:val="left"/>
      <w:pPr>
        <w:pStyle w:val="1028"/>
        <w:ind w:left="1965" w:hanging="705"/>
        <w:tabs>
          <w:tab w:val="num" w:pos="1965" w:leader="none"/>
        </w:tabs>
      </w:pPr>
    </w:lvl>
    <w:lvl w:ilvl="1">
      <w:start w:val="1"/>
      <w:numFmt w:val="decimal"/>
      <w:isLgl w:val="false"/>
      <w:suff w:val="tab"/>
      <w:lvlText w:val="（%2）"/>
      <w:lvlJc w:val="left"/>
      <w:pPr>
        <w:pStyle w:val="1028"/>
        <w:ind w:left="1140" w:hanging="720"/>
        <w:tabs>
          <w:tab w:val="num" w:pos="1140" w:leader="none"/>
        </w:tabs>
      </w:pPr>
    </w:lvl>
    <w:lvl w:ilvl="2">
      <w:start w:val="1"/>
      <w:numFmt w:val="lowerRoman"/>
      <w:isLgl w:val="false"/>
      <w:suff w:val="tab"/>
      <w:lvlText w:val="%3."/>
      <w:lvlJc w:val="right"/>
      <w:pPr>
        <w:pStyle w:val="1028"/>
        <w:ind w:left="1260" w:hanging="420"/>
        <w:tabs>
          <w:tab w:val="num" w:pos="1260" w:leader="none"/>
        </w:tabs>
      </w:pPr>
    </w:lvl>
    <w:lvl w:ilvl="3">
      <w:start w:val="1"/>
      <w:numFmt w:val="decimal"/>
      <w:isLgl w:val="false"/>
      <w:suff w:val="tab"/>
      <w:lvlText w:val="%4."/>
      <w:lvlJc w:val="left"/>
      <w:pPr>
        <w:pStyle w:val="1028"/>
        <w:ind w:left="1680" w:hanging="420"/>
        <w:tabs>
          <w:tab w:val="num" w:pos="1680" w:leader="none"/>
        </w:tabs>
      </w:pPr>
    </w:lvl>
    <w:lvl w:ilvl="4">
      <w:start w:val="1"/>
      <w:numFmt w:val="lowerLetter"/>
      <w:isLgl w:val="false"/>
      <w:suff w:val="tab"/>
      <w:lvlText w:val="%5)"/>
      <w:lvlJc w:val="left"/>
      <w:pPr>
        <w:pStyle w:val="1028"/>
        <w:ind w:left="2100" w:hanging="420"/>
        <w:tabs>
          <w:tab w:val="num" w:pos="210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6">
    <w:multiLevelType w:val="hybridMultilevel"/>
    <w:lvl w:ilvl="0">
      <w:start w:val="1"/>
      <w:numFmt w:val="decimal"/>
      <w:pStyle w:val="1185"/>
      <w:isLgl w:val="false"/>
      <w:suff w:val="tab"/>
      <w:lvlText w:val="%1."/>
      <w:lvlJc w:val="left"/>
      <w:pPr>
        <w:pStyle w:val="10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4"/>
      <w:isLgl w:val="false"/>
      <w:suff w:val="nothing"/>
      <w:lvlText w:val="%1　"/>
      <w:lvlJc w:val="left"/>
      <w:pPr>
        <w:pStyle w:val="10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8"/>
        <w:ind w:left="-25" w:firstLine="0"/>
      </w:pPr>
      <w:rPr>
        <w:rFonts w:ascii="Times New Roman" w:hAnsi="Times New Roman" w:eastAsia="黑体"/>
        <w:b/>
        <w:i w:val="0"/>
        <w:sz w:val="28"/>
      </w:rPr>
    </w:lvl>
    <w:lvl w:ilvl="3">
      <w:start w:val="1"/>
      <w:numFmt w:val="decimal"/>
      <w:pStyle w:val="1170"/>
      <w:isLgl w:val="false"/>
      <w:suff w:val="nothing"/>
      <w:lvlText w:val="%1.%2.%3.%4　"/>
      <w:lvlJc w:val="left"/>
      <w:pPr>
        <w:pStyle w:val="10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8"/>
        <w:ind w:left="-25" w:firstLine="0"/>
      </w:pPr>
      <w:rPr>
        <w:rFonts w:ascii="Times New Roman" w:hAnsi="Times New Roman" w:eastAsia="宋体"/>
        <w:b/>
        <w:i w:val="0"/>
        <w:sz w:val="28"/>
      </w:rPr>
    </w:lvl>
    <w:lvl w:ilvl="6">
      <w:start w:val="1"/>
      <w:numFmt w:val="lowerLetter"/>
      <w:pStyle w:val="1191"/>
      <w:isLgl w:val="false"/>
      <w:suff w:val="tab"/>
      <w:lvlText w:val="%7) "/>
      <w:lvlJc w:val="left"/>
      <w:pPr>
        <w:pStyle w:val="1028"/>
        <w:ind w:left="-125" w:firstLine="400"/>
        <w:tabs>
          <w:tab w:val="num" w:pos="635" w:leader="none"/>
        </w:tabs>
      </w:pPr>
      <w:rPr>
        <w:rFonts w:ascii="Times New Roman" w:hAnsi="Times New Roman" w:eastAsia="宋体"/>
        <w:b/>
        <w:i w:val="0"/>
        <w:color w:val="000000"/>
        <w:sz w:val="28"/>
        <w:u w:val="none"/>
      </w:rPr>
    </w:lvl>
    <w:lvl w:ilvl="7">
      <w:start w:val="1"/>
      <w:numFmt w:val="decimal"/>
      <w:pStyle w:val="1154"/>
      <w:isLgl w:val="false"/>
      <w:suff w:val="tab"/>
      <w:lvlText w:val="%8) "/>
      <w:lvlJc w:val="left"/>
      <w:pPr>
        <w:pStyle w:val="10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8"/>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028"/>
        <w:ind w:left="768" w:hanging="360"/>
        <w:tabs>
          <w:tab w:val="num" w:pos="768" w:leader="none"/>
        </w:tabs>
      </w:pPr>
      <w:rPr>
        <w:rFonts w:hint="eastAsia"/>
      </w:rPr>
    </w:lvl>
    <w:lvl w:ilvl="1">
      <w:start w:val="1"/>
      <w:numFmt w:val="decimal"/>
      <w:pStyle w:val="1172"/>
      <w:isLgl w:val="false"/>
      <w:suff w:val="tab"/>
      <w:lvlText w:val="%2、"/>
      <w:lvlJc w:val="left"/>
      <w:pPr>
        <w:pStyle w:val="1028"/>
        <w:ind w:left="1188" w:hanging="360"/>
        <w:tabs>
          <w:tab w:val="num" w:pos="1188" w:leader="none"/>
        </w:tabs>
      </w:pPr>
      <w:rPr>
        <w:rFonts w:hint="eastAsia"/>
      </w:rPr>
    </w:lvl>
    <w:lvl w:ilvl="2">
      <w:start w:val="1"/>
      <w:numFmt w:val="decimal"/>
      <w:isLgl w:val="false"/>
      <w:suff w:val="tab"/>
      <w:lvlText w:val="（%3）"/>
      <w:lvlJc w:val="left"/>
      <w:pPr>
        <w:pStyle w:val="1028"/>
        <w:ind w:left="1968" w:hanging="720"/>
        <w:tabs>
          <w:tab w:val="num" w:pos="1968" w:leader="none"/>
        </w:tabs>
      </w:pPr>
      <w:rPr>
        <w:rFonts w:hint="eastAsia"/>
        <w:u w:val="none"/>
      </w:rPr>
    </w:lvl>
    <w:lvl w:ilvl="3">
      <w:start w:val="1"/>
      <w:numFmt w:val="decimal"/>
      <w:isLgl w:val="false"/>
      <w:suff w:val="tab"/>
      <w:lvlText w:val="%4."/>
      <w:lvlJc w:val="left"/>
      <w:pPr>
        <w:pStyle w:val="1028"/>
        <w:ind w:left="2088" w:hanging="420"/>
        <w:tabs>
          <w:tab w:val="num" w:pos="2088" w:leader="none"/>
        </w:tabs>
      </w:pPr>
    </w:lvl>
    <w:lvl w:ilvl="4">
      <w:start w:val="1"/>
      <w:numFmt w:val="lowerLetter"/>
      <w:isLgl w:val="false"/>
      <w:suff w:val="tab"/>
      <w:lvlText w:val="%5)"/>
      <w:lvlJc w:val="left"/>
      <w:pPr>
        <w:pStyle w:val="1028"/>
        <w:ind w:left="2508" w:hanging="420"/>
        <w:tabs>
          <w:tab w:val="num" w:pos="2508" w:leader="none"/>
        </w:tabs>
      </w:pPr>
    </w:lvl>
    <w:lvl w:ilvl="5">
      <w:start w:val="1"/>
      <w:numFmt w:val="lowerRoman"/>
      <w:isLgl w:val="false"/>
      <w:suff w:val="tab"/>
      <w:lvlText w:val="%6."/>
      <w:lvlJc w:val="right"/>
      <w:pPr>
        <w:pStyle w:val="1028"/>
        <w:ind w:left="2928" w:hanging="420"/>
        <w:tabs>
          <w:tab w:val="num" w:pos="2928" w:leader="none"/>
        </w:tabs>
      </w:pPr>
    </w:lvl>
    <w:lvl w:ilvl="6">
      <w:start w:val="1"/>
      <w:numFmt w:val="decimal"/>
      <w:isLgl w:val="false"/>
      <w:suff w:val="tab"/>
      <w:lvlText w:val="%7."/>
      <w:lvlJc w:val="left"/>
      <w:pPr>
        <w:pStyle w:val="1028"/>
        <w:ind w:left="3348" w:hanging="420"/>
        <w:tabs>
          <w:tab w:val="num" w:pos="3348" w:leader="none"/>
        </w:tabs>
      </w:pPr>
    </w:lvl>
    <w:lvl w:ilvl="7">
      <w:start w:val="1"/>
      <w:numFmt w:val="lowerLetter"/>
      <w:isLgl w:val="false"/>
      <w:suff w:val="tab"/>
      <w:lvlText w:val="%8)"/>
      <w:lvlJc w:val="left"/>
      <w:pPr>
        <w:pStyle w:val="1028"/>
        <w:ind w:left="3768" w:hanging="420"/>
        <w:tabs>
          <w:tab w:val="num" w:pos="3768" w:leader="none"/>
        </w:tabs>
      </w:pPr>
    </w:lvl>
    <w:lvl w:ilvl="8">
      <w:start w:val="1"/>
      <w:numFmt w:val="lowerRoman"/>
      <w:isLgl w:val="false"/>
      <w:suff w:val="tab"/>
      <w:lvlText w:val="%9."/>
      <w:lvlJc w:val="right"/>
      <w:pPr>
        <w:pStyle w:val="1028"/>
        <w:ind w:left="4188" w:hanging="420"/>
        <w:tabs>
          <w:tab w:val="num" w:pos="4188" w:leader="none"/>
        </w:tabs>
      </w:pPr>
    </w:lvl>
  </w:abstractNum>
  <w:abstractNum w:abstractNumId="9">
    <w:multiLevelType w:val="hybridMultilevel"/>
    <w:lvl w:ilvl="0">
      <w:start w:val="1"/>
      <w:numFmt w:val="decimal"/>
      <w:pStyle w:val="1139"/>
      <w:isLgl w:val="false"/>
      <w:suff w:val="tab"/>
      <w:lvlText w:val="%1)"/>
      <w:lvlJc w:val="left"/>
      <w:pPr>
        <w:pStyle w:val="1028"/>
        <w:ind w:left="420" w:hanging="420"/>
      </w:pPr>
    </w:lvl>
    <w:lvl w:ilvl="1">
      <w:start w:val="1"/>
      <w:numFmt w:val="lowerLetter"/>
      <w:isLgl w:val="false"/>
      <w:suff w:val="tab"/>
      <w:lvlText w:val="%2)"/>
      <w:lvlJc w:val="left"/>
      <w:pPr>
        <w:pStyle w:val="1028"/>
        <w:ind w:left="840" w:hanging="420"/>
      </w:p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10">
    <w:multiLevelType w:val="hybridMultilevel"/>
    <w:lvl w:ilvl="0">
      <w:start w:val="0"/>
      <w:numFmt w:val="bullet"/>
      <w:isLgl w:val="false"/>
      <w:suff w:val="tab"/>
      <w:lvlText w:val="•"/>
      <w:lvlJc w:val="left"/>
      <w:pPr>
        <w:pStyle w:val="1028"/>
        <w:ind w:left="720" w:hanging="360"/>
      </w:pPr>
    </w:lvl>
    <w:lvl w:ilvl="1">
      <w:start w:val="0"/>
      <w:numFmt w:val="bullet"/>
      <w:isLgl w:val="false"/>
      <w:suff w:val="tab"/>
      <w:lvlText w:val="◦"/>
      <w:lvlJc w:val="left"/>
      <w:pPr>
        <w:pStyle w:val="1028"/>
        <w:ind w:left="1440" w:hanging="360"/>
      </w:pPr>
    </w:lvl>
    <w:lvl w:ilvl="2">
      <w:start w:val="0"/>
      <w:numFmt w:val="bullet"/>
      <w:isLgl w:val="false"/>
      <w:suff w:val="tab"/>
      <w:lvlText w:val="▪"/>
      <w:lvlJc w:val="left"/>
      <w:pPr>
        <w:pStyle w:val="1028"/>
        <w:ind w:left="2160" w:hanging="360"/>
      </w:pPr>
    </w:lvl>
    <w:lvl w:ilvl="3">
      <w:start w:val="0"/>
      <w:numFmt w:val="bullet"/>
      <w:isLgl w:val="false"/>
      <w:suff w:val="tab"/>
      <w:lvlText w:val="•"/>
      <w:lvlJc w:val="left"/>
      <w:pPr>
        <w:pStyle w:val="1028"/>
        <w:ind w:left="2880" w:hanging="360"/>
      </w:pPr>
    </w:lvl>
    <w:lvl w:ilvl="4">
      <w:start w:val="0"/>
      <w:numFmt w:val="bullet"/>
      <w:isLgl w:val="false"/>
      <w:suff w:val="tab"/>
      <w:lvlText w:val="◦"/>
      <w:lvlJc w:val="left"/>
      <w:pPr>
        <w:pStyle w:val="1028"/>
        <w:ind w:left="3600" w:hanging="360"/>
      </w:pPr>
    </w:lvl>
    <w:lvl w:ilvl="5">
      <w:start w:val="0"/>
      <w:numFmt w:val="bullet"/>
      <w:isLgl w:val="false"/>
      <w:suff w:val="tab"/>
      <w:lvlText w:val="▪"/>
      <w:lvlJc w:val="left"/>
      <w:pPr>
        <w:pStyle w:val="1028"/>
        <w:ind w:left="4320" w:hanging="360"/>
      </w:pPr>
    </w:lvl>
    <w:lvl w:ilvl="6">
      <w:start w:val="0"/>
      <w:numFmt w:val="bullet"/>
      <w:isLgl w:val="false"/>
      <w:suff w:val="tab"/>
      <w:lvlText w:val="•"/>
      <w:lvlJc w:val="left"/>
      <w:pPr>
        <w:pStyle w:val="1028"/>
        <w:ind w:left="5040" w:hanging="360"/>
      </w:pPr>
    </w:lvl>
    <w:lvl w:ilvl="7">
      <w:start w:val="0"/>
      <w:numFmt w:val="bullet"/>
      <w:isLgl w:val="false"/>
      <w:suff w:val="tab"/>
      <w:lvlText w:val="◦"/>
      <w:lvlJc w:val="left"/>
      <w:pPr>
        <w:pStyle w:val="1028"/>
        <w:ind w:left="5760" w:hanging="360"/>
      </w:pPr>
    </w:lvl>
    <w:lvl w:ilvl="8">
      <w:start w:val="0"/>
      <w:numFmt w:val="bullet"/>
      <w:isLgl w:val="false"/>
      <w:suff w:val="tab"/>
      <w:lvlText w:val="▪"/>
      <w:lvlJc w:val="left"/>
      <w:pPr>
        <w:pStyle w:val="1028"/>
        <w:ind w:left="6480" w:hanging="360"/>
      </w:pPr>
    </w:lvl>
  </w:abstractNum>
  <w:abstractNum w:abstractNumId="11">
    <w:multiLevelType w:val="hybridMultilevel"/>
    <w:lvl w:ilvl="0">
      <w:start w:val="1"/>
      <w:numFmt w:val="decimal"/>
      <w:isLgl w:val="false"/>
      <w:suff w:val="tab"/>
      <w:lvlText w:val="%1."/>
      <w:lvlJc w:val="left"/>
      <w:pPr>
        <w:pStyle w:val="1028"/>
        <w:ind w:left="720" w:hanging="360"/>
      </w:pPr>
    </w:lvl>
    <w:lvl w:ilvl="1">
      <w:start w:val="1"/>
      <w:numFmt w:val="decimal"/>
      <w:isLgl w:val="false"/>
      <w:suff w:val="tab"/>
      <w:lvlText w:val="%2."/>
      <w:lvlJc w:val="left"/>
      <w:pPr>
        <w:pStyle w:val="1028"/>
        <w:ind w:left="1440" w:hanging="360"/>
      </w:pPr>
    </w:lvl>
    <w:lvl w:ilvl="2">
      <w:start w:val="1"/>
      <w:numFmt w:val="decimal"/>
      <w:isLgl w:val="false"/>
      <w:suff w:val="tab"/>
      <w:lvlText w:val="%3."/>
      <w:lvlJc w:val="left"/>
      <w:pPr>
        <w:pStyle w:val="1028"/>
        <w:ind w:left="2160" w:hanging="360"/>
      </w:pPr>
    </w:lvl>
    <w:lvl w:ilvl="3">
      <w:start w:val="1"/>
      <w:numFmt w:val="decimal"/>
      <w:isLgl w:val="false"/>
      <w:suff w:val="tab"/>
      <w:lvlText w:val="%4."/>
      <w:lvlJc w:val="left"/>
      <w:pPr>
        <w:pStyle w:val="1028"/>
        <w:ind w:left="2880" w:hanging="360"/>
      </w:pPr>
    </w:lvl>
    <w:lvl w:ilvl="4">
      <w:start w:val="1"/>
      <w:numFmt w:val="decimal"/>
      <w:isLgl w:val="false"/>
      <w:suff w:val="tab"/>
      <w:lvlText w:val="%5."/>
      <w:lvlJc w:val="left"/>
      <w:pPr>
        <w:pStyle w:val="1028"/>
        <w:ind w:left="3600" w:hanging="360"/>
      </w:pPr>
    </w:lvl>
    <w:lvl w:ilvl="5">
      <w:start w:val="1"/>
      <w:numFmt w:val="decimal"/>
      <w:isLgl w:val="false"/>
      <w:suff w:val="tab"/>
      <w:lvlText w:val="%6."/>
      <w:lvlJc w:val="left"/>
      <w:pPr>
        <w:pStyle w:val="1028"/>
        <w:ind w:left="4320" w:hanging="360"/>
      </w:pPr>
    </w:lvl>
    <w:lvl w:ilvl="6">
      <w:start w:val="1"/>
      <w:numFmt w:val="decimal"/>
      <w:isLgl w:val="false"/>
      <w:suff w:val="tab"/>
      <w:lvlText w:val="%7."/>
      <w:lvlJc w:val="left"/>
      <w:pPr>
        <w:pStyle w:val="1028"/>
        <w:ind w:left="5040" w:hanging="360"/>
      </w:pPr>
    </w:lvl>
    <w:lvl w:ilvl="7">
      <w:start w:val="1"/>
      <w:numFmt w:val="decimal"/>
      <w:isLgl w:val="false"/>
      <w:suff w:val="tab"/>
      <w:lvlText w:val="%8."/>
      <w:lvlJc w:val="left"/>
      <w:pPr>
        <w:pStyle w:val="1028"/>
        <w:ind w:left="5760" w:hanging="360"/>
      </w:pPr>
    </w:lvl>
    <w:lvl w:ilvl="8">
      <w:start w:val="1"/>
      <w:numFmt w:val="decimal"/>
      <w:isLgl w:val="false"/>
      <w:suff w:val="tab"/>
      <w:lvlText w:val="%9."/>
      <w:lvlJc w:val="left"/>
      <w:pPr>
        <w:pStyle w:val="1028"/>
        <w:ind w:left="6480" w:hanging="360"/>
      </w:pPr>
    </w:lvl>
  </w:abstractNum>
  <w:abstractNum w:abstractNumId="12">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39"/>
      <w:isLgl w:val="false"/>
      <w:suff w:val="tab"/>
      <w:lvlText w:val="%1"/>
      <w:lvlJc w:val="left"/>
      <w:pPr>
        <w:pStyle w:val="1028"/>
        <w:ind w:left="680" w:hanging="680"/>
      </w:pPr>
      <w:rPr>
        <w:rFonts w:hint="eastAsia" w:ascii="宋体" w:hAnsi="宋体" w:eastAsia="宋体"/>
      </w:rPr>
    </w:lvl>
    <w:lvl w:ilvl="1">
      <w:start w:val="1"/>
      <w:numFmt w:val="decimal"/>
      <w:pStyle w:val="1240"/>
      <w:isLgl w:val="false"/>
      <w:suff w:val="tab"/>
      <w:lvlText w:val="%1.%2"/>
      <w:lvlJc w:val="left"/>
      <w:pPr>
        <w:pStyle w:val="1028"/>
        <w:ind w:left="851" w:hanging="851"/>
      </w:pPr>
      <w:rPr>
        <w:rFonts w:hint="eastAsia" w:ascii="宋体" w:hAnsi="宋体" w:eastAsia="宋体"/>
        <w:color w:val="000000"/>
      </w:rPr>
    </w:lvl>
    <w:lvl w:ilvl="2">
      <w:start w:val="1"/>
      <w:numFmt w:val="decimal"/>
      <w:pStyle w:val="1241"/>
      <w:isLgl w:val="false"/>
      <w:suff w:val="tab"/>
      <w:lvlText w:val="%1.%2.%3"/>
      <w:lvlJc w:val="left"/>
      <w:pPr>
        <w:pStyle w:val="1028"/>
        <w:ind w:left="851" w:hanging="851"/>
      </w:pPr>
      <w:rPr>
        <w:rFonts w:hint="eastAsia"/>
      </w:rPr>
    </w:lvl>
    <w:lvl w:ilvl="3">
      <w:start w:val="1"/>
      <w:numFmt w:val="decimal"/>
      <w:isLgl w:val="false"/>
      <w:suff w:val="tab"/>
      <w:lvlText w:val="%1.%2.%3.%4"/>
      <w:lvlJc w:val="left"/>
      <w:pPr>
        <w:pStyle w:val="1028"/>
        <w:ind w:left="680" w:hanging="680"/>
      </w:pPr>
      <w:rPr>
        <w:rFonts w:hint="eastAsia"/>
      </w:rPr>
    </w:lvl>
    <w:lvl w:ilvl="4">
      <w:start w:val="1"/>
      <w:numFmt w:val="decimal"/>
      <w:isLgl w:val="false"/>
      <w:suff w:val="tab"/>
      <w:lvlText w:val="%1.%2.%3.%4.%5"/>
      <w:lvlJc w:val="left"/>
      <w:pPr>
        <w:pStyle w:val="1028"/>
        <w:ind w:left="680" w:hanging="680"/>
      </w:pPr>
      <w:rPr>
        <w:rFonts w:hint="eastAsia"/>
      </w:rPr>
    </w:lvl>
    <w:lvl w:ilvl="5">
      <w:start w:val="1"/>
      <w:numFmt w:val="decimal"/>
      <w:isLgl w:val="false"/>
      <w:suff w:val="tab"/>
      <w:lvlText w:val="%1.%2.%3.%4.%5.%6"/>
      <w:lvlJc w:val="left"/>
      <w:pPr>
        <w:pStyle w:val="1028"/>
        <w:ind w:left="680" w:hanging="680"/>
      </w:pPr>
      <w:rPr>
        <w:rFonts w:hint="eastAsia"/>
      </w:rPr>
    </w:lvl>
    <w:lvl w:ilvl="6">
      <w:start w:val="1"/>
      <w:numFmt w:val="decimal"/>
      <w:isLgl w:val="false"/>
      <w:suff w:val="tab"/>
      <w:lvlText w:val="%1.%2.%3.%4.%5.%6.%7"/>
      <w:lvlJc w:val="left"/>
      <w:pPr>
        <w:pStyle w:val="1028"/>
        <w:ind w:left="680" w:hanging="680"/>
      </w:pPr>
      <w:rPr>
        <w:rFonts w:hint="eastAsia"/>
      </w:rPr>
    </w:lvl>
    <w:lvl w:ilvl="7">
      <w:start w:val="1"/>
      <w:numFmt w:val="decimal"/>
      <w:isLgl w:val="false"/>
      <w:suff w:val="tab"/>
      <w:lvlText w:val="%1.%2.%3.%4.%5.%6.%7.%8"/>
      <w:lvlJc w:val="left"/>
      <w:pPr>
        <w:pStyle w:val="1028"/>
        <w:ind w:left="680" w:hanging="680"/>
      </w:pPr>
      <w:rPr>
        <w:rFonts w:hint="eastAsia"/>
      </w:rPr>
    </w:lvl>
    <w:lvl w:ilvl="8">
      <w:start w:val="1"/>
      <w:numFmt w:val="decimal"/>
      <w:isLgl w:val="false"/>
      <w:suff w:val="tab"/>
      <w:lvlText w:val="%1.%2.%3.%4.%5.%6.%7.%8.%9"/>
      <w:lvlJc w:val="left"/>
      <w:pPr>
        <w:pStyle w:val="1028"/>
        <w:ind w:left="680" w:hanging="680"/>
      </w:pPr>
      <w:rPr>
        <w:rFonts w:hint="eastAsia"/>
      </w:rPr>
    </w:lvl>
  </w:abstractNum>
  <w:abstractNum w:abstractNumId="14">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pStyle w:val="1028"/>
        <w:ind w:left="1440" w:hanging="360"/>
      </w:pPr>
      <w:rPr>
        <w:rFonts w:ascii="Courier New" w:hAnsi="Courier New" w:eastAsia="Courier New" w:cs="Courier New"/>
      </w:rPr>
    </w:lvl>
    <w:lvl w:ilvl="2">
      <w:start w:val="1"/>
      <w:numFmt w:val="bullet"/>
      <w:isLgl w:val="false"/>
      <w:suff w:val="tab"/>
      <w:lvlText w:val="§"/>
      <w:lvlJc w:val="left"/>
      <w:pPr>
        <w:pStyle w:val="1028"/>
        <w:ind w:left="2160" w:hanging="360"/>
      </w:pPr>
      <w:rPr>
        <w:rFonts w:ascii="Wingdings" w:hAnsi="Wingdings" w:eastAsia="Wingdings" w:cs="Wingdings"/>
      </w:rPr>
    </w:lvl>
    <w:lvl w:ilvl="3">
      <w:start w:val="1"/>
      <w:numFmt w:val="bullet"/>
      <w:isLgl w:val="false"/>
      <w:suff w:val="tab"/>
      <w:lvlText w:val="·"/>
      <w:lvlJc w:val="left"/>
      <w:pPr>
        <w:pStyle w:val="1028"/>
        <w:ind w:left="2880" w:hanging="360"/>
      </w:pPr>
      <w:rPr>
        <w:rFonts w:ascii="Symbol" w:hAnsi="Symbol" w:eastAsia="Symbol" w:cs="Symbol"/>
      </w:rPr>
    </w:lvl>
    <w:lvl w:ilvl="4">
      <w:start w:val="1"/>
      <w:numFmt w:val="bullet"/>
      <w:isLgl w:val="false"/>
      <w:suff w:val="tab"/>
      <w:lvlText w:val="o"/>
      <w:lvlJc w:val="left"/>
      <w:pPr>
        <w:pStyle w:val="1028"/>
        <w:ind w:left="3600" w:hanging="360"/>
      </w:pPr>
      <w:rPr>
        <w:rFonts w:ascii="Courier New" w:hAnsi="Courier New" w:eastAsia="Courier New" w:cs="Courier New"/>
      </w:rPr>
    </w:lvl>
    <w:lvl w:ilvl="5">
      <w:start w:val="1"/>
      <w:numFmt w:val="bullet"/>
      <w:isLgl w:val="false"/>
      <w:suff w:val="tab"/>
      <w:lvlText w:val="§"/>
      <w:lvlJc w:val="left"/>
      <w:pPr>
        <w:pStyle w:val="1028"/>
        <w:ind w:left="4320" w:hanging="360"/>
      </w:pPr>
      <w:rPr>
        <w:rFonts w:ascii="Wingdings" w:hAnsi="Wingdings" w:eastAsia="Wingdings" w:cs="Wingdings"/>
      </w:rPr>
    </w:lvl>
    <w:lvl w:ilvl="6">
      <w:start w:val="1"/>
      <w:numFmt w:val="bullet"/>
      <w:isLgl w:val="false"/>
      <w:suff w:val="tab"/>
      <w:lvlText w:val="·"/>
      <w:lvlJc w:val="left"/>
      <w:pPr>
        <w:pStyle w:val="1028"/>
        <w:ind w:left="5040" w:hanging="360"/>
      </w:pPr>
      <w:rPr>
        <w:rFonts w:ascii="Symbol" w:hAnsi="Symbol" w:eastAsia="Symbol" w:cs="Symbol"/>
      </w:rPr>
    </w:lvl>
    <w:lvl w:ilvl="7">
      <w:start w:val="1"/>
      <w:numFmt w:val="bullet"/>
      <w:isLgl w:val="false"/>
      <w:suff w:val="tab"/>
      <w:lvlText w:val="o"/>
      <w:lvlJc w:val="left"/>
      <w:pPr>
        <w:pStyle w:val="1028"/>
        <w:ind w:left="5760" w:hanging="360"/>
      </w:pPr>
      <w:rPr>
        <w:rFonts w:ascii="Courier New" w:hAnsi="Courier New" w:eastAsia="Courier New" w:cs="Courier New"/>
      </w:rPr>
    </w:lvl>
    <w:lvl w:ilvl="8">
      <w:start w:val="1"/>
      <w:numFmt w:val="bullet"/>
      <w:isLgl w:val="false"/>
      <w:suff w:val="tab"/>
      <w:lvlText w:val="§"/>
      <w:lvlJc w:val="left"/>
      <w:pPr>
        <w:pStyle w:val="1028"/>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pStyle w:val="1028"/>
        <w:ind w:left="1440" w:hanging="360"/>
      </w:pPr>
      <w:rPr>
        <w:rFonts w:ascii="Courier New" w:hAnsi="Courier New" w:eastAsia="Courier New" w:cs="Courier New"/>
      </w:rPr>
    </w:lvl>
    <w:lvl w:ilvl="2">
      <w:start w:val="1"/>
      <w:numFmt w:val="bullet"/>
      <w:isLgl w:val="false"/>
      <w:suff w:val="tab"/>
      <w:lvlText w:val="§"/>
      <w:lvlJc w:val="left"/>
      <w:pPr>
        <w:pStyle w:val="1028"/>
        <w:ind w:left="2160" w:hanging="360"/>
      </w:pPr>
      <w:rPr>
        <w:rFonts w:ascii="Wingdings" w:hAnsi="Wingdings" w:eastAsia="Wingdings" w:cs="Wingdings"/>
      </w:rPr>
    </w:lvl>
    <w:lvl w:ilvl="3">
      <w:start w:val="1"/>
      <w:numFmt w:val="bullet"/>
      <w:isLgl w:val="false"/>
      <w:suff w:val="tab"/>
      <w:lvlText w:val="·"/>
      <w:lvlJc w:val="left"/>
      <w:pPr>
        <w:pStyle w:val="1028"/>
        <w:ind w:left="2880" w:hanging="360"/>
      </w:pPr>
      <w:rPr>
        <w:rFonts w:ascii="Symbol" w:hAnsi="Symbol" w:eastAsia="Symbol" w:cs="Symbol"/>
      </w:rPr>
    </w:lvl>
    <w:lvl w:ilvl="4">
      <w:start w:val="1"/>
      <w:numFmt w:val="bullet"/>
      <w:isLgl w:val="false"/>
      <w:suff w:val="tab"/>
      <w:lvlText w:val="o"/>
      <w:lvlJc w:val="left"/>
      <w:pPr>
        <w:pStyle w:val="1028"/>
        <w:ind w:left="3600" w:hanging="360"/>
      </w:pPr>
      <w:rPr>
        <w:rFonts w:ascii="Courier New" w:hAnsi="Courier New" w:eastAsia="Courier New" w:cs="Courier New"/>
      </w:rPr>
    </w:lvl>
    <w:lvl w:ilvl="5">
      <w:start w:val="1"/>
      <w:numFmt w:val="bullet"/>
      <w:isLgl w:val="false"/>
      <w:suff w:val="tab"/>
      <w:lvlText w:val="§"/>
      <w:lvlJc w:val="left"/>
      <w:pPr>
        <w:pStyle w:val="1028"/>
        <w:ind w:left="4320" w:hanging="360"/>
      </w:pPr>
      <w:rPr>
        <w:rFonts w:ascii="Wingdings" w:hAnsi="Wingdings" w:eastAsia="Wingdings" w:cs="Wingdings"/>
      </w:rPr>
    </w:lvl>
    <w:lvl w:ilvl="6">
      <w:start w:val="1"/>
      <w:numFmt w:val="bullet"/>
      <w:isLgl w:val="false"/>
      <w:suff w:val="tab"/>
      <w:lvlText w:val="·"/>
      <w:lvlJc w:val="left"/>
      <w:pPr>
        <w:pStyle w:val="1028"/>
        <w:ind w:left="5040" w:hanging="360"/>
      </w:pPr>
      <w:rPr>
        <w:rFonts w:ascii="Symbol" w:hAnsi="Symbol" w:eastAsia="Symbol" w:cs="Symbol"/>
      </w:rPr>
    </w:lvl>
    <w:lvl w:ilvl="7">
      <w:start w:val="1"/>
      <w:numFmt w:val="bullet"/>
      <w:isLgl w:val="false"/>
      <w:suff w:val="tab"/>
      <w:lvlText w:val="o"/>
      <w:lvlJc w:val="left"/>
      <w:pPr>
        <w:pStyle w:val="1028"/>
        <w:ind w:left="5760" w:hanging="360"/>
      </w:pPr>
      <w:rPr>
        <w:rFonts w:ascii="Courier New" w:hAnsi="Courier New" w:eastAsia="Courier New" w:cs="Courier New"/>
      </w:rPr>
    </w:lvl>
    <w:lvl w:ilvl="8">
      <w:start w:val="1"/>
      <w:numFmt w:val="bullet"/>
      <w:isLgl w:val="false"/>
      <w:suff w:val="tab"/>
      <w:lvlText w:val="§"/>
      <w:lvlJc w:val="left"/>
      <w:pPr>
        <w:pStyle w:val="1028"/>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28"/>
        <w:ind w:left="721" w:hanging="440"/>
      </w:pPr>
      <w:rPr>
        <w:rFonts w:hint="eastAsia"/>
      </w:rPr>
    </w:lvl>
    <w:lvl w:ilvl="1">
      <w:start w:val="1"/>
      <w:numFmt w:val="lowerLetter"/>
      <w:isLgl w:val="false"/>
      <w:suff w:val="tab"/>
      <w:lvlText w:val="%2)"/>
      <w:lvlJc w:val="left"/>
      <w:pPr>
        <w:pStyle w:val="1028"/>
        <w:ind w:left="1320" w:hanging="440"/>
      </w:pPr>
    </w:lvl>
    <w:lvl w:ilvl="2">
      <w:start w:val="1"/>
      <w:numFmt w:val="lowerRoman"/>
      <w:isLgl w:val="false"/>
      <w:suff w:val="tab"/>
      <w:lvlText w:val="%3."/>
      <w:lvlJc w:val="right"/>
      <w:pPr>
        <w:pStyle w:val="1028"/>
        <w:ind w:left="1760" w:hanging="440"/>
      </w:pPr>
    </w:lvl>
    <w:lvl w:ilvl="3">
      <w:start w:val="1"/>
      <w:numFmt w:val="decimal"/>
      <w:isLgl w:val="false"/>
      <w:suff w:val="tab"/>
      <w:lvlText w:val="%4."/>
      <w:lvlJc w:val="left"/>
      <w:pPr>
        <w:pStyle w:val="1028"/>
        <w:ind w:left="2200" w:hanging="440"/>
      </w:pPr>
    </w:lvl>
    <w:lvl w:ilvl="4">
      <w:start w:val="1"/>
      <w:numFmt w:val="lowerLetter"/>
      <w:isLgl w:val="false"/>
      <w:suff w:val="tab"/>
      <w:lvlText w:val="%5)"/>
      <w:lvlJc w:val="left"/>
      <w:pPr>
        <w:pStyle w:val="1028"/>
        <w:ind w:left="2640" w:hanging="440"/>
      </w:pPr>
    </w:lvl>
    <w:lvl w:ilvl="5">
      <w:start w:val="1"/>
      <w:numFmt w:val="lowerRoman"/>
      <w:isLgl w:val="false"/>
      <w:suff w:val="tab"/>
      <w:lvlText w:val="%6."/>
      <w:lvlJc w:val="right"/>
      <w:pPr>
        <w:pStyle w:val="1028"/>
        <w:ind w:left="3080" w:hanging="440"/>
      </w:pPr>
    </w:lvl>
    <w:lvl w:ilvl="6">
      <w:start w:val="1"/>
      <w:numFmt w:val="decimal"/>
      <w:isLgl w:val="false"/>
      <w:suff w:val="tab"/>
      <w:lvlText w:val="%7."/>
      <w:lvlJc w:val="left"/>
      <w:pPr>
        <w:pStyle w:val="1028"/>
        <w:ind w:left="3520" w:hanging="440"/>
      </w:pPr>
    </w:lvl>
    <w:lvl w:ilvl="7">
      <w:start w:val="1"/>
      <w:numFmt w:val="lowerLetter"/>
      <w:isLgl w:val="false"/>
      <w:suff w:val="tab"/>
      <w:lvlText w:val="%8)"/>
      <w:lvlJc w:val="left"/>
      <w:pPr>
        <w:pStyle w:val="1028"/>
        <w:ind w:left="3960" w:hanging="440"/>
      </w:pPr>
    </w:lvl>
    <w:lvl w:ilvl="8">
      <w:start w:val="1"/>
      <w:numFmt w:val="lowerRoman"/>
      <w:isLgl w:val="false"/>
      <w:suff w:val="tab"/>
      <w:lvlText w:val="%9."/>
      <w:lvlJc w:val="right"/>
      <w:pPr>
        <w:pStyle w:val="1028"/>
        <w:ind w:left="4400" w:hanging="440"/>
      </w:pPr>
    </w:lvl>
  </w:abstractNum>
  <w:abstractNum w:abstractNumId="17">
    <w:multiLevelType w:val="hybridMultilevel"/>
    <w:lvl w:ilvl="0">
      <w:start w:val="1"/>
      <w:numFmt w:val="decimal"/>
      <w:isLgl w:val="false"/>
      <w:suff w:val="nothing"/>
      <w:lvlText w:val="%1、"/>
      <w:lvlJc w:val="left"/>
      <w:pPr>
        <w:pStyle w:val="102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28"/>
        <w:ind w:left="721" w:hanging="440"/>
      </w:pPr>
      <w:rPr>
        <w:rFonts w:hint="eastAsia"/>
      </w:rPr>
    </w:lvl>
    <w:lvl w:ilvl="1">
      <w:start w:val="1"/>
      <w:numFmt w:val="lowerLetter"/>
      <w:isLgl w:val="false"/>
      <w:suff w:val="tab"/>
      <w:lvlText w:val="%2)"/>
      <w:lvlJc w:val="left"/>
      <w:pPr>
        <w:pStyle w:val="1028"/>
        <w:ind w:left="1320" w:hanging="440"/>
      </w:pPr>
    </w:lvl>
    <w:lvl w:ilvl="2">
      <w:start w:val="1"/>
      <w:numFmt w:val="lowerRoman"/>
      <w:isLgl w:val="false"/>
      <w:suff w:val="tab"/>
      <w:lvlText w:val="%3."/>
      <w:lvlJc w:val="right"/>
      <w:pPr>
        <w:pStyle w:val="1028"/>
        <w:ind w:left="1760" w:hanging="440"/>
      </w:pPr>
    </w:lvl>
    <w:lvl w:ilvl="3">
      <w:start w:val="1"/>
      <w:numFmt w:val="decimal"/>
      <w:isLgl w:val="false"/>
      <w:suff w:val="tab"/>
      <w:lvlText w:val="%4."/>
      <w:lvlJc w:val="left"/>
      <w:pPr>
        <w:pStyle w:val="1028"/>
        <w:ind w:left="2200" w:hanging="440"/>
      </w:pPr>
    </w:lvl>
    <w:lvl w:ilvl="4">
      <w:start w:val="1"/>
      <w:numFmt w:val="lowerLetter"/>
      <w:isLgl w:val="false"/>
      <w:suff w:val="tab"/>
      <w:lvlText w:val="%5)"/>
      <w:lvlJc w:val="left"/>
      <w:pPr>
        <w:pStyle w:val="1028"/>
        <w:ind w:left="2640" w:hanging="440"/>
      </w:pPr>
    </w:lvl>
    <w:lvl w:ilvl="5">
      <w:start w:val="1"/>
      <w:numFmt w:val="lowerRoman"/>
      <w:isLgl w:val="false"/>
      <w:suff w:val="tab"/>
      <w:lvlText w:val="%6."/>
      <w:lvlJc w:val="right"/>
      <w:pPr>
        <w:pStyle w:val="1028"/>
        <w:ind w:left="3080" w:hanging="440"/>
      </w:pPr>
    </w:lvl>
    <w:lvl w:ilvl="6">
      <w:start w:val="1"/>
      <w:numFmt w:val="decimal"/>
      <w:isLgl w:val="false"/>
      <w:suff w:val="tab"/>
      <w:lvlText w:val="%7."/>
      <w:lvlJc w:val="left"/>
      <w:pPr>
        <w:pStyle w:val="1028"/>
        <w:ind w:left="3520" w:hanging="440"/>
      </w:pPr>
    </w:lvl>
    <w:lvl w:ilvl="7">
      <w:start w:val="1"/>
      <w:numFmt w:val="lowerLetter"/>
      <w:isLgl w:val="false"/>
      <w:suff w:val="tab"/>
      <w:lvlText w:val="%8)"/>
      <w:lvlJc w:val="left"/>
      <w:pPr>
        <w:pStyle w:val="1028"/>
        <w:ind w:left="3960" w:hanging="440"/>
      </w:pPr>
    </w:lvl>
    <w:lvl w:ilvl="8">
      <w:start w:val="1"/>
      <w:numFmt w:val="lowerRoman"/>
      <w:isLgl w:val="false"/>
      <w:suff w:val="tab"/>
      <w:lvlText w:val="%9."/>
      <w:lvlJc w:val="right"/>
      <w:pPr>
        <w:pStyle w:val="1028"/>
        <w:ind w:left="4400" w:hanging="440"/>
      </w:p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3"/>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2"/>
  </w:num>
  <w:num w:numId="27">
    <w:abstractNumId w:val="14"/>
  </w:num>
  <w:num w:numId="28">
    <w:abstractNumId w:val="18"/>
  </w:num>
  <w:num w:numId="29">
    <w:abstractNumId w:val="16"/>
  </w:num>
  <w:num w:numId="30">
    <w:abstractNumId w:val="15"/>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num>
  <w:num w:numId="33">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1028"/>
    <w:next w:val="1028"/>
    <w:link w:val="860"/>
    <w:uiPriority w:val="9"/>
    <w:qFormat/>
    <w:pPr>
      <w:keepLines/>
      <w:keepNext/>
      <w:spacing w:before="480" w:after="200"/>
      <w:outlineLvl w:val="0"/>
    </w:pPr>
    <w:rPr>
      <w:rFonts w:ascii="Arial" w:hAnsi="Arial" w:eastAsia="Arial" w:cs="Arial"/>
      <w:sz w:val="40"/>
      <w:szCs w:val="40"/>
    </w:rPr>
  </w:style>
  <w:style w:type="character" w:styleId="860">
    <w:name w:val="Heading 1 Char"/>
    <w:link w:val="859"/>
    <w:uiPriority w:val="9"/>
    <w:rPr>
      <w:rFonts w:ascii="Arial" w:hAnsi="Arial" w:eastAsia="Arial" w:cs="Arial"/>
      <w:sz w:val="40"/>
      <w:szCs w:val="40"/>
    </w:rPr>
  </w:style>
  <w:style w:type="paragraph" w:styleId="861">
    <w:name w:val="Heading 2"/>
    <w:basedOn w:val="1028"/>
    <w:next w:val="1028"/>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link w:val="861"/>
    <w:uiPriority w:val="9"/>
    <w:rPr>
      <w:rFonts w:ascii="Arial" w:hAnsi="Arial" w:eastAsia="Arial" w:cs="Arial"/>
      <w:sz w:val="34"/>
    </w:rPr>
  </w:style>
  <w:style w:type="paragraph" w:styleId="863">
    <w:name w:val="Heading 3"/>
    <w:basedOn w:val="1028"/>
    <w:next w:val="1028"/>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1028"/>
    <w:next w:val="1028"/>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1028"/>
    <w:next w:val="1028"/>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1028"/>
    <w:next w:val="1028"/>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28"/>
    <w:next w:val="1028"/>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28"/>
    <w:next w:val="1028"/>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28"/>
    <w:next w:val="1028"/>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List Paragraph"/>
    <w:basedOn w:val="1028"/>
    <w:uiPriority w:val="34"/>
    <w:qFormat/>
    <w:pPr>
      <w:contextualSpacing/>
      <w:ind w:left="720"/>
    </w:pPr>
  </w:style>
  <w:style w:type="paragraph" w:styleId="878">
    <w:name w:val="No Spacing"/>
    <w:uiPriority w:val="1"/>
    <w:qFormat/>
    <w:pPr>
      <w:spacing w:before="0" w:after="0" w:line="240" w:lineRule="auto"/>
    </w:pPr>
  </w:style>
  <w:style w:type="paragraph" w:styleId="879">
    <w:name w:val="Title"/>
    <w:basedOn w:val="1028"/>
    <w:next w:val="1028"/>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28"/>
    <w:next w:val="1028"/>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28"/>
    <w:next w:val="1028"/>
    <w:link w:val="884"/>
    <w:uiPriority w:val="29"/>
    <w:qFormat/>
    <w:pPr>
      <w:ind w:left="720" w:right="720"/>
    </w:pPr>
    <w:rPr>
      <w:i/>
    </w:rPr>
  </w:style>
  <w:style w:type="character" w:styleId="884">
    <w:name w:val="Quote Char"/>
    <w:link w:val="883"/>
    <w:uiPriority w:val="29"/>
    <w:rPr>
      <w:i/>
    </w:rPr>
  </w:style>
  <w:style w:type="paragraph" w:styleId="885">
    <w:name w:val="Intense Quote"/>
    <w:basedOn w:val="1028"/>
    <w:next w:val="1028"/>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28"/>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28"/>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28"/>
    <w:next w:val="1028"/>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28"/>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28"/>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28"/>
    <w:link w:val="1028"/>
    <w:qFormat/>
    <w:pPr>
      <w:jc w:val="both"/>
      <w:widowControl w:val="off"/>
    </w:pPr>
    <w:rPr>
      <w:sz w:val="21"/>
      <w:szCs w:val="24"/>
      <w:lang w:val="en-US" w:eastAsia="zh-CN" w:bidi="ar-SA"/>
    </w:rPr>
  </w:style>
  <w:style w:type="paragraph" w:styleId="1029">
    <w:name w:val="标题 1"/>
    <w:basedOn w:val="1028"/>
    <w:next w:val="1028"/>
    <w:link w:val="1041"/>
    <w:qFormat/>
    <w:pPr>
      <w:jc w:val="center"/>
      <w:keepLines/>
      <w:keepNext/>
      <w:spacing w:before="240" w:after="120" w:line="300" w:lineRule="auto"/>
      <w:outlineLvl w:val="0"/>
    </w:pPr>
    <w:rPr>
      <w:rFonts w:ascii="宋体"/>
      <w:b/>
      <w:sz w:val="32"/>
      <w:szCs w:val="20"/>
    </w:rPr>
  </w:style>
  <w:style w:type="paragraph" w:styleId="1030">
    <w:name w:val="标题 2"/>
    <w:basedOn w:val="1028"/>
    <w:next w:val="1043"/>
    <w:link w:val="1042"/>
    <w:qFormat/>
    <w:pPr>
      <w:jc w:val="center"/>
      <w:keepLines/>
      <w:keepNext/>
      <w:spacing w:before="120" w:line="300" w:lineRule="auto"/>
      <w:outlineLvl w:val="1"/>
    </w:pPr>
    <w:rPr>
      <w:rFonts w:ascii="Arial" w:hAnsi="Arial" w:eastAsia="黑体"/>
      <w:b/>
      <w:sz w:val="30"/>
      <w:szCs w:val="20"/>
    </w:rPr>
  </w:style>
  <w:style w:type="paragraph" w:styleId="1031">
    <w:name w:val="标题 3"/>
    <w:basedOn w:val="1028"/>
    <w:next w:val="1028"/>
    <w:link w:val="1045"/>
    <w:qFormat/>
    <w:pPr>
      <w:jc w:val="left"/>
      <w:keepLines/>
      <w:keepNext/>
      <w:spacing w:before="360" w:after="120"/>
      <w:outlineLvl w:val="2"/>
    </w:pPr>
    <w:rPr>
      <w:rFonts w:ascii="宋体"/>
      <w:b/>
      <w:sz w:val="24"/>
      <w:szCs w:val="20"/>
      <w:u w:val="single"/>
    </w:rPr>
  </w:style>
  <w:style w:type="paragraph" w:styleId="1032">
    <w:name w:val="标题 4"/>
    <w:basedOn w:val="1028"/>
    <w:next w:val="1028"/>
    <w:link w:val="1046"/>
    <w:qFormat/>
    <w:pPr>
      <w:keepLines/>
      <w:keepNext/>
      <w:spacing w:before="280" w:after="290" w:line="376" w:lineRule="atLeast"/>
      <w:outlineLvl w:val="3"/>
    </w:pPr>
    <w:rPr>
      <w:rFonts w:ascii="Arial" w:hAnsi="Arial" w:eastAsia="黑体"/>
      <w:b/>
      <w:sz w:val="28"/>
      <w:szCs w:val="20"/>
    </w:rPr>
  </w:style>
  <w:style w:type="paragraph" w:styleId="1033">
    <w:name w:val="标题 5"/>
    <w:basedOn w:val="1028"/>
    <w:next w:val="1028"/>
    <w:link w:val="1047"/>
    <w:qFormat/>
    <w:pPr>
      <w:keepLines/>
      <w:keepNext/>
      <w:spacing w:before="280" w:after="290" w:line="376" w:lineRule="atLeast"/>
      <w:outlineLvl w:val="4"/>
    </w:pPr>
    <w:rPr>
      <w:b/>
      <w:sz w:val="28"/>
      <w:szCs w:val="20"/>
    </w:rPr>
  </w:style>
  <w:style w:type="paragraph" w:styleId="1034">
    <w:name w:val="标题 6"/>
    <w:basedOn w:val="1028"/>
    <w:next w:val="1028"/>
    <w:link w:val="1048"/>
    <w:qFormat/>
    <w:pPr>
      <w:keepLines/>
      <w:keepNext/>
      <w:spacing w:before="240" w:after="64" w:line="320" w:lineRule="atLeast"/>
      <w:outlineLvl w:val="5"/>
    </w:pPr>
    <w:rPr>
      <w:rFonts w:ascii="Arial" w:hAnsi="Arial" w:eastAsia="黑体"/>
      <w:b/>
      <w:sz w:val="24"/>
      <w:szCs w:val="20"/>
    </w:rPr>
  </w:style>
  <w:style w:type="paragraph" w:styleId="1035">
    <w:name w:val="标题 7"/>
    <w:basedOn w:val="1028"/>
    <w:next w:val="1028"/>
    <w:link w:val="1049"/>
    <w:qFormat/>
    <w:pPr>
      <w:keepLines/>
      <w:keepNext/>
      <w:spacing w:before="240" w:after="64" w:line="320" w:lineRule="atLeast"/>
      <w:outlineLvl w:val="6"/>
    </w:pPr>
    <w:rPr>
      <w:b/>
      <w:sz w:val="24"/>
      <w:szCs w:val="20"/>
    </w:rPr>
  </w:style>
  <w:style w:type="paragraph" w:styleId="1036">
    <w:name w:val="标题 8"/>
    <w:basedOn w:val="1028"/>
    <w:next w:val="1028"/>
    <w:link w:val="1050"/>
    <w:qFormat/>
    <w:pPr>
      <w:keepLines/>
      <w:keepNext/>
      <w:spacing w:before="240" w:after="64" w:line="320" w:lineRule="atLeast"/>
      <w:outlineLvl w:val="7"/>
    </w:pPr>
    <w:rPr>
      <w:rFonts w:ascii="Arial" w:hAnsi="Arial" w:eastAsia="黑体"/>
      <w:sz w:val="24"/>
      <w:szCs w:val="20"/>
    </w:rPr>
  </w:style>
  <w:style w:type="paragraph" w:styleId="1037">
    <w:name w:val="标题 9"/>
    <w:basedOn w:val="1028"/>
    <w:next w:val="1028"/>
    <w:link w:val="1051"/>
    <w:qFormat/>
    <w:pPr>
      <w:keepLines/>
      <w:keepNext/>
      <w:spacing w:before="240" w:after="64" w:line="320" w:lineRule="atLeast"/>
      <w:outlineLvl w:val="8"/>
    </w:pPr>
    <w:rPr>
      <w:rFonts w:ascii="Arial" w:hAnsi="Arial" w:eastAsia="黑体"/>
      <w:szCs w:val="20"/>
    </w:rPr>
  </w:style>
  <w:style w:type="character" w:styleId="1038">
    <w:name w:val="默认段落字体"/>
    <w:next w:val="1038"/>
    <w:link w:val="1028"/>
    <w:uiPriority w:val="1"/>
    <w:unhideWhenUsed/>
    <w:qFormat/>
  </w:style>
  <w:style w:type="table" w:styleId="1039">
    <w:name w:val="普通表格"/>
    <w:next w:val="1039"/>
    <w:link w:val="1028"/>
    <w:uiPriority w:val="99"/>
    <w:unhideWhenUsed/>
    <w:qFormat/>
    <w:tblPr/>
  </w:style>
  <w:style w:type="numbering" w:styleId="1040">
    <w:name w:val="无列表"/>
    <w:next w:val="1040"/>
    <w:link w:val="1028"/>
    <w:uiPriority w:val="99"/>
    <w:semiHidden/>
    <w:unhideWhenUsed/>
  </w:style>
  <w:style w:type="character" w:styleId="1041">
    <w:name w:val="标题 1 字符"/>
    <w:next w:val="1041"/>
    <w:link w:val="1029"/>
    <w:qFormat/>
    <w:rPr>
      <w:rFonts w:ascii="宋体"/>
      <w:b/>
      <w:sz w:val="32"/>
    </w:rPr>
  </w:style>
  <w:style w:type="character" w:styleId="1042">
    <w:name w:val="标题 2 字符"/>
    <w:next w:val="1042"/>
    <w:link w:val="1030"/>
    <w:qFormat/>
    <w:rPr>
      <w:rFonts w:ascii="Arial" w:hAnsi="Arial" w:eastAsia="黑体"/>
      <w:b/>
      <w:sz w:val="30"/>
      <w:lang w:val="en-US" w:eastAsia="zh-CN" w:bidi="ar-SA"/>
    </w:rPr>
  </w:style>
  <w:style w:type="paragraph" w:styleId="1043">
    <w:name w:val="正文缩进"/>
    <w:basedOn w:val="1028"/>
    <w:next w:val="1043"/>
    <w:link w:val="1044"/>
    <w:qFormat/>
    <w:pPr>
      <w:ind w:firstLine="420"/>
      <w:jc w:val="left"/>
    </w:pPr>
    <w:rPr>
      <w:rFonts w:ascii="宋体"/>
      <w:sz w:val="24"/>
    </w:rPr>
  </w:style>
  <w:style w:type="character" w:styleId="1044">
    <w:name w:val="正文缩进 字符"/>
    <w:next w:val="1044"/>
    <w:link w:val="1043"/>
    <w:qFormat/>
    <w:rPr>
      <w:rFonts w:ascii="宋体" w:eastAsia="宋体"/>
      <w:sz w:val="24"/>
      <w:szCs w:val="24"/>
      <w:lang w:val="en-US" w:eastAsia="zh-CN" w:bidi="ar-SA"/>
    </w:rPr>
  </w:style>
  <w:style w:type="character" w:styleId="1045">
    <w:name w:val="标题 3 字符"/>
    <w:next w:val="1045"/>
    <w:link w:val="1031"/>
    <w:qFormat/>
    <w:rPr>
      <w:rFonts w:ascii="宋体" w:eastAsia="宋体"/>
      <w:b/>
      <w:sz w:val="24"/>
      <w:u w:val="single"/>
      <w:lang w:val="en-US" w:eastAsia="zh-CN" w:bidi="ar-SA"/>
    </w:rPr>
  </w:style>
  <w:style w:type="character" w:styleId="1046">
    <w:name w:val="标题 4 字符"/>
    <w:next w:val="1046"/>
    <w:link w:val="1032"/>
    <w:qFormat/>
    <w:rPr>
      <w:rFonts w:ascii="Arial" w:hAnsi="Arial" w:eastAsia="黑体"/>
      <w:b/>
      <w:sz w:val="28"/>
    </w:rPr>
  </w:style>
  <w:style w:type="character" w:styleId="1047">
    <w:name w:val="标题 5 字符"/>
    <w:next w:val="1047"/>
    <w:link w:val="1033"/>
    <w:qFormat/>
    <w:rPr>
      <w:b/>
      <w:sz w:val="28"/>
    </w:rPr>
  </w:style>
  <w:style w:type="character" w:styleId="1048">
    <w:name w:val="标题 6 字符"/>
    <w:next w:val="1048"/>
    <w:link w:val="1034"/>
    <w:qFormat/>
    <w:rPr>
      <w:rFonts w:ascii="Arial" w:hAnsi="Arial" w:eastAsia="黑体"/>
      <w:b/>
      <w:sz w:val="24"/>
    </w:rPr>
  </w:style>
  <w:style w:type="character" w:styleId="1049">
    <w:name w:val="标题 7 字符"/>
    <w:next w:val="1049"/>
    <w:link w:val="1035"/>
    <w:qFormat/>
    <w:rPr>
      <w:b/>
      <w:sz w:val="24"/>
    </w:rPr>
  </w:style>
  <w:style w:type="character" w:styleId="1050">
    <w:name w:val="标题 8 字符"/>
    <w:next w:val="1050"/>
    <w:link w:val="1036"/>
    <w:qFormat/>
    <w:rPr>
      <w:rFonts w:ascii="Arial" w:hAnsi="Arial" w:eastAsia="黑体"/>
      <w:sz w:val="24"/>
    </w:rPr>
  </w:style>
  <w:style w:type="character" w:styleId="1051">
    <w:name w:val="标题 9 字符"/>
    <w:next w:val="1051"/>
    <w:link w:val="1037"/>
    <w:qFormat/>
    <w:rPr>
      <w:rFonts w:ascii="Arial" w:hAnsi="Arial" w:eastAsia="黑体"/>
      <w:sz w:val="21"/>
    </w:rPr>
  </w:style>
  <w:style w:type="paragraph" w:styleId="1052">
    <w:name w:val="toc 7"/>
    <w:basedOn w:val="1028"/>
    <w:next w:val="1028"/>
    <w:link w:val="1028"/>
    <w:qFormat/>
    <w:pPr>
      <w:ind w:left="2520"/>
    </w:pPr>
  </w:style>
  <w:style w:type="paragraph" w:styleId="1053">
    <w:name w:val="题注"/>
    <w:basedOn w:val="1028"/>
    <w:next w:val="1028"/>
    <w:link w:val="1028"/>
    <w:qFormat/>
    <w:pPr>
      <w:spacing w:line="480" w:lineRule="auto"/>
    </w:pPr>
    <w:rPr>
      <w:rFonts w:ascii="华文中宋" w:hAnsi="华文中宋" w:eastAsia="华文中宋"/>
      <w:sz w:val="36"/>
      <w:szCs w:val="20"/>
    </w:rPr>
  </w:style>
  <w:style w:type="paragraph" w:styleId="1054">
    <w:name w:val="文档结构图"/>
    <w:basedOn w:val="1028"/>
    <w:next w:val="1054"/>
    <w:link w:val="1055"/>
    <w:qFormat/>
    <w:pPr>
      <w:shd w:val="clear" w:color="auto" w:fill="000080"/>
    </w:pPr>
  </w:style>
  <w:style w:type="character" w:styleId="1055">
    <w:name w:val="文档结构图 字符"/>
    <w:next w:val="1055"/>
    <w:link w:val="1054"/>
    <w:qFormat/>
    <w:rPr>
      <w:sz w:val="21"/>
      <w:szCs w:val="24"/>
      <w:shd w:val="clear" w:color="auto" w:fill="000080"/>
    </w:rPr>
  </w:style>
  <w:style w:type="paragraph" w:styleId="1056">
    <w:name w:val="批注文字"/>
    <w:basedOn w:val="1028"/>
    <w:next w:val="1056"/>
    <w:link w:val="1057"/>
    <w:uiPriority w:val="99"/>
    <w:qFormat/>
    <w:pPr>
      <w:jc w:val="left"/>
    </w:pPr>
  </w:style>
  <w:style w:type="character" w:styleId="1057">
    <w:name w:val="批注文字 字符1"/>
    <w:next w:val="1057"/>
    <w:link w:val="1056"/>
    <w:uiPriority w:val="99"/>
    <w:qFormat/>
    <w:rPr>
      <w:sz w:val="21"/>
      <w:szCs w:val="24"/>
    </w:rPr>
  </w:style>
  <w:style w:type="paragraph" w:styleId="1058">
    <w:name w:val="正文文本 3"/>
    <w:basedOn w:val="1028"/>
    <w:next w:val="1058"/>
    <w:link w:val="1059"/>
    <w:qFormat/>
    <w:pPr>
      <w:spacing w:after="120"/>
    </w:pPr>
    <w:rPr>
      <w:sz w:val="16"/>
      <w:szCs w:val="16"/>
    </w:rPr>
  </w:style>
  <w:style w:type="character" w:styleId="1059">
    <w:name w:val="正文文本 3 字符"/>
    <w:next w:val="1059"/>
    <w:link w:val="1058"/>
    <w:qFormat/>
    <w:rPr>
      <w:sz w:val="16"/>
      <w:szCs w:val="16"/>
    </w:rPr>
  </w:style>
  <w:style w:type="paragraph" w:styleId="1060">
    <w:name w:val="正文文本"/>
    <w:basedOn w:val="1028"/>
    <w:next w:val="1060"/>
    <w:link w:val="1061"/>
    <w:qFormat/>
    <w:pPr>
      <w:spacing w:before="120" w:line="22" w:lineRule="atLeast"/>
      <w:tabs>
        <w:tab w:val="left" w:pos="567" w:leader="none"/>
      </w:tabs>
    </w:pPr>
    <w:rPr>
      <w:rFonts w:ascii="宋体" w:hAnsi="宋体"/>
      <w:sz w:val="24"/>
    </w:rPr>
  </w:style>
  <w:style w:type="character" w:styleId="1061">
    <w:name w:val="正文文本 字符1"/>
    <w:next w:val="1061"/>
    <w:link w:val="1060"/>
    <w:qFormat/>
    <w:rPr>
      <w:rFonts w:ascii="宋体" w:hAnsi="宋体"/>
      <w:sz w:val="24"/>
      <w:szCs w:val="24"/>
    </w:rPr>
  </w:style>
  <w:style w:type="paragraph" w:styleId="1062">
    <w:name w:val="正文文本缩进"/>
    <w:basedOn w:val="1028"/>
    <w:next w:val="1062"/>
    <w:link w:val="1063"/>
    <w:qFormat/>
    <w:pPr>
      <w:ind w:firstLine="570"/>
      <w:spacing w:line="360" w:lineRule="auto"/>
    </w:pPr>
    <w:rPr>
      <w:sz w:val="24"/>
    </w:rPr>
  </w:style>
  <w:style w:type="character" w:styleId="1063">
    <w:name w:val="正文文本缩进 字符"/>
    <w:next w:val="1063"/>
    <w:link w:val="1062"/>
    <w:qFormat/>
    <w:rPr>
      <w:rFonts w:eastAsia="宋体"/>
      <w:sz w:val="24"/>
      <w:szCs w:val="24"/>
      <w:lang w:val="en-US" w:eastAsia="zh-CN" w:bidi="ar-SA"/>
    </w:rPr>
  </w:style>
  <w:style w:type="paragraph" w:styleId="1064">
    <w:name w:val="列表 2"/>
    <w:basedOn w:val="1028"/>
    <w:next w:val="1064"/>
    <w:link w:val="1028"/>
    <w:qFormat/>
    <w:pPr>
      <w:ind w:left="100" w:hanging="200"/>
    </w:pPr>
  </w:style>
  <w:style w:type="paragraph" w:styleId="1065">
    <w:name w:val="文本块"/>
    <w:basedOn w:val="1028"/>
    <w:next w:val="1065"/>
    <w:link w:val="1028"/>
    <w:qFormat/>
    <w:pPr>
      <w:ind w:left="480" w:right="-341" w:firstLine="513"/>
      <w:widowControl/>
    </w:pPr>
    <w:rPr>
      <w:sz w:val="24"/>
      <w:szCs w:val="20"/>
    </w:rPr>
  </w:style>
  <w:style w:type="paragraph" w:styleId="1066">
    <w:name w:val="toc 5"/>
    <w:basedOn w:val="1028"/>
    <w:next w:val="1028"/>
    <w:link w:val="1028"/>
    <w:qFormat/>
    <w:pPr>
      <w:ind w:left="1680"/>
    </w:pPr>
  </w:style>
  <w:style w:type="paragraph" w:styleId="1067">
    <w:name w:val="toc 3"/>
    <w:basedOn w:val="1028"/>
    <w:next w:val="1028"/>
    <w:link w:val="1028"/>
    <w:uiPriority w:val="39"/>
    <w:qFormat/>
    <w:pPr>
      <w:ind w:left="840"/>
    </w:pPr>
  </w:style>
  <w:style w:type="paragraph" w:styleId="1068">
    <w:name w:val="纯文本"/>
    <w:basedOn w:val="1028"/>
    <w:next w:val="1068"/>
    <w:link w:val="1069"/>
    <w:qFormat/>
    <w:rPr>
      <w:rFonts w:hint="eastAsia" w:ascii="宋体" w:hAnsi="Courier New"/>
      <w:szCs w:val="20"/>
    </w:rPr>
  </w:style>
  <w:style w:type="character" w:styleId="1069">
    <w:name w:val="纯文本 字符2"/>
    <w:next w:val="1069"/>
    <w:link w:val="1068"/>
    <w:qFormat/>
    <w:rPr>
      <w:rFonts w:hint="eastAsia" w:ascii="宋体" w:hAnsi="Courier New" w:eastAsia="宋体" w:cs="宋体"/>
      <w:sz w:val="21"/>
    </w:rPr>
  </w:style>
  <w:style w:type="paragraph" w:styleId="1070">
    <w:name w:val="toc 8"/>
    <w:basedOn w:val="1028"/>
    <w:next w:val="1028"/>
    <w:link w:val="1028"/>
    <w:qFormat/>
    <w:pPr>
      <w:ind w:left="2940"/>
    </w:pPr>
  </w:style>
  <w:style w:type="paragraph" w:styleId="1071">
    <w:name w:val="日期"/>
    <w:basedOn w:val="1028"/>
    <w:next w:val="1028"/>
    <w:link w:val="1072"/>
    <w:qFormat/>
    <w:pPr>
      <w:ind w:left="100"/>
    </w:pPr>
    <w:rPr>
      <w:rFonts w:ascii="仿宋_GB2312" w:hAnsi="宋体" w:eastAsia="仿宋_GB2312"/>
      <w:color w:val="000000"/>
      <w:sz w:val="24"/>
    </w:rPr>
  </w:style>
  <w:style w:type="character" w:styleId="1072">
    <w:name w:val="日期 字符"/>
    <w:next w:val="1072"/>
    <w:link w:val="1071"/>
    <w:qFormat/>
    <w:rPr>
      <w:rFonts w:ascii="仿宋_GB2312" w:hAnsi="宋体" w:eastAsia="仿宋_GB2312"/>
      <w:color w:val="000000"/>
      <w:sz w:val="24"/>
      <w:szCs w:val="24"/>
    </w:rPr>
  </w:style>
  <w:style w:type="paragraph" w:styleId="1073">
    <w:name w:val="正文文本缩进 2"/>
    <w:basedOn w:val="1028"/>
    <w:next w:val="1073"/>
    <w:link w:val="1074"/>
    <w:qFormat/>
    <w:pPr>
      <w:ind w:firstLine="480"/>
    </w:pPr>
    <w:rPr>
      <w:rFonts w:ascii="仿宋_GB2312" w:eastAsia="仿宋_GB2312"/>
      <w:sz w:val="24"/>
    </w:rPr>
  </w:style>
  <w:style w:type="character" w:styleId="1074">
    <w:name w:val="正文文本缩进 2 字符"/>
    <w:next w:val="1074"/>
    <w:link w:val="1073"/>
    <w:qFormat/>
    <w:rPr>
      <w:rFonts w:ascii="仿宋_GB2312" w:eastAsia="仿宋_GB2312"/>
      <w:sz w:val="24"/>
      <w:szCs w:val="24"/>
    </w:rPr>
  </w:style>
  <w:style w:type="paragraph" w:styleId="1075">
    <w:name w:val="批注框文本"/>
    <w:basedOn w:val="1028"/>
    <w:next w:val="1075"/>
    <w:link w:val="1076"/>
    <w:qFormat/>
    <w:rPr>
      <w:sz w:val="18"/>
      <w:szCs w:val="18"/>
    </w:rPr>
  </w:style>
  <w:style w:type="character" w:styleId="1076">
    <w:name w:val="批注框文本 字符"/>
    <w:next w:val="1076"/>
    <w:link w:val="1075"/>
    <w:qFormat/>
    <w:rPr>
      <w:sz w:val="18"/>
      <w:szCs w:val="18"/>
    </w:rPr>
  </w:style>
  <w:style w:type="paragraph" w:styleId="1077">
    <w:name w:val="页脚"/>
    <w:basedOn w:val="1028"/>
    <w:next w:val="1077"/>
    <w:link w:val="1078"/>
    <w:uiPriority w:val="99"/>
    <w:qFormat/>
    <w:pPr>
      <w:jc w:val="left"/>
      <w:tabs>
        <w:tab w:val="center" w:pos="4153" w:leader="none"/>
        <w:tab w:val="right" w:pos="8306" w:leader="none"/>
      </w:tabs>
    </w:pPr>
    <w:rPr>
      <w:rFonts w:ascii="宋体"/>
      <w:sz w:val="18"/>
      <w:szCs w:val="20"/>
    </w:rPr>
  </w:style>
  <w:style w:type="character" w:styleId="1078">
    <w:name w:val="页脚 字符"/>
    <w:next w:val="1078"/>
    <w:link w:val="1077"/>
    <w:uiPriority w:val="99"/>
    <w:qFormat/>
    <w:rPr>
      <w:rFonts w:ascii="宋体" w:eastAsia="宋体"/>
      <w:sz w:val="18"/>
      <w:lang w:val="en-US" w:eastAsia="zh-CN" w:bidi="ar-SA"/>
    </w:rPr>
  </w:style>
  <w:style w:type="paragraph" w:styleId="1079">
    <w:name w:val="页眉"/>
    <w:basedOn w:val="1028"/>
    <w:next w:val="1079"/>
    <w:link w:val="1080"/>
    <w:qFormat/>
    <w:pPr>
      <w:jc w:val="center"/>
      <w:tabs>
        <w:tab w:val="center" w:pos="4153" w:leader="none"/>
        <w:tab w:val="right" w:pos="8306" w:leader="none"/>
      </w:tabs>
      <w:pBdr>
        <w:bottom w:val="single" w:color="000000" w:sz="6" w:space="1"/>
      </w:pBdr>
    </w:pPr>
    <w:rPr>
      <w:sz w:val="18"/>
      <w:szCs w:val="18"/>
    </w:rPr>
  </w:style>
  <w:style w:type="character" w:styleId="1080">
    <w:name w:val="页眉 字符"/>
    <w:next w:val="1080"/>
    <w:link w:val="1079"/>
    <w:qFormat/>
    <w:rPr>
      <w:rFonts w:eastAsia="宋体"/>
      <w:sz w:val="18"/>
      <w:szCs w:val="18"/>
      <w:lang w:val="en-US" w:eastAsia="zh-CN" w:bidi="ar-SA"/>
    </w:rPr>
  </w:style>
  <w:style w:type="paragraph" w:styleId="1081">
    <w:name w:val="toc 1"/>
    <w:basedOn w:val="1028"/>
    <w:next w:val="1028"/>
    <w:link w:val="1028"/>
    <w:uiPriority w:val="39"/>
    <w:qFormat/>
    <w:pPr>
      <w:spacing w:line="300" w:lineRule="auto"/>
      <w:tabs>
        <w:tab w:val="left" w:pos="1050" w:leader="none"/>
        <w:tab w:val="right" w:pos="8937" w:leader="dot"/>
      </w:tabs>
    </w:pPr>
    <w:rPr>
      <w:rFonts w:ascii="宋体" w:hAnsi="宋体"/>
      <w:b/>
      <w:sz w:val="24"/>
    </w:rPr>
  </w:style>
  <w:style w:type="paragraph" w:styleId="1082">
    <w:name w:val="toc 4"/>
    <w:basedOn w:val="1028"/>
    <w:next w:val="1028"/>
    <w:link w:val="1028"/>
    <w:qFormat/>
    <w:pPr>
      <w:ind w:left="1260"/>
    </w:pPr>
  </w:style>
  <w:style w:type="paragraph" w:styleId="1083">
    <w:name w:val="toc 6"/>
    <w:basedOn w:val="1028"/>
    <w:next w:val="1028"/>
    <w:link w:val="1028"/>
    <w:qFormat/>
    <w:pPr>
      <w:ind w:left="2100"/>
    </w:pPr>
  </w:style>
  <w:style w:type="paragraph" w:styleId="1084">
    <w:name w:val="正文文本缩进 3"/>
    <w:basedOn w:val="1028"/>
    <w:next w:val="1084"/>
    <w:link w:val="1085"/>
    <w:qFormat/>
    <w:pPr>
      <w:ind w:left="720" w:firstLine="480"/>
      <w:jc w:val="left"/>
      <w:spacing w:before="120" w:line="22" w:lineRule="atLeast"/>
    </w:pPr>
    <w:rPr>
      <w:rFonts w:ascii="宋体"/>
      <w:sz w:val="24"/>
      <w:szCs w:val="20"/>
    </w:rPr>
  </w:style>
  <w:style w:type="character" w:styleId="1085">
    <w:name w:val="正文文本缩进 3 字符"/>
    <w:next w:val="1085"/>
    <w:link w:val="1084"/>
    <w:qFormat/>
    <w:rPr>
      <w:rFonts w:ascii="宋体"/>
      <w:sz w:val="24"/>
    </w:rPr>
  </w:style>
  <w:style w:type="paragraph" w:styleId="1086">
    <w:name w:val="toc 2"/>
    <w:basedOn w:val="1028"/>
    <w:next w:val="1028"/>
    <w:link w:val="1028"/>
    <w:uiPriority w:val="39"/>
    <w:qFormat/>
    <w:pPr>
      <w:ind w:left="420"/>
      <w:spacing w:line="312" w:lineRule="auto"/>
      <w:tabs>
        <w:tab w:val="right" w:pos="8937" w:leader="dot"/>
      </w:tabs>
    </w:pPr>
  </w:style>
  <w:style w:type="paragraph" w:styleId="1087">
    <w:name w:val="toc 9"/>
    <w:basedOn w:val="1028"/>
    <w:next w:val="1028"/>
    <w:link w:val="1028"/>
    <w:qFormat/>
    <w:pPr>
      <w:ind w:left="3360"/>
    </w:pPr>
  </w:style>
  <w:style w:type="paragraph" w:styleId="1088">
    <w:name w:val="HTML 预设格式"/>
    <w:basedOn w:val="1028"/>
    <w:next w:val="1088"/>
    <w:link w:val="10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9">
    <w:name w:val="HTML 预设格式 字符"/>
    <w:next w:val="1089"/>
    <w:link w:val="1088"/>
    <w:qFormat/>
    <w:rPr>
      <w:rFonts w:ascii="宋体" w:hAnsi="宋体" w:cs="宋体"/>
      <w:sz w:val="24"/>
      <w:szCs w:val="24"/>
    </w:rPr>
  </w:style>
  <w:style w:type="paragraph" w:styleId="1090">
    <w:name w:val="普通(网站)"/>
    <w:basedOn w:val="1028"/>
    <w:next w:val="1090"/>
    <w:link w:val="1028"/>
    <w:uiPriority w:val="99"/>
    <w:unhideWhenUsed/>
    <w:qFormat/>
    <w:pPr>
      <w:jc w:val="left"/>
      <w:spacing w:before="100" w:beforeAutospacing="1" w:after="100" w:afterAutospacing="1"/>
      <w:widowControl/>
    </w:pPr>
    <w:rPr>
      <w:rFonts w:ascii="宋体" w:hAnsi="宋体" w:cs="宋体"/>
      <w:sz w:val="24"/>
    </w:rPr>
  </w:style>
  <w:style w:type="paragraph" w:styleId="1091">
    <w:name w:val="索引 1"/>
    <w:basedOn w:val="1028"/>
    <w:next w:val="1028"/>
    <w:link w:val="1028"/>
    <w:qFormat/>
    <w:rPr>
      <w:szCs w:val="20"/>
    </w:rPr>
  </w:style>
  <w:style w:type="paragraph" w:styleId="1092">
    <w:name w:val="标题"/>
    <w:basedOn w:val="1028"/>
    <w:next w:val="1092"/>
    <w:link w:val="1093"/>
    <w:qFormat/>
    <w:pPr>
      <w:jc w:val="center"/>
      <w:outlineLvl w:val="0"/>
    </w:pPr>
    <w:rPr>
      <w:b/>
      <w:sz w:val="32"/>
      <w:szCs w:val="20"/>
    </w:rPr>
  </w:style>
  <w:style w:type="character" w:styleId="1093">
    <w:name w:val="标题 字符"/>
    <w:next w:val="1093"/>
    <w:link w:val="1092"/>
    <w:qFormat/>
    <w:rPr>
      <w:b/>
      <w:sz w:val="32"/>
    </w:rPr>
  </w:style>
  <w:style w:type="paragraph" w:styleId="1094">
    <w:name w:val="批注主题"/>
    <w:basedOn w:val="1056"/>
    <w:next w:val="1056"/>
    <w:link w:val="1095"/>
    <w:qFormat/>
    <w:rPr>
      <w:b/>
      <w:bCs/>
    </w:rPr>
  </w:style>
  <w:style w:type="character" w:styleId="1095">
    <w:name w:val="批注主题 字符"/>
    <w:next w:val="1095"/>
    <w:link w:val="1094"/>
    <w:qFormat/>
    <w:rPr>
      <w:rFonts w:ascii="Times New Roman" w:hAnsi="Times New Roman" w:eastAsia="宋体" w:cs="Times New Roman"/>
      <w:b/>
      <w:bCs/>
      <w:sz w:val="21"/>
      <w:szCs w:val="24"/>
      <w:lang w:val="en-US" w:eastAsia="zh-CN" w:bidi="ar-SA"/>
    </w:rPr>
  </w:style>
  <w:style w:type="paragraph" w:styleId="1096">
    <w:name w:val="正文文本首行缩进"/>
    <w:basedOn w:val="1060"/>
    <w:next w:val="1096"/>
    <w:link w:val="1097"/>
    <w:uiPriority w:val="99"/>
    <w:qFormat/>
    <w:pPr>
      <w:ind w:firstLine="420"/>
      <w:tabs>
        <w:tab w:val="left" w:pos="567" w:leader="none"/>
      </w:tabs>
    </w:pPr>
  </w:style>
  <w:style w:type="character" w:styleId="1097">
    <w:name w:val="正文文本首行缩进 字符"/>
    <w:next w:val="1097"/>
    <w:link w:val="1096"/>
    <w:uiPriority w:val="99"/>
    <w:rPr>
      <w:rFonts w:ascii="宋体" w:hAnsi="宋体"/>
      <w:sz w:val="24"/>
      <w:szCs w:val="24"/>
    </w:rPr>
  </w:style>
  <w:style w:type="paragraph" w:styleId="1098">
    <w:name w:val="正文文本首行缩进 2"/>
    <w:basedOn w:val="1062"/>
    <w:next w:val="1098"/>
    <w:link w:val="1099"/>
    <w:qFormat/>
    <w:pPr>
      <w:ind w:left="420" w:firstLine="420"/>
      <w:spacing w:after="120" w:line="480" w:lineRule="exact"/>
    </w:pPr>
    <w:rPr>
      <w:szCs w:val="20"/>
    </w:rPr>
  </w:style>
  <w:style w:type="character" w:styleId="1099">
    <w:name w:val="正文文本首行缩进 2 字符"/>
    <w:next w:val="1099"/>
    <w:link w:val="1098"/>
    <w:qFormat/>
    <w:rPr>
      <w:rFonts w:eastAsia="宋体"/>
      <w:sz w:val="24"/>
      <w:szCs w:val="24"/>
      <w:lang w:val="en-US" w:eastAsia="zh-CN" w:bidi="ar-SA"/>
    </w:rPr>
  </w:style>
  <w:style w:type="table" w:styleId="1100">
    <w:name w:val="网格型"/>
    <w:basedOn w:val="1039"/>
    <w:next w:val="1100"/>
    <w:link w:val="1028"/>
    <w:uiPriority w:val="39"/>
    <w:qFormat/>
    <w:tblPr/>
  </w:style>
  <w:style w:type="table" w:styleId="1101">
    <w:name w:val="中等深浅网格 1 - 着色 2"/>
    <w:basedOn w:val="1039"/>
    <w:next w:val="1101"/>
    <w:link w:val="1028"/>
    <w:qFormat/>
    <w:rPr>
      <w:sz w:val="21"/>
      <w:szCs w:val="24"/>
    </w:rPr>
    <w:tblPr/>
  </w:style>
  <w:style w:type="character" w:styleId="1102">
    <w:name w:val="要点"/>
    <w:next w:val="1102"/>
    <w:link w:val="1028"/>
    <w:uiPriority w:val="22"/>
    <w:qFormat/>
    <w:rPr>
      <w:b/>
      <w:bCs/>
    </w:rPr>
  </w:style>
  <w:style w:type="character" w:styleId="1103">
    <w:name w:val="页码"/>
    <w:next w:val="1103"/>
    <w:link w:val="1028"/>
    <w:qFormat/>
  </w:style>
  <w:style w:type="character" w:styleId="1104">
    <w:name w:val="访问过的超链接"/>
    <w:next w:val="1104"/>
    <w:link w:val="1028"/>
    <w:qFormat/>
    <w:rPr>
      <w:color w:val="333333"/>
      <w:u w:val="none"/>
    </w:rPr>
  </w:style>
  <w:style w:type="character" w:styleId="1105">
    <w:name w:val="强调"/>
    <w:next w:val="1105"/>
    <w:link w:val="1028"/>
    <w:qFormat/>
    <w:rPr>
      <w:color w:val="cc0033"/>
    </w:rPr>
  </w:style>
  <w:style w:type="character" w:styleId="1106">
    <w:name w:val="超链接"/>
    <w:next w:val="1106"/>
    <w:link w:val="1028"/>
    <w:uiPriority w:val="99"/>
    <w:qFormat/>
    <w:rPr>
      <w:color w:val="333333"/>
      <w:u w:val="none"/>
    </w:rPr>
  </w:style>
  <w:style w:type="character" w:styleId="1107">
    <w:name w:val="批注引用"/>
    <w:next w:val="1107"/>
    <w:link w:val="1028"/>
    <w:uiPriority w:val="99"/>
    <w:qFormat/>
    <w:rPr>
      <w:sz w:val="21"/>
      <w:szCs w:val="21"/>
    </w:rPr>
  </w:style>
  <w:style w:type="character" w:styleId="1108">
    <w:name w:val="HTML 引文"/>
    <w:next w:val="1108"/>
    <w:link w:val="1028"/>
    <w:qFormat/>
    <w:rPr>
      <w:i/>
      <w:iCs/>
    </w:rPr>
  </w:style>
  <w:style w:type="paragraph" w:styleId="1109">
    <w:name w:val="Default"/>
    <w:next w:val="1109"/>
    <w:link w:val="1028"/>
    <w:qFormat/>
    <w:pPr>
      <w:widowControl w:val="off"/>
    </w:pPr>
    <w:rPr>
      <w:rFonts w:ascii="Symbol" w:hAnsi="Symbol" w:cs="Symbol"/>
      <w:color w:val="000000"/>
      <w:sz w:val="24"/>
      <w:szCs w:val="24"/>
      <w:lang w:val="en-US" w:eastAsia="zh-CN" w:bidi="ar-SA"/>
    </w:rPr>
  </w:style>
  <w:style w:type="character" w:styleId="1110">
    <w:name w:val="批注文字 字符"/>
    <w:next w:val="1110"/>
    <w:link w:val="1028"/>
    <w:uiPriority w:val="99"/>
    <w:qFormat/>
    <w:rPr>
      <w:rFonts w:ascii="Times New Roman" w:hAnsi="Times New Roman" w:eastAsia="宋体" w:cs="Times New Roman"/>
      <w:sz w:val="24"/>
      <w:lang w:val="en-US" w:eastAsia="zh-CN" w:bidi="ar-SA"/>
    </w:rPr>
  </w:style>
  <w:style w:type="character" w:styleId="1111">
    <w:name w:val="c21"/>
    <w:next w:val="1111"/>
    <w:link w:val="1028"/>
    <w:qFormat/>
    <w:rPr>
      <w:rFonts w:ascii="ˎ̥" w:hAnsi="ˎ̥"/>
      <w:color w:val="000000"/>
      <w:sz w:val="20"/>
      <w:szCs w:val="20"/>
      <w:u w:val="none"/>
    </w:rPr>
  </w:style>
  <w:style w:type="character" w:styleId="1112">
    <w:name w:val="title4"/>
    <w:next w:val="1112"/>
    <w:link w:val="1028"/>
    <w:qFormat/>
    <w:rPr>
      <w:b/>
      <w:bCs/>
      <w:color w:val="1d87b3"/>
      <w:sz w:val="15"/>
      <w:szCs w:val="15"/>
    </w:rPr>
  </w:style>
  <w:style w:type="character" w:styleId="1113">
    <w:name w:val="标题 2 Char Char"/>
    <w:next w:val="1113"/>
    <w:link w:val="1028"/>
    <w:qFormat/>
    <w:rPr>
      <w:rFonts w:ascii="Arial" w:hAnsi="Arial" w:eastAsia="黑体"/>
      <w:b/>
      <w:bCs/>
      <w:sz w:val="32"/>
      <w:szCs w:val="32"/>
      <w:lang w:val="en-US" w:eastAsia="zh-CN" w:bidi="ar-SA"/>
    </w:rPr>
  </w:style>
  <w:style w:type="character" w:styleId="1114">
    <w:name w:val="black1"/>
    <w:next w:val="1114"/>
    <w:link w:val="1028"/>
    <w:qFormat/>
    <w:rPr>
      <w:color w:val="000000"/>
    </w:rPr>
  </w:style>
  <w:style w:type="character" w:styleId="1115">
    <w:name w:val="street-address"/>
    <w:next w:val="1115"/>
    <w:link w:val="1028"/>
    <w:qFormat/>
  </w:style>
  <w:style w:type="character" w:styleId="1116">
    <w:name w:val="locality"/>
    <w:next w:val="1116"/>
    <w:link w:val="1028"/>
    <w:qFormat/>
  </w:style>
  <w:style w:type="character" w:styleId="1117">
    <w:name w:val="正文文本缩进 Char1"/>
    <w:next w:val="1117"/>
    <w:link w:val="1118"/>
    <w:qFormat/>
    <w:rPr>
      <w:rFonts w:ascii="宋体" w:hAnsi="宋体" w:eastAsia="宋体"/>
      <w:sz w:val="24"/>
      <w:szCs w:val="24"/>
      <w:lang w:bidi="ar-SA"/>
    </w:rPr>
  </w:style>
  <w:style w:type="paragraph" w:styleId="1118">
    <w:name w:val="正文文本缩进1"/>
    <w:basedOn w:val="1028"/>
    <w:next w:val="1118"/>
    <w:link w:val="1117"/>
    <w:qFormat/>
    <w:pPr>
      <w:ind w:firstLine="480"/>
      <w:spacing w:line="480" w:lineRule="exact"/>
    </w:pPr>
    <w:rPr>
      <w:rFonts w:ascii="宋体" w:hAnsi="宋体"/>
      <w:sz w:val="24"/>
    </w:rPr>
  </w:style>
  <w:style w:type="character" w:styleId="1119">
    <w:name w:val="Char Char11"/>
    <w:next w:val="1119"/>
    <w:link w:val="1028"/>
    <w:qFormat/>
    <w:rPr>
      <w:rFonts w:ascii="宋体" w:eastAsia="宋体"/>
      <w:b/>
      <w:sz w:val="24"/>
      <w:u w:val="single"/>
      <w:lang w:val="en-US" w:eastAsia="zh-CN" w:bidi="ar-SA"/>
    </w:rPr>
  </w:style>
  <w:style w:type="character" w:styleId="1120">
    <w:name w:val="txt"/>
    <w:next w:val="1120"/>
    <w:link w:val="1028"/>
    <w:qFormat/>
  </w:style>
  <w:style w:type="character" w:styleId="1121">
    <w:name w:val="正文缩进 Char Char"/>
    <w:next w:val="1121"/>
    <w:link w:val="1122"/>
    <w:qFormat/>
    <w:rPr>
      <w:rFonts w:ascii="宋体" w:eastAsia="宋体"/>
      <w:color w:val="000000"/>
      <w:sz w:val="28"/>
      <w:lang w:bidi="ar-SA"/>
    </w:rPr>
  </w:style>
  <w:style w:type="paragraph" w:styleId="1122">
    <w:name w:val="正文缩进1"/>
    <w:basedOn w:val="1028"/>
    <w:next w:val="1122"/>
    <w:link w:val="1121"/>
    <w:qFormat/>
    <w:pPr>
      <w:ind w:firstLine="567"/>
      <w:spacing w:line="480" w:lineRule="exact"/>
      <w:widowControl/>
    </w:pPr>
    <w:rPr>
      <w:rFonts w:ascii="宋体"/>
      <w:color w:val="000000"/>
      <w:sz w:val="28"/>
      <w:szCs w:val="20"/>
    </w:rPr>
  </w:style>
  <w:style w:type="character" w:styleId="1123">
    <w:name w:val="普通文字1 Char1"/>
    <w:next w:val="1123"/>
    <w:link w:val="1028"/>
    <w:qFormat/>
    <w:rPr>
      <w:rFonts w:ascii="宋体" w:hAnsi="Courier New" w:eastAsia="宋体"/>
      <w:sz w:val="21"/>
      <w:lang w:val="en-US" w:eastAsia="zh-CN" w:bidi="ar-SA"/>
    </w:rPr>
  </w:style>
  <w:style w:type="character" w:styleId="1124">
    <w:name w:val="chanpin1"/>
    <w:next w:val="1124"/>
    <w:link w:val="1028"/>
    <w:qFormat/>
    <w:rPr>
      <w:rFonts w:ascii="ˎ̥" w:hAnsi="ˎ̥"/>
      <w:color w:val="000000"/>
      <w:sz w:val="20"/>
      <w:szCs w:val="20"/>
      <w:u w:val="none"/>
    </w:rPr>
  </w:style>
  <w:style w:type="character" w:styleId="1125">
    <w:name w:val="列表段落 字符"/>
    <w:next w:val="1125"/>
    <w:link w:val="1126"/>
    <w:uiPriority w:val="34"/>
    <w:qFormat/>
    <w:rPr>
      <w:rFonts w:ascii="Calibri" w:hAnsi="Calibri" w:eastAsia="宋体"/>
      <w:sz w:val="21"/>
      <w:szCs w:val="22"/>
      <w:lang w:val="en-US" w:eastAsia="zh-CN" w:bidi="ar-SA"/>
    </w:rPr>
  </w:style>
  <w:style w:type="paragraph" w:styleId="1126">
    <w:name w:val="列表段落"/>
    <w:basedOn w:val="1028"/>
    <w:next w:val="1126"/>
    <w:link w:val="1125"/>
    <w:uiPriority w:val="34"/>
    <w:qFormat/>
    <w:pPr>
      <w:ind w:firstLine="420"/>
    </w:pPr>
    <w:rPr>
      <w:rFonts w:ascii="Calibri" w:hAnsi="Calibri"/>
      <w:szCs w:val="22"/>
    </w:rPr>
  </w:style>
  <w:style w:type="character" w:styleId="1127">
    <w:name w:val="标题 3 Char Char"/>
    <w:next w:val="1127"/>
    <w:link w:val="1028"/>
    <w:qFormat/>
    <w:rPr>
      <w:rFonts w:eastAsia="宋体"/>
      <w:b/>
      <w:bCs/>
      <w:sz w:val="32"/>
      <w:szCs w:val="32"/>
      <w:lang w:val="en-US" w:eastAsia="zh-CN" w:bidi="ar-SA"/>
    </w:rPr>
  </w:style>
  <w:style w:type="character" w:styleId="1128">
    <w:name w:val="段1 Char"/>
    <w:next w:val="1128"/>
    <w:link w:val="1028"/>
    <w:qFormat/>
    <w:rPr>
      <w:rFonts w:ascii="宋体" w:eastAsia="宋体"/>
      <w:sz w:val="24"/>
      <w:lang w:val="en-US" w:eastAsia="zh-CN" w:bidi="ar-SA"/>
    </w:rPr>
  </w:style>
  <w:style w:type="character" w:styleId="1129">
    <w:name w:val="chanpin拷贝"/>
    <w:next w:val="1129"/>
    <w:link w:val="1028"/>
    <w:qFormat/>
  </w:style>
  <w:style w:type="character" w:styleId="1130">
    <w:name w:val="纯文本 Char1"/>
    <w:next w:val="1130"/>
    <w:link w:val="1028"/>
    <w:qFormat/>
    <w:rPr>
      <w:rFonts w:ascii="宋体" w:hAnsi="Courier New" w:eastAsia="宋体"/>
      <w:sz w:val="21"/>
      <w:lang w:val="en-US" w:eastAsia="zh-CN" w:bidi="ar-SA"/>
    </w:rPr>
  </w:style>
  <w:style w:type="character" w:styleId="1131">
    <w:name w:val="apple-style-span"/>
    <w:next w:val="1131"/>
    <w:link w:val="1028"/>
    <w:qFormat/>
    <w:rPr>
      <w:rFonts w:cs="Times New Roman"/>
    </w:rPr>
  </w:style>
  <w:style w:type="paragraph" w:styleId="1132">
    <w:name w:val="二级条标题"/>
    <w:basedOn w:val="1133"/>
    <w:next w:val="1028"/>
    <w:link w:val="1028"/>
    <w:qFormat/>
    <w:pPr>
      <w:numPr>
        <w:ilvl w:val="0"/>
        <w:numId w:val="0"/>
      </w:numPr>
      <w:ind w:hanging="840"/>
      <w:tabs>
        <w:tab w:val="left" w:pos="360" w:leader="none"/>
        <w:tab w:val="left" w:pos="840" w:leader="none"/>
      </w:tabs>
      <w:outlineLvl w:val="2"/>
    </w:pPr>
    <w:rPr>
      <w:rFonts w:ascii="宋体" w:eastAsia="宋体"/>
      <w:b w:val="0"/>
    </w:rPr>
  </w:style>
  <w:style w:type="paragraph" w:styleId="1133">
    <w:name w:val="一级条标题"/>
    <w:basedOn w:val="1134"/>
    <w:next w:val="1028"/>
    <w:link w:val="1028"/>
    <w:qFormat/>
    <w:pPr>
      <w:numPr>
        <w:ilvl w:val="1"/>
      </w:numPr>
      <w:ind w:left="0" w:hanging="840"/>
      <w:tabs>
        <w:tab w:val="left" w:pos="360" w:leader="none"/>
        <w:tab w:val="left" w:pos="840" w:leader="none"/>
      </w:tabs>
      <w:outlineLvl w:val="1"/>
    </w:pPr>
  </w:style>
  <w:style w:type="paragraph" w:styleId="1134">
    <w:name w:val="章标题"/>
    <w:next w:val="1028"/>
    <w:link w:val="10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5">
    <w:name w:val="font7"/>
    <w:basedOn w:val="1028"/>
    <w:next w:val="1135"/>
    <w:link w:val="1028"/>
    <w:qFormat/>
    <w:pPr>
      <w:jc w:val="left"/>
      <w:spacing w:before="100" w:beforeAutospacing="1" w:after="100" w:afterAutospacing="1"/>
      <w:widowControl/>
    </w:pPr>
    <w:rPr>
      <w:rFonts w:eastAsia="Arial Unicode MS"/>
      <w:b/>
      <w:bCs/>
      <w:color w:val="000000"/>
      <w:sz w:val="20"/>
      <w:szCs w:val="20"/>
    </w:rPr>
  </w:style>
  <w:style w:type="paragraph" w:styleId="1136">
    <w:name w:val="字元 字元"/>
    <w:basedOn w:val="1028"/>
    <w:next w:val="1136"/>
    <w:link w:val="1028"/>
    <w:qFormat/>
    <w:rPr>
      <w:rFonts w:ascii="Tahoma" w:hAnsi="Tahoma"/>
      <w:sz w:val="24"/>
      <w:szCs w:val="20"/>
    </w:rPr>
  </w:style>
  <w:style w:type="paragraph" w:styleId="1137">
    <w:name w:val="Char3 Char Char Char"/>
    <w:basedOn w:val="1028"/>
    <w:next w:val="1137"/>
    <w:link w:val="1028"/>
    <w:qFormat/>
    <w:rPr>
      <w:rFonts w:ascii="Tahoma" w:hAnsi="Tahoma"/>
      <w:sz w:val="24"/>
      <w:szCs w:val="20"/>
    </w:rPr>
  </w:style>
  <w:style w:type="paragraph" w:styleId="1138">
    <w:name w:val="font6"/>
    <w:basedOn w:val="1028"/>
    <w:next w:val="1138"/>
    <w:link w:val="1028"/>
    <w:qFormat/>
    <w:pPr>
      <w:jc w:val="left"/>
      <w:spacing w:before="100" w:beforeAutospacing="1" w:after="100" w:afterAutospacing="1"/>
      <w:widowControl/>
    </w:pPr>
    <w:rPr>
      <w:rFonts w:ascii="宋体" w:hAnsi="宋体" w:cs="宋体"/>
      <w:sz w:val="20"/>
      <w:szCs w:val="20"/>
    </w:rPr>
  </w:style>
  <w:style w:type="paragraph" w:styleId="1139">
    <w:name w:val="项目编号2"/>
    <w:basedOn w:val="1140"/>
    <w:next w:val="1139"/>
    <w:link w:val="1028"/>
    <w:qFormat/>
    <w:pPr>
      <w:numPr>
        <w:numId w:val="3"/>
      </w:numPr>
    </w:pPr>
  </w:style>
  <w:style w:type="paragraph" w:styleId="1140">
    <w:name w:val="项目编号1"/>
    <w:basedOn w:val="1028"/>
    <w:next w:val="1140"/>
    <w:link w:val="1028"/>
    <w:qFormat/>
    <w:pPr>
      <w:numPr>
        <w:ilvl w:val="0"/>
        <w:numId w:val="2"/>
      </w:numPr>
      <w:spacing w:before="100" w:beforeAutospacing="1" w:after="100" w:afterAutospacing="1" w:line="360" w:lineRule="auto"/>
    </w:pPr>
    <w:rPr>
      <w:sz w:val="24"/>
    </w:rPr>
  </w:style>
  <w:style w:type="paragraph" w:styleId="1141">
    <w:name w:val="图中文字"/>
    <w:basedOn w:val="1028"/>
    <w:next w:val="1141"/>
    <w:link w:val="1028"/>
    <w:qFormat/>
    <w:pPr>
      <w:jc w:val="center"/>
      <w:spacing w:line="0" w:lineRule="atLeast"/>
    </w:pPr>
    <w:rPr>
      <w:sz w:val="24"/>
      <w:szCs w:val="20"/>
    </w:rPr>
  </w:style>
  <w:style w:type="paragraph" w:styleId="1142">
    <w:name w:val="xl46"/>
    <w:basedOn w:val="1028"/>
    <w:next w:val="1142"/>
    <w:link w:val="10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name w:val="xl25"/>
    <w:basedOn w:val="1028"/>
    <w:next w:val="1143"/>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Char2"/>
    <w:basedOn w:val="1028"/>
    <w:next w:val="1144"/>
    <w:link w:val="1028"/>
    <w:qFormat/>
    <w:rPr>
      <w:rFonts w:ascii="Tahoma" w:hAnsi="Tahoma"/>
      <w:sz w:val="24"/>
      <w:szCs w:val="20"/>
    </w:rPr>
  </w:style>
  <w:style w:type="paragraph" w:styleId="1145">
    <w:name w:val="xl35"/>
    <w:basedOn w:val="1028"/>
    <w:next w:val="1145"/>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name w:val="xl40"/>
    <w:basedOn w:val="1028"/>
    <w:next w:val="1146"/>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52"/>
    <w:basedOn w:val="1028"/>
    <w:next w:val="1147"/>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8">
    <w:name w:val="xl43"/>
    <w:basedOn w:val="1028"/>
    <w:next w:val="1148"/>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background1"/>
    <w:basedOn w:val="1028"/>
    <w:next w:val="1149"/>
    <w:link w:val="1028"/>
    <w:qFormat/>
    <w:pPr>
      <w:jc w:val="left"/>
      <w:spacing w:before="100" w:beforeAutospacing="1" w:after="100" w:afterAutospacing="1"/>
      <w:widowControl/>
    </w:pPr>
    <w:rPr>
      <w:rFonts w:ascii="宋体" w:hAnsi="宋体" w:cs="宋体"/>
      <w:sz w:val="24"/>
    </w:rPr>
  </w:style>
  <w:style w:type="paragraph" w:styleId="1150">
    <w:name w:val="Char Char Char Char Char Char Char"/>
    <w:basedOn w:val="1028"/>
    <w:next w:val="1150"/>
    <w:link w:val="1028"/>
    <w:qFormat/>
    <w:pPr>
      <w:ind w:firstLine="200"/>
      <w:spacing w:line="360" w:lineRule="auto"/>
    </w:pPr>
    <w:rPr>
      <w:rFonts w:eastAsia="仿宋_GB2312"/>
      <w:sz w:val="24"/>
    </w:rPr>
  </w:style>
  <w:style w:type="paragraph" w:styleId="1151">
    <w:name w:val="xl38"/>
    <w:basedOn w:val="1028"/>
    <w:next w:val="1151"/>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2">
    <w:name w:val="xl36"/>
    <w:basedOn w:val="1028"/>
    <w:next w:val="1152"/>
    <w:link w:val="10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正文 + 宋体"/>
    <w:basedOn w:val="1028"/>
    <w:next w:val="1153"/>
    <w:link w:val="1028"/>
    <w:qFormat/>
    <w:pPr>
      <w:ind w:left="360" w:hanging="360"/>
      <w:jc w:val="left"/>
      <w:widowControl/>
    </w:pPr>
    <w:rPr>
      <w:rFonts w:ascii="宋体" w:hAnsi="宋体" w:cs="宋体"/>
      <w:b/>
      <w:bCs/>
      <w:color w:val="000000"/>
      <w:sz w:val="18"/>
      <w:szCs w:val="18"/>
    </w:rPr>
  </w:style>
  <w:style w:type="paragraph" w:styleId="1154">
    <w:name w:val="正文列项_数字"/>
    <w:basedOn w:val="1028"/>
    <w:next w:val="1154"/>
    <w:link w:val="1028"/>
    <w:qFormat/>
    <w:pPr>
      <w:numPr>
        <w:ilvl w:val="7"/>
        <w:numId w:val="1"/>
      </w:numPr>
      <w:ind w:left="680" w:hanging="150"/>
      <w:spacing w:line="460" w:lineRule="exact"/>
      <w:tabs>
        <w:tab w:val="clear" w:pos="860" w:leader="none"/>
      </w:tabs>
      <w:outlineLvl w:val="7"/>
    </w:pPr>
    <w:rPr>
      <w:rFonts w:ascii="宋体"/>
      <w:sz w:val="28"/>
      <w:szCs w:val="20"/>
    </w:rPr>
  </w:style>
  <w:style w:type="paragraph" w:styleId="1155">
    <w:name w:val="xl39"/>
    <w:basedOn w:val="1028"/>
    <w:next w:val="1155"/>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37"/>
    <w:basedOn w:val="1028"/>
    <w:next w:val="1156"/>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32"/>
    <w:basedOn w:val="1028"/>
    <w:next w:val="1157"/>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font8"/>
    <w:basedOn w:val="1028"/>
    <w:next w:val="1158"/>
    <w:link w:val="1028"/>
    <w:qFormat/>
    <w:pPr>
      <w:jc w:val="left"/>
      <w:spacing w:before="100" w:beforeAutospacing="1" w:after="100" w:afterAutospacing="1"/>
      <w:widowControl/>
    </w:pPr>
    <w:rPr>
      <w:sz w:val="36"/>
      <w:szCs w:val="36"/>
    </w:rPr>
  </w:style>
  <w:style w:type="paragraph" w:styleId="1159">
    <w:name w:val="Char"/>
    <w:basedOn w:val="1028"/>
    <w:next w:val="1159"/>
    <w:link w:val="1028"/>
    <w:qFormat/>
    <w:pPr>
      <w:tabs>
        <w:tab w:val="left" w:pos="360" w:leader="none"/>
      </w:tabs>
    </w:pPr>
    <w:rPr>
      <w:sz w:val="24"/>
    </w:rPr>
  </w:style>
  <w:style w:type="paragraph" w:styleId="1160">
    <w:name w:val="Char Char Char Char Char Char Char Char Char Char Char Char Char Char Char Char"/>
    <w:basedOn w:val="1028"/>
    <w:next w:val="1160"/>
    <w:link w:val="1028"/>
    <w:qFormat/>
    <w:pPr>
      <w:jc w:val="center"/>
      <w:spacing w:after="160" w:line="240" w:lineRule="exact"/>
      <w:widowControl/>
    </w:pPr>
    <w:rPr>
      <w:rFonts w:ascii="宋体" w:hAnsi="宋体"/>
      <w:b/>
      <w:sz w:val="30"/>
      <w:szCs w:val="30"/>
      <w:lang w:eastAsia="en-US"/>
    </w:rPr>
  </w:style>
  <w:style w:type="paragraph" w:styleId="1161">
    <w:name w:val="xl45"/>
    <w:basedOn w:val="1028"/>
    <w:next w:val="1161"/>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2">
    <w:name w:val="Char Char1 Char Char Char Char Char Char"/>
    <w:basedOn w:val="1028"/>
    <w:next w:val="1162"/>
    <w:link w:val="1028"/>
    <w:qFormat/>
    <w:pPr>
      <w:jc w:val="left"/>
      <w:spacing w:after="160" w:line="240" w:lineRule="exact"/>
      <w:widowControl/>
    </w:pPr>
    <w:rPr>
      <w:rFonts w:ascii="Verdana" w:hAnsi="Verdana" w:eastAsia="仿宋_GB2312"/>
      <w:sz w:val="24"/>
      <w:szCs w:val="20"/>
      <w:lang w:eastAsia="en-US"/>
    </w:rPr>
  </w:style>
  <w:style w:type="paragraph" w:styleId="1163">
    <w:name w:val="Char Char1"/>
    <w:basedOn w:val="1054"/>
    <w:next w:val="1163"/>
    <w:link w:val="1028"/>
    <w:qFormat/>
    <w:rPr>
      <w:rFonts w:ascii="Tahoma" w:hAnsi="Tahoma"/>
      <w:sz w:val="24"/>
    </w:rPr>
  </w:style>
  <w:style w:type="paragraph" w:styleId="1164">
    <w:name w:val="xl26"/>
    <w:basedOn w:val="1028"/>
    <w:next w:val="1164"/>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5">
    <w:name w:val="xl30"/>
    <w:basedOn w:val="1028"/>
    <w:next w:val="1165"/>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xl41"/>
    <w:basedOn w:val="1028"/>
    <w:next w:val="1166"/>
    <w:link w:val="10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7">
    <w:name w:val="样式 宋体 五号 行距: 单倍行距"/>
    <w:basedOn w:val="1028"/>
    <w:next w:val="1167"/>
    <w:link w:val="1028"/>
    <w:qFormat/>
    <w:pPr>
      <w:jc w:val="left"/>
    </w:pPr>
    <w:rPr>
      <w:rFonts w:ascii="宋体" w:hAnsi="宋体"/>
      <w:szCs w:val="20"/>
    </w:rPr>
  </w:style>
  <w:style w:type="paragraph" w:styleId="1168">
    <w:name w:val="Char1 Char Char Char1"/>
    <w:basedOn w:val="1028"/>
    <w:next w:val="1168"/>
    <w:link w:val="1028"/>
    <w:qFormat/>
    <w:rPr>
      <w:rFonts w:ascii="Tahoma" w:hAnsi="Tahoma" w:cs="仿宋_GB2312"/>
      <w:sz w:val="24"/>
      <w:szCs w:val="28"/>
    </w:rPr>
  </w:style>
  <w:style w:type="paragraph" w:styleId="1169">
    <w:name w:val="四级条标题"/>
    <w:basedOn w:val="1170"/>
    <w:next w:val="1028"/>
    <w:link w:val="1028"/>
    <w:qFormat/>
    <w:pPr>
      <w:numPr>
        <w:ilvl w:val="4"/>
      </w:numPr>
      <w:ind w:left="0" w:hanging="840"/>
      <w:tabs>
        <w:tab w:val="left" w:pos="360" w:leader="none"/>
        <w:tab w:val="left" w:pos="840" w:leader="none"/>
      </w:tabs>
      <w:outlineLvl w:val="4"/>
    </w:pPr>
  </w:style>
  <w:style w:type="paragraph" w:styleId="1170">
    <w:name w:val="三级条标题"/>
    <w:basedOn w:val="1132"/>
    <w:next w:val="1028"/>
    <w:link w:val="1028"/>
    <w:qFormat/>
    <w:pPr>
      <w:numPr>
        <w:ilvl w:val="3"/>
        <w:numId w:val="1"/>
      </w:numPr>
      <w:ind w:left="0" w:hanging="840"/>
      <w:tabs>
        <w:tab w:val="left" w:pos="360" w:leader="none"/>
        <w:tab w:val="left" w:pos="840" w:leader="none"/>
      </w:tabs>
      <w:outlineLvl w:val="3"/>
    </w:pPr>
  </w:style>
  <w:style w:type="paragraph" w:styleId="1171">
    <w:name w:val="??"/>
    <w:next w:val="1171"/>
    <w:link w:val="1028"/>
    <w:qFormat/>
    <w:pPr>
      <w:jc w:val="both"/>
      <w:widowControl w:val="off"/>
    </w:pPr>
    <w:rPr>
      <w:sz w:val="21"/>
      <w:lang w:val="en-US" w:eastAsia="en-US" w:bidi="ar-SA"/>
    </w:rPr>
  </w:style>
  <w:style w:type="paragraph" w:styleId="1172">
    <w:name w:val="样式 标题 2 + 宋体 五号 行距: 单倍行距"/>
    <w:basedOn w:val="1030"/>
    <w:next w:val="1172"/>
    <w:link w:val="10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3">
    <w:name w:val="List Paragraph1"/>
    <w:basedOn w:val="1028"/>
    <w:next w:val="1173"/>
    <w:link w:val="1028"/>
    <w:qFormat/>
    <w:pPr>
      <w:ind w:firstLine="420"/>
    </w:pPr>
    <w:rPr>
      <w:rFonts w:ascii="Calibri" w:hAnsi="Calibri"/>
      <w:szCs w:val="22"/>
    </w:rPr>
  </w:style>
  <w:style w:type="paragraph" w:styleId="1174">
    <w:name w:val="项目符号1"/>
    <w:basedOn w:val="1175"/>
    <w:next w:val="1174"/>
    <w:link w:val="1028"/>
    <w:qFormat/>
    <w:pPr>
      <w:ind w:left="-25" w:firstLine="0"/>
    </w:pPr>
  </w:style>
  <w:style w:type="paragraph" w:styleId="1175">
    <w:name w:val="正文文本样式"/>
    <w:basedOn w:val="1028"/>
    <w:next w:val="1175"/>
    <w:link w:val="1028"/>
    <w:qFormat/>
    <w:pPr>
      <w:ind w:firstLine="482"/>
      <w:spacing w:line="360" w:lineRule="auto"/>
    </w:pPr>
    <w:rPr>
      <w:rFonts w:cs="宋体"/>
      <w:sz w:val="24"/>
      <w:szCs w:val="20"/>
    </w:rPr>
  </w:style>
  <w:style w:type="paragraph" w:styleId="1176">
    <w:name w:val="xl27"/>
    <w:basedOn w:val="1028"/>
    <w:next w:val="1176"/>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font5"/>
    <w:basedOn w:val="1028"/>
    <w:next w:val="1177"/>
    <w:link w:val="1028"/>
    <w:qFormat/>
    <w:pPr>
      <w:jc w:val="left"/>
      <w:spacing w:before="100" w:beforeAutospacing="1" w:after="100" w:afterAutospacing="1"/>
      <w:widowControl/>
    </w:pPr>
    <w:rPr>
      <w:rFonts w:ascii="宋体" w:hAnsi="宋体" w:cs="宋体"/>
      <w:sz w:val="18"/>
      <w:szCs w:val="18"/>
    </w:rPr>
  </w:style>
  <w:style w:type="paragraph" w:styleId="1178">
    <w:name w:val="五级条标题"/>
    <w:basedOn w:val="1169"/>
    <w:next w:val="1028"/>
    <w:link w:val="1028"/>
    <w:qFormat/>
    <w:pPr>
      <w:numPr>
        <w:ilvl w:val="5"/>
      </w:numPr>
      <w:ind w:left="0" w:hanging="840"/>
      <w:tabs>
        <w:tab w:val="left" w:pos="360" w:leader="none"/>
        <w:tab w:val="left" w:pos="840" w:leader="none"/>
      </w:tabs>
      <w:outlineLvl w:val="5"/>
    </w:pPr>
  </w:style>
  <w:style w:type="paragraph" w:styleId="1179">
    <w:name w:val="xl49"/>
    <w:basedOn w:val="1028"/>
    <w:next w:val="1179"/>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0">
    <w:name w:val="文档正文"/>
    <w:basedOn w:val="1028"/>
    <w:next w:val="1180"/>
    <w:link w:val="1028"/>
    <w:qFormat/>
    <w:pPr>
      <w:spacing w:before="120" w:after="120" w:line="180" w:lineRule="auto"/>
    </w:pPr>
    <w:rPr>
      <w:rFonts w:ascii="Arial" w:hAnsi="Arial"/>
      <w:szCs w:val="20"/>
    </w:rPr>
  </w:style>
  <w:style w:type="paragraph" w:styleId="1181">
    <w:name w:val="xl33"/>
    <w:basedOn w:val="1028"/>
    <w:next w:val="1181"/>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42"/>
    <w:basedOn w:val="1028"/>
    <w:next w:val="118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3">
    <w:name w:val="Char Char Char1 Char"/>
    <w:basedOn w:val="1028"/>
    <w:next w:val="1183"/>
    <w:link w:val="1028"/>
    <w:qFormat/>
    <w:rPr>
      <w:rFonts w:ascii="Tahoma" w:hAnsi="Tahoma"/>
      <w:sz w:val="24"/>
      <w:szCs w:val="20"/>
    </w:rPr>
  </w:style>
  <w:style w:type="paragraph" w:styleId="1184">
    <w:name w:val="xl44"/>
    <w:basedOn w:val="1028"/>
    <w:next w:val="1184"/>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5">
    <w:name w:val="1名"/>
    <w:basedOn w:val="1028"/>
    <w:next w:val="1185"/>
    <w:link w:val="1028"/>
    <w:qFormat/>
    <w:pPr>
      <w:numPr>
        <w:ilvl w:val="0"/>
        <w:numId w:val="5"/>
      </w:numPr>
      <w:spacing w:before="120"/>
      <w:tabs>
        <w:tab w:val="left" w:pos="360" w:leader="none"/>
      </w:tabs>
    </w:pPr>
    <w:rPr>
      <w:rFonts w:ascii="宋体"/>
      <w:sz w:val="28"/>
      <w:szCs w:val="20"/>
    </w:rPr>
  </w:style>
  <w:style w:type="paragraph" w:styleId="1186">
    <w:name w:val="font9"/>
    <w:basedOn w:val="1028"/>
    <w:next w:val="1186"/>
    <w:link w:val="1028"/>
    <w:qFormat/>
    <w:pPr>
      <w:jc w:val="left"/>
      <w:spacing w:before="100" w:beforeAutospacing="1" w:after="100" w:afterAutospacing="1"/>
      <w:widowControl/>
    </w:pPr>
    <w:rPr>
      <w:rFonts w:hint="eastAsia" w:ascii="宋体" w:hAnsi="宋体" w:cs="Arial Unicode MS"/>
      <w:color w:val="000000"/>
      <w:sz w:val="20"/>
      <w:szCs w:val="20"/>
    </w:rPr>
  </w:style>
  <w:style w:type="paragraph" w:styleId="1187">
    <w:name w:val="Char Char Char1 Char1"/>
    <w:basedOn w:val="1028"/>
    <w:next w:val="1187"/>
    <w:link w:val="1028"/>
    <w:qFormat/>
    <w:rPr>
      <w:rFonts w:ascii="Tahoma" w:hAnsi="Tahoma"/>
      <w:sz w:val="24"/>
      <w:szCs w:val="20"/>
    </w:rPr>
  </w:style>
  <w:style w:type="paragraph" w:styleId="1188">
    <w:name w:val="Char Char Char Char Char Char Char Char Char Char"/>
    <w:basedOn w:val="1028"/>
    <w:next w:val="1188"/>
    <w:link w:val="1028"/>
    <w:qFormat/>
  </w:style>
  <w:style w:type="paragraph" w:styleId="1189">
    <w:name w:val="Char Char1 Char Char Char Char Char Char Char Char"/>
    <w:basedOn w:val="1028"/>
    <w:next w:val="1189"/>
    <w:link w:val="1028"/>
    <w:qFormat/>
    <w:pPr>
      <w:jc w:val="left"/>
      <w:spacing w:after="160" w:line="240" w:lineRule="exact"/>
      <w:widowControl/>
    </w:pPr>
    <w:rPr>
      <w:rFonts w:ascii="Verdana" w:hAnsi="Verdana"/>
      <w:sz w:val="20"/>
      <w:szCs w:val="20"/>
      <w:lang w:eastAsia="en-US"/>
    </w:rPr>
  </w:style>
  <w:style w:type="paragraph" w:styleId="1190">
    <w:name w:val="Char1"/>
    <w:basedOn w:val="1028"/>
    <w:next w:val="1190"/>
    <w:link w:val="1028"/>
    <w:qFormat/>
    <w:pPr>
      <w:tabs>
        <w:tab w:val="left" w:pos="360" w:leader="none"/>
      </w:tabs>
    </w:pPr>
    <w:rPr>
      <w:sz w:val="24"/>
    </w:rPr>
  </w:style>
  <w:style w:type="paragraph" w:styleId="1191">
    <w:name w:val="正文列项_字母"/>
    <w:basedOn w:val="1028"/>
    <w:next w:val="1191"/>
    <w:link w:val="1028"/>
    <w:qFormat/>
    <w:pPr>
      <w:numPr>
        <w:ilvl w:val="6"/>
        <w:numId w:val="1"/>
      </w:numPr>
      <w:ind w:left="480" w:hanging="180"/>
      <w:spacing w:line="460" w:lineRule="exact"/>
      <w:tabs>
        <w:tab w:val="clear" w:pos="635" w:leader="none"/>
      </w:tabs>
      <w:outlineLvl w:val="6"/>
    </w:pPr>
    <w:rPr>
      <w:rFonts w:ascii="宋体"/>
      <w:sz w:val="28"/>
      <w:szCs w:val="20"/>
    </w:rPr>
  </w:style>
  <w:style w:type="paragraph" w:styleId="1192">
    <w:name w:val="xl28"/>
    <w:basedOn w:val="1028"/>
    <w:next w:val="119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47"/>
    <w:basedOn w:val="1028"/>
    <w:next w:val="1193"/>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默认段落字体 Para Char Char Char Char"/>
    <w:basedOn w:val="1028"/>
    <w:next w:val="1194"/>
    <w:link w:val="1028"/>
    <w:qFormat/>
    <w:rPr>
      <w:rFonts w:ascii="Arial" w:hAnsi="Arial" w:cs="Arial"/>
      <w:szCs w:val="21"/>
    </w:rPr>
  </w:style>
  <w:style w:type="paragraph" w:styleId="1195">
    <w:name w:val="xl48"/>
    <w:basedOn w:val="1028"/>
    <w:next w:val="1195"/>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6">
    <w:name w:val="xl31"/>
    <w:basedOn w:val="1028"/>
    <w:next w:val="1196"/>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name w:val="xl53"/>
    <w:basedOn w:val="1028"/>
    <w:next w:val="1197"/>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 Char Char"/>
    <w:basedOn w:val="1028"/>
    <w:next w:val="1198"/>
    <w:link w:val="1028"/>
    <w:qFormat/>
    <w:rPr>
      <w:rFonts w:ascii="Tahoma" w:hAnsi="Tahoma"/>
      <w:sz w:val="24"/>
      <w:szCs w:val="20"/>
    </w:rPr>
  </w:style>
  <w:style w:type="paragraph" w:styleId="1199">
    <w:name w:val="xl50"/>
    <w:basedOn w:val="1028"/>
    <w:next w:val="1199"/>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0">
    <w:name w:val="缺省文本"/>
    <w:basedOn w:val="1028"/>
    <w:next w:val="1200"/>
    <w:link w:val="1028"/>
    <w:qFormat/>
    <w:pPr>
      <w:jc w:val="left"/>
    </w:pPr>
    <w:rPr>
      <w:sz w:val="24"/>
    </w:rPr>
  </w:style>
  <w:style w:type="paragraph" w:styleId="1201">
    <w:name w:val="Char Char Char1"/>
    <w:basedOn w:val="1028"/>
    <w:next w:val="1201"/>
    <w:link w:val="1028"/>
    <w:qFormat/>
    <w:rPr>
      <w:rFonts w:ascii="Tahoma" w:hAnsi="Tahoma"/>
      <w:sz w:val="24"/>
      <w:szCs w:val="20"/>
    </w:rPr>
  </w:style>
  <w:style w:type="paragraph" w:styleId="1202">
    <w:name w:val="Char Char Char Char Char Char Char1"/>
    <w:basedOn w:val="1028"/>
    <w:next w:val="1202"/>
    <w:link w:val="1028"/>
    <w:qFormat/>
    <w:pPr>
      <w:ind w:firstLine="200"/>
      <w:spacing w:line="360" w:lineRule="auto"/>
    </w:pPr>
    <w:rPr>
      <w:rFonts w:eastAsia="仿宋_GB2312"/>
      <w:sz w:val="24"/>
    </w:rPr>
  </w:style>
  <w:style w:type="paragraph" w:styleId="1203">
    <w:name w:val="xl51"/>
    <w:basedOn w:val="1028"/>
    <w:next w:val="1203"/>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name w:val="样式2"/>
    <w:basedOn w:val="1091"/>
    <w:next w:val="1204"/>
    <w:link w:val="1028"/>
    <w:qFormat/>
    <w:pPr>
      <w:jc w:val="center"/>
      <w:spacing w:line="360" w:lineRule="auto"/>
    </w:pPr>
    <w:rPr>
      <w:sz w:val="24"/>
    </w:rPr>
  </w:style>
  <w:style w:type="paragraph" w:styleId="1205">
    <w:name w:val="xl24"/>
    <w:basedOn w:val="1028"/>
    <w:next w:val="1205"/>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xl29"/>
    <w:basedOn w:val="1028"/>
    <w:next w:val="1206"/>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7">
    <w:name w:val="正文 + 楷体_GB2312"/>
    <w:basedOn w:val="1028"/>
    <w:next w:val="1207"/>
    <w:link w:val="1028"/>
    <w:qFormat/>
    <w:pPr>
      <w:jc w:val="left"/>
      <w:widowControl/>
    </w:pPr>
    <w:rPr>
      <w:rFonts w:ascii="楷体_GB2312" w:eastAsia="楷体_GB2312" w:cs="Arial"/>
      <w:sz w:val="24"/>
    </w:rPr>
  </w:style>
  <w:style w:type="paragraph" w:styleId="1208">
    <w:name w:val="xl34"/>
    <w:basedOn w:val="1028"/>
    <w:next w:val="1208"/>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9">
    <w:name w:val="1 Char Char Char Char"/>
    <w:basedOn w:val="1028"/>
    <w:next w:val="1209"/>
    <w:link w:val="1028"/>
    <w:qFormat/>
    <w:rPr>
      <w:rFonts w:ascii="Tahoma" w:hAnsi="Tahoma"/>
      <w:sz w:val="24"/>
      <w:szCs w:val="20"/>
    </w:rPr>
  </w:style>
  <w:style w:type="paragraph" w:styleId="1210">
    <w:name w:val="列出段落1"/>
    <w:basedOn w:val="1028"/>
    <w:next w:val="1210"/>
    <w:link w:val="1028"/>
    <w:qFormat/>
    <w:pPr>
      <w:ind w:firstLine="420"/>
    </w:pPr>
    <w:rPr>
      <w:rFonts w:ascii="Calibri" w:hAnsi="Calibri"/>
      <w:szCs w:val="22"/>
    </w:rPr>
  </w:style>
  <w:style w:type="paragraph" w:styleId="1211">
    <w:name w:val="default"/>
    <w:basedOn w:val="1028"/>
    <w:next w:val="1211"/>
    <w:link w:val="1028"/>
    <w:qFormat/>
    <w:pPr>
      <w:jc w:val="left"/>
      <w:spacing w:before="100" w:beforeAutospacing="1" w:after="100" w:afterAutospacing="1"/>
      <w:widowControl/>
    </w:pPr>
    <w:rPr>
      <w:rFonts w:ascii="宋体" w:hAnsi="宋体" w:cs="宋体"/>
      <w:sz w:val="24"/>
    </w:rPr>
  </w:style>
  <w:style w:type="paragraph" w:styleId="1212">
    <w:name w:val="字元 字元1"/>
    <w:basedOn w:val="1028"/>
    <w:next w:val="1212"/>
    <w:link w:val="1028"/>
    <w:qFormat/>
    <w:rPr>
      <w:rFonts w:ascii="Tahoma" w:hAnsi="Tahoma"/>
      <w:sz w:val="24"/>
      <w:szCs w:val="20"/>
    </w:rPr>
  </w:style>
  <w:style w:type="paragraph" w:styleId="1213">
    <w:name w:val="_Style 160"/>
    <w:next w:val="1213"/>
    <w:link w:val="1028"/>
    <w:qFormat/>
    <w:rPr>
      <w:sz w:val="21"/>
      <w:szCs w:val="24"/>
      <w:lang w:val="en-US" w:eastAsia="zh-CN" w:bidi="ar-SA"/>
    </w:rPr>
  </w:style>
  <w:style w:type="paragraph" w:styleId="1214">
    <w:name w:val="项目编号3"/>
    <w:basedOn w:val="1175"/>
    <w:next w:val="1214"/>
    <w:link w:val="1028"/>
    <w:qFormat/>
    <w:pPr>
      <w:numPr>
        <w:ilvl w:val="0"/>
        <w:numId w:val="6"/>
      </w:numPr>
    </w:pPr>
  </w:style>
  <w:style w:type="paragraph" w:styleId="1215">
    <w:name w:val="Char21"/>
    <w:basedOn w:val="1028"/>
    <w:next w:val="1215"/>
    <w:link w:val="1028"/>
    <w:qFormat/>
    <w:rPr>
      <w:rFonts w:ascii="Tahoma" w:hAnsi="Tahoma"/>
      <w:sz w:val="24"/>
      <w:szCs w:val="20"/>
    </w:rPr>
  </w:style>
  <w:style w:type="paragraph" w:styleId="1216">
    <w:name w:val="表格文字"/>
    <w:basedOn w:val="1062"/>
    <w:next w:val="1216"/>
    <w:link w:val="1028"/>
    <w:qFormat/>
    <w:pPr>
      <w:ind w:firstLine="0"/>
      <w:spacing w:before="20" w:after="20" w:line="240" w:lineRule="auto"/>
    </w:pPr>
    <w:rPr>
      <w:rFonts w:ascii="Century Gothic" w:hAnsi="Century Gothic"/>
      <w:sz w:val="20"/>
      <w:szCs w:val="20"/>
    </w:rPr>
  </w:style>
  <w:style w:type="paragraph" w:styleId="1217">
    <w:name w:val="Char Char Char Char Char Char Char Char Char Char1"/>
    <w:basedOn w:val="1028"/>
    <w:next w:val="1217"/>
    <w:link w:val="1028"/>
    <w:qFormat/>
    <w:rPr>
      <w:rFonts w:ascii="宋体" w:hAnsi="宋体" w:cs="Courier New"/>
      <w:sz w:val="32"/>
      <w:szCs w:val="32"/>
    </w:rPr>
  </w:style>
  <w:style w:type="paragraph" w:styleId="1218">
    <w:name w:val="正文文本样式 加粗"/>
    <w:basedOn w:val="1175"/>
    <w:next w:val="1218"/>
    <w:link w:val="1028"/>
    <w:qFormat/>
    <w:rPr>
      <w:b/>
    </w:rPr>
  </w:style>
  <w:style w:type="paragraph" w:styleId="1219">
    <w:name w:val="Char2 Char Char Char Char Char Char"/>
    <w:basedOn w:val="1028"/>
    <w:next w:val="1219"/>
    <w:link w:val="1028"/>
    <w:qFormat/>
    <w:pPr>
      <w:jc w:val="center"/>
      <w:spacing w:line="400" w:lineRule="exact"/>
      <w:widowControl/>
    </w:pPr>
  </w:style>
  <w:style w:type="paragraph" w:styleId="1220">
    <w:name w:val="Char Char4"/>
    <w:basedOn w:val="1028"/>
    <w:next w:val="1220"/>
    <w:link w:val="1028"/>
    <w:qFormat/>
    <w:pPr>
      <w:jc w:val="center"/>
      <w:spacing w:line="400" w:lineRule="exact"/>
      <w:widowControl/>
    </w:pPr>
  </w:style>
  <w:style w:type="paragraph" w:styleId="1221">
    <w:name w:val="Char3 Char Char Char1"/>
    <w:basedOn w:val="1028"/>
    <w:next w:val="1221"/>
    <w:link w:val="1028"/>
    <w:qFormat/>
    <w:rPr>
      <w:rFonts w:ascii="Tahoma" w:hAnsi="Tahoma"/>
      <w:sz w:val="24"/>
      <w:szCs w:val="20"/>
    </w:rPr>
  </w:style>
  <w:style w:type="paragraph" w:styleId="1222">
    <w:name w:val="无间隔"/>
    <w:next w:val="1222"/>
    <w:link w:val="1028"/>
    <w:qFormat/>
    <w:pPr>
      <w:jc w:val="both"/>
      <w:widowControl w:val="off"/>
    </w:pPr>
    <w:rPr>
      <w:sz w:val="21"/>
      <w:szCs w:val="24"/>
      <w:lang w:val="en-US" w:eastAsia="zh-CN" w:bidi="ar-SA"/>
    </w:rPr>
  </w:style>
  <w:style w:type="paragraph" w:styleId="1223">
    <w:name w:val="22222222222222"/>
    <w:basedOn w:val="1028"/>
    <w:next w:val="1223"/>
    <w:link w:val="1028"/>
    <w:qFormat/>
    <w:pPr>
      <w:ind w:firstLine="480"/>
      <w:jc w:val="left"/>
      <w:spacing w:line="360" w:lineRule="auto"/>
      <w:widowControl/>
    </w:pPr>
    <w:rPr>
      <w:color w:val="ff0000"/>
      <w:sz w:val="24"/>
      <w:szCs w:val="20"/>
    </w:rPr>
  </w:style>
  <w:style w:type="character" w:styleId="1224">
    <w:name w:val="中等深浅网格 1 - 强调文字颜色 2 Char"/>
    <w:next w:val="1224"/>
    <w:link w:val="1225"/>
    <w:qFormat/>
    <w:rPr>
      <w:sz w:val="21"/>
      <w:szCs w:val="24"/>
      <w:lang w:val="zh-CN" w:eastAsia="zh-CN" w:bidi="ar-SA"/>
    </w:rPr>
  </w:style>
  <w:style w:type="paragraph" w:styleId="1225">
    <w:name w:val="1"/>
    <w:next w:val="1225"/>
    <w:link w:val="1224"/>
    <w:qFormat/>
    <w:rPr>
      <w:sz w:val="21"/>
      <w:szCs w:val="24"/>
      <w:lang w:val="zh-CN" w:eastAsia="zh-CN" w:bidi="ar-SA"/>
    </w:rPr>
  </w:style>
  <w:style w:type="paragraph" w:styleId="1226">
    <w:name w:val="图文"/>
    <w:basedOn w:val="1028"/>
    <w:next w:val="1226"/>
    <w:link w:val="1028"/>
    <w:qFormat/>
    <w:pPr>
      <w:spacing w:after="50" w:line="360" w:lineRule="auto"/>
    </w:pPr>
    <w:rPr>
      <w:sz w:val="24"/>
    </w:rPr>
  </w:style>
  <w:style w:type="paragraph" w:styleId="1227">
    <w:name w:val="xl23"/>
    <w:basedOn w:val="1028"/>
    <w:next w:val="1227"/>
    <w:link w:val="1028"/>
    <w:qFormat/>
    <w:pPr>
      <w:spacing w:before="100" w:beforeAutospacing="1" w:after="100" w:afterAutospacing="1" w:line="360" w:lineRule="auto"/>
      <w:widowControl/>
    </w:pPr>
    <w:rPr>
      <w:sz w:val="24"/>
      <w:szCs w:val="20"/>
    </w:rPr>
  </w:style>
  <w:style w:type="paragraph" w:styleId="1228">
    <w:name w:val="正文表格"/>
    <w:basedOn w:val="1028"/>
    <w:next w:val="1228"/>
    <w:link w:val="1229"/>
    <w:qFormat/>
    <w:pPr>
      <w:jc w:val="left"/>
    </w:pPr>
    <w:rPr>
      <w:rFonts w:ascii="宋体" w:hAnsi="宋体"/>
      <w:color w:val="000000"/>
      <w:szCs w:val="21"/>
    </w:rPr>
  </w:style>
  <w:style w:type="character" w:styleId="1229">
    <w:name w:val="正文表格 Char"/>
    <w:next w:val="1229"/>
    <w:link w:val="1228"/>
    <w:qFormat/>
    <w:rPr>
      <w:rFonts w:ascii="宋体" w:hAnsi="宋体"/>
      <w:color w:val="000000"/>
      <w:sz w:val="21"/>
      <w:szCs w:val="21"/>
    </w:rPr>
  </w:style>
  <w:style w:type="paragraph" w:styleId="1230">
    <w:name w:val="正文重点"/>
    <w:basedOn w:val="1028"/>
    <w:next w:val="1230"/>
    <w:link w:val="1231"/>
    <w:qFormat/>
    <w:pPr>
      <w:ind w:firstLine="482"/>
      <w:jc w:val="left"/>
      <w:spacing w:line="360" w:lineRule="auto"/>
    </w:pPr>
    <w:rPr>
      <w:b/>
      <w:sz w:val="24"/>
      <w:szCs w:val="20"/>
    </w:rPr>
  </w:style>
  <w:style w:type="character" w:styleId="1231">
    <w:name w:val="正文重点 Char"/>
    <w:next w:val="1231"/>
    <w:link w:val="1230"/>
    <w:qFormat/>
    <w:rPr>
      <w:b/>
      <w:sz w:val="24"/>
    </w:rPr>
  </w:style>
  <w:style w:type="paragraph" w:styleId="1232">
    <w:name w:val="标题1-附件"/>
    <w:basedOn w:val="1029"/>
    <w:next w:val="1232"/>
    <w:link w:val="1028"/>
    <w:qFormat/>
    <w:pPr>
      <w:jc w:val="left"/>
    </w:pPr>
    <w:rPr>
      <w:sz w:val="24"/>
      <w:szCs w:val="24"/>
    </w:rPr>
  </w:style>
  <w:style w:type="paragraph" w:styleId="1233">
    <w:name w:val="正文小标题"/>
    <w:basedOn w:val="1028"/>
    <w:next w:val="1043"/>
    <w:link w:val="1234"/>
    <w:qFormat/>
    <w:pPr>
      <w:ind w:firstLine="482"/>
      <w:jc w:val="left"/>
      <w:spacing w:before="312" w:after="312"/>
    </w:pPr>
    <w:rPr>
      <w:rFonts w:ascii="宋体" w:hAnsi="宋体"/>
      <w:b/>
      <w:i/>
      <w:color w:val="ff0000"/>
      <w:sz w:val="24"/>
      <w:szCs w:val="20"/>
    </w:rPr>
  </w:style>
  <w:style w:type="character" w:styleId="1234">
    <w:name w:val="正文小标题 Char"/>
    <w:next w:val="1234"/>
    <w:link w:val="1233"/>
    <w:qFormat/>
    <w:rPr>
      <w:rFonts w:ascii="宋体" w:hAnsi="宋体"/>
      <w:b/>
      <w:i/>
      <w:color w:val="ff0000"/>
      <w:sz w:val="24"/>
    </w:rPr>
  </w:style>
  <w:style w:type="paragraph" w:styleId="1235">
    <w:name w:val="正文大标题"/>
    <w:basedOn w:val="1233"/>
    <w:next w:val="1043"/>
    <w:link w:val="1236"/>
    <w:qFormat/>
    <w:pPr>
      <w:jc w:val="center"/>
    </w:pPr>
    <w:rPr>
      <w:i w:val="0"/>
      <w:color w:val="000000"/>
      <w:sz w:val="28"/>
      <w:szCs w:val="21"/>
    </w:rPr>
  </w:style>
  <w:style w:type="character" w:styleId="1236">
    <w:name w:val="正文大标题 Char"/>
    <w:next w:val="1236"/>
    <w:link w:val="1235"/>
    <w:qFormat/>
    <w:rPr>
      <w:rFonts w:ascii="宋体" w:hAnsi="宋体"/>
      <w:b/>
      <w:color w:val="000000"/>
      <w:sz w:val="28"/>
      <w:szCs w:val="21"/>
    </w:rPr>
  </w:style>
  <w:style w:type="paragraph" w:styleId="1237">
    <w:name w:val="注释"/>
    <w:basedOn w:val="1028"/>
    <w:next w:val="1237"/>
    <w:link w:val="1238"/>
    <w:qFormat/>
    <w:pPr>
      <w:ind w:left="420" w:hanging="420"/>
      <w:jc w:val="left"/>
    </w:pPr>
    <w:rPr>
      <w:rFonts w:ascii="宋体" w:hAnsi="宋体"/>
      <w:szCs w:val="21"/>
    </w:rPr>
  </w:style>
  <w:style w:type="character" w:styleId="1238">
    <w:name w:val="注释 Char"/>
    <w:next w:val="1238"/>
    <w:link w:val="1237"/>
    <w:qFormat/>
    <w:rPr>
      <w:rFonts w:ascii="宋体" w:hAnsi="宋体"/>
      <w:sz w:val="21"/>
      <w:szCs w:val="21"/>
    </w:rPr>
  </w:style>
  <w:style w:type="paragraph" w:styleId="1239">
    <w:name w:val="正文须知-1级"/>
    <w:basedOn w:val="1028"/>
    <w:next w:val="1028"/>
    <w:link w:val="1028"/>
    <w:qFormat/>
    <w:pPr>
      <w:numPr>
        <w:ilvl w:val="0"/>
        <w:numId w:val="7"/>
      </w:numPr>
      <w:spacing w:line="300" w:lineRule="auto"/>
    </w:pPr>
    <w:rPr>
      <w:rFonts w:ascii="宋体" w:hAnsi="Calibri"/>
      <w:sz w:val="24"/>
      <w:szCs w:val="21"/>
    </w:rPr>
  </w:style>
  <w:style w:type="paragraph" w:styleId="1240">
    <w:name w:val="正文须知-2级"/>
    <w:basedOn w:val="1028"/>
    <w:next w:val="1240"/>
    <w:link w:val="1028"/>
    <w:qFormat/>
    <w:pPr>
      <w:numPr>
        <w:ilvl w:val="1"/>
        <w:numId w:val="7"/>
      </w:numPr>
      <w:spacing w:line="300" w:lineRule="auto"/>
    </w:pPr>
    <w:rPr>
      <w:rFonts w:ascii="宋体" w:hAnsi="Calibri"/>
      <w:sz w:val="24"/>
      <w:szCs w:val="21"/>
    </w:rPr>
  </w:style>
  <w:style w:type="paragraph" w:styleId="1241">
    <w:name w:val="正文须知-3级"/>
    <w:basedOn w:val="1028"/>
    <w:next w:val="1241"/>
    <w:link w:val="1028"/>
    <w:qFormat/>
    <w:pPr>
      <w:numPr>
        <w:ilvl w:val="2"/>
        <w:numId w:val="7"/>
      </w:numPr>
      <w:ind w:hanging="355"/>
      <w:spacing w:line="300" w:lineRule="auto"/>
    </w:pPr>
    <w:rPr>
      <w:rFonts w:ascii="宋体" w:hAnsi="Calibri"/>
      <w:sz w:val="24"/>
      <w:szCs w:val="21"/>
    </w:rPr>
  </w:style>
  <w:style w:type="character" w:styleId="1242">
    <w:name w:val="纯文本 字符"/>
    <w:next w:val="1242"/>
    <w:link w:val="1028"/>
    <w:uiPriority w:val="99"/>
    <w:qFormat/>
    <w:rPr>
      <w:rFonts w:ascii="宋体" w:hAnsi="Courier New" w:eastAsia="宋体" w:cs="Times New Roman"/>
      <w:sz w:val="21"/>
      <w:szCs w:val="21"/>
      <w:lang w:val="en-US" w:eastAsia="zh-CN" w:bidi="ar-SA"/>
    </w:rPr>
  </w:style>
  <w:style w:type="paragraph" w:styleId="1243">
    <w:name w:val="表格1"/>
    <w:basedOn w:val="1028"/>
    <w:next w:val="1243"/>
    <w:link w:val="1028"/>
    <w:qFormat/>
    <w:pPr>
      <w:ind w:firstLine="480"/>
      <w:jc w:val="center"/>
    </w:pPr>
    <w:rPr>
      <w:sz w:val="24"/>
      <w:szCs w:val="20"/>
    </w:rPr>
  </w:style>
  <w:style w:type="character" w:styleId="1244">
    <w:name w:val="纯文本 字符1"/>
    <w:next w:val="1244"/>
    <w:link w:val="1028"/>
    <w:qFormat/>
    <w:rPr>
      <w:rFonts w:ascii="宋体" w:hAnsi="Courier New"/>
    </w:rPr>
  </w:style>
  <w:style w:type="character" w:styleId="1245">
    <w:name w:val="bjh-p"/>
    <w:next w:val="1245"/>
    <w:link w:val="1028"/>
    <w:qFormat/>
  </w:style>
  <w:style w:type="paragraph" w:styleId="1246">
    <w:name w:val="无标题条"/>
    <w:next w:val="1028"/>
    <w:link w:val="1028"/>
    <w:qFormat/>
    <w:pPr>
      <w:jc w:val="both"/>
    </w:pPr>
    <w:rPr>
      <w:sz w:val="21"/>
      <w:lang w:val="en-US" w:eastAsia="zh-CN" w:bidi="ar-SA"/>
    </w:rPr>
  </w:style>
  <w:style w:type="character" w:styleId="1247">
    <w:name w:val="正文格式 Char"/>
    <w:next w:val="1247"/>
    <w:link w:val="1248"/>
    <w:qFormat/>
    <w:rPr>
      <w:rFonts w:ascii="宋体" w:hAnsi="宋体"/>
      <w:sz w:val="24"/>
      <w:szCs w:val="24"/>
      <w:lang w:val="en-GB"/>
    </w:rPr>
  </w:style>
  <w:style w:type="paragraph" w:styleId="1248">
    <w:name w:val="正文格式"/>
    <w:basedOn w:val="1028"/>
    <w:next w:val="1248"/>
    <w:link w:val="1247"/>
    <w:qFormat/>
    <w:pPr>
      <w:ind w:firstLine="480"/>
      <w:spacing w:line="360" w:lineRule="auto"/>
    </w:pPr>
    <w:rPr>
      <w:rFonts w:ascii="宋体" w:hAnsi="宋体"/>
      <w:sz w:val="24"/>
      <w:lang w:val="en-GB"/>
    </w:rPr>
  </w:style>
  <w:style w:type="character" w:styleId="1249">
    <w:name w:val="标题 3 Char"/>
    <w:next w:val="1249"/>
    <w:link w:val="1028"/>
    <w:qFormat/>
    <w:rPr>
      <w:rFonts w:ascii="宋体" w:eastAsia="宋体"/>
      <w:b/>
      <w:sz w:val="24"/>
      <w:u w:val="single"/>
      <w:lang w:val="en-US" w:eastAsia="zh-CN" w:bidi="ar-SA"/>
    </w:rPr>
  </w:style>
  <w:style w:type="character" w:styleId="1250">
    <w:name w:val="正文缩进 Char"/>
    <w:next w:val="1250"/>
    <w:link w:val="1028"/>
    <w:qFormat/>
    <w:rPr>
      <w:rFonts w:ascii="宋体" w:eastAsia="宋体"/>
      <w:sz w:val="24"/>
      <w:szCs w:val="24"/>
      <w:lang w:val="en-US" w:eastAsia="zh-CN" w:bidi="ar-SA"/>
    </w:rPr>
  </w:style>
  <w:style w:type="character" w:styleId="1251">
    <w:name w:val="Char Char111"/>
    <w:next w:val="1251"/>
    <w:link w:val="1028"/>
    <w:qFormat/>
    <w:rPr>
      <w:rFonts w:ascii="宋体" w:eastAsia="宋体"/>
      <w:b/>
      <w:sz w:val="24"/>
      <w:u w:val="single"/>
      <w:lang w:val="en-US" w:eastAsia="zh-CN" w:bidi="ar-SA"/>
    </w:rPr>
  </w:style>
  <w:style w:type="character" w:styleId="1252">
    <w:name w:val="正文文本缩进 Char"/>
    <w:next w:val="1252"/>
    <w:link w:val="1028"/>
    <w:qFormat/>
    <w:rPr>
      <w:rFonts w:eastAsia="宋体"/>
      <w:sz w:val="24"/>
      <w:szCs w:val="24"/>
      <w:lang w:val="en-US" w:eastAsia="zh-CN" w:bidi="ar-SA"/>
    </w:rPr>
  </w:style>
  <w:style w:type="character" w:styleId="1253">
    <w:name w:val="列出段落 Char"/>
    <w:next w:val="1253"/>
    <w:link w:val="1028"/>
    <w:qFormat/>
    <w:rPr>
      <w:rFonts w:ascii="Calibri" w:hAnsi="Calibri" w:eastAsia="宋体"/>
      <w:sz w:val="21"/>
      <w:szCs w:val="22"/>
      <w:lang w:val="en-US" w:eastAsia="zh-CN" w:bidi="ar-SA"/>
    </w:rPr>
  </w:style>
  <w:style w:type="character" w:styleId="1254">
    <w:name w:val="页眉 Char"/>
    <w:next w:val="1254"/>
    <w:link w:val="1028"/>
    <w:qFormat/>
    <w:rPr>
      <w:rFonts w:eastAsia="宋体"/>
      <w:sz w:val="18"/>
      <w:szCs w:val="18"/>
      <w:lang w:val="en-US" w:eastAsia="zh-CN" w:bidi="ar-SA"/>
    </w:rPr>
  </w:style>
  <w:style w:type="character" w:styleId="1255">
    <w:name w:val="标题 2 Char"/>
    <w:next w:val="1255"/>
    <w:link w:val="1028"/>
    <w:qFormat/>
    <w:rPr>
      <w:rFonts w:ascii="Arial" w:hAnsi="Arial" w:eastAsia="黑体"/>
      <w:b/>
      <w:sz w:val="30"/>
      <w:lang w:val="en-US" w:eastAsia="zh-CN" w:bidi="ar-SA"/>
    </w:rPr>
  </w:style>
  <w:style w:type="paragraph" w:styleId="1256">
    <w:name w:val="字元 字元2"/>
    <w:basedOn w:val="1028"/>
    <w:next w:val="1256"/>
    <w:link w:val="1028"/>
    <w:qFormat/>
    <w:rPr>
      <w:rFonts w:ascii="Tahoma" w:hAnsi="Tahoma"/>
      <w:sz w:val="24"/>
      <w:szCs w:val="20"/>
    </w:rPr>
  </w:style>
  <w:style w:type="paragraph" w:styleId="1257">
    <w:name w:val="Char3 Char Char Char2"/>
    <w:basedOn w:val="1028"/>
    <w:next w:val="1257"/>
    <w:link w:val="1028"/>
    <w:qFormat/>
    <w:rPr>
      <w:rFonts w:ascii="Tahoma" w:hAnsi="Tahoma"/>
      <w:sz w:val="24"/>
      <w:szCs w:val="20"/>
    </w:rPr>
  </w:style>
  <w:style w:type="paragraph" w:styleId="1258">
    <w:name w:val="正文文本缩进2"/>
    <w:basedOn w:val="1028"/>
    <w:next w:val="1258"/>
    <w:link w:val="1028"/>
    <w:qFormat/>
    <w:pPr>
      <w:ind w:firstLine="480"/>
      <w:spacing w:line="480" w:lineRule="exact"/>
    </w:pPr>
    <w:rPr>
      <w:rFonts w:ascii="宋体" w:hAnsi="宋体"/>
      <w:sz w:val="24"/>
      <w:lang w:val="zh-CN" w:eastAsia="zh-CN"/>
    </w:rPr>
  </w:style>
  <w:style w:type="paragraph" w:styleId="1259">
    <w:name w:val="Char3"/>
    <w:basedOn w:val="1028"/>
    <w:next w:val="1259"/>
    <w:link w:val="1028"/>
    <w:qFormat/>
    <w:pPr>
      <w:tabs>
        <w:tab w:val="left" w:pos="360" w:leader="none"/>
      </w:tabs>
    </w:pPr>
    <w:rPr>
      <w:sz w:val="24"/>
    </w:rPr>
  </w:style>
  <w:style w:type="paragraph" w:styleId="1260">
    <w:name w:val="Char Char Char Char Char Char Char Char Char Char Char Char Char Char Char Char1"/>
    <w:basedOn w:val="1028"/>
    <w:next w:val="1260"/>
    <w:link w:val="1028"/>
    <w:qFormat/>
    <w:pPr>
      <w:jc w:val="center"/>
      <w:spacing w:after="160" w:line="240" w:lineRule="exact"/>
      <w:widowControl/>
    </w:pPr>
    <w:rPr>
      <w:rFonts w:ascii="宋体" w:hAnsi="宋体"/>
      <w:b/>
      <w:sz w:val="30"/>
      <w:szCs w:val="30"/>
      <w:lang w:eastAsia="en-US"/>
    </w:rPr>
  </w:style>
  <w:style w:type="paragraph" w:styleId="1261">
    <w:name w:val="Char Char1 Char Char Char Char Char Char1"/>
    <w:basedOn w:val="1028"/>
    <w:next w:val="1261"/>
    <w:link w:val="1028"/>
    <w:qFormat/>
    <w:pPr>
      <w:jc w:val="left"/>
      <w:spacing w:after="160" w:line="240" w:lineRule="exact"/>
      <w:widowControl/>
    </w:pPr>
    <w:rPr>
      <w:rFonts w:ascii="Verdana" w:hAnsi="Verdana" w:eastAsia="仿宋_GB2312"/>
      <w:sz w:val="24"/>
      <w:szCs w:val="20"/>
      <w:lang w:eastAsia="en-US"/>
    </w:rPr>
  </w:style>
  <w:style w:type="paragraph" w:styleId="1262">
    <w:name w:val="列出段落2"/>
    <w:basedOn w:val="1028"/>
    <w:next w:val="1262"/>
    <w:link w:val="1028"/>
    <w:qFormat/>
    <w:pPr>
      <w:ind w:firstLine="420"/>
    </w:pPr>
    <w:rPr>
      <w:rFonts w:ascii="Calibri" w:hAnsi="Calibri"/>
      <w:szCs w:val="22"/>
    </w:rPr>
  </w:style>
  <w:style w:type="paragraph" w:styleId="1263">
    <w:name w:val="Char Char Char1 Char2"/>
    <w:basedOn w:val="1028"/>
    <w:next w:val="1263"/>
    <w:link w:val="1028"/>
    <w:qFormat/>
    <w:rPr>
      <w:rFonts w:ascii="Tahoma" w:hAnsi="Tahoma"/>
      <w:sz w:val="24"/>
      <w:szCs w:val="20"/>
    </w:rPr>
  </w:style>
  <w:style w:type="paragraph" w:styleId="1264">
    <w:name w:val="Char Char Char2"/>
    <w:basedOn w:val="1028"/>
    <w:next w:val="1264"/>
    <w:link w:val="1028"/>
    <w:qFormat/>
    <w:rPr>
      <w:rFonts w:ascii="Tahoma" w:hAnsi="Tahoma"/>
      <w:sz w:val="24"/>
      <w:szCs w:val="20"/>
    </w:rPr>
  </w:style>
  <w:style w:type="paragraph" w:styleId="1265">
    <w:name w:val="Char Char Char Char Char Char Char2"/>
    <w:basedOn w:val="1028"/>
    <w:next w:val="1265"/>
    <w:link w:val="1028"/>
    <w:qFormat/>
    <w:pPr>
      <w:ind w:firstLine="200"/>
      <w:spacing w:line="360" w:lineRule="auto"/>
    </w:pPr>
    <w:rPr>
      <w:rFonts w:eastAsia="仿宋_GB2312"/>
      <w:sz w:val="24"/>
    </w:rPr>
  </w:style>
  <w:style w:type="paragraph" w:styleId="1266">
    <w:name w:val="正文缩进2"/>
    <w:basedOn w:val="1028"/>
    <w:next w:val="1266"/>
    <w:link w:val="1028"/>
    <w:qFormat/>
    <w:pPr>
      <w:ind w:firstLine="567"/>
      <w:spacing w:line="480" w:lineRule="exact"/>
      <w:widowControl/>
    </w:pPr>
    <w:rPr>
      <w:rFonts w:ascii="宋体"/>
      <w:color w:val="000000"/>
      <w:sz w:val="28"/>
      <w:szCs w:val="20"/>
      <w:lang w:val="zh-CN" w:eastAsia="zh-CN"/>
    </w:rPr>
  </w:style>
  <w:style w:type="paragraph" w:styleId="1267">
    <w:name w:val="Revision"/>
    <w:next w:val="1267"/>
    <w:link w:val="1028"/>
    <w:qFormat/>
    <w:rPr>
      <w:sz w:val="21"/>
      <w:szCs w:val="24"/>
      <w:lang w:val="en-US" w:eastAsia="zh-CN" w:bidi="ar-SA"/>
    </w:rPr>
  </w:style>
  <w:style w:type="paragraph" w:styleId="1268">
    <w:name w:val="Char22"/>
    <w:basedOn w:val="1028"/>
    <w:next w:val="1268"/>
    <w:link w:val="1028"/>
    <w:qFormat/>
    <w:rPr>
      <w:rFonts w:ascii="Tahoma" w:hAnsi="Tahoma"/>
      <w:sz w:val="24"/>
      <w:szCs w:val="20"/>
    </w:rPr>
  </w:style>
  <w:style w:type="paragraph" w:styleId="1269">
    <w:name w:val="Char Char Char Char Char Char Char Char Char Char2"/>
    <w:basedOn w:val="1028"/>
    <w:next w:val="1269"/>
    <w:link w:val="1028"/>
    <w:qFormat/>
    <w:rPr>
      <w:rFonts w:ascii="宋体" w:hAnsi="宋体" w:cs="Courier New"/>
      <w:sz w:val="32"/>
      <w:szCs w:val="32"/>
    </w:rPr>
  </w:style>
  <w:style w:type="paragraph" w:styleId="1270">
    <w:name w:val="Char2 Char Char Char Char Char Char1"/>
    <w:basedOn w:val="1028"/>
    <w:next w:val="1270"/>
    <w:link w:val="1028"/>
    <w:qFormat/>
    <w:pPr>
      <w:jc w:val="center"/>
      <w:spacing w:line="400" w:lineRule="exact"/>
      <w:widowControl/>
    </w:pPr>
  </w:style>
  <w:style w:type="character" w:styleId="1271">
    <w:name w:val="页脚 Char"/>
    <w:next w:val="1271"/>
    <w:link w:val="1028"/>
    <w:qFormat/>
    <w:rPr>
      <w:rFonts w:ascii="宋体" w:eastAsia="宋体"/>
      <w:sz w:val="18"/>
      <w:lang w:val="en-US" w:eastAsia="zh-CN" w:bidi="ar-SA"/>
    </w:rPr>
  </w:style>
  <w:style w:type="paragraph" w:styleId="1272">
    <w:name w:val="Char Char41"/>
    <w:basedOn w:val="1028"/>
    <w:next w:val="1272"/>
    <w:link w:val="1028"/>
    <w:qFormat/>
    <w:pPr>
      <w:jc w:val="center"/>
      <w:spacing w:line="400" w:lineRule="exact"/>
      <w:widowControl/>
    </w:pPr>
  </w:style>
  <w:style w:type="character" w:styleId="1273">
    <w:name w:val="批注文字 Char"/>
    <w:next w:val="1273"/>
    <w:link w:val="1028"/>
    <w:uiPriority w:val="99"/>
    <w:qFormat/>
    <w:rPr>
      <w:sz w:val="21"/>
      <w:szCs w:val="24"/>
    </w:rPr>
  </w:style>
  <w:style w:type="character" w:styleId="1274">
    <w:name w:val="标题 Char"/>
    <w:next w:val="1274"/>
    <w:link w:val="1028"/>
    <w:qFormat/>
    <w:rPr>
      <w:b/>
      <w:sz w:val="32"/>
    </w:rPr>
  </w:style>
  <w:style w:type="paragraph" w:styleId="1275">
    <w:name w:val="图例"/>
    <w:basedOn w:val="1028"/>
    <w:next w:val="1275"/>
    <w:link w:val="1028"/>
    <w:qFormat/>
    <w:pPr>
      <w:jc w:val="center"/>
      <w:spacing w:before="120" w:after="120" w:line="360" w:lineRule="auto"/>
    </w:pPr>
    <w:rPr>
      <w:rFonts w:eastAsia="仿宋_GB2312"/>
      <w:b/>
      <w:sz w:val="24"/>
      <w:szCs w:val="20"/>
    </w:rPr>
  </w:style>
  <w:style w:type="table" w:styleId="1276">
    <w:name w:val="Table Normal"/>
    <w:next w:val="1276"/>
    <w:link w:val="1028"/>
    <w:uiPriority w:val="2"/>
    <w:unhideWhenUsed/>
    <w:qFormat/>
    <w:pPr>
      <w:widowControl w:val="off"/>
    </w:pPr>
    <w:rPr>
      <w:rFonts w:ascii="Calibri" w:hAnsi="Calibri"/>
      <w:sz w:val="22"/>
      <w:szCs w:val="22"/>
      <w:lang w:val="en-US" w:eastAsia="en-US" w:bidi="ar-SA"/>
    </w:rPr>
    <w:tblPr/>
  </w:style>
  <w:style w:type="paragraph" w:styleId="1277">
    <w:name w:val="Table Paragraph"/>
    <w:basedOn w:val="1028"/>
    <w:next w:val="1277"/>
    <w:link w:val="1028"/>
    <w:uiPriority w:val="1"/>
    <w:qFormat/>
    <w:pPr>
      <w:jc w:val="left"/>
    </w:pPr>
    <w:rPr>
      <w:rFonts w:ascii="宋体" w:hAnsi="宋体" w:cs="宋体"/>
      <w:sz w:val="22"/>
      <w:szCs w:val="22"/>
      <w:lang w:eastAsia="en-US"/>
    </w:rPr>
  </w:style>
  <w:style w:type="paragraph" w:styleId="1278">
    <w:name w:val="成文日期"/>
    <w:basedOn w:val="1028"/>
    <w:next w:val="1278"/>
    <w:link w:val="1279"/>
    <w:qFormat/>
    <w:pPr>
      <w:ind w:right="400" w:firstLine="200"/>
      <w:jc w:val="right"/>
      <w:spacing w:line="570" w:lineRule="exact"/>
    </w:pPr>
    <w:rPr>
      <w:rFonts w:ascii="仿宋_GB2312" w:eastAsia="仿宋_GB2312"/>
      <w:sz w:val="32"/>
      <w:szCs w:val="20"/>
    </w:rPr>
  </w:style>
  <w:style w:type="character" w:styleId="1279">
    <w:name w:val="成文日期 Char"/>
    <w:next w:val="1279"/>
    <w:link w:val="1278"/>
    <w:qFormat/>
    <w:rPr>
      <w:rFonts w:ascii="仿宋_GB2312" w:eastAsia="仿宋_GB2312"/>
      <w:sz w:val="32"/>
    </w:rPr>
  </w:style>
  <w:style w:type="paragraph" w:styleId="1280">
    <w:name w:val="修订"/>
    <w:next w:val="1280"/>
    <w:link w:val="1028"/>
    <w:uiPriority w:val="99"/>
    <w:unhideWhenUsed/>
    <w:rPr>
      <w:sz w:val="21"/>
      <w:szCs w:val="24"/>
      <w:lang w:val="en-US" w:eastAsia="zh-CN" w:bidi="ar-SA"/>
    </w:rPr>
  </w:style>
  <w:style w:type="paragraph" w:styleId="1281">
    <w:name w:val="正文1"/>
    <w:basedOn w:val="1028"/>
    <w:next w:val="1281"/>
    <w:link w:val="1028"/>
    <w:qFormat/>
    <w:pPr>
      <w:contextualSpacing/>
      <w:ind w:firstLine="200"/>
      <w:jc w:val="left"/>
      <w:spacing w:before="120" w:after="120"/>
      <w:widowControl/>
    </w:pPr>
    <w:rPr>
      <w:rFonts w:ascii="Calibri" w:hAnsi="Calibri" w:eastAsia="Adobe 仿宋 Std R"/>
      <w:sz w:val="20"/>
      <w:szCs w:val="21"/>
    </w:rPr>
  </w:style>
  <w:style w:type="character" w:styleId="1282">
    <w:name w:val="材料标题 Char"/>
    <w:next w:val="1282"/>
    <w:link w:val="1283"/>
    <w:qFormat/>
    <w:rPr>
      <w:rFonts w:ascii="方正小标宋简体" w:eastAsia="方正小标宋简体"/>
      <w:color w:val="000000"/>
      <w:sz w:val="44"/>
      <w:szCs w:val="44"/>
    </w:rPr>
  </w:style>
  <w:style w:type="paragraph" w:styleId="1283">
    <w:name w:val="材料标题"/>
    <w:basedOn w:val="1028"/>
    <w:next w:val="1283"/>
    <w:link w:val="1282"/>
    <w:qFormat/>
    <w:pPr>
      <w:jc w:val="center"/>
      <w:spacing w:line="700" w:lineRule="exact"/>
    </w:pPr>
    <w:rPr>
      <w:rFonts w:ascii="方正小标宋简体" w:eastAsia="方正小标宋简体"/>
      <w:color w:val="000000"/>
      <w:sz w:val="44"/>
      <w:szCs w:val="44"/>
    </w:rPr>
  </w:style>
  <w:style w:type="character" w:styleId="1284">
    <w:name w:val="未处理的提及"/>
    <w:next w:val="1284"/>
    <w:link w:val="1028"/>
    <w:uiPriority w:val="99"/>
    <w:unhideWhenUsed/>
    <w:rPr>
      <w:color w:val="605e5c"/>
      <w:shd w:val="clear" w:color="auto" w:fill="e1dfdd"/>
    </w:rPr>
  </w:style>
  <w:style w:type="character" w:styleId="1285">
    <w:name w:val="grame"/>
    <w:next w:val="1285"/>
    <w:link w:val="1028"/>
  </w:style>
  <w:style w:type="character" w:styleId="1286">
    <w:name w:val="正文文本 字符"/>
    <w:next w:val="1286"/>
    <w:link w:val="1028"/>
    <w:qFormat/>
    <w:rPr>
      <w:rFonts w:ascii="宋体" w:hAnsi="宋体"/>
      <w:sz w:val="24"/>
      <w:szCs w:val="24"/>
    </w:rPr>
  </w:style>
  <w:style w:type="paragraph" w:styleId="1287">
    <w:name w:val="标题 21"/>
    <w:basedOn w:val="1028"/>
    <w:next w:val="1028"/>
    <w:link w:val="1028"/>
    <w:qFormat/>
    <w:pPr>
      <w:jc w:val="center"/>
      <w:keepLines/>
      <w:keepNext/>
      <w:spacing w:before="120" w:line="300" w:lineRule="auto"/>
      <w:outlineLvl w:val="1"/>
    </w:pPr>
    <w:rPr>
      <w:rFonts w:ascii="Arial" w:hAnsi="Arial" w:eastAsia="黑体"/>
      <w:b/>
      <w:sz w:val="30"/>
      <w:szCs w:val="20"/>
    </w:rPr>
  </w:style>
  <w:style w:type="table" w:styleId="1288">
    <w:name w:val="网格型1"/>
    <w:basedOn w:val="1039"/>
    <w:next w:val="1288"/>
    <w:link w:val="1028"/>
    <w:uiPriority w:val="39"/>
    <w:qFormat/>
    <w:pPr>
      <w:jc w:val="both"/>
      <w:widowControl w:val="off"/>
    </w:pPr>
    <w:rPr>
      <w:rFonts w:ascii="等线" w:hAnsi="等线" w:eastAsia="等线" w:cs="Times New Roman"/>
    </w:rPr>
    <w:tblPr/>
  </w:style>
  <w:style w:type="character" w:styleId="1289">
    <w:name w:val="15"/>
    <w:next w:val="1289"/>
    <w:link w:val="1028"/>
    <w:rPr>
      <w:rFonts w:ascii="Times New Roman" w:hAnsi="Times New Roman" w:cs="Times New Roman"/>
      <w:color w:val="cc0033"/>
    </w:rPr>
  </w:style>
  <w:style w:type="table" w:styleId="1290">
    <w:name w:val="网格型2"/>
    <w:basedOn w:val="1039"/>
    <w:next w:val="1290"/>
    <w:link w:val="1028"/>
    <w:rPr>
      <w:rFonts w:ascii="Aptos" w:hAnsi="Aptos" w:eastAsia="等线" w:cs="Times New Roman"/>
      <w:sz w:val="24"/>
      <w:szCs w:val="24"/>
    </w:rPr>
    <w:tblPr/>
  </w:style>
  <w:style w:type="character" w:styleId="1291" w:default="1">
    <w:name w:val="Default Paragraph Font"/>
    <w:uiPriority w:val="1"/>
    <w:semiHidden/>
    <w:unhideWhenUsed/>
  </w:style>
  <w:style w:type="numbering" w:styleId="1292" w:default="1">
    <w:name w:val="No List"/>
    <w:uiPriority w:val="99"/>
    <w:semiHidden/>
    <w:unhideWhenUsed/>
  </w:style>
  <w:style w:type="table" w:styleId="1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张海鹏</cp:lastModifiedBy>
  <cp:revision>10</cp:revision>
  <dcterms:created xsi:type="dcterms:W3CDTF">2025-06-03T00:39:00Z</dcterms:created>
  <dcterms:modified xsi:type="dcterms:W3CDTF">2026-07-16T01:25:30Z</dcterms:modified>
  <cp:version>1048576</cp:version>
</cp:coreProperties>
</file>