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23"/>
      </w:pPr>
      <w:r/>
      <w:r/>
    </w:p>
    <w:p>
      <w:pPr>
        <w:pStyle w:val="934"/>
        <w:jc w:val="center"/>
        <w:rPr>
          <w:rFonts w:eastAsia="黑体"/>
          <w:b/>
          <w:bCs/>
          <w:sz w:val="84"/>
        </w:rPr>
      </w:pPr>
      <w:r>
        <w:rPr>
          <w:rFonts w:hint="eastAsia" w:eastAsia="黑体"/>
          <w:b/>
          <w:bCs/>
          <w:sz w:val="84"/>
        </w:rPr>
        <w:t xml:space="preserve">招　标　文　件</w:t>
      </w:r>
      <w:r/>
    </w:p>
    <w:p>
      <w:pPr>
        <w:ind w:firstLine="1606"/>
        <w:rPr>
          <w:rFonts w:hint="eastAsia"/>
          <w:b/>
          <w:color w:val="000000"/>
          <w:sz w:val="32"/>
          <w:szCs w:val="32"/>
        </w:rPr>
      </w:pPr>
      <w:r>
        <w:rPr>
          <w:rFonts w:hint="eastAsia"/>
          <w:b/>
          <w:color w:val="000000"/>
          <w:sz w:val="32"/>
          <w:szCs w:val="32"/>
        </w:rPr>
        <w:t xml:space="preserve">项目名称：南京市江宁医院内网超融合项目</w:t>
      </w:r>
      <w:r/>
    </w:p>
    <w:p>
      <w:pPr>
        <w:ind w:firstLine="1606"/>
        <w:rPr>
          <w:b/>
          <w:color w:val="000000"/>
          <w:sz w:val="32"/>
          <w:szCs w:val="32"/>
        </w:rPr>
      </w:pPr>
      <w:r>
        <w:rPr>
          <w:rFonts w:hint="eastAsia"/>
          <w:b/>
          <w:color w:val="000000"/>
          <w:sz w:val="32"/>
          <w:szCs w:val="32"/>
        </w:rPr>
        <w:t xml:space="preserve">项目编号：JSZC-320115-JZCG-G2026-0048</w:t>
      </w:r>
      <w:r/>
    </w:p>
    <w:p>
      <w:pPr>
        <w:jc w:val="center"/>
        <w:rPr>
          <w:b/>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sz w:val="30"/>
          <w:szCs w:val="30"/>
        </w:rPr>
        <w:t xml:space="preserve">）</w:t>
      </w:r>
      <w:bookmarkStart w:id="74" w:name="_GoBack"/>
      <w:r/>
      <w:bookmarkEnd w:id="74"/>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s="宋体"/>
          <w:b/>
          <w:bCs/>
          <w:color w:val="0000ff"/>
          <w:sz w:val="28"/>
          <w:szCs w:val="28"/>
        </w:rPr>
      </w:pPr>
      <w:r>
        <w:rPr>
          <w:rFonts w:ascii="宋体" w:hAnsi="宋体" w:cs="宋体"/>
          <w:b/>
          <w:bCs/>
          <w:color w:val="0000ff"/>
          <w:sz w:val="28"/>
          <w:szCs w:val="28"/>
        </w:rPr>
      </w:r>
      <w:r/>
    </w:p>
    <w:p>
      <w:pPr>
        <w:pStyle w:val="888"/>
        <w:ind w:left="420"/>
        <w:rPr>
          <w:lang w:eastAsia="zh-CN"/>
        </w:rPr>
      </w:pPr>
      <w:r>
        <w:rPr>
          <w:lang w:eastAsia="zh-CN"/>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34"/>
        <w:ind w:firstLine="0"/>
        <w:jc w:val="center"/>
        <w:rPr>
          <w:b/>
          <w:bCs/>
          <w:sz w:val="32"/>
        </w:rPr>
      </w:pPr>
      <w:r>
        <w:rPr>
          <w:rFonts w:hint="eastAsia"/>
          <w:b/>
          <w:bCs/>
          <w:sz w:val="32"/>
        </w:rPr>
        <w:t xml:space="preserve">南京市公共资源交易中心江宁分中心</w:t>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8</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宋体" w:hAnsi="宋体"/>
          <w:sz w:val="24"/>
          <w:szCs w:val="24"/>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847"/>
        <w:ind w:firstLine="465"/>
        <w:spacing w:before="145" w:after="145" w:line="252" w:lineRule="auto"/>
        <w:rPr>
          <w:rFonts w:ascii="方正黑体_GBK" w:hAnsi="方正黑体_GBK" w:eastAsia="方正黑体_GBK" w:cs="方正黑体_GBK"/>
          <w:b w:val="0"/>
          <w:bCs w:val="0"/>
          <w:sz w:val="30"/>
          <w:szCs w:val="30"/>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ascii="宋体" w:hAnsi="宋体"/>
          <w:sz w:val="24"/>
          <w:szCs w:val="24"/>
        </w:rPr>
      </w:pPr>
      <w:r/>
      <w:bookmarkStart w:id="12" w:name="_Toc35393791"/>
      <w:r/>
      <w:bookmarkStart w:id="13" w:name="_Toc38985264"/>
      <w:r/>
      <w:bookmarkStart w:id="14" w:name="_Toc28359080"/>
      <w:r/>
      <w:bookmarkStart w:id="15" w:name="_Toc35393622"/>
      <w:r/>
      <w:bookmarkStart w:id="16" w:name="_Toc28359003"/>
      <w:r>
        <w:rPr>
          <w:rFonts w:hint="eastAsia" w:ascii="宋体" w:hAnsi="宋体"/>
          <w:sz w:val="24"/>
          <w:szCs w:val="24"/>
        </w:rPr>
        <w:t xml:space="preserve">1.项目编号：JSZC-320115-JZCG-G2026-0048</w:t>
      </w:r>
      <w:r/>
    </w:p>
    <w:p>
      <w:pPr>
        <w:ind w:firstLine="480"/>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南京市江宁医院内网超融合项目</w:t>
      </w:r>
      <w:r/>
    </w:p>
    <w:p>
      <w:pPr>
        <w:ind w:firstLine="480"/>
        <w:rPr>
          <w:rFonts w:ascii="宋体" w:hAnsi="宋体"/>
          <w:sz w:val="24"/>
          <w:szCs w:val="24"/>
        </w:rPr>
      </w:pPr>
      <w:r>
        <w:rPr>
          <w:rFonts w:hint="eastAsia" w:ascii="宋体" w:hAnsi="宋体"/>
          <w:sz w:val="24"/>
          <w:szCs w:val="24"/>
        </w:rPr>
        <w:t xml:space="preserve">3.预算金额：39</w:t>
      </w:r>
      <w:r>
        <w:rPr>
          <w:rFonts w:ascii="宋体" w:hAnsi="宋体"/>
          <w:sz w:val="24"/>
          <w:szCs w:val="24"/>
        </w:rPr>
        <w:t xml:space="preserve">5.8</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4.最高限价：39</w:t>
      </w:r>
      <w:r>
        <w:rPr>
          <w:rFonts w:ascii="宋体" w:hAnsi="宋体"/>
          <w:sz w:val="24"/>
          <w:szCs w:val="24"/>
        </w:rPr>
        <w:t xml:space="preserve">5.8</w:t>
      </w:r>
      <w:r>
        <w:rPr>
          <w:rFonts w:hint="eastAsia" w:ascii="宋体" w:hAnsi="宋体"/>
          <w:sz w:val="24"/>
          <w:szCs w:val="24"/>
        </w:rPr>
        <w:t xml:space="preserve">万元</w:t>
      </w:r>
      <w:r/>
    </w:p>
    <w:p>
      <w:pPr>
        <w:ind w:firstLine="480"/>
        <w:rPr>
          <w:rFonts w:ascii="宋体" w:hAnsi="宋体"/>
          <w:color w:val="000000"/>
          <w:sz w:val="24"/>
          <w:szCs w:val="24"/>
          <w:u w:val="single"/>
        </w:rPr>
      </w:pPr>
      <w:r>
        <w:rPr>
          <w:rFonts w:hint="eastAsia" w:ascii="宋体" w:hAnsi="宋体"/>
          <w:color w:val="000000"/>
          <w:sz w:val="24"/>
          <w:szCs w:val="24"/>
        </w:rPr>
        <w:t xml:space="preserve">5.采购需求（简介）：当前南</w:t>
      </w:r>
      <w:r>
        <w:rPr>
          <w:rFonts w:ascii="宋体" w:hAnsi="宋体"/>
          <w:color w:val="000000"/>
          <w:sz w:val="24"/>
          <w:szCs w:val="24"/>
        </w:rPr>
        <w:t xml:space="preserve">京市江宁医院现有IT基础设施基于超融合系统建设，随着设备老化及性能瓶颈显现，亟需升级以满足日益增长的业务数据负载与高可用性要求。同时，在国家战略推动下，医疗信息系统需逐步实现技术自主可控，构建安全、可靠的内网环境。</w:t>
      </w:r>
      <w:r>
        <w:rPr>
          <w:rFonts w:hint="eastAsia" w:ascii="宋体" w:hAnsi="宋体" w:cs="宋体"/>
          <w:color w:val="000000"/>
          <w:sz w:val="24"/>
          <w:szCs w:val="24"/>
        </w:rPr>
        <w:t xml:space="preserve">（详细内容见本招标文件第四章） </w:t>
      </w:r>
      <w:r/>
    </w:p>
    <w:p>
      <w:pPr>
        <w:ind w:firstLine="480"/>
        <w:rPr>
          <w:rFonts w:ascii="宋体" w:hAnsi="宋体" w:cs="宋体"/>
          <w:sz w:val="24"/>
          <w:szCs w:val="24"/>
        </w:rPr>
      </w:pPr>
      <w:r>
        <w:rPr>
          <w:rFonts w:hint="eastAsia" w:ascii="宋体" w:hAnsi="宋体"/>
          <w:sz w:val="24"/>
          <w:szCs w:val="24"/>
        </w:rPr>
        <w:t xml:space="preserve">6</w:t>
      </w:r>
      <w:r>
        <w:rPr>
          <w:rFonts w:hint="eastAsia" w:ascii="宋体" w:hAnsi="宋体"/>
          <w:color w:val="000000"/>
          <w:sz w:val="24"/>
          <w:szCs w:val="24"/>
        </w:rPr>
        <w:t xml:space="preserve">.合同履行期限：</w:t>
      </w:r>
      <w:r>
        <w:rPr>
          <w:rFonts w:ascii="宋体" w:hAnsi="宋体" w:cs="宋体"/>
          <w:sz w:val="24"/>
          <w:szCs w:val="24"/>
        </w:rPr>
        <w:t xml:space="preserve">合同签订后</w:t>
      </w:r>
      <w:r>
        <w:rPr>
          <w:rFonts w:hint="eastAsia" w:ascii="宋体" w:hAnsi="宋体" w:cs="宋体"/>
          <w:sz w:val="24"/>
          <w:szCs w:val="24"/>
        </w:rPr>
        <w:t xml:space="preserve">14天内到货，90</w:t>
      </w:r>
      <w:r>
        <w:rPr>
          <w:rFonts w:ascii="宋体" w:hAnsi="宋体" w:cs="宋体"/>
          <w:sz w:val="24"/>
          <w:szCs w:val="24"/>
        </w:rPr>
        <w:t xml:space="preserve">天内交付并完成安装调试及验收</w:t>
      </w:r>
      <w:r>
        <w:rPr>
          <w:rFonts w:hint="eastAsia" w:ascii="宋体" w:hAnsi="宋体" w:cs="宋体"/>
          <w:sz w:val="24"/>
          <w:szCs w:val="24"/>
        </w:rPr>
        <w:t xml:space="preserve">。</w:t>
      </w:r>
      <w:r/>
    </w:p>
    <w:p>
      <w:pPr>
        <w:ind w:firstLine="480"/>
        <w:rPr>
          <w:rFonts w:ascii="宋体" w:hAnsi="宋体" w:cs="宋体"/>
          <w:color w:val="000000"/>
          <w:sz w:val="24"/>
          <w:szCs w:val="24"/>
        </w:rPr>
      </w:pPr>
      <w:r>
        <w:rPr>
          <w:rFonts w:hint="eastAsia" w:ascii="宋体" w:hAnsi="宋体"/>
          <w:sz w:val="24"/>
          <w:szCs w:val="24"/>
        </w:rPr>
        <w:t xml:space="preserve">7.</w:t>
      </w:r>
      <w:r>
        <w:rPr>
          <w:rFonts w:hint="eastAsia" w:ascii="宋体" w:hAnsi="宋体" w:cs="宋体"/>
          <w:sz w:val="24"/>
          <w:szCs w:val="24"/>
        </w:rPr>
        <w:t xml:space="preserve">本</w:t>
      </w:r>
      <w:r>
        <w:rPr>
          <w:rFonts w:hint="eastAsia" w:ascii="宋体" w:hAnsi="宋体" w:cs="宋体"/>
          <w:color w:val="000000"/>
          <w:sz w:val="24"/>
          <w:szCs w:val="24"/>
        </w:rPr>
        <w:t xml:space="preserve">项目不接受联合体投标。</w:t>
      </w:r>
      <w:r/>
    </w:p>
    <w:p>
      <w:pPr>
        <w:ind w:firstLine="480"/>
        <w:rPr>
          <w:rFonts w:hint="eastAsia" w:ascii="宋体" w:hAnsi="宋体"/>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w:t>
      </w:r>
      <w:r>
        <w:rPr>
          <w:rFonts w:hint="eastAsia" w:ascii="宋体" w:hAnsi="宋体"/>
          <w:sz w:val="24"/>
          <w:szCs w:val="24"/>
        </w:rPr>
        <w:t xml:space="preserve">标。</w:t>
      </w:r>
      <w:r/>
    </w:p>
    <w:p>
      <w:pPr>
        <w:ind w:firstLine="480"/>
        <w:rPr>
          <w:rFonts w:hint="eastAsia" w:ascii="宋体" w:hAnsi="宋体"/>
          <w:color w:val="000000"/>
          <w:sz w:val="24"/>
          <w:szCs w:val="24"/>
        </w:rPr>
      </w:pPr>
      <w:r>
        <w:rPr>
          <w:rFonts w:hint="eastAsia" w:ascii="宋体" w:hAnsi="宋体"/>
          <w:color w:val="000000"/>
          <w:sz w:val="24"/>
          <w:szCs w:val="24"/>
          <w:lang w:val="en-US" w:eastAsia="zh-CN"/>
        </w:rPr>
        <w:t xml:space="preserve">9.本项目不允许分包。</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35393623"/>
      <w:r/>
      <w:bookmarkStart w:id="18" w:name="_Toc28359081"/>
      <w:r/>
      <w:bookmarkStart w:id="19" w:name="_Toc38985265"/>
      <w:r/>
      <w:bookmarkStart w:id="20" w:name="_Toc35393792"/>
      <w:r/>
      <w:bookmarkStart w:id="21" w:name="_Toc28359004"/>
      <w:r>
        <w:rPr>
          <w:rFonts w:hint="eastAsia" w:ascii="宋体" w:hAnsi="宋体" w:cs="宋体"/>
          <w:sz w:val="24"/>
          <w:szCs w:val="24"/>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spacing w:line="252" w:lineRule="auto"/>
        <w:rPr>
          <w:rFonts w:ascii="宋体" w:hAnsi="宋体"/>
          <w:color w:val="000000"/>
          <w:sz w:val="24"/>
          <w:szCs w:val="24"/>
        </w:rPr>
      </w:pPr>
      <w:r>
        <w:rPr>
          <w:rFonts w:hint="eastAsia" w:ascii="宋体" w:hAnsi="宋体"/>
          <w:color w:val="auto"/>
          <w:sz w:val="24"/>
          <w:szCs w:val="24"/>
          <w:highlight w:val="none"/>
        </w:rPr>
        <w:t xml:space="preserve">（二）</w:t>
      </w:r>
      <w:r>
        <w:rPr>
          <w:rFonts w:hint="eastAsia" w:ascii="宋体" w:hAnsi="宋体"/>
          <w:color w:val="000000"/>
          <w:sz w:val="24"/>
          <w:szCs w:val="24"/>
        </w:rPr>
        <w:t xml:space="preserve">落实政府采购政策需满足的资格要求：无</w:t>
      </w:r>
      <w:r/>
    </w:p>
    <w:p>
      <w:pPr>
        <w:ind w:firstLine="480"/>
        <w:spacing w:line="264" w:lineRule="auto"/>
        <w:rPr>
          <w:rFonts w:ascii="宋体" w:hAnsi="宋体"/>
          <w:color w:val="0000ff"/>
          <w:sz w:val="24"/>
          <w:szCs w:val="24"/>
          <w:lang w:val="zh-CN"/>
        </w:rPr>
      </w:pPr>
      <w:r>
        <w:rPr>
          <w:rFonts w:hint="eastAsia" w:ascii="宋体" w:hAnsi="宋体" w:cs="宋体"/>
          <w:sz w:val="24"/>
          <w:szCs w:val="24"/>
        </w:rPr>
        <w:t xml:space="preserve">（</w:t>
      </w:r>
      <w:r>
        <w:rPr>
          <w:rFonts w:hint="eastAsia" w:ascii="宋体" w:hAnsi="宋体" w:cs="宋体"/>
          <w:sz w:val="24"/>
          <w:szCs w:val="24"/>
          <w:lang w:eastAsia="zh-CN"/>
        </w:rPr>
        <w:t xml:space="preserve">三</w:t>
      </w:r>
      <w:r>
        <w:rPr>
          <w:rFonts w:hint="eastAsia" w:ascii="宋体" w:hAnsi="宋体" w:cs="宋体"/>
          <w:sz w:val="24"/>
          <w:szCs w:val="24"/>
        </w:rPr>
        <w:t xml:space="preserve">）本项目特定资格要求：无</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eastAsia="宋体" w:cs="宋体"/>
          <w:sz w:val="24"/>
          <w:szCs w:val="24"/>
        </w:rPr>
      </w:pPr>
      <w:r/>
      <w:bookmarkStart w:id="27" w:name="_Toc35393794"/>
      <w:r/>
      <w:bookmarkStart w:id="28" w:name="_Toc28359007"/>
      <w:r/>
      <w:bookmarkStart w:id="29" w:name="_Toc38985267"/>
      <w:r/>
      <w:bookmarkStart w:id="30" w:name="_Toc35393625"/>
      <w:r/>
      <w:bookmarkStart w:id="31" w:name="_Toc28359084"/>
      <w:r>
        <w:rPr>
          <w:rFonts w:hint="eastAsia" w:ascii="宋体" w:hAnsi="宋体" w:eastAsia="宋体" w:cs="宋体"/>
          <w:sz w:val="24"/>
          <w:szCs w:val="24"/>
        </w:rPr>
        <w:t xml:space="preserve">1.提交投标文件截止时间、开标时间：2026年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日14时00分（北京时间）。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847"/>
        <w:ind w:firstLine="498"/>
        <w:spacing w:before="145" w:after="145" w:line="252" w:lineRule="auto"/>
      </w:pPr>
      <w:r>
        <w:rPr>
          <w:rFonts w:hint="eastAsia"/>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hint="eastAsia" w:ascii="宋体" w:hAnsi="宋体" w:eastAsia="宋体" w:cs="Times New Roman"/>
          <w:bCs/>
          <w:sz w:val="24"/>
          <w:szCs w:val="24"/>
          <w:highlight w:val="none"/>
          <w:lang w:val="en-US" w:eastAsia="zh-CN"/>
        </w:rPr>
        <w:t xml:space="preserve">本项目不组织</w:t>
      </w:r>
      <w:r>
        <w:rPr>
          <w:rFonts w:hint="eastAsia" w:ascii="宋体" w:hAnsi="宋体" w:eastAsia="宋体" w:cs="Times New Roman"/>
          <w:bCs/>
          <w:sz w:val="24"/>
          <w:szCs w:val="24"/>
          <w:highlight w:val="none"/>
          <w:lang w:eastAsia="zh-CN"/>
        </w:rPr>
        <w:t xml:space="preserve">勘察及答疑</w:t>
      </w:r>
      <w:r>
        <w:rPr>
          <w:rFonts w:hint="eastAsia" w:ascii="宋体" w:hAnsi="宋体" w:eastAsia="宋体" w:cs="Times New Roman"/>
          <w:bCs/>
          <w:sz w:val="24"/>
          <w:szCs w:val="24"/>
          <w:highlight w:val="none"/>
          <w:lang w:val="en-US" w:eastAsia="zh-CN"/>
        </w:rPr>
        <w:t xml:space="preserve">，如对采购需求有疑问，请咨询采购人。 </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4.有关本次招标的事项若存在变动或修改，请及时关注“江苏政府采购网”（www.ccgp-jiangsu.gov.cn）更正公告。</w:t>
      </w:r>
      <w:r/>
    </w:p>
    <w:p>
      <w:pPr>
        <w:ind w:firstLine="482"/>
        <w:spacing w:line="240" w:lineRule="auto"/>
        <w:tabs>
          <w:tab w:val="left" w:pos="900" w:leader="none"/>
        </w:tabs>
        <w:rPr>
          <w:rFonts w:hint="eastAsia" w:ascii="宋体" w:hAnsi="宋体" w:eastAsia="宋体" w:cs="Times New Roman"/>
          <w:b w:val="0"/>
          <w:bCs w:val="0"/>
          <w:color w:val="0000ff"/>
          <w:sz w:val="24"/>
          <w:highlight w:val="none"/>
          <w:lang w:val="en-US"/>
        </w:rPr>
      </w:pPr>
      <w:r>
        <w:rPr>
          <w:rFonts w:hint="eastAsia" w:ascii="宋体" w:hAnsi="宋体" w:eastAsia="宋体" w:cs="宋体"/>
          <w:b/>
          <w:bCs/>
          <w:sz w:val="24"/>
          <w:szCs w:val="24"/>
          <w:lang w:val="en-US" w:eastAsia="zh-CN" w:bidi="zh-CN"/>
        </w:rPr>
        <w:t xml:space="preserve">5.</w:t>
      </w:r>
      <w:r>
        <w:rPr>
          <w:rFonts w:hint="eastAsia" w:ascii="宋体" w:hAnsi="宋体" w:eastAsia="宋体" w:cs="宋体"/>
          <w:b/>
          <w:bCs/>
          <w:sz w:val="24"/>
          <w:szCs w:val="24"/>
          <w:lang w:val="en-US" w:bidi="zh-CN"/>
        </w:rPr>
        <w:t xml:space="preserve">对采购方式、采购需求、</w:t>
      </w:r>
      <w:r>
        <w:rPr>
          <w:rFonts w:hint="eastAsia" w:ascii="宋体" w:hAnsi="宋体" w:eastAsia="宋体" w:cs="宋体"/>
          <w:b/>
          <w:bCs/>
          <w:sz w:val="24"/>
          <w:szCs w:val="24"/>
          <w:lang w:val="en-US" w:eastAsia="zh-CN" w:bidi="zh-CN"/>
        </w:rPr>
        <w:t xml:space="preserve">投标人</w:t>
      </w:r>
      <w:r>
        <w:rPr>
          <w:rFonts w:hint="eastAsia" w:ascii="宋体" w:hAnsi="宋体" w:eastAsia="宋体" w:cs="宋体"/>
          <w:b/>
          <w:bCs/>
          <w:sz w:val="24"/>
          <w:szCs w:val="24"/>
          <w:lang w:val="en-US" w:bidi="zh-CN"/>
        </w:rPr>
        <w:t xml:space="preserve">资格</w:t>
      </w:r>
      <w:r>
        <w:rPr>
          <w:rFonts w:hint="eastAsia" w:ascii="宋体" w:hAnsi="宋体" w:eastAsia="宋体" w:cs="宋体"/>
          <w:b/>
          <w:bCs/>
          <w:sz w:val="24"/>
          <w:szCs w:val="24"/>
          <w:lang w:val="en-US" w:eastAsia="zh-CN" w:bidi="zh-CN"/>
        </w:rPr>
        <w:t xml:space="preserve">要求</w:t>
      </w:r>
      <w:r>
        <w:rPr>
          <w:rFonts w:hint="eastAsia" w:ascii="宋体" w:hAnsi="宋体" w:eastAsia="宋体" w:cs="宋体"/>
          <w:b/>
          <w:bCs/>
          <w:sz w:val="24"/>
          <w:szCs w:val="24"/>
          <w:lang w:val="en-US" w:bidi="zh-CN"/>
        </w:rPr>
        <w:t xml:space="preserve">、评标方法和评标标准、合同文本、</w:t>
      </w:r>
      <w:r>
        <w:rPr>
          <w:rFonts w:hint="eastAsia" w:ascii="宋体" w:hAnsi="宋体" w:eastAsia="宋体" w:cs="宋体"/>
          <w:b/>
          <w:bCs/>
          <w:sz w:val="24"/>
          <w:szCs w:val="24"/>
          <w:lang w:val="en-US" w:eastAsia="zh-CN" w:bidi="zh-CN"/>
        </w:rPr>
        <w:t xml:space="preserve">招标项目资格审查结果</w:t>
      </w:r>
      <w:r>
        <w:rPr>
          <w:rFonts w:hint="eastAsia" w:ascii="宋体" w:hAnsi="宋体" w:eastAsia="宋体" w:cs="宋体"/>
          <w:b/>
          <w:bCs/>
          <w:sz w:val="24"/>
          <w:szCs w:val="24"/>
          <w:lang w:val="en-US" w:bidi="zh-CN"/>
        </w:rPr>
        <w:t xml:space="preserve">的询问</w:t>
      </w:r>
      <w:r>
        <w:rPr>
          <w:rFonts w:hint="eastAsia" w:ascii="宋体" w:hAnsi="宋体" w:eastAsia="宋体" w:cs="宋体"/>
          <w:b/>
          <w:bCs/>
          <w:sz w:val="24"/>
          <w:szCs w:val="24"/>
          <w:lang w:val="en-US" w:eastAsia="zh-CN" w:bidi="zh-CN"/>
        </w:rPr>
        <w:t xml:space="preserve">或</w:t>
      </w:r>
      <w:r>
        <w:rPr>
          <w:rFonts w:hint="eastAsia" w:ascii="宋体" w:hAnsi="宋体" w:eastAsia="宋体" w:cs="宋体"/>
          <w:b/>
          <w:bCs/>
          <w:sz w:val="24"/>
          <w:szCs w:val="24"/>
          <w:lang w:val="en-US" w:bidi="zh-CN"/>
        </w:rPr>
        <w:t xml:space="preserve">质疑向采购人提出，由采购人负责答复。</w:t>
      </w:r>
      <w:r>
        <w:rPr>
          <w:rFonts w:hint="eastAsia" w:ascii="宋体" w:hAnsi="宋体" w:eastAsia="宋体" w:cs="宋体"/>
          <w:sz w:val="24"/>
          <w:szCs w:val="24"/>
          <w:highlight w:val="none"/>
          <w:lang w:val="en-US" w:eastAsia="zh-CN"/>
        </w:rPr>
        <w:t xml:space="preserve">对上述事项以外的询问或质疑向交易中心提出，由交易中心负责答复。</w:t>
      </w:r>
      <w:r/>
    </w:p>
    <w:p>
      <w:pPr>
        <w:ind w:firstLine="482"/>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采购人《质疑函》收件人：王雅庆，收件地址：南京市江宁区湖山路169号7楼信息处，联系电话：025-52087739。</w:t>
      </w:r>
      <w:r/>
    </w:p>
    <w:p>
      <w:pPr>
        <w:ind w:firstLine="480"/>
        <w:rPr>
          <w:rFonts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rPr>
          <w:rFonts w:ascii="宋体" w:hAnsi="宋体" w:cs="宋体"/>
          <w:b/>
          <w:bCs/>
          <w:sz w:val="24"/>
          <w:szCs w:val="24"/>
          <w:lang w:bidi="zh-CN"/>
        </w:rPr>
      </w:pPr>
      <w:r>
        <w:rPr>
          <w:rFonts w:hint="eastAsia" w:ascii="宋体" w:hAnsi="宋体" w:cs="宋体"/>
          <w:b/>
          <w:bCs/>
          <w:sz w:val="24"/>
          <w:szCs w:val="24"/>
          <w:lang w:bidi="zh-CN"/>
        </w:rPr>
        <w:t xml:space="preserve">投标人提出质疑应提交《质疑函》原件，且尽可能通过邮寄方式送达，交易中心和采购人不接受无运单的快件。</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1.采购人</w:t>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名  称：南京市江宁医院          </w:t>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地  址：南京市江宁区湖山路169号    </w:t>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联系人：王雅庆  </w:t>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联系电话：025-52087739  </w:t>
      </w:r>
      <w:bookmarkStart w:id="40" w:name="_Toc28359009"/>
      <w:r/>
      <w:bookmarkStart w:id="41" w:name="_Toc28359086"/>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2.交易中心</w:t>
      </w:r>
      <w:bookmarkEnd w:id="40"/>
      <w:r/>
      <w:bookmarkEnd w:id="41"/>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地　址：南京市江宁区杨家圩路2号市民中心A区3楼　　　　　　　　　　　</w:t>
      </w:r>
      <w:r/>
    </w:p>
    <w:p>
      <w:pPr>
        <w:ind w:firstLine="480"/>
        <w:rPr>
          <w:rFonts w:hint="eastAsia" w:ascii="宋体" w:hAnsi="宋体" w:eastAsia="宋体" w:cs="宋体"/>
          <w:sz w:val="24"/>
          <w:szCs w:val="24"/>
          <w:lang w:bidi="zh-CN"/>
        </w:rPr>
      </w:pPr>
      <w:r>
        <w:rPr>
          <w:rFonts w:hint="eastAsia" w:ascii="宋体" w:hAnsi="宋体" w:eastAsia="宋体" w:cs="宋体"/>
          <w:sz w:val="24"/>
          <w:szCs w:val="24"/>
          <w:lang w:bidi="zh-CN"/>
        </w:rPr>
        <w:t xml:space="preserve">联系人：张舒</w:t>
      </w:r>
      <w:r/>
    </w:p>
    <w:p>
      <w:pPr>
        <w:ind w:firstLine="480"/>
        <w:rPr>
          <w:rFonts w:ascii="方正小标宋简体" w:hAnsi="方正小标宋简体" w:eastAsia="方正小标宋简体" w:cs="方正小标宋简体"/>
          <w:color w:val="000000"/>
          <w:sz w:val="36"/>
          <w:szCs w:val="36"/>
        </w:rPr>
      </w:pPr>
      <w:r>
        <w:rPr>
          <w:rFonts w:hint="eastAsia" w:ascii="宋体" w:hAnsi="宋体" w:eastAsia="宋体" w:cs="宋体"/>
          <w:sz w:val="24"/>
          <w:szCs w:val="24"/>
          <w:lang w:bidi="zh-CN"/>
        </w:rPr>
        <w:t xml:space="preserve">联系电话：025-69613997</w:t>
      </w: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宋体" w:hAnsi="宋体"/>
          <w:color w:val="000000"/>
          <w:sz w:val="24"/>
          <w:szCs w:val="24"/>
        </w:rPr>
        <w:t xml:space="preserve">                            </w:t>
      </w:r>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47" w:name="_Toc479757207"/>
      <w:r/>
      <w:bookmarkStart w:id="48" w:name="_Toc16938558"/>
      <w:r/>
      <w:bookmarkStart w:id="49" w:name="_Toc120614221"/>
      <w:r/>
      <w:bookmarkStart w:id="50" w:name="_Toc20823314"/>
      <w:r/>
      <w:bookmarkStart w:id="51" w:name="_Toc513029242"/>
      <w:r>
        <w:rPr>
          <w:rFonts w:hint="eastAsia" w:ascii="方正黑体_GBK" w:hAnsi="方正黑体_GBK" w:eastAsia="方正黑体_GBK" w:cs="方正黑体_GBK"/>
          <w:b w:val="0"/>
          <w:bCs w:val="0"/>
          <w:color w:val="auto"/>
          <w:sz w:val="30"/>
          <w:szCs w:val="30"/>
          <w:highlight w:val="none"/>
        </w:rPr>
        <w:t xml:space="preserve">一、总则</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48"/>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4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4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8"/>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4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南京市江宁区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4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4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48"/>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48"/>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48"/>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48"/>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8"/>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ascii="宋体" w:hAnsi="宋体"/>
          <w:sz w:val="24"/>
          <w:lang w:val="zh-CN"/>
        </w:rPr>
      </w:pPr>
      <w:r>
        <w:rPr>
          <w:rFonts w:ascii="宋体" w:hAnsi="宋体"/>
          <w:sz w:val="24"/>
          <w:lang w:val="zh-CN"/>
        </w:rPr>
      </w:r>
      <w:r/>
    </w:p>
    <w:p>
      <w:pPr>
        <w:pStyle w:val="923"/>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52" w:name="_Toc16938559"/>
      <w:r/>
      <w:bookmarkStart w:id="53" w:name="_Toc20823315"/>
      <w:r/>
      <w:bookmarkStart w:id="54" w:name="_Toc513029243"/>
      <w:r/>
      <w:bookmarkStart w:id="55" w:name="_Hlt16619350"/>
      <w:r/>
      <w:bookmarkStart w:id="56" w:name="_Toc120614244"/>
      <w:r/>
      <w:bookmarkStart w:id="57" w:name="_Toc20823346"/>
      <w:r/>
      <w:bookmarkStart w:id="58" w:name="_Toc16938590"/>
      <w:r/>
      <w:bookmarkStart w:id="59" w:name="_Toc479757211"/>
      <w:r/>
      <w:bookmarkStart w:id="60"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default"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default"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default"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868"/>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ascii="宋体" w:hAnsi="宋体" w:cs="Courier New"/>
          <w:color w:val="000000"/>
          <w:sz w:val="24"/>
          <w:szCs w:val="24"/>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ff"/>
          <w:sz w:val="24"/>
          <w:szCs w:val="24"/>
        </w:rPr>
        <w:outlineLvl w:val="3"/>
      </w:pPr>
      <w:r>
        <w:rPr>
          <w:rFonts w:hint="eastAsia" w:ascii="宋体" w:hAnsi="宋体" w:cs="Courier New"/>
          <w:sz w:val="24"/>
          <w:szCs w:val="24"/>
        </w:rPr>
        <w:t xml:space="preserve">6.1 </w:t>
      </w:r>
      <w:r>
        <w:rPr>
          <w:rFonts w:hint="eastAsia" w:ascii="宋体" w:hAnsi="宋体" w:cs="Courier New"/>
          <w:color w:val="000000"/>
          <w:sz w:val="24"/>
          <w:szCs w:val="24"/>
        </w:rPr>
        <w:t xml:space="preserve">本项目乙方无需缴纳履约保证金。</w:t>
      </w:r>
      <w:r/>
    </w:p>
    <w:p>
      <w:pPr>
        <w:spacing w:line="264" w:lineRule="auto"/>
        <w:rPr>
          <w:rFonts w:ascii="宋体" w:hAnsi="宋体" w:cs="Courier New"/>
          <w:color w:val="0000ff"/>
          <w:sz w:val="24"/>
          <w:szCs w:val="24"/>
        </w:rPr>
      </w:pPr>
      <w:r>
        <w:rPr>
          <w:rFonts w:hint="eastAsia" w:ascii="方正黑体_GBK" w:hAnsi="方正黑体_GBK" w:eastAsia="方正黑体_GBK" w:cs="方正黑体_GBK"/>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8"/>
        <w:spacing w:line="264" w:lineRule="auto"/>
        <w:rPr>
          <w:rFonts w:hAnsi="宋体"/>
          <w:sz w:val="24"/>
          <w:szCs w:val="24"/>
        </w:rPr>
        <w:outlineLvl w:val="3"/>
      </w:pPr>
      <w:r>
        <w:rPr>
          <w:rFonts w:hint="eastAsia" w:hAnsi="宋体"/>
          <w:sz w:val="24"/>
          <w:szCs w:val="24"/>
        </w:rPr>
        <w:t xml:space="preserve">8.1 合同款项的支付方式及时间</w:t>
      </w:r>
      <w:r/>
    </w:p>
    <w:p>
      <w:pPr>
        <w:pStyle w:val="868"/>
        <w:spacing w:line="264" w:lineRule="auto"/>
        <w:rPr>
          <w:rFonts w:hAnsi="宋体"/>
          <w:sz w:val="24"/>
          <w:szCs w:val="24"/>
        </w:rPr>
      </w:pPr>
      <w:r>
        <w:rPr>
          <w:rFonts w:hint="eastAsia" w:hAnsi="宋体"/>
          <w:sz w:val="24"/>
          <w:szCs w:val="24"/>
        </w:rPr>
        <w:t xml:space="preserve">8.1.1 合同签订后，甲方支付合同总价款的30%作为预付款。</w:t>
      </w:r>
      <w:r/>
    </w:p>
    <w:p>
      <w:pPr>
        <w:pStyle w:val="868"/>
        <w:spacing w:line="264" w:lineRule="auto"/>
        <w:rPr>
          <w:rFonts w:hAnsi="宋体"/>
          <w:sz w:val="24"/>
          <w:szCs w:val="24"/>
        </w:rPr>
      </w:pPr>
      <w:r>
        <w:rPr>
          <w:rFonts w:hint="eastAsia" w:hAnsi="宋体"/>
          <w:sz w:val="24"/>
          <w:szCs w:val="24"/>
        </w:rPr>
        <w:t xml:space="preserve">8.1.2 供货结束并验收合格后，甲方支付合同总价款的70%。</w:t>
      </w:r>
      <w:r/>
    </w:p>
    <w:p>
      <w:pPr>
        <w:pStyle w:val="868"/>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868"/>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8"/>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ffc000"/>
          <w:sz w:val="24"/>
          <w:szCs w:val="24"/>
        </w:rPr>
      </w:pPr>
      <w:r>
        <w:rPr>
          <w:rFonts w:hint="eastAsia" w:ascii="宋体" w:hAnsi="宋体" w:cs="Courier New"/>
          <w:color w:val="000000"/>
          <w:sz w:val="24"/>
          <w:szCs w:val="24"/>
        </w:rPr>
        <w:t xml:space="preserve">10.3 质保期内乙方提供7×24 小时全天候技术支持服务，建立故障分级响应机制：Ⅰ 级（重大紧急故障）：设备整体瘫痪、停机、完全无法运行；报修后 30 分钟内技术人员电话接通响应</w:t>
      </w:r>
      <w:r>
        <w:rPr>
          <w:rFonts w:hint="eastAsia" w:ascii="宋体" w:hAnsi="宋体" w:cs="Courier New"/>
          <w:color w:val="auto"/>
          <w:sz w:val="24"/>
          <w:szCs w:val="24"/>
        </w:rPr>
        <w:t xml:space="preserve">，</w:t>
      </w:r>
      <w:r>
        <w:rPr>
          <w:rFonts w:hint="eastAsia" w:ascii="宋体" w:hAnsi="宋体" w:cs="Courier New"/>
          <w:color w:val="auto"/>
          <w:sz w:val="24"/>
          <w:szCs w:val="24"/>
          <w:lang w:val="en-US" w:eastAsia="zh-CN"/>
        </w:rPr>
        <w:t xml:space="preserve">2</w:t>
      </w:r>
      <w:r>
        <w:rPr>
          <w:rFonts w:hint="eastAsia" w:ascii="宋体" w:hAnsi="宋体" w:cs="Courier New"/>
          <w:color w:val="auto"/>
          <w:sz w:val="24"/>
          <w:szCs w:val="24"/>
        </w:rPr>
        <w:t xml:space="preserve">小时</w:t>
      </w:r>
      <w:r>
        <w:rPr>
          <w:rFonts w:hint="eastAsia"/>
          <w:color w:val="auto"/>
          <w:lang w:val="en-US" w:eastAsia="zh-CN"/>
        </w:rPr>
        <w:t xml:space="preserve">内</w:t>
      </w:r>
      <w:r>
        <w:rPr>
          <w:rFonts w:hint="eastAsia" w:ascii="宋体" w:hAnsi="宋体" w:cs="Courier New"/>
          <w:color w:val="auto"/>
          <w:sz w:val="24"/>
          <w:szCs w:val="24"/>
        </w:rPr>
        <w:t xml:space="preserve">工</w:t>
      </w:r>
      <w:r>
        <w:rPr>
          <w:rFonts w:hint="eastAsia" w:ascii="宋体" w:hAnsi="宋体" w:cs="Courier New"/>
          <w:color w:val="000000"/>
          <w:sz w:val="24"/>
          <w:szCs w:val="24"/>
        </w:rPr>
        <w:t xml:space="preserve">程师抵达现场；Ⅱ 级（一般严重故障）：部分功能失效、设备性能异常；报修后 60 分钟响应，4 小时抵达项目现场；Ⅲ 级（轻微故障、操作咨询、配件调试）：120 分钟内远程响应，按需预约上门；跨区域外地供应商可委托南京本地售后服务站点承接现场上门服务，不得以外地驻地为由拖延现场处置。</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0.005%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0.005%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52"/>
      <w:r/>
      <w:bookmarkEnd w:id="53"/>
      <w:r/>
      <w:bookmarkEnd w:id="54"/>
      <w:r/>
      <w:r/>
    </w:p>
    <w:p>
      <w:pPr>
        <w:pStyle w:val="868"/>
        <w:spacing w:before="120" w:after="120" w:line="264" w:lineRule="auto"/>
        <w:rPr>
          <w:rFonts w:hAnsi="宋体"/>
          <w:sz w:val="24"/>
          <w:szCs w:val="24"/>
        </w:rPr>
      </w:pPr>
      <w:r/>
      <w:bookmarkStart w:id="61" w:name="_Hlt16619369"/>
      <w:r/>
      <w:bookmarkEnd w:id="61"/>
      <w:r>
        <w:rPr>
          <w:rFonts w:hint="eastAsia" w:hAnsi="宋体"/>
          <w:sz w:val="24"/>
          <w:szCs w:val="24"/>
        </w:rPr>
        <w:t xml:space="preserve">  </w:t>
      </w:r>
      <w:r/>
    </w:p>
    <w:p>
      <w:pPr>
        <w:pStyle w:val="868"/>
        <w:spacing w:before="120" w:after="120" w:line="264" w:lineRule="auto"/>
        <w:rPr>
          <w:rFonts w:hAnsi="宋体"/>
          <w:sz w:val="24"/>
          <w:szCs w:val="24"/>
        </w:rPr>
      </w:pPr>
      <w:r>
        <w:rPr>
          <w:rFonts w:hint="eastAsia" w:hAnsi="宋体"/>
          <w:sz w:val="24"/>
          <w:szCs w:val="24"/>
        </w:rPr>
        <w:t xml:space="preserve">甲  方：（公章）                       乙  方：（公章） </w:t>
      </w:r>
      <w:r/>
    </w:p>
    <w:p>
      <w:pPr>
        <w:pStyle w:val="868"/>
        <w:spacing w:before="120" w:after="120" w:line="264" w:lineRule="auto"/>
        <w:rPr>
          <w:rFonts w:hAnsi="宋体"/>
          <w:sz w:val="24"/>
          <w:szCs w:val="24"/>
        </w:rPr>
      </w:pPr>
      <w:r>
        <w:rPr>
          <w:rFonts w:hint="eastAsia" w:hAnsi="宋体"/>
          <w:sz w:val="24"/>
          <w:szCs w:val="24"/>
        </w:rPr>
        <w:t xml:space="preserve">地  址：                               地  址： </w:t>
      </w:r>
      <w:r/>
    </w:p>
    <w:p>
      <w:pPr>
        <w:pStyle w:val="868"/>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868"/>
        <w:spacing w:before="120" w:after="120" w:line="264" w:lineRule="auto"/>
        <w:rPr>
          <w:rFonts w:hAnsi="宋体"/>
          <w:sz w:val="24"/>
          <w:szCs w:val="24"/>
        </w:rPr>
      </w:pPr>
      <w:r>
        <w:rPr>
          <w:rFonts w:hint="eastAsia" w:hAnsi="宋体"/>
          <w:sz w:val="24"/>
          <w:szCs w:val="24"/>
        </w:rPr>
        <w:t xml:space="preserve">联系电话：                             联系电话：          </w:t>
      </w:r>
      <w:r/>
    </w:p>
    <w:p>
      <w:pPr>
        <w:pStyle w:val="868"/>
        <w:spacing w:before="120" w:after="120" w:line="264" w:lineRule="auto"/>
        <w:rPr>
          <w:rFonts w:hAnsi="宋体"/>
          <w:sz w:val="24"/>
          <w:szCs w:val="24"/>
        </w:rPr>
      </w:pPr>
      <w:r>
        <w:rPr>
          <w:rFonts w:hint="eastAsia" w:hAnsi="宋体"/>
          <w:sz w:val="24"/>
          <w:szCs w:val="24"/>
        </w:rPr>
        <w:t xml:space="preserve">                                          </w:t>
      </w:r>
      <w:r/>
    </w:p>
    <w:p>
      <w:pPr>
        <w:pStyle w:val="868"/>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86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5"/>
      <w:r>
        <w:rPr>
          <w:rFonts w:hint="eastAsia" w:ascii="方正小标宋简体" w:hAnsi="方正小标宋简体" w:eastAsia="方正小标宋简体" w:cs="方正小标宋简体"/>
          <w:color w:val="000000"/>
          <w:sz w:val="36"/>
          <w:szCs w:val="36"/>
        </w:rPr>
        <w:t xml:space="preserve">四章  采购需求</w:t>
      </w:r>
      <w:bookmarkEnd w:id="56"/>
      <w:r/>
      <w:bookmarkEnd w:id="57"/>
      <w:r/>
      <w:bookmarkEnd w:id="58"/>
      <w:r/>
      <w:r/>
    </w:p>
    <w:p>
      <w:pPr>
        <w:ind w:firstLine="480"/>
        <w:spacing w:line="264" w:lineRule="auto"/>
        <w:rPr>
          <w:rFonts w:ascii="黑体" w:hAnsi="黑体" w:eastAsia="黑体" w:cs="黑体"/>
          <w:color w:val="000000"/>
          <w:sz w:val="24"/>
          <w:szCs w:val="24"/>
        </w:rPr>
      </w:pPr>
      <w:r/>
      <w:bookmarkStart w:id="62" w:name="_Toc49090575"/>
      <w:r/>
      <w:bookmarkStart w:id="63"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ascii="宋体" w:hAnsi="宋体"/>
          <w:color w:val="000000"/>
          <w:sz w:val="24"/>
          <w:szCs w:val="24"/>
        </w:rPr>
      </w:pPr>
      <w:r>
        <w:rPr>
          <w:rFonts w:ascii="宋体" w:hAnsi="宋体"/>
          <w:color w:val="000000"/>
          <w:sz w:val="24"/>
          <w:szCs w:val="24"/>
        </w:rPr>
        <w:t xml:space="preserve">南京市江宁医院现有IT基础设施基于超融合系统建设，随着设备老化及性能瓶颈显现，亟需升级以满足日益增长的业务数据负载与高可用性要求。同时，在国家战略推动下，医疗信息系统需逐步实现技术自主可控，构建安全、可靠的内网环境</w:t>
      </w:r>
      <w:r>
        <w:rPr>
          <w:rFonts w:hint="eastAsia" w:ascii="宋体" w:hAnsi="宋体"/>
          <w:color w:val="000000"/>
          <w:sz w:val="24"/>
          <w:szCs w:val="24"/>
        </w:rPr>
        <w:t xml:space="preserve">。</w:t>
      </w:r>
      <w:r/>
    </w:p>
    <w:p>
      <w:pPr>
        <w:ind w:firstLine="480"/>
        <w:spacing w:line="288" w:lineRule="auto"/>
        <w:rPr>
          <w:rFonts w:ascii="宋体" w:hAnsi="宋体"/>
          <w:color w:val="000000"/>
          <w:sz w:val="24"/>
          <w:szCs w:val="24"/>
        </w:rPr>
      </w:pPr>
      <w:r>
        <w:rPr>
          <w:rFonts w:hint="eastAsia" w:ascii="宋体" w:hAnsi="宋体"/>
          <w:color w:val="000000"/>
          <w:sz w:val="24"/>
          <w:szCs w:val="24"/>
        </w:rPr>
        <w:t xml:space="preserve">当前，医院虚拟化业务依赖的多台物理服务器组成VMware集群，面临服务器老化的问题，这不仅影响了系统的稳定运行，也限制了新应用和服务的部署。计算资源使用率持续高位运行，难以应对未来业务扩张带来的负载增加。</w:t>
      </w:r>
      <w:r>
        <w:rPr>
          <w:rFonts w:ascii="宋体" w:hAnsi="宋体"/>
          <w:color w:val="000000"/>
          <w:sz w:val="24"/>
          <w:szCs w:val="24"/>
        </w:rPr>
        <w:t xml:space="preserve">本项目需新建</w:t>
      </w:r>
      <w:r>
        <w:rPr>
          <w:rFonts w:hint="eastAsia" w:ascii="宋体" w:hAnsi="宋体"/>
          <w:color w:val="000000"/>
          <w:sz w:val="24"/>
          <w:szCs w:val="24"/>
        </w:rPr>
        <w:t xml:space="preserve">内网超融合</w:t>
      </w:r>
      <w:r>
        <w:rPr>
          <w:rFonts w:ascii="宋体" w:hAnsi="宋体"/>
          <w:color w:val="000000"/>
          <w:sz w:val="24"/>
          <w:szCs w:val="24"/>
        </w:rPr>
        <w:t xml:space="preserve">双活系统、</w:t>
      </w:r>
      <w:r>
        <w:rPr>
          <w:rFonts w:hint="eastAsia" w:ascii="宋体" w:hAnsi="宋体"/>
          <w:color w:val="000000"/>
          <w:sz w:val="24"/>
          <w:szCs w:val="24"/>
        </w:rPr>
        <w:t xml:space="preserve">跨机房</w:t>
      </w:r>
      <w:r>
        <w:rPr>
          <w:rFonts w:ascii="宋体" w:hAnsi="宋体"/>
          <w:color w:val="000000"/>
          <w:sz w:val="24"/>
          <w:szCs w:val="24"/>
        </w:rPr>
        <w:t xml:space="preserve">存储网络交换机，用于替换原有老旧超融合集群，保障灵活业务迁移。</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（三）建设目标</w:t>
      </w:r>
      <w:r/>
    </w:p>
    <w:p>
      <w:pPr>
        <w:ind w:firstLine="480"/>
        <w:spacing w:line="264" w:lineRule="auto"/>
        <w:rPr>
          <w:rFonts w:ascii="宋体" w:hAnsi="宋体" w:cs="宋体"/>
          <w:bCs/>
          <w:color w:val="000000"/>
          <w:sz w:val="24"/>
          <w:szCs w:val="24"/>
        </w:rPr>
      </w:pPr>
      <w:r>
        <w:rPr>
          <w:rFonts w:ascii="宋体" w:hAnsi="宋体" w:cs="宋体"/>
          <w:bCs/>
          <w:color w:val="000000"/>
          <w:sz w:val="24"/>
          <w:szCs w:val="24"/>
        </w:rPr>
        <w:t xml:space="preserve">通过项目建设，建成高性能、高可用的双轨超融合资源池，保障业务连续性和</w:t>
      </w:r>
      <w:r>
        <w:rPr>
          <w:rFonts w:hint="eastAsia" w:ascii="宋体" w:hAnsi="宋体" w:cs="宋体"/>
          <w:bCs/>
          <w:color w:val="000000"/>
          <w:sz w:val="24"/>
          <w:szCs w:val="24"/>
        </w:rPr>
        <w:t xml:space="preserve">国产化</w:t>
      </w:r>
      <w:r>
        <w:rPr>
          <w:rFonts w:ascii="宋体" w:hAnsi="宋体" w:cs="宋体"/>
          <w:bCs/>
          <w:color w:val="000000"/>
          <w:sz w:val="24"/>
          <w:szCs w:val="24"/>
        </w:rPr>
        <w:t xml:space="preserve">平滑演进。建成冗余、安全的网络基础架构，全面提升数据中心业务承载能力和故障抵御水平，最终形成安全可靠、资源弹性、管理高效的新一代医疗云化基础设施，支撑医院数字化转型与长远发展</w:t>
      </w:r>
      <w:r>
        <w:rPr>
          <w:rFonts w:hint="eastAsia" w:ascii="宋体" w:hAnsi="宋体" w:cs="宋体"/>
          <w:bCs/>
          <w:color w:val="000000"/>
          <w:sz w:val="24"/>
          <w:szCs w:val="24"/>
        </w:rPr>
        <w:t xml:space="preserve">。</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tbl>
      <w:tblPr>
        <w:tblStyle w:val="855"/>
        <w:tblW w:w="9770" w:type="dxa"/>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
        <w:gridCol w:w="1952"/>
        <w:gridCol w:w="729"/>
        <w:gridCol w:w="694"/>
        <w:gridCol w:w="1053"/>
        <w:gridCol w:w="1194"/>
        <w:gridCol w:w="1028"/>
        <w:gridCol w:w="1198"/>
        <w:gridCol w:w="1270"/>
      </w:tblGrid>
      <w:tr>
        <w:trPr>
          <w:trHeight w:val="470"/>
        </w:trPr>
        <w:tc>
          <w:tcPr>
            <w:tcW w:w="6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W w:w="19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W w:w="72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W w:w="69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W w:w="10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ascii="宋体" w:hAnsi="宋体" w:cs="宋体"/>
                <w:bCs/>
                <w:sz w:val="24"/>
                <w:szCs w:val="24"/>
              </w:rPr>
            </w:pPr>
            <w:r>
              <w:rPr>
                <w:rFonts w:hint="eastAsia" w:ascii="宋体" w:hAnsi="宋体" w:cs="宋体"/>
                <w:bCs/>
                <w:sz w:val="24"/>
                <w:szCs w:val="24"/>
              </w:rPr>
              <w:t xml:space="preserve">（元）</w:t>
            </w:r>
            <w:r/>
          </w:p>
        </w:tc>
        <w:tc>
          <w:tcPr>
            <w:tcW w:w="119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W w:w="102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p>
        </w:tc>
        <w:tc>
          <w:tcPr>
            <w:tcW w:w="119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属性</w:t>
            </w:r>
            <w:r/>
          </w:p>
        </w:tc>
        <w:tc>
          <w:tcPr>
            <w:tcW w:w="1270" w:type="dxa"/>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政府强制采购节能产品</w:t>
            </w:r>
            <w:r/>
          </w:p>
        </w:tc>
      </w:tr>
      <w:tr>
        <w:trPr>
          <w:trHeight w:val="313"/>
        </w:trPr>
        <w:tc>
          <w:tcPr>
            <w:tcW w:w="6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shd w:val="clear" w:color="auto" w:fill="auto"/>
            <w:tcW w:w="1952" w:type="dxa"/>
            <w:vAlign w:val="center"/>
            <w:textDirection w:val="lrTb"/>
            <w:noWrap w:val="false"/>
          </w:tcPr>
          <w:p>
            <w:pPr>
              <w:jc w:val="center"/>
              <w:spacing w:line="264" w:lineRule="auto"/>
              <w:rPr>
                <w:rFonts w:ascii="宋体" w:hAnsi="宋体" w:eastAsia="宋体" w:cs="宋体"/>
                <w:bCs/>
                <w:sz w:val="24"/>
                <w:szCs w:val="24"/>
                <w:lang w:val="en-US" w:eastAsia="zh-CN" w:bidi="ar-SA"/>
              </w:rPr>
            </w:pPr>
            <w:r>
              <w:rPr>
                <w:rFonts w:hint="eastAsia" w:ascii="宋体" w:hAnsi="宋体" w:cs="宋体"/>
                <w:bCs/>
                <w:sz w:val="24"/>
                <w:szCs w:val="24"/>
              </w:rPr>
              <w:t xml:space="preserve">超融合服务器</w:t>
            </w:r>
            <w:r/>
          </w:p>
        </w:tc>
        <w:tc>
          <w:tcPr>
            <w:tcW w:w="72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8</w:t>
            </w:r>
            <w:r/>
          </w:p>
        </w:tc>
        <w:tc>
          <w:tcPr>
            <w:tcW w:w="69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10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453000</w:t>
            </w:r>
            <w:r/>
          </w:p>
        </w:tc>
        <w:tc>
          <w:tcPr>
            <w:tcW w:w="119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核心产品</w:t>
            </w:r>
            <w:r/>
          </w:p>
        </w:tc>
        <w:tc>
          <w:tcPr>
            <w:tcW w:w="1028"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工业</w:t>
            </w:r>
            <w:r/>
          </w:p>
        </w:tc>
        <w:tc>
          <w:tcPr>
            <w:tcW w:w="119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127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否</w:t>
            </w:r>
            <w:r/>
          </w:p>
        </w:tc>
      </w:tr>
      <w:tr>
        <w:trPr>
          <w:trHeight w:val="341"/>
        </w:trPr>
        <w:tc>
          <w:tcPr>
            <w:tcW w:w="6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95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存储网络交换机</w:t>
            </w:r>
            <w:r/>
          </w:p>
        </w:tc>
        <w:tc>
          <w:tcPr>
            <w:tcW w:w="72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w:t>
            </w:r>
            <w:r/>
          </w:p>
        </w:tc>
        <w:tc>
          <w:tcPr>
            <w:tcW w:w="69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1053"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83500</w:t>
            </w:r>
            <w:r/>
          </w:p>
        </w:tc>
        <w:tc>
          <w:tcPr>
            <w:tcW w:w="119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主要</w:t>
            </w:r>
            <w:r>
              <w:rPr>
                <w:rFonts w:hint="eastAsia" w:ascii="宋体" w:hAnsi="宋体" w:cs="宋体"/>
                <w:bCs/>
                <w:color w:val="auto"/>
                <w:sz w:val="24"/>
                <w:szCs w:val="24"/>
              </w:rPr>
              <w:t xml:space="preserve">产品</w:t>
            </w:r>
            <w:r/>
          </w:p>
        </w:tc>
        <w:tc>
          <w:tcPr>
            <w:tcW w:w="1028"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工业</w:t>
            </w:r>
            <w:r/>
          </w:p>
        </w:tc>
        <w:tc>
          <w:tcPr>
            <w:tcW w:w="119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1270"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否</w:t>
            </w:r>
            <w:r/>
          </w:p>
        </w:tc>
      </w:tr>
    </w:tbl>
    <w:p>
      <w:pPr>
        <w:rPr>
          <w:rFonts w:ascii="黑体" w:hAnsi="黑体" w:eastAsia="黑体" w:cs="黑体"/>
          <w:sz w:val="24"/>
          <w:szCs w:val="24"/>
        </w:rPr>
        <w:outlineLvl w:val="1"/>
      </w:pPr>
      <w:r>
        <w:rPr>
          <w:rFonts w:ascii="黑体" w:hAnsi="黑体" w:eastAsia="黑体" w:cs="黑体"/>
          <w:sz w:val="24"/>
          <w:szCs w:val="24"/>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855"/>
        <w:tblW w:w="980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rHeight w:val="90"/>
        </w:trPr>
        <w:tc>
          <w:tcPr>
            <w:tcW w:w="660"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63"/>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lang w:val="en-US" w:eastAsia="zh-CN"/>
              </w:rPr>
              <w:t xml:space="preserve">1</w:t>
            </w:r>
            <w:r/>
          </w:p>
        </w:tc>
        <w:tc>
          <w:tcPr>
            <w:tcW w:w="1354"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超融合服务器</w:t>
            </w:r>
            <w:r/>
          </w:p>
        </w:tc>
        <w:tc>
          <w:tcPr>
            <w:tcW w:w="7790" w:type="dxa"/>
            <w:vAlign w:val="center"/>
            <w:textDirection w:val="lrTb"/>
            <w:noWrap w:val="false"/>
          </w:tcPr>
          <w:p>
            <w:pPr>
              <w:spacing w:line="264" w:lineRule="auto"/>
              <w:rPr>
                <w:rFonts w:ascii="宋体" w:hAnsi="宋体"/>
                <w:b/>
                <w:bCs/>
                <w:sz w:val="24"/>
                <w:szCs w:val="24"/>
              </w:rPr>
            </w:pPr>
            <w:r>
              <w:rPr>
                <w:rFonts w:hint="eastAsia" w:ascii="宋体" w:hAnsi="宋体"/>
                <w:b/>
                <w:bCs/>
                <w:sz w:val="24"/>
                <w:szCs w:val="24"/>
              </w:rPr>
              <w:t xml:space="preserve">硬件要求：</w:t>
            </w:r>
            <w:r/>
          </w:p>
          <w:p>
            <w:pPr>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CPU 应当符合安全可靠测评要求。</w:t>
            </w:r>
            <w:r>
              <w:rPr>
                <w:rFonts w:hint="eastAsia" w:ascii="宋体" w:hAnsi="宋体"/>
                <w:b/>
                <w:bCs/>
                <w:sz w:val="24"/>
                <w:szCs w:val="24"/>
                <w:lang w:val="en-US" w:eastAsia="zh-CN"/>
              </w:rPr>
              <w:t xml:space="preserve">（投标时在响应材料中提供中国信息安全测评中心或国家保密科技测评中心网站安全可靠测评结果公告截图，结果公告截图中须含所投CPU，</w:t>
            </w:r>
            <w:r>
              <w:rPr>
                <w:rFonts w:hint="eastAsia" w:ascii="宋体" w:hAnsi="宋体"/>
                <w:b/>
                <w:bCs/>
                <w:sz w:val="24"/>
                <w:szCs w:val="24"/>
              </w:rPr>
              <w:t xml:space="preserve">并加盖投标</w:t>
            </w:r>
            <w:r>
              <w:rPr>
                <w:rFonts w:hint="eastAsia" w:ascii="宋体" w:hAnsi="宋体"/>
                <w:b/>
                <w:bCs/>
                <w:color w:val="auto"/>
                <w:sz w:val="24"/>
                <w:szCs w:val="24"/>
              </w:rPr>
              <w:t xml:space="preserve">人公章</w:t>
            </w:r>
            <w:r>
              <w:rPr>
                <w:rFonts w:hint="eastAsia" w:ascii="宋体" w:hAnsi="宋体"/>
                <w:b/>
                <w:bCs/>
                <w:color w:val="auto"/>
                <w:sz w:val="24"/>
                <w:szCs w:val="24"/>
                <w:lang w:eastAsia="zh-CN"/>
              </w:rPr>
              <w:t xml:space="preserve">，</w:t>
            </w:r>
            <w:r>
              <w:rPr>
                <w:rFonts w:ascii="宋体" w:hAnsi="宋体"/>
                <w:b/>
                <w:bCs/>
                <w:color w:val="auto"/>
                <w:sz w:val="24"/>
                <w:szCs w:val="24"/>
              </w:rPr>
              <w:t xml:space="preserve">未提供作无效投标处理</w:t>
            </w:r>
            <w:r>
              <w:rPr>
                <w:rFonts w:hint="eastAsia" w:ascii="宋体" w:hAnsi="宋体"/>
                <w:b/>
                <w:bCs/>
                <w:color w:val="auto"/>
                <w:sz w:val="24"/>
                <w:szCs w:val="24"/>
                <w:lang w:val="en-US" w:eastAsia="zh-CN"/>
              </w:rPr>
              <w:t xml:space="preserve">）</w:t>
            </w:r>
            <w:r/>
          </w:p>
          <w:p>
            <w:pPr>
              <w:spacing w:line="264" w:lineRule="auto"/>
              <w:rPr>
                <w:rFonts w:hint="eastAsia" w:ascii="宋体" w:hAnsi="宋体"/>
                <w:sz w:val="24"/>
                <w:szCs w:val="24"/>
                <w:lang w:eastAsia="zh-CN"/>
              </w:rPr>
            </w:pPr>
            <w:r>
              <w:rPr>
                <w:rFonts w:hint="eastAsia"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、配置≥2U机架式服务器，含安装导轨；配置≥2 颗C86处理器，单颗处理器主频≥2.2GHz，单颗处理器≥32核心；内存配置≥512GB，内存插槽≥32个； 配置≥2块480GB SATA SSD系统盘（独立阵列卡硬件RAID1），≥2块3.2TB NVMe PCIE4.0 SSD混合型硬盘，≥8块8TB SATA HDD硬盘；配置≥6个25Gb光接口（满配25GB多模光模块）</w:t>
            </w:r>
            <w:r>
              <w:rPr>
                <w:rFonts w:hint="eastAsia" w:ascii="宋体" w:hAnsi="宋体"/>
                <w:sz w:val="24"/>
                <w:szCs w:val="24"/>
                <w:lang w:eastAsia="zh-CN"/>
              </w:rPr>
              <w:t xml:space="preserve">，</w:t>
            </w:r>
            <w:r>
              <w:rPr>
                <w:rFonts w:hint="eastAsia" w:ascii="宋体" w:hAnsi="宋体"/>
                <w:sz w:val="24"/>
                <w:szCs w:val="24"/>
              </w:rPr>
              <w:t xml:space="preserve">配置≥2个冗余电源；提供≥4个热插拔冗余风扇；配置独立管理端口，提供基于Web的远程管理控制、配备硬件监控、远程管理功能；提供KVM功能，实现远程开关机、重启、网络安装操作系统等操作</w:t>
            </w:r>
            <w:r>
              <w:rPr>
                <w:rFonts w:hint="eastAsia" w:ascii="宋体" w:hAnsi="宋体"/>
                <w:sz w:val="24"/>
                <w:szCs w:val="24"/>
                <w:lang w:eastAsia="zh-CN"/>
              </w:rPr>
              <w:t xml:space="preserve">。</w:t>
            </w:r>
            <w:r/>
          </w:p>
          <w:p>
            <w:pPr>
              <w:spacing w:line="264" w:lineRule="auto"/>
              <w:rPr>
                <w:rFonts w:hint="eastAsia" w:ascii="宋体" w:hAnsi="宋体"/>
                <w:color w:val="auto"/>
                <w:sz w:val="24"/>
                <w:szCs w:val="24"/>
                <w:lang w:eastAsia="zh-CN"/>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w:t>
            </w:r>
            <w:r>
              <w:rPr>
                <w:rFonts w:hint="eastAsia" w:ascii="宋体" w:hAnsi="宋体"/>
                <w:color w:val="auto"/>
                <w:sz w:val="24"/>
                <w:szCs w:val="24"/>
                <w:lang w:eastAsia="zh-CN"/>
              </w:rPr>
              <w:t xml:space="preserve">本项目所投超融合</w:t>
            </w:r>
            <w:r>
              <w:rPr>
                <w:rFonts w:hint="eastAsia" w:ascii="宋体" w:hAnsi="宋体" w:cs="宋体"/>
                <w:bCs/>
                <w:color w:val="auto"/>
                <w:sz w:val="24"/>
                <w:szCs w:val="24"/>
              </w:rPr>
              <w:t xml:space="preserve">服务器</w:t>
            </w:r>
            <w:r>
              <w:rPr>
                <w:rFonts w:hint="eastAsia" w:ascii="宋体" w:hAnsi="宋体" w:cs="宋体"/>
                <w:bCs/>
                <w:color w:val="auto"/>
                <w:sz w:val="24"/>
                <w:szCs w:val="24"/>
                <w:lang w:eastAsia="zh-CN"/>
              </w:rPr>
              <w:t xml:space="preserve">，</w:t>
            </w:r>
            <w:r>
              <w:rPr>
                <w:rFonts w:hint="eastAsia" w:ascii="宋体" w:hAnsi="宋体"/>
                <w:color w:val="auto"/>
                <w:sz w:val="24"/>
                <w:szCs w:val="24"/>
                <w:lang w:eastAsia="zh-CN"/>
              </w:rPr>
              <w:t xml:space="preserve">其内部每一台物理服务器硬件节点，须满足《通用服务器政府采购需求标准(2023年版)》全部带*强制性指标。</w:t>
            </w:r>
            <w:r/>
          </w:p>
          <w:p>
            <w:pPr>
              <w:spacing w:line="264" w:lineRule="auto"/>
              <w:rPr>
                <w:rFonts w:ascii="宋体" w:hAnsi="宋体"/>
                <w:b/>
                <w:bCs/>
                <w:sz w:val="24"/>
                <w:szCs w:val="24"/>
              </w:rPr>
            </w:pPr>
            <w:r>
              <w:rPr>
                <w:rFonts w:hint="eastAsia" w:ascii="宋体" w:hAnsi="宋体"/>
                <w:b/>
                <w:bCs/>
                <w:sz w:val="24"/>
                <w:szCs w:val="24"/>
              </w:rPr>
              <w:t xml:space="preserve">软件要求：</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4</w:t>
            </w:r>
            <w:r>
              <w:rPr>
                <w:rFonts w:hint="eastAsia" w:ascii="宋体" w:hAnsi="宋体"/>
                <w:sz w:val="24"/>
                <w:szCs w:val="24"/>
              </w:rPr>
              <w:t xml:space="preserve">、配置≥1节点或2CPU的计算虚拟化、网络虚拟化、存储虚拟化、分布式防火墙、网络流量可视化、双活许可功能配置。配置云管理平台1套，可以对本次所投产品进行统一管理。配置≥12台虚拟机无代理容灾复制授权。</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、超融合软件授权对单台设备不限制每颗CPU核心数、内存容量，保证用户日后基于配件级扩容。交付软件授权为永久授权，且软件授权不锁定硬件，支持将软件license转移到其他（</w:t>
            </w:r>
            <w:r>
              <w:rPr>
                <w:rFonts w:hint="eastAsia" w:ascii="宋体" w:hAnsi="宋体"/>
                <w:sz w:val="24"/>
                <w:szCs w:val="24"/>
                <w:lang w:eastAsia="zh-CN"/>
              </w:rPr>
              <w:t xml:space="preserve">如</w:t>
            </w:r>
            <w:r>
              <w:rPr>
                <w:rFonts w:hint="eastAsia" w:ascii="宋体" w:hAnsi="宋体"/>
                <w:sz w:val="24"/>
                <w:szCs w:val="24"/>
              </w:rPr>
              <w:t xml:space="preserve">Intel、海光、鲲鹏</w:t>
            </w:r>
            <w:r>
              <w:rPr>
                <w:rFonts w:hint="eastAsia" w:ascii="宋体" w:hAnsi="宋体"/>
                <w:sz w:val="24"/>
                <w:szCs w:val="24"/>
                <w:lang w:eastAsia="zh-CN"/>
              </w:rPr>
              <w:t xml:space="preserve">等</w:t>
            </w:r>
            <w:r>
              <w:rPr>
                <w:rFonts w:hint="eastAsia" w:ascii="宋体" w:hAnsi="宋体"/>
                <w:sz w:val="24"/>
                <w:szCs w:val="24"/>
              </w:rPr>
              <w:t xml:space="preserve">）硬件平台设备。如有限制则提供最高版本授权，保证用户使用不受限制；</w:t>
            </w:r>
            <w:r/>
          </w:p>
          <w:p>
            <w:pPr>
              <w:spacing w:line="264" w:lineRule="auto"/>
              <w:rPr>
                <w:rFonts w:ascii="宋体" w:hAnsi="宋体"/>
                <w:b/>
                <w:bCs/>
                <w:sz w:val="24"/>
                <w:szCs w:val="24"/>
              </w:rPr>
            </w:pPr>
            <w:r>
              <w:rPr>
                <w:rFonts w:hint="eastAsia" w:ascii="宋体" w:hAnsi="宋体"/>
                <w:b/>
                <w:bCs/>
                <w:sz w:val="24"/>
                <w:szCs w:val="24"/>
              </w:rPr>
              <w:t xml:space="preserve">投标时在响应材料中需提供以上</w:t>
            </w:r>
            <w:r>
              <w:rPr>
                <w:rFonts w:hint="eastAsia" w:ascii="宋体" w:hAnsi="宋体"/>
                <w:b/>
                <w:bCs/>
                <w:color w:val="auto"/>
                <w:sz w:val="24"/>
                <w:szCs w:val="24"/>
                <w:lang w:val="en-US" w:eastAsia="zh-CN"/>
              </w:rPr>
              <w:t xml:space="preserve">2</w:t>
            </w:r>
            <w:r>
              <w:rPr>
                <w:rFonts w:hint="eastAsia" w:ascii="宋体" w:hAnsi="宋体"/>
                <w:b/>
                <w:bCs/>
                <w:color w:val="auto"/>
                <w:sz w:val="24"/>
                <w:szCs w:val="24"/>
              </w:rPr>
              <w:t xml:space="preserve">-</w:t>
            </w:r>
            <w:r>
              <w:rPr>
                <w:rFonts w:hint="eastAsia" w:ascii="宋体" w:hAnsi="宋体"/>
                <w:b/>
                <w:bCs/>
                <w:color w:val="auto"/>
                <w:sz w:val="24"/>
                <w:szCs w:val="24"/>
                <w:lang w:val="en-US" w:eastAsia="zh-CN"/>
              </w:rPr>
              <w:t xml:space="preserve">5</w:t>
            </w:r>
            <w:r>
              <w:rPr>
                <w:rFonts w:hint="eastAsia" w:ascii="宋体" w:hAnsi="宋体"/>
                <w:b/>
                <w:bCs/>
                <w:color w:val="auto"/>
                <w:sz w:val="24"/>
                <w:szCs w:val="24"/>
              </w:rPr>
              <w:t xml:space="preserve">条</w:t>
            </w:r>
            <w:r>
              <w:rPr>
                <w:rFonts w:hint="eastAsia" w:ascii="宋体" w:hAnsi="宋体"/>
                <w:b/>
                <w:bCs/>
                <w:sz w:val="24"/>
                <w:szCs w:val="24"/>
              </w:rPr>
              <w:t xml:space="preserve">内容的承诺函，并加盖投标人公章。（</w:t>
            </w:r>
            <w:r>
              <w:rPr>
                <w:rFonts w:ascii="宋体" w:hAnsi="宋体"/>
                <w:b/>
                <w:bCs/>
                <w:sz w:val="24"/>
                <w:szCs w:val="24"/>
              </w:rPr>
              <w:t xml:space="preserve">未提供作无效投标处理</w:t>
            </w:r>
            <w:r>
              <w:rPr>
                <w:rFonts w:hint="eastAsia" w:ascii="宋体" w:hAnsi="宋体"/>
                <w:b/>
                <w:bCs/>
                <w:sz w:val="24"/>
                <w:szCs w:val="24"/>
              </w:rPr>
              <w:t xml:space="preserve">）</w:t>
            </w:r>
            <w:r/>
          </w:p>
          <w:p>
            <w:pPr>
              <w:spacing w:line="264"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、为满足兼容性要求，云平台须为最新版本。支持从原有VMware云平台中批量迁移至新购平台中，支持全量增量传输，提供原厂迁移工具，并提供原厂迁移服务。</w:t>
            </w:r>
            <w:r/>
          </w:p>
          <w:p>
            <w:pPr>
              <w:spacing w:line="264" w:lineRule="auto"/>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、云平台建设完毕后支持通过虚拟机快照重建虚拟机。支持定时快照功能，快照对象可选择虚拟机或虚拟卷，可配置定时快照的时间策略，指定保留快照组的数量。</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、为保证中心数据安全，需支持配置基于服务器机架拓扑感知的数据放置功能，防止数据的多个副本放置在同一机架空间内。避免出现由于单一机架的电源、网络故障或机柜受潮造成的数据无法访问。</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、保证网络低延迟、高吞吐、高效率并支持无损网络，实配 RDMA 功能并使用 RDMA 协议进行存储节点间数据传输，降低访问延时，中标方提供专业网络工程师配合，确保无损网络落地。</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、平台应支持第三方无代理防病毒方案（如亚信安全等第三方防病毒厂商），通过虚拟化层统一实现虚拟机病毒防护，无需在虚拟机内部安装代理程序。</w:t>
            </w:r>
            <w:r>
              <w:rPr>
                <w:rFonts w:hint="eastAsia" w:ascii="宋体" w:hAnsi="宋体"/>
                <w:b/>
                <w:bCs/>
                <w:sz w:val="24"/>
                <w:szCs w:val="24"/>
              </w:rPr>
              <w:t xml:space="preserve">（投标时在响应材料中提供</w:t>
            </w:r>
            <w:r>
              <w:rPr>
                <w:rFonts w:ascii="宋体" w:hAnsi="宋体"/>
                <w:b/>
                <w:bCs/>
                <w:sz w:val="24"/>
                <w:szCs w:val="24"/>
              </w:rPr>
              <w:t xml:space="preserve">无代理防病毒联合方案测试报告</w:t>
            </w:r>
            <w:r>
              <w:rPr>
                <w:rFonts w:hint="eastAsia" w:ascii="宋体" w:hAnsi="宋体"/>
                <w:b/>
                <w:bCs/>
                <w:sz w:val="24"/>
                <w:szCs w:val="24"/>
              </w:rPr>
              <w:t xml:space="preserve">，并加盖投标人公章）</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、支持纠删码（EC）的存储策略，支持 2+1、4+1、4+2、8+2、22+1、22+2、8+3、8+4 等多种配比。</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、虚拟机可根据需求进行选择磁盘，非存储池层面支持，同一虚拟机两副本磁盘、三副本磁盘及EC副本策略</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w:t>
            </w:r>
            <w:r>
              <w:rPr>
                <w:rFonts w:hint="eastAsia" w:ascii="宋体" w:hAnsi="宋体"/>
                <w:b/>
                <w:bCs/>
                <w:sz w:val="24"/>
                <w:szCs w:val="24"/>
              </w:rPr>
              <w:t xml:space="preserve">为保证后续扩容，需支持跨代CPU兼容功能，实现跨代 CPU 主机之间的虚拟机的在线迁移。（投标时在响应材料中提供界面截图，并加盖投标人公章）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、云平台本身可对外提供文件存储，至少</w:t>
            </w:r>
            <w:bookmarkStart w:id="64" w:name="OLE_LINK4"/>
            <w:r>
              <w:rPr>
                <w:rFonts w:hint="eastAsia" w:ascii="宋体" w:hAnsi="宋体"/>
                <w:sz w:val="24"/>
                <w:szCs w:val="24"/>
              </w:rPr>
              <w:t xml:space="preserve">支持 NFS和HDFS 协议</w:t>
            </w:r>
            <w:bookmarkEnd w:id="64"/>
            <w:r>
              <w:rPr>
                <w:rFonts w:hint="eastAsia" w:ascii="宋体" w:hAnsi="宋体"/>
                <w:sz w:val="24"/>
                <w:szCs w:val="24"/>
              </w:rPr>
              <w:t xml:space="preserve">，可在云平台中统一管理，并支持高可用。</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、支持同一个云系统中服务器配置不同，如配置不同的 CPU、SSD、HDD 等，支持非一体机的云平台软件部署到不同品牌的服务器。</w:t>
            </w:r>
            <w:r>
              <w:rPr>
                <w:rFonts w:hint="eastAsia" w:ascii="宋体" w:hAnsi="宋体"/>
                <w:b/>
                <w:bCs/>
                <w:sz w:val="24"/>
                <w:szCs w:val="24"/>
              </w:rPr>
              <w:t xml:space="preserve">（投标时在响应材料中提供官网截图，并加盖投标人公章）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、提供标准的NFS或iSCSI存储访问协议。可将云平台的存储资源作为共享存储挂载给外部的物理机或者虚拟机使用。</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7</w:t>
            </w:r>
            <w:r>
              <w:rPr>
                <w:rFonts w:hint="eastAsia" w:ascii="宋体" w:hAnsi="宋体"/>
                <w:sz w:val="24"/>
                <w:szCs w:val="24"/>
              </w:rPr>
              <w:t xml:space="preserve">、云平台支持网络流量可视化服务，支持虚拟机东西南北向流量可视化，支持拓扑视图和表格视图，直观展示虚拟机网络、系统网络及外部 IP 地址间的数据流大小、方向、路径等详情信息，精确获取五元组详情，自动生成虚拟机之间流量关系的拓扑，并支持导出。</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、平台应支持虚拟机热迁移过程中的数据传输加密能力，保障迁移过程中虚拟机内存及运行状态数据的安全。</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9</w:t>
            </w:r>
            <w:r>
              <w:rPr>
                <w:rFonts w:hint="eastAsia" w:ascii="宋体" w:hAnsi="宋体"/>
                <w:sz w:val="24"/>
                <w:szCs w:val="24"/>
              </w:rPr>
              <w:t xml:space="preserve">、配置亚健康盘探测隔离自动数据恢复功能，主动发现亚健康盘，对亚健康盘进行隔离，并自动数据恢复，提高系统可用性减少风险，避免亚健康盘带来IO延迟提高和吞吐性能下降，从而保证系统的整体性能稳定</w:t>
            </w:r>
            <w:r/>
          </w:p>
          <w:p>
            <w:pPr>
              <w:spacing w:line="264" w:lineRule="auto"/>
              <w:rPr>
                <w:rFonts w:ascii="宋体" w:hAnsi="宋体"/>
                <w:sz w:val="24"/>
                <w:szCs w:val="24"/>
              </w:rPr>
            </w:pPr>
            <w:r>
              <w:rPr>
                <w:rFonts w:hint="eastAsia" w:ascii="宋体" w:hAnsi="宋体"/>
                <w:sz w:val="24"/>
                <w:szCs w:val="24"/>
                <w:lang w:val="en-US" w:eastAsia="zh-CN"/>
              </w:rPr>
              <w:t xml:space="preserve">20</w:t>
            </w:r>
            <w:r>
              <w:rPr>
                <w:rFonts w:hint="eastAsia" w:ascii="宋体" w:hAnsi="宋体"/>
                <w:sz w:val="24"/>
                <w:szCs w:val="24"/>
              </w:rPr>
              <w:t xml:space="preserve">、动态感知上层业务压力，在不影响用户的业务IO前提下，智能调整集群的数据恢复／迁移速率。高负载时自动降低数据恢复速率，避免数据恢复对上层业务IO产生影响，在低负载情况下提升数据恢复。</w:t>
            </w:r>
            <w:r>
              <w:rPr>
                <w:rFonts w:hint="eastAsia" w:ascii="宋体" w:hAnsi="宋体"/>
                <w:b/>
                <w:bCs/>
                <w:sz w:val="24"/>
                <w:szCs w:val="24"/>
              </w:rPr>
              <w:t xml:space="preserve">（投标时在响应材料中提供界面截图，并加盖投标人公章）</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21</w:t>
            </w:r>
            <w:r>
              <w:rPr>
                <w:rFonts w:hint="eastAsia" w:ascii="宋体" w:hAnsi="宋体"/>
                <w:sz w:val="24"/>
                <w:szCs w:val="24"/>
              </w:rPr>
              <w:t xml:space="preserve">、为保证集群容量和业务运行稳定，基于分层模式组成存储池，当任意一块缓存盘（SSD） 发生故障情况下，其影响范围仅限于故障的 SSD ，不会引起相关磁盘组的其它 HDD 掉线，同时不会引起存储可用容量减少。</w:t>
            </w:r>
            <w:r>
              <w:rPr>
                <w:rFonts w:hint="eastAsia" w:ascii="宋体" w:hAnsi="宋体"/>
                <w:b/>
                <w:bCs/>
                <w:sz w:val="24"/>
                <w:szCs w:val="24"/>
              </w:rPr>
              <w:t xml:space="preserve">（投标时在响应材料中提供界面截图，并加盖投标人公章）</w:t>
            </w:r>
            <w:r/>
          </w:p>
          <w:p>
            <w:pPr>
              <w:numPr>
                <w:ilvl w:val="0"/>
                <w:numId w:val="0"/>
              </w:numPr>
              <w:spacing w:line="264" w:lineRule="auto"/>
              <w:rPr>
                <w:rFonts w:hint="eastAsia" w:ascii="宋体" w:hAnsi="宋体"/>
                <w:b/>
                <w:bCs/>
                <w:sz w:val="24"/>
                <w:szCs w:val="24"/>
              </w:rPr>
            </w:pPr>
            <w:r>
              <w:rPr>
                <w:rFonts w:hint="eastAsia" w:ascii="宋体" w:hAnsi="宋体"/>
                <w:sz w:val="24"/>
                <w:szCs w:val="24"/>
                <w:lang w:val="en-US" w:eastAsia="zh-CN"/>
              </w:rPr>
              <w:t xml:space="preserve">22、</w:t>
            </w:r>
            <w:r>
              <w:rPr>
                <w:rFonts w:hint="eastAsia" w:ascii="宋体" w:hAnsi="宋体"/>
                <w:sz w:val="24"/>
                <w:szCs w:val="24"/>
              </w:rPr>
              <w:t xml:space="preserve">支持临时副本能力，当集群发生硬盘故障或者主机离线导致数据副本发生降级，在数据完全恢复前，所有 IO 写入系统会提供临时副本保护，可增强数据恢复期间的数据可靠性。</w:t>
            </w:r>
            <w:r>
              <w:rPr>
                <w:rFonts w:hint="eastAsia" w:ascii="宋体" w:hAnsi="宋体"/>
                <w:b/>
                <w:bCs/>
                <w:sz w:val="24"/>
                <w:szCs w:val="24"/>
              </w:rPr>
              <w:t xml:space="preserve">（投标时在响应材料中提供界面截图，并加盖投标人公章）</w:t>
            </w:r>
            <w:r/>
          </w:p>
          <w:p>
            <w:pPr>
              <w:spacing w:line="264" w:lineRule="auto"/>
              <w:rPr>
                <w:rFonts w:hint="eastAsia" w:ascii="宋体" w:hAnsi="宋体"/>
                <w:b/>
                <w:bCs/>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23、支持在超融合管理界面，通过界面化方式修改虚拟机 IP 地址、子网掩码、网关，支持界面化重置 NTP服务器、重置指定账户的密码</w:t>
            </w:r>
            <w:r>
              <w:rPr>
                <w:rFonts w:hint="eastAsia" w:ascii="宋体" w:hAnsi="宋体"/>
                <w:b/>
                <w:bCs/>
                <w:color w:val="auto"/>
                <w:sz w:val="24"/>
                <w:szCs w:val="24"/>
                <w:lang w:val="en-US" w:eastAsia="zh-CN"/>
              </w:rPr>
              <w:t xml:space="preserve">（投标时在响应材料中提供界面截图，并加盖投标人公章）</w:t>
            </w:r>
            <w:r/>
          </w:p>
          <w:p>
            <w:pPr>
              <w:spacing w:line="264" w:lineRule="auto"/>
              <w:rPr>
                <w:rFonts w:hint="default"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、可利用 SPDK 技术，实现用户态进程间内存共享，优化数据复制效率（零拷贝），减少内核开销，提升 I/O 性能，在本次交付的双活集群中启用此功能</w:t>
            </w:r>
            <w:r>
              <w:rPr>
                <w:rFonts w:hint="eastAsia" w:ascii="宋体" w:hAnsi="宋体"/>
                <w:b/>
                <w:bCs/>
                <w:sz w:val="24"/>
                <w:szCs w:val="24"/>
              </w:rPr>
              <w:t xml:space="preserve">（投标时在响应材料中提供界面截图，并加盖投标人公章）</w:t>
            </w:r>
            <w:r>
              <w:rPr>
                <w:rFonts w:hint="eastAsia" w:ascii="宋体" w:hAnsi="宋体"/>
                <w:b/>
                <w:bCs/>
                <w:sz w:val="24"/>
                <w:szCs w:val="24"/>
                <w:lang w:val="en-US" w:eastAsia="zh-CN"/>
              </w:rPr>
              <w:t xml:space="preserve">     </w:t>
            </w:r>
            <w:r/>
          </w:p>
        </w:tc>
      </w:tr>
      <w:tr>
        <w:trPr>
          <w:cantSplit/>
          <w:trHeight w:val="416"/>
        </w:trPr>
        <w:tc>
          <w:tcPr>
            <w:tcW w:w="660" w:type="dxa"/>
            <w:vAlign w:val="center"/>
            <w:textDirection w:val="lrTb"/>
            <w:noWrap w:val="false"/>
          </w:tcPr>
          <w:p>
            <w:pPr>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2</w:t>
            </w:r>
            <w:r/>
          </w:p>
        </w:tc>
        <w:tc>
          <w:tcPr>
            <w:tcW w:w="1354"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存储网络交换机</w:t>
            </w:r>
            <w:r/>
          </w:p>
        </w:tc>
        <w:tc>
          <w:tcPr>
            <w:tcW w:w="7790" w:type="dxa"/>
            <w:vAlign w:val="center"/>
            <w:textDirection w:val="lrTb"/>
            <w:noWrap w:val="false"/>
          </w:tcPr>
          <w:p>
            <w:pPr>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、交换容量≥8Tbps，包转发率≥2400Mpps，以官网最小值为准;</w:t>
            </w:r>
            <w:r/>
          </w:p>
          <w:p>
            <w:pPr>
              <w:spacing w:line="264"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、提供48个10/25GE SFP28 接口，8个40/100GE QSFP28 接口，配置24个25G多模模块，1根3米100G堆叠线缆，2块100G单模模块，实配AI ECN功能；</w:t>
            </w:r>
            <w:r/>
          </w:p>
          <w:p>
            <w:pPr>
              <w:spacing w:line="264" w:lineRule="auto"/>
              <w:rPr>
                <w:rFonts w:ascii="宋体" w:hAnsi="宋体"/>
                <w:sz w:val="32"/>
                <w:szCs w:val="32"/>
              </w:rPr>
            </w:pPr>
            <w:r>
              <w:rPr>
                <w:rFonts w:hint="eastAsia" w:ascii="宋体" w:hAnsi="宋体" w:cs="宋体"/>
                <w:b/>
                <w:bCs/>
                <w:sz w:val="24"/>
                <w:szCs w:val="24"/>
              </w:rPr>
              <w:t xml:space="preserve">投标时在响应材料中需提供以上</w:t>
            </w: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条</w:t>
            </w:r>
            <w:r>
              <w:rPr>
                <w:rFonts w:hint="eastAsia" w:ascii="宋体" w:hAnsi="宋体" w:cs="宋体"/>
                <w:b/>
                <w:bCs/>
                <w:sz w:val="24"/>
                <w:szCs w:val="24"/>
              </w:rPr>
              <w:t xml:space="preserve">内容的承诺函，并加盖投标人公章。</w:t>
            </w:r>
            <w:r>
              <w:rPr>
                <w:rFonts w:hint="eastAsia"/>
                <w:b/>
                <w:bCs/>
                <w:sz w:val="24"/>
                <w:szCs w:val="28"/>
              </w:rPr>
              <w:t xml:space="preserve">（</w:t>
            </w:r>
            <w:r>
              <w:rPr>
                <w:b/>
                <w:bCs/>
                <w:sz w:val="24"/>
                <w:szCs w:val="28"/>
              </w:rPr>
              <w:t xml:space="preserve">未提供作无效投标处理</w:t>
            </w:r>
            <w:r>
              <w:rPr>
                <w:rFonts w:hint="eastAsia"/>
                <w:b/>
                <w:bCs/>
                <w:sz w:val="24"/>
                <w:szCs w:val="28"/>
              </w:rPr>
              <w:t xml:space="preserve">）</w:t>
            </w:r>
            <w:r/>
          </w:p>
          <w:p>
            <w:pPr>
              <w:spacing w:line="264"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、为保障扩展使用需求，设备端口具备平滑升级的能力，能同通过软件许可实现将25G端口提升到50G，100G端口提升到200G使用。</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color w:val="auto"/>
                <w:sz w:val="24"/>
                <w:szCs w:val="24"/>
              </w:rPr>
              <w:t xml:space="preserve">，</w:t>
            </w:r>
            <w:r>
              <w:rPr>
                <w:rFonts w:hint="eastAsia" w:ascii="宋体" w:hAnsi="宋体"/>
                <w:b/>
                <w:bCs/>
                <w:sz w:val="24"/>
                <w:szCs w:val="24"/>
              </w:rPr>
              <w:t xml:space="preserve">并加盖投标人公章）</w:t>
            </w:r>
            <w:r/>
          </w:p>
          <w:p>
            <w:pPr>
              <w:spacing w:line="264"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、设备核心CPU处理芯片≥16核 2GHz，内存≥16G</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sz w:val="24"/>
                <w:szCs w:val="24"/>
              </w:rPr>
              <w:t xml:space="preserve">，并加盖投标人公章）</w:t>
            </w:r>
            <w:r/>
          </w:p>
          <w:p>
            <w:pPr>
              <w:spacing w:line="264" w:lineRule="auto"/>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sz w:val="24"/>
                <w:szCs w:val="24"/>
              </w:rPr>
              <w:t xml:space="preserve">、支持跨框链路聚合，要求配对设备有独立的控制平面，不能用堆叠等多虚一技术实现</w:t>
            </w:r>
            <w:r>
              <w:rPr>
                <w:rFonts w:hint="eastAsia" w:ascii="宋体" w:hAnsi="宋体"/>
                <w:sz w:val="24"/>
                <w:szCs w:val="24"/>
                <w:lang w:eastAsia="zh-CN"/>
              </w:rPr>
              <w:t xml:space="preserve">。</w:t>
            </w:r>
            <w:r/>
          </w:p>
          <w:p>
            <w:pPr>
              <w:spacing w:line="264"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、支持 RDMA 和 RoCE(RoCE v1 和 RoCE v2)功能。支持PFC 死锁预防，AI ECN，NSLB增强特性。</w:t>
            </w:r>
            <w:r/>
          </w:p>
          <w:p>
            <w:pPr>
              <w:spacing w:line="264" w:lineRule="auto"/>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、支持Vxlan协议，且支持BGP EVPN协议。支持VXLAN over IPv6，IPv6 VXLAN over IPv4。</w:t>
            </w:r>
            <w:r/>
          </w:p>
          <w:p>
            <w:pPr>
              <w:spacing w:line="264" w:lineRule="auto"/>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、支持PTP（1588v2）精密时间协议，用于设备之间的高精度时间同步，也可以用来进行设备之间的频率同步</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sz w:val="24"/>
                <w:szCs w:val="24"/>
              </w:rPr>
              <w:t xml:space="preserve">，并加盖投标人公章）</w:t>
            </w:r>
            <w:r/>
          </w:p>
          <w:p>
            <w:pPr>
              <w:spacing w:line="264" w:lineRule="auto"/>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、支持数据面故障快速恢复功能，能够基于数据面快速感知端口故障，并结合故障本地快速收敛、故障远程通告、故障远程快速收敛等功能，实现业务无感知的故障快收敛效果</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sz w:val="24"/>
                <w:szCs w:val="24"/>
              </w:rPr>
              <w:t xml:space="preserve">，并加盖投标人公章）</w:t>
            </w:r>
            <w:r/>
          </w:p>
          <w:p>
            <w:pPr>
              <w:spacing w:line="264"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、支持秒级故障恢复能力，针对静默故障导致的业务会话级异常，如链路故障，转发表项异常，转发器件异常等，提供基于数据面的故障快速感知和快速收敛能力，提升网络级可靠性</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sz w:val="24"/>
                <w:szCs w:val="24"/>
              </w:rPr>
              <w:t xml:space="preserve">，并加盖投标人公章）</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、支持SNMP V1/V2/V3、Telnet、RMON、SSH;</w:t>
            </w:r>
            <w:r/>
          </w:p>
          <w:p>
            <w:pPr>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、支持VxLAN OAM: VxLAN ping, VxLANtracert，</w:t>
            </w:r>
            <w:r/>
          </w:p>
          <w:p>
            <w:pPr>
              <w:spacing w:line="264"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、支持路径可视，以及支持接口级的丢包、流量、时延分析，实现高精度的业务级丢包检测</w:t>
            </w:r>
            <w:r>
              <w:rPr>
                <w:rFonts w:hint="eastAsia" w:ascii="宋体" w:hAnsi="宋体"/>
                <w:b/>
                <w:bCs/>
                <w:sz w:val="24"/>
                <w:szCs w:val="24"/>
              </w:rPr>
              <w:t xml:space="preserve">（投标时在响应材料中提供</w:t>
            </w:r>
            <w:r>
              <w:rPr>
                <w:rFonts w:ascii="宋体" w:hAnsi="宋体"/>
                <w:b/>
                <w:bCs/>
                <w:sz w:val="24"/>
                <w:szCs w:val="24"/>
              </w:rPr>
              <w:t xml:space="preserve">官网截图</w:t>
            </w:r>
            <w:r>
              <w:rPr>
                <w:rFonts w:hint="eastAsia" w:ascii="宋体" w:hAnsi="宋体"/>
                <w:b/>
                <w:bCs/>
                <w:sz w:val="24"/>
                <w:szCs w:val="24"/>
              </w:rPr>
              <w:t xml:space="preserve">，并加盖投标人公章）</w:t>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color w:val="000000"/>
          <w:sz w:val="24"/>
          <w:szCs w:val="24"/>
        </w:rPr>
        <w:t xml:space="preserve">（1）报价应包含</w:t>
      </w:r>
      <w:r>
        <w:rPr>
          <w:rFonts w:hint="eastAsia" w:ascii="宋体" w:hAnsi="宋体" w:cs="宋体"/>
          <w:sz w:val="24"/>
          <w:szCs w:val="24"/>
        </w:rPr>
        <w:t xml:space="preserve">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2.实施要求</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（1）总体要求</w:t>
      </w:r>
      <w:r/>
    </w:p>
    <w:p>
      <w:pPr>
        <w:ind w:firstLine="480"/>
        <w:spacing w:line="264" w:lineRule="auto"/>
        <w:rPr>
          <w:rFonts w:ascii="宋体" w:hAnsi="宋体" w:cs="宋体"/>
          <w:sz w:val="24"/>
          <w:szCs w:val="24"/>
        </w:rPr>
      </w:pPr>
      <w:r>
        <w:rPr>
          <w:rFonts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要求此次新建架构和医院原有数据中心</w:t>
      </w:r>
      <w:r>
        <w:rPr>
          <w:rFonts w:ascii="宋体" w:hAnsi="宋体" w:cs="宋体"/>
          <w:sz w:val="24"/>
          <w:szCs w:val="24"/>
        </w:rPr>
        <w:t xml:space="preserve">【</w:t>
      </w:r>
      <w:r>
        <w:rPr>
          <w:rFonts w:hint="eastAsia" w:ascii="宋体" w:hAnsi="宋体" w:cs="宋体"/>
          <w:sz w:val="24"/>
          <w:szCs w:val="24"/>
        </w:rPr>
        <w:t xml:space="preserve">12台Dell XC730xd-12（</w:t>
      </w:r>
      <w:r>
        <w:rPr>
          <w:rFonts w:ascii="宋体" w:hAnsi="宋体" w:cs="宋体"/>
          <w:sz w:val="24"/>
          <w:szCs w:val="24"/>
        </w:rPr>
        <w:t xml:space="preserve">Nutanix</w:t>
      </w: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台联想</w:t>
      </w:r>
      <w:r>
        <w:rPr>
          <w:rFonts w:ascii="宋体" w:hAnsi="宋体" w:cs="宋体"/>
          <w:sz w:val="24"/>
          <w:szCs w:val="24"/>
        </w:rPr>
        <w:t xml:space="preserve">SR650</w:t>
      </w:r>
      <w:r>
        <w:rPr>
          <w:rFonts w:hint="eastAsia" w:ascii="宋体" w:hAnsi="宋体" w:cs="宋体"/>
          <w:sz w:val="24"/>
          <w:szCs w:val="24"/>
        </w:rPr>
        <w:t xml:space="preserve">（vSAN）</w:t>
      </w:r>
      <w:r>
        <w:rPr>
          <w:rFonts w:ascii="宋体" w:hAnsi="宋体" w:cs="宋体"/>
          <w:sz w:val="24"/>
          <w:szCs w:val="24"/>
        </w:rPr>
        <w:t xml:space="preserve">、6</w:t>
      </w:r>
      <w:r>
        <w:rPr>
          <w:rFonts w:hint="eastAsia" w:ascii="宋体" w:hAnsi="宋体" w:cs="宋体"/>
          <w:sz w:val="24"/>
          <w:szCs w:val="24"/>
        </w:rPr>
        <w:t xml:space="preserve">台</w:t>
      </w:r>
      <w:r>
        <w:rPr>
          <w:rFonts w:ascii="宋体" w:hAnsi="宋体" w:cs="宋体"/>
          <w:sz w:val="24"/>
          <w:szCs w:val="24"/>
        </w:rPr>
        <w:t xml:space="preserve">SR660V2</w:t>
      </w:r>
      <w:r>
        <w:rPr>
          <w:rFonts w:hint="eastAsia" w:ascii="宋体" w:hAnsi="宋体" w:cs="宋体"/>
          <w:sz w:val="24"/>
          <w:szCs w:val="24"/>
        </w:rPr>
        <w:t xml:space="preserve">（vSAN）</w:t>
      </w:r>
      <w:r>
        <w:rPr>
          <w:rFonts w:ascii="宋体" w:hAnsi="宋体" w:cs="宋体"/>
          <w:sz w:val="24"/>
          <w:szCs w:val="24"/>
        </w:rPr>
        <w:t xml:space="preserve">】</w:t>
      </w:r>
      <w:r>
        <w:rPr>
          <w:rFonts w:hint="eastAsia" w:ascii="宋体" w:hAnsi="宋体" w:cs="宋体"/>
          <w:color w:val="000000" w:themeColor="text1"/>
          <w:sz w:val="24"/>
          <w:szCs w:val="24"/>
          <w14:textFill>
            <w14:solidFill>
              <w14:schemeClr w14:val="tx1"/>
            </w14:solidFill>
          </w14:textFill>
        </w:rPr>
        <w:t xml:space="preserve">之间的架构做到相互兼容，同时根据项目建设进度的需求，在最小化影响业务的情况下，需将医院的原有虚拟机及应用系统，快速、平稳的迁移至此次建设的平台之上，保证能够同时支撑医院的诊疗业务。</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②</w:t>
      </w:r>
      <w:r>
        <w:rPr>
          <w:rFonts w:hint="eastAsia" w:ascii="宋体" w:hAnsi="宋体" w:cs="宋体"/>
          <w:color w:val="000000" w:themeColor="text1"/>
          <w:sz w:val="24"/>
          <w:szCs w:val="24"/>
          <w14:textFill>
            <w14:solidFill>
              <w14:schemeClr w14:val="tx1"/>
            </w14:solidFill>
          </w14:textFill>
        </w:rPr>
        <w:t xml:space="preserve">核心业务及数据迁移割接时间不得超出30分钟；迁移前必须做好原有业务系统和数据的容灾保护，如在迁移过程中出现重大灾难事故，需要中标供应商提供相应的软硬件进行灾难应急。</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 xml:space="preserve">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中标供应商负责将医院原有超融合虚拟机平滑的迁移到此次新建超融合服务器上，并保证数据和应用的安全性和及时性，一旦出现任何数据丢失或长时间的业务宕机，所有后果由中标供应商负责，有权要求中标供应商给予赔偿。</w:t>
      </w:r>
      <w:r/>
    </w:p>
    <w:p>
      <w:pPr>
        <w:ind w:firstLine="480"/>
        <w:spacing w:line="264" w:lineRule="auto"/>
        <w:rPr>
          <w:rFonts w:ascii="宋体" w:hAnsi="宋体" w:cs="宋体"/>
          <w:color w:val="000000" w:themeColor="text1"/>
          <w:sz w:val="24"/>
          <w:szCs w:val="24"/>
          <w14:textFill>
            <w14:solidFill>
              <w14:schemeClr w14:val="tx1"/>
            </w14:solidFill>
          </w14:textFill>
        </w:rPr>
      </w:pPr>
      <w:r/>
      <w:bookmarkStart w:id="65" w:name="_Toc120614281"/>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质量要求</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①</w:t>
      </w:r>
      <w:r>
        <w:rPr>
          <w:rFonts w:hint="eastAsia" w:ascii="宋体" w:hAnsi="宋体" w:cs="宋体"/>
          <w:sz w:val="24"/>
          <w:szCs w:val="24"/>
        </w:rPr>
        <w:t xml:space="preserve">中标供应商</w:t>
      </w:r>
      <w:r>
        <w:rPr>
          <w:rFonts w:hint="eastAsia" w:ascii="宋体" w:hAnsi="宋体" w:cs="宋体"/>
          <w:color w:val="000000" w:themeColor="text1"/>
          <w:sz w:val="24"/>
          <w:szCs w:val="24"/>
          <w14:textFill>
            <w14:solidFill>
              <w14:schemeClr w14:val="tx1"/>
            </w14:solidFill>
          </w14:textFill>
        </w:rPr>
        <w:t xml:space="preserve">负责对此次采购的所有软硬件设备的集成，负责从无到有的设计、安装、实施、优化和部署以及后续的运维技术支持。本次项目所有产品必须为全新未开封，所有软硬件均为出厂配置非拆改配，如不满足，医院可拒绝签订合同并根据国家相应的法律法规进行处置。</w:t>
      </w:r>
      <w:r/>
    </w:p>
    <w:p>
      <w:pPr>
        <w:ind w:firstLine="480"/>
        <w:spacing w:line="264" w:lineRule="auto"/>
        <w:rPr>
          <w:rFonts w:ascii="宋体" w:hAnsi="宋体" w:cs="宋体"/>
          <w:color w:val="auto"/>
          <w:sz w:val="24"/>
          <w:szCs w:val="24"/>
        </w:rPr>
      </w:pPr>
      <w:r>
        <w:rPr>
          <w:rFonts w:hint="eastAsia" w:ascii="宋体" w:hAnsi="宋体" w:cs="宋体"/>
          <w:sz w:val="24"/>
          <w:szCs w:val="24"/>
        </w:rPr>
        <w:t xml:space="preserve">②签订合同时，</w:t>
      </w:r>
      <w:r>
        <w:rPr>
          <w:rFonts w:ascii="宋体" w:hAnsi="宋体" w:eastAsia="宋体" w:cs="宋体"/>
          <w:color w:val="auto"/>
          <w:sz w:val="24"/>
          <w:szCs w:val="24"/>
        </w:rPr>
        <w:t xml:space="preserve">中标供应商针对</w:t>
      </w:r>
      <w:r>
        <w:rPr>
          <w:rFonts w:hint="eastAsia" w:ascii="宋体" w:hAnsi="宋体" w:cs="宋体"/>
          <w:color w:val="auto"/>
          <w:sz w:val="24"/>
          <w:szCs w:val="24"/>
          <w:lang w:eastAsia="zh-CN"/>
        </w:rPr>
        <w:t xml:space="preserve">本项目第五章评标</w:t>
      </w:r>
      <w:r>
        <w:rPr>
          <w:rFonts w:ascii="宋体" w:hAnsi="宋体" w:eastAsia="宋体" w:cs="宋体"/>
          <w:color w:val="auto"/>
          <w:sz w:val="24"/>
          <w:szCs w:val="24"/>
        </w:rPr>
        <w:t xml:space="preserve">标准中的深化设计方案进行细化</w:t>
      </w:r>
      <w:r>
        <w:rPr>
          <w:rFonts w:hint="eastAsia" w:ascii="宋体" w:hAnsi="宋体" w:cs="宋体"/>
          <w:color w:val="auto"/>
          <w:sz w:val="24"/>
          <w:szCs w:val="24"/>
        </w:rPr>
        <w:t xml:space="preserve">，方案经过医院审核同意后才能实施，所需费用包含在合同报价中。需基于现有系统环境开展数据复制软件深化设计工作，明确系统整体架构及数据复制拓扑结构，合理规划数据流向、同步范围及复制策略，包括实时与定时方式。需完成服务器部署方案设计，明确计算、存储及网络资源配置要求，保障系统性能与扩展能力。同时应进行网络架构及带宽规划，满足数据传输需求，并提出数据汇聚深化设计方案，明确关键指标RPO与RTO。</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auto"/>
          <w:sz w:val="24"/>
          <w:szCs w:val="24"/>
        </w:rPr>
        <w:t xml:space="preserve">③签订合同时，</w:t>
      </w:r>
      <w:r>
        <w:rPr>
          <w:rFonts w:ascii="宋体" w:hAnsi="宋体" w:eastAsia="宋体" w:cs="宋体"/>
          <w:color w:val="auto"/>
          <w:sz w:val="24"/>
          <w:szCs w:val="24"/>
        </w:rPr>
        <w:t xml:space="preserve">中标供应商针对</w:t>
      </w:r>
      <w:r>
        <w:rPr>
          <w:rFonts w:hint="eastAsia" w:ascii="宋体" w:hAnsi="宋体" w:cs="宋体"/>
          <w:color w:val="auto"/>
          <w:sz w:val="24"/>
          <w:szCs w:val="24"/>
          <w:lang w:eastAsia="zh-CN"/>
        </w:rPr>
        <w:t xml:space="preserve">本项目第五章评标</w:t>
      </w:r>
      <w:r>
        <w:rPr>
          <w:rFonts w:ascii="宋体" w:hAnsi="宋体" w:eastAsia="宋体" w:cs="宋体"/>
          <w:color w:val="auto"/>
          <w:sz w:val="24"/>
          <w:szCs w:val="24"/>
        </w:rPr>
        <w:t xml:space="preserve">标准中的</w:t>
      </w:r>
      <w:r>
        <w:rPr>
          <w:rFonts w:hint="eastAsia" w:ascii="宋体" w:hAnsi="宋体" w:cs="宋体"/>
          <w:color w:val="auto"/>
          <w:sz w:val="24"/>
          <w:szCs w:val="24"/>
        </w:rPr>
        <w:t xml:space="preserve">实施方案</w:t>
      </w:r>
      <w:r>
        <w:rPr>
          <w:rFonts w:ascii="宋体" w:hAnsi="宋体" w:eastAsia="宋体" w:cs="宋体"/>
          <w:color w:val="auto"/>
          <w:sz w:val="24"/>
          <w:szCs w:val="24"/>
        </w:rPr>
        <w:t xml:space="preserve">进行细化</w:t>
      </w:r>
      <w:r>
        <w:rPr>
          <w:rFonts w:hint="eastAsia" w:ascii="宋体" w:hAnsi="宋体" w:cs="宋体"/>
          <w:color w:val="auto"/>
          <w:sz w:val="24"/>
          <w:szCs w:val="24"/>
        </w:rPr>
        <w:t xml:space="preserve">,</w:t>
      </w:r>
      <w:r>
        <w:rPr>
          <w:rFonts w:hint="eastAsia" w:ascii="宋体" w:hAnsi="宋体" w:cs="宋体"/>
          <w:color w:val="000000" w:themeColor="text1"/>
          <w:sz w:val="24"/>
          <w:szCs w:val="24"/>
          <w14:textFill>
            <w14:solidFill>
              <w14:schemeClr w14:val="tx1"/>
            </w14:solidFill>
          </w14:textFill>
        </w:rPr>
        <w:t xml:space="preserve">该方案中包括但不限于本项目可实现的目标和性能指标、设备清单（设备名称、主要配置参数、台套数、部署地点等）、场地要求及其准备、供电接口需求和相关改造工作，散热和其他环境需求、设备布局、布线方案、设备部署配置、与用户现有计算机、网络、存储系统的互联、项目管理和推进措施等内容，方案中应含进度计划、项目组组成和联系方式等。过程中涉及的重大方案确定以及投标产品的任何变更，需通过采购人组织的信息化专家组织论证，所涉及专家咨询费用，需综合考虑在投标报价中，不另行结算。</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（3）售后服务要求</w:t>
      </w:r>
      <w:r/>
    </w:p>
    <w:p>
      <w:pPr>
        <w:ind w:firstLine="480"/>
        <w:spacing w:line="264" w:lineRule="auto"/>
      </w:pPr>
      <w:r>
        <w:rPr>
          <w:rFonts w:hint="eastAsia" w:ascii="宋体" w:hAnsi="宋体" w:cs="宋体"/>
          <w:sz w:val="24"/>
          <w:szCs w:val="24"/>
        </w:rPr>
        <w:t xml:space="preserve">供应商中标后应提供</w:t>
      </w:r>
      <w:r>
        <w:rPr>
          <w:rFonts w:ascii="宋体" w:hAnsi="宋体" w:cs="宋体"/>
          <w:sz w:val="24"/>
          <w:szCs w:val="24"/>
        </w:rPr>
        <w:t xml:space="preserve">完善的售后服务体系，确保系统长期稳定运行。需提供</w:t>
      </w:r>
      <w:r>
        <w:rPr>
          <w:rFonts w:hint="eastAsia" w:ascii="宋体" w:hAnsi="宋体" w:cs="宋体"/>
          <w:sz w:val="24"/>
          <w:szCs w:val="24"/>
        </w:rPr>
        <w:t xml:space="preserve">5</w:t>
      </w:r>
      <w:r>
        <w:rPr>
          <w:rFonts w:ascii="宋体" w:hAnsi="宋体" w:cs="宋体"/>
          <w:sz w:val="24"/>
          <w:szCs w:val="24"/>
        </w:rPr>
        <w:t xml:space="preserve">年</w:t>
      </w:r>
      <w:r>
        <w:rPr>
          <w:rFonts w:hint="eastAsia" w:ascii="宋体" w:hAnsi="宋体" w:cs="宋体"/>
          <w:sz w:val="24"/>
          <w:szCs w:val="24"/>
        </w:rPr>
        <w:t xml:space="preserve">7x24</w:t>
      </w:r>
      <w:r>
        <w:rPr>
          <w:rFonts w:ascii="宋体" w:hAnsi="宋体" w:cs="宋体"/>
          <w:sz w:val="24"/>
          <w:szCs w:val="24"/>
        </w:rPr>
        <w:t xml:space="preserve">的质保及运维服务，服务期内提供7×24小时技术支持</w:t>
      </w:r>
      <w:r>
        <w:rPr>
          <w:rFonts w:hint="eastAsia" w:ascii="宋体" w:hAnsi="宋体" w:cs="宋体"/>
          <w:color w:val="auto"/>
          <w:sz w:val="24"/>
          <w:szCs w:val="24"/>
          <w:lang w:eastAsia="zh-CN"/>
        </w:rPr>
        <w:t xml:space="preserve">，</w:t>
      </w:r>
      <w:r>
        <w:rPr>
          <w:rFonts w:hint="eastAsia" w:ascii="宋体" w:hAnsi="宋体" w:cs="Courier New"/>
          <w:color w:val="auto"/>
          <w:sz w:val="24"/>
          <w:szCs w:val="24"/>
        </w:rPr>
        <w:t xml:space="preserve">建立故障分级响应机制：Ⅰ 级（重大紧急故障）：设备整体瘫痪、停机、完全无法运行；报修后 30 分钟内技术人员电话接通响应，</w:t>
      </w:r>
      <w:r>
        <w:rPr>
          <w:rFonts w:hint="eastAsia" w:ascii="宋体" w:hAnsi="宋体" w:cs="Courier New"/>
          <w:color w:val="auto"/>
          <w:sz w:val="24"/>
          <w:szCs w:val="24"/>
          <w:lang w:val="en-US" w:eastAsia="zh-CN"/>
        </w:rPr>
        <w:t xml:space="preserve">2</w:t>
      </w:r>
      <w:r>
        <w:rPr>
          <w:rFonts w:hint="eastAsia" w:ascii="宋体" w:hAnsi="宋体" w:cs="Courier New"/>
          <w:color w:val="auto"/>
          <w:sz w:val="24"/>
          <w:szCs w:val="24"/>
        </w:rPr>
        <w:t xml:space="preserve">小时</w:t>
      </w:r>
      <w:r>
        <w:rPr>
          <w:rFonts w:hint="eastAsia" w:ascii="宋体" w:hAnsi="宋体" w:cs="Courier New"/>
          <w:color w:val="auto"/>
          <w:sz w:val="24"/>
          <w:szCs w:val="24"/>
          <w:lang w:val="en-US" w:eastAsia="zh-CN"/>
        </w:rPr>
        <w:t xml:space="preserve">内</w:t>
      </w:r>
      <w:r>
        <w:rPr>
          <w:rFonts w:hint="eastAsia" w:ascii="宋体" w:hAnsi="宋体" w:cs="Courier New"/>
          <w:color w:val="auto"/>
          <w:sz w:val="24"/>
          <w:szCs w:val="24"/>
        </w:rPr>
        <w:t xml:space="preserve">工程师抵达现场；Ⅱ 级（一般严重故障）：部分功能失效、设备性能异常；报修后 60 分钟响应，4 小时抵达项目现场；Ⅲ 级（轻微故障、操作咨询、配件调试）：120 分钟内远程响应，按需预约上门；跨区域外地供应商可委托南京本地售后服务站点承接现场上门服务，不得以外地驻地为由拖延现场处置</w:t>
      </w:r>
      <w:r>
        <w:rPr>
          <w:rFonts w:ascii="宋体" w:hAnsi="宋体" w:cs="宋体"/>
          <w:color w:val="auto"/>
          <w:sz w:val="24"/>
          <w:szCs w:val="24"/>
        </w:rPr>
        <w:t xml:space="preserve">。</w:t>
      </w:r>
      <w:r>
        <w:rPr>
          <w:rFonts w:ascii="宋体" w:hAnsi="宋体" w:cs="宋体"/>
          <w:sz w:val="24"/>
          <w:szCs w:val="24"/>
        </w:rPr>
        <w:t xml:space="preserve">应提供软件版本升级、补丁更新及缺陷修复服务，保障系统持续安全稳定。应定期提供系统健康检查、运行分析及优化建议报告，并配合招标人开展运维管理与应急演练工作。</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（4）验收要求</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验收方法</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满足的国家标准、行业标准、地方标准或者其他现行标准、规范要求；采购人为确保系统和设备质量，中标供应商要根据医院的要求进行检测验收，其中涉及到双活架构的验证</w:t>
      </w:r>
      <w:r>
        <w:rPr>
          <w:rFonts w:ascii="宋体" w:hAnsi="宋体" w:cs="宋体"/>
          <w:sz w:val="24"/>
          <w:szCs w:val="24"/>
        </w:rPr>
        <w:t xml:space="preserve">【</w:t>
      </w:r>
      <w:r>
        <w:rPr>
          <w:rFonts w:hint="eastAsia" w:ascii="宋体" w:hAnsi="宋体" w:cs="宋体"/>
          <w:color w:val="000000" w:themeColor="text1"/>
          <w:sz w:val="24"/>
          <w:szCs w:val="24"/>
          <w14:textFill>
            <w14:solidFill>
              <w14:schemeClr w14:val="tx1"/>
            </w14:solidFill>
          </w14:textFill>
        </w:rPr>
        <w:t xml:space="preserve">包括：单台服务器断电测试（1台）、单机房超融合断电测试（4台）、集群整体断电测试（8台）等</w:t>
      </w:r>
      <w:r>
        <w:rPr>
          <w:rFonts w:ascii="宋体" w:hAnsi="宋体" w:cs="宋体"/>
          <w:sz w:val="24"/>
          <w:szCs w:val="24"/>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②</w:t>
      </w:r>
      <w:r>
        <w:rPr>
          <w:rFonts w:hint="eastAsia" w:ascii="宋体" w:hAnsi="宋体" w:cs="宋体"/>
          <w:color w:val="000000" w:themeColor="text1"/>
          <w:sz w:val="24"/>
          <w:szCs w:val="24"/>
          <w14:textFill>
            <w14:solidFill>
              <w14:schemeClr w14:val="tx1"/>
            </w14:solidFill>
          </w14:textFill>
        </w:rPr>
        <w:t xml:space="preserve">验收文件</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竣工文件至少包括以下资料：竣工验收申请、竣工图纸、系统测试报告、系统试运行报告、系统施工过程文件、系统变更文件、培训记录、用户使用意见、设备移交清单、设备资料移交清单等详细的技术资料、院方要求的其他资料。</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 xml:space="preserve">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核心功能验收指标</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关闭任意一台超融合服务器，而不影响医院整个数据中心的相关业务系统。</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针对超融合的主机或虚拟机故障进行演练，确保数据的时效性和一致性。</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（5</w:t>
      </w:r>
      <w:r>
        <w:rPr>
          <w:rFonts w:hint="eastAsia" w:ascii="宋体" w:hAnsi="宋体" w:cs="宋体"/>
          <w:sz w:val="24"/>
          <w:szCs w:val="24"/>
        </w:rPr>
        <w:t xml:space="preserve">）培训要求：</w:t>
      </w:r>
      <w:r/>
    </w:p>
    <w:p>
      <w:pPr>
        <w:ind w:firstLine="480"/>
        <w:spacing w:line="264" w:lineRule="auto"/>
        <w:rPr>
          <w:rFonts w:ascii="宋体" w:hAnsi="宋体" w:cs="宋体"/>
          <w:sz w:val="24"/>
          <w:szCs w:val="24"/>
        </w:rPr>
      </w:pPr>
      <w:r>
        <w:rPr>
          <w:rFonts w:hint="eastAsia" w:ascii="宋体" w:hAnsi="宋体" w:cs="宋体"/>
          <w:sz w:val="24"/>
          <w:szCs w:val="24"/>
        </w:rPr>
        <w:t xml:space="preserve">中标供应商在保修期服务工作过程中，根据用户需要，提供与系统使用、管理、运维等有关的培训</w:t>
      </w:r>
      <w:r>
        <w:rPr>
          <w:rFonts w:hint="eastAsia" w:ascii="宋体" w:hAnsi="宋体" w:cs="宋体"/>
          <w:sz w:val="24"/>
          <w:szCs w:val="24"/>
          <w:lang w:eastAsia="zh-CN"/>
        </w:rPr>
        <w:t xml:space="preserve">，具体要求如下：</w:t>
      </w:r>
      <w:r/>
    </w:p>
    <w:p>
      <w:pPr>
        <w:ind w:firstLine="480"/>
        <w:spacing w:line="264" w:lineRule="auto"/>
        <w:rPr>
          <w:rFonts w:ascii="宋体" w:hAnsi="宋体" w:cs="宋体"/>
          <w:sz w:val="24"/>
          <w:szCs w:val="24"/>
        </w:rPr>
      </w:pPr>
      <w:r>
        <w:rPr>
          <w:rFonts w:hint="eastAsia" w:ascii="宋体" w:hAnsi="宋体" w:cs="宋体"/>
          <w:sz w:val="24"/>
          <w:szCs w:val="24"/>
        </w:rPr>
        <w:t xml:space="preserve">①</w:t>
      </w:r>
      <w:r>
        <w:rPr>
          <w:rStyle w:val="895"/>
          <w:rFonts w:hint="eastAsia"/>
          <w:sz w:val="24"/>
          <w:szCs w:val="24"/>
        </w:rPr>
        <w:t xml:space="preserve">中标供应商</w:t>
      </w:r>
      <w:r>
        <w:rPr>
          <w:rFonts w:hint="eastAsia" w:ascii="宋体" w:hAnsi="宋体" w:cs="宋体"/>
          <w:sz w:val="24"/>
          <w:szCs w:val="24"/>
        </w:rPr>
        <w:t xml:space="preserve">应提供不少于4次的现场培训服务，培训内容、培训地点及培训时间由采购人指定。</w:t>
      </w:r>
      <w:r/>
    </w:p>
    <w:p>
      <w:pPr>
        <w:ind w:firstLine="480"/>
        <w:spacing w:line="264" w:lineRule="auto"/>
        <w:rPr>
          <w:rFonts w:ascii="宋体" w:hAnsi="宋体" w:cs="宋体"/>
          <w:sz w:val="24"/>
          <w:szCs w:val="24"/>
        </w:rPr>
      </w:pPr>
      <w:r>
        <w:rPr>
          <w:rFonts w:hint="eastAsia" w:ascii="宋体" w:hAnsi="宋体" w:cs="宋体"/>
          <w:sz w:val="24"/>
          <w:szCs w:val="24"/>
        </w:rPr>
        <w:t xml:space="preserve">②中标供应商应保证提供有经验的培训讲师，使南京市江宁医院相关人员在培训后能够独立地对本项目中设备和平台进行管理、使用、维护，而不需中标人的人员在场指导。</w:t>
      </w:r>
      <w:r/>
    </w:p>
    <w:p>
      <w:pPr>
        <w:ind w:firstLine="480"/>
        <w:spacing w:line="264" w:lineRule="auto"/>
        <w:rPr>
          <w:rFonts w:ascii="宋体" w:hAnsi="宋体" w:cs="宋体"/>
          <w:sz w:val="24"/>
          <w:szCs w:val="24"/>
        </w:rPr>
      </w:pPr>
      <w:r>
        <w:rPr>
          <w:rFonts w:hint="eastAsia" w:ascii="宋体" w:hAnsi="宋体" w:cs="宋体"/>
          <w:sz w:val="24"/>
          <w:szCs w:val="24"/>
        </w:rPr>
        <w:t xml:space="preserve">③培训内容应包括所提供产品的性能、使用、维护等各个方面。</w:t>
      </w:r>
      <w:r/>
    </w:p>
    <w:p>
      <w:pPr>
        <w:ind w:firstLine="480"/>
        <w:spacing w:line="264" w:lineRule="auto"/>
        <w:rPr>
          <w:rFonts w:ascii="宋体" w:hAnsi="宋体" w:cs="宋体"/>
          <w:sz w:val="24"/>
          <w:szCs w:val="24"/>
        </w:rPr>
      </w:pPr>
      <w:r>
        <w:rPr>
          <w:rFonts w:hint="eastAsia" w:ascii="宋体" w:hAnsi="宋体" w:cs="宋体"/>
          <w:sz w:val="24"/>
          <w:szCs w:val="24"/>
        </w:rPr>
        <w:t xml:space="preserve">④培训教材应使用标准中文。</w:t>
      </w:r>
      <w:r/>
    </w:p>
    <w:p>
      <w:pPr>
        <w:ind w:firstLine="480"/>
        <w:spacing w:line="264" w:lineRule="auto"/>
        <w:rPr>
          <w:rFonts w:ascii="宋体" w:hAnsi="宋体" w:cs="宋体"/>
          <w:sz w:val="24"/>
          <w:szCs w:val="24"/>
        </w:rPr>
      </w:pPr>
      <w:r>
        <w:rPr>
          <w:rFonts w:hint="eastAsia" w:ascii="宋体" w:hAnsi="宋体" w:cs="宋体"/>
          <w:sz w:val="24"/>
          <w:szCs w:val="24"/>
        </w:rPr>
        <w:t xml:space="preserve">⑤中标供应商负责培训相关的所有费用。</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（6</w:t>
      </w:r>
      <w:r>
        <w:rPr>
          <w:rFonts w:hint="eastAsia" w:ascii="宋体" w:hAnsi="宋体" w:cs="宋体"/>
          <w:sz w:val="24"/>
          <w:szCs w:val="24"/>
        </w:rPr>
        <w:t xml:space="preserve">）总体技术方案要求：</w:t>
      </w:r>
      <w:r/>
    </w:p>
    <w:p>
      <w:pPr>
        <w:ind w:firstLine="480"/>
        <w:spacing w:line="264" w:lineRule="auto"/>
      </w:pPr>
      <w:r>
        <w:rPr>
          <w:rFonts w:hint="eastAsia" w:ascii="宋体" w:hAnsi="宋体" w:cs="宋体"/>
          <w:sz w:val="24"/>
          <w:szCs w:val="24"/>
        </w:rPr>
        <w:t xml:space="preserve">供应商中标后应提供</w:t>
      </w:r>
      <w:r>
        <w:rPr>
          <w:rFonts w:ascii="宋体" w:hAnsi="宋体" w:cs="宋体"/>
          <w:sz w:val="24"/>
          <w:szCs w:val="24"/>
        </w:rPr>
        <w:t xml:space="preserve">完整可行的总体技术方案，基于项目现有IT环境进行统一规划与设计，确保</w:t>
      </w:r>
      <w:r>
        <w:rPr>
          <w:rFonts w:hint="eastAsia" w:ascii="宋体" w:hAnsi="宋体" w:cs="宋体"/>
          <w:sz w:val="24"/>
          <w:szCs w:val="24"/>
        </w:rPr>
        <w:t xml:space="preserve">超融合</w:t>
      </w:r>
      <w:r>
        <w:rPr>
          <w:rFonts w:ascii="宋体" w:hAnsi="宋体" w:cs="宋体"/>
          <w:sz w:val="24"/>
          <w:szCs w:val="24"/>
        </w:rPr>
        <w:t xml:space="preserve">整体架构合理、稳定可靠。方案应明确系统架构设计、</w:t>
      </w:r>
      <w:r>
        <w:rPr>
          <w:rFonts w:hint="eastAsia" w:ascii="宋体" w:hAnsi="宋体" w:cs="宋体"/>
          <w:sz w:val="24"/>
          <w:szCs w:val="24"/>
        </w:rPr>
        <w:t xml:space="preserve">故障转移</w:t>
      </w:r>
      <w:r>
        <w:rPr>
          <w:rFonts w:ascii="宋体" w:hAnsi="宋体" w:cs="宋体"/>
          <w:sz w:val="24"/>
          <w:szCs w:val="24"/>
        </w:rPr>
        <w:t xml:space="preserve">机制、网络与资源配置、部署方式及扩展能力，并满足高可用与可维护性要求。应充分考虑与现有</w:t>
      </w:r>
      <w:r>
        <w:rPr>
          <w:rFonts w:hint="eastAsia" w:ascii="宋体" w:hAnsi="宋体" w:cs="宋体"/>
          <w:sz w:val="24"/>
          <w:szCs w:val="24"/>
        </w:rPr>
        <w:t xml:space="preserve">虚拟化、</w:t>
      </w:r>
      <w:r>
        <w:rPr>
          <w:rFonts w:ascii="宋体" w:hAnsi="宋体" w:cs="宋体"/>
          <w:sz w:val="24"/>
          <w:szCs w:val="24"/>
        </w:rPr>
        <w:t xml:space="preserve">操作系统及网络环境的兼容性，保证系统无缝集成与平滑迁移。同时需提供性能评估与容量规划依据，说明系统在不同业务负载下的处理能力及优化措施。方案还应包含安全设计、容灾设计及运维管理设计，确保系统长期稳定运行并具备良好的扩展性与可持续性。</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14天内到货，90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66" w:name="OLE_LINK1"/>
      <w:r>
        <w:rPr>
          <w:rFonts w:hint="eastAsia" w:ascii="宋体" w:hAnsi="宋体" w:cs="宋体"/>
          <w:bCs/>
          <w:sz w:val="24"/>
          <w:szCs w:val="24"/>
        </w:rPr>
        <w:t xml:space="preserve">6.其他要求</w:t>
      </w:r>
      <w:bookmarkEnd w:id="66"/>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（三）</w:t>
      </w:r>
      <w:r>
        <w:rPr>
          <w:rFonts w:hint="eastAsia" w:ascii="宋体" w:hAnsi="宋体" w:cs="宋体"/>
          <w:bCs/>
          <w:sz w:val="24"/>
          <w:szCs w:val="24"/>
        </w:rPr>
        <w:t xml:space="preserve">演示要求</w:t>
      </w:r>
      <w:r/>
    </w:p>
    <w:p>
      <w:pPr>
        <w:ind w:firstLine="480"/>
        <w:spacing w:line="288" w:lineRule="auto"/>
        <w:rPr>
          <w:rFonts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）。文件上传方式见苏采云系统操作指南，上传的演示视频将作为投标文件的组成部分。视频时长总计不超过15分钟。</w:t>
      </w:r>
      <w:r/>
    </w:p>
    <w:p>
      <w:pPr>
        <w:ind w:firstLine="480"/>
        <w:spacing w:line="288" w:lineRule="auto"/>
        <w:rPr>
          <w:rFonts w:ascii="宋体" w:hAnsi="宋体"/>
          <w:sz w:val="24"/>
          <w:szCs w:val="24"/>
        </w:rPr>
      </w:pPr>
      <w:r>
        <w:rPr>
          <w:rFonts w:hint="eastAsia" w:ascii="宋体" w:hAnsi="宋体"/>
          <w:sz w:val="24"/>
          <w:szCs w:val="24"/>
        </w:rPr>
        <w:t xml:space="preserve">2.演示内容详见“第五章  评标方法与评标标准”。</w:t>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w:t>
      </w:r>
      <w:r>
        <w:rPr>
          <w:rFonts w:hint="eastAsia" w:ascii="宋体" w:hAnsi="宋体" w:cs="宋体"/>
          <w:sz w:val="24"/>
          <w:szCs w:val="24"/>
          <w:lang w:val="zh-CN"/>
        </w:rPr>
        <w:t xml:space="preserve">给予15%的</w:t>
      </w:r>
      <w:r>
        <w:rPr>
          <w:rFonts w:hint="eastAsia" w:ascii="宋体" w:hAnsi="宋体" w:cs="宋体"/>
          <w:sz w:val="24"/>
          <w:szCs w:val="24"/>
        </w:rPr>
        <w:t xml:space="preserve">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88"/>
        <w:ind w:left="0" w:firstLine="480"/>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四、评标标准</w:t>
      </w:r>
      <w:r/>
    </w:p>
    <w:tbl>
      <w:tblPr>
        <w:tblStyle w:val="85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23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p>
            <w:pPr>
              <w:pStyle w:val="888"/>
              <w:ind w:left="0" w:firstLine="0"/>
              <w:jc w:val="left"/>
            </w:pPr>
            <w:r>
              <w:rPr>
                <w:rFonts w:hint="eastAsia" w:ascii="宋体" w:hAnsi="宋体" w:eastAsia="宋体" w:cs="宋体"/>
                <w:sz w:val="21"/>
                <w:szCs w:val="21"/>
                <w:lang w:val="en-US" w:eastAsia="zh-CN" w:bidi="ar-SA"/>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w:t>
            </w:r>
            <w:r>
              <w:rPr>
                <w:rFonts w:hint="eastAsia" w:ascii="宋体" w:hAnsi="宋体" w:cs="宋体"/>
                <w:color w:val="auto"/>
                <w:szCs w:val="21"/>
              </w:rPr>
              <w:t xml:space="preserve">打▲指标为重要指标，有1项负偏离扣</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分，其余指标有1项负偏离扣</w:t>
            </w:r>
            <w:r>
              <w:rPr>
                <w:rFonts w:hint="eastAsia" w:ascii="宋体" w:hAnsi="宋体" w:cs="宋体"/>
                <w:color w:val="auto"/>
                <w:szCs w:val="21"/>
                <w:lang w:val="en-US" w:eastAsia="zh-CN"/>
              </w:rPr>
              <w:t xml:space="preserve">0.5</w:t>
            </w:r>
            <w:r>
              <w:rPr>
                <w:rFonts w:hint="eastAsia" w:ascii="宋体" w:hAnsi="宋体" w:cs="宋体"/>
                <w:color w:val="auto"/>
                <w:szCs w:val="21"/>
              </w:rPr>
              <w:t xml:space="preserve">分，最低得0分。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视频演示</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评委根据投标人提供的超融合服务器演示视频（总演示时间不超过15分钟）综合评分。演示视频包括以下内容：</w:t>
            </w:r>
            <w:r/>
          </w:p>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（1）文件存储功能：</w:t>
            </w:r>
            <w:r>
              <w:rPr>
                <w:rFonts w:ascii="宋体" w:hAnsi="宋体" w:cs="宋体"/>
                <w:color w:val="000000" w:themeColor="text1"/>
                <w:szCs w:val="21"/>
                <w14:textFill>
                  <w14:solidFill>
                    <w14:schemeClr w14:val="tx1"/>
                  </w14:solidFill>
                </w14:textFill>
              </w:rPr>
              <w:t xml:space="preserve">超融合平台内支持HDFS/NFS存储协议提供，非外部产品或工具提供，并支持在线编辑文件系统容量实现动态扩容</w:t>
            </w:r>
            <w:r>
              <w:rPr>
                <w:rFonts w:hint="eastAsia" w:ascii="宋体" w:hAnsi="宋体" w:cs="宋体"/>
                <w:color w:val="000000" w:themeColor="text1"/>
                <w:szCs w:val="21"/>
                <w14:textFill>
                  <w14:solidFill>
                    <w14:schemeClr w14:val="tx1"/>
                  </w14:solidFill>
                </w14:textFill>
              </w:rPr>
              <w:t xml:space="preserve">。采用真实系统成功演示的完全满足得3分</w:t>
            </w:r>
            <w:r>
              <w:rPr>
                <w:rStyle w:val="895"/>
                <w:rFonts w:hint="eastAsia" w:ascii="宋体" w:hAnsi="宋体" w:cs="宋体"/>
                <w:color w:val="000000" w:themeColor="text1"/>
                <w14:textFill>
                  <w14:solidFill>
                    <w14:schemeClr w14:val="tx1"/>
                  </w14:solidFill>
                </w14:textFill>
              </w:rPr>
              <w:t xml:space="preserve">，不满足得0分</w:t>
            </w:r>
            <w:r>
              <w:rPr>
                <w:rFonts w:hint="eastAsia" w:ascii="宋体" w:hAnsi="宋体" w:cs="宋体"/>
                <w:color w:val="000000" w:themeColor="text1"/>
                <w:szCs w:val="21"/>
                <w14:textFill>
                  <w14:solidFill>
                    <w14:schemeClr w14:val="tx1"/>
                  </w14:solidFill>
                </w14:textFill>
              </w:rPr>
              <w:t xml:space="preserve">。</w:t>
            </w:r>
            <w:r/>
          </w:p>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（2）巡检功能：</w:t>
            </w:r>
            <w:r>
              <w:rPr>
                <w:rFonts w:ascii="宋体" w:hAnsi="宋体" w:cs="宋体"/>
                <w:color w:val="000000" w:themeColor="text1"/>
                <w:szCs w:val="21"/>
                <w14:textFill>
                  <w14:solidFill>
                    <w14:schemeClr w14:val="tx1"/>
                  </w14:solidFill>
                </w14:textFill>
              </w:rPr>
              <w:t xml:space="preserve">超融合管理界面支持巡检功能，非命令行或第三方工具提供，并可按月份为维度统计巡检记录次数，点击其记录，可追溯历史巡检记录详情，并支持导出成文档，文档支持信息脱敏功能，打码IP地址前三段</w:t>
            </w:r>
            <w:r>
              <w:rPr>
                <w:rFonts w:hint="eastAsia" w:ascii="宋体" w:hAnsi="宋体" w:cs="宋体"/>
                <w:color w:val="000000" w:themeColor="text1"/>
                <w:szCs w:val="21"/>
                <w14:textFill>
                  <w14:solidFill>
                    <w14:schemeClr w14:val="tx1"/>
                  </w14:solidFill>
                </w14:textFill>
              </w:rPr>
              <w:t xml:space="preserve">。采用真实系统成功演示的完全满足得3分</w:t>
            </w:r>
            <w:r>
              <w:rPr>
                <w:rStyle w:val="895"/>
                <w:rFonts w:hint="eastAsia" w:ascii="宋体" w:hAnsi="宋体" w:cs="宋体"/>
                <w:color w:val="000000" w:themeColor="text1"/>
                <w14:textFill>
                  <w14:solidFill>
                    <w14:schemeClr w14:val="tx1"/>
                  </w14:solidFill>
                </w14:textFill>
              </w:rPr>
              <w:t xml:space="preserve">，不满足得0分</w:t>
            </w:r>
            <w:r>
              <w:rPr>
                <w:rFonts w:hint="eastAsia" w:ascii="宋体" w:hAnsi="宋体" w:cs="宋体"/>
                <w:color w:val="000000" w:themeColor="text1"/>
                <w:szCs w:val="21"/>
                <w14:textFill>
                  <w14:solidFill>
                    <w14:schemeClr w14:val="tx1"/>
                  </w14:solidFill>
                </w14:textFill>
              </w:rPr>
              <w:t xml:space="preserve">。</w:t>
            </w:r>
            <w:r/>
          </w:p>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）隔离功能：</w:t>
            </w:r>
            <w:r>
              <w:rPr>
                <w:rFonts w:ascii="宋体" w:hAnsi="宋体" w:cs="宋体"/>
                <w:color w:val="000000" w:themeColor="text1"/>
                <w:szCs w:val="21"/>
                <w14:textFill>
                  <w14:solidFill>
                    <w14:schemeClr w14:val="tx1"/>
                  </w14:solidFill>
                </w14:textFill>
              </w:rPr>
              <w:t xml:space="preserve">超融合平台内支持</w:t>
            </w:r>
            <w:r>
              <w:rPr>
                <w:rFonts w:hint="eastAsia" w:ascii="宋体" w:hAnsi="宋体" w:cs="宋体"/>
                <w:color w:val="000000" w:themeColor="text1"/>
                <w:szCs w:val="21"/>
                <w14:textFill>
                  <w14:solidFill>
                    <w14:schemeClr w14:val="tx1"/>
                  </w14:solidFill>
                </w14:textFill>
              </w:rPr>
              <w:t xml:space="preserve">一键</w:t>
            </w:r>
            <w:r>
              <w:rPr>
                <w:rFonts w:ascii="宋体" w:hAnsi="宋体" w:cs="宋体"/>
                <w:color w:val="000000" w:themeColor="text1"/>
                <w:szCs w:val="21"/>
                <w14:textFill>
                  <w14:solidFill>
                    <w14:schemeClr w14:val="tx1"/>
                  </w14:solidFill>
                </w14:textFill>
              </w:rPr>
              <w:t xml:space="preserve">隔离虚拟机，</w:t>
            </w:r>
            <w:r>
              <w:rPr>
                <w:rFonts w:hint="eastAsia" w:ascii="宋体" w:hAnsi="宋体" w:cs="宋体"/>
                <w:color w:val="000000" w:themeColor="text1"/>
                <w:szCs w:val="21"/>
                <w14:textFill>
                  <w14:solidFill>
                    <w14:schemeClr w14:val="tx1"/>
                  </w14:solidFill>
                </w14:textFill>
              </w:rPr>
              <w:t xml:space="preserve">发现虚拟机异常后可快速一键隔离，</w:t>
            </w:r>
            <w:r>
              <w:rPr>
                <w:rFonts w:ascii="宋体" w:hAnsi="宋体" w:cs="宋体"/>
                <w:color w:val="000000" w:themeColor="text1"/>
                <w:szCs w:val="21"/>
                <w14:textFill>
                  <w14:solidFill>
                    <w14:schemeClr w14:val="tx1"/>
                  </w14:solidFill>
                </w14:textFill>
              </w:rPr>
              <w:t xml:space="preserve">隔离后虚拟机将拒绝所有出入流量，仅允许白名单与虚拟机连通</w:t>
            </w:r>
            <w:r>
              <w:rPr>
                <w:rFonts w:hint="eastAsia" w:ascii="宋体" w:hAnsi="宋体" w:cs="宋体"/>
                <w:color w:val="000000" w:themeColor="text1"/>
                <w:szCs w:val="21"/>
                <w14:textFill>
                  <w14:solidFill>
                    <w14:schemeClr w14:val="tx1"/>
                  </w14:solidFill>
                </w14:textFill>
              </w:rPr>
              <w:t xml:space="preserve">，方便后续进行排查。采用真实系统成功演示的完全满足得3分</w:t>
            </w:r>
            <w:r>
              <w:rPr>
                <w:rStyle w:val="895"/>
                <w:rFonts w:hint="eastAsia" w:ascii="宋体" w:hAnsi="宋体" w:cs="宋体"/>
                <w:color w:val="000000" w:themeColor="text1"/>
                <w14:textFill>
                  <w14:solidFill>
                    <w14:schemeClr w14:val="tx1"/>
                  </w14:solidFill>
                </w14:textFill>
              </w:rPr>
              <w:t xml:space="preserve">，不满足得0分</w:t>
            </w:r>
            <w:r>
              <w:rPr>
                <w:rFonts w:hint="eastAsia" w:ascii="宋体" w:hAnsi="宋体" w:cs="宋体"/>
                <w:color w:val="000000" w:themeColor="text1"/>
                <w:szCs w:val="21"/>
                <w14:textFill>
                  <w14:solidFill>
                    <w14:schemeClr w14:val="tx1"/>
                  </w14:solidFill>
                </w14:textFill>
              </w:rPr>
              <w:t xml:space="preserve">。</w:t>
            </w:r>
            <w:r/>
          </w:p>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（4）同步复制功能：</w:t>
            </w:r>
            <w:r>
              <w:rPr>
                <w:rFonts w:ascii="宋体" w:hAnsi="宋体" w:cs="宋体"/>
                <w:color w:val="000000" w:themeColor="text1"/>
                <w:szCs w:val="21"/>
                <w14:textFill>
                  <w14:solidFill>
                    <w14:schemeClr w14:val="tx1"/>
                  </w14:solidFill>
                </w14:textFill>
              </w:rPr>
              <w:t xml:space="preserve">超融合平台内支持创建</w:t>
            </w:r>
            <w:r>
              <w:rPr>
                <w:rFonts w:hint="eastAsia" w:ascii="宋体" w:hAnsi="宋体" w:cs="宋体"/>
                <w:color w:val="000000" w:themeColor="text1"/>
                <w:szCs w:val="21"/>
                <w14:textFill>
                  <w14:solidFill>
                    <w14:schemeClr w14:val="tx1"/>
                  </w14:solidFill>
                </w14:textFill>
              </w:rPr>
              <w:t xml:space="preserve">无代理</w:t>
            </w:r>
            <w:r>
              <w:rPr>
                <w:rFonts w:ascii="宋体" w:hAnsi="宋体" w:cs="宋体"/>
                <w:color w:val="000000" w:themeColor="text1"/>
                <w:szCs w:val="21"/>
                <w14:textFill>
                  <w14:solidFill>
                    <w14:schemeClr w14:val="tx1"/>
                  </w14:solidFill>
                </w14:textFill>
              </w:rPr>
              <w:t xml:space="preserve">同步复制计划，非外部产品或工具提供，以虚拟机为颗粒度在本站内或跨站点进行同步复制，在数据同步过程或应对异常状态时，复制对象会自动生成恢复点。在复制对象进入已同步状态后，可按照手动设定的周期，自动生成恢复点</w:t>
            </w:r>
            <w:r>
              <w:rPr>
                <w:rFonts w:hint="eastAsia" w:ascii="宋体" w:hAnsi="宋体" w:cs="宋体"/>
                <w:color w:val="000000" w:themeColor="text1"/>
                <w:szCs w:val="21"/>
                <w14:textFill>
                  <w14:solidFill>
                    <w14:schemeClr w14:val="tx1"/>
                  </w14:solidFill>
                </w14:textFill>
              </w:rPr>
              <w:t xml:space="preserve">。采用真实系统成功演示的完全满足得3分</w:t>
            </w:r>
            <w:r>
              <w:rPr>
                <w:rStyle w:val="895"/>
                <w:rFonts w:hint="eastAsia" w:ascii="宋体" w:hAnsi="宋体" w:cs="宋体"/>
                <w:color w:val="000000" w:themeColor="text1"/>
                <w14:textFill>
                  <w14:solidFill>
                    <w14:schemeClr w14:val="tx1"/>
                  </w14:solidFill>
                </w14:textFill>
              </w:rPr>
              <w:t xml:space="preserve">，不满足得0分</w:t>
            </w:r>
            <w:r>
              <w:rPr>
                <w:rFonts w:hint="eastAsia" w:ascii="宋体" w:hAnsi="宋体" w:cs="宋体"/>
                <w:color w:val="000000" w:themeColor="text1"/>
                <w:szCs w:val="21"/>
                <w14:textFill>
                  <w14:solidFill>
                    <w14:schemeClr w14:val="tx1"/>
                  </w14:solidFill>
                </w14:textFill>
              </w:rPr>
              <w:t xml:space="preserve">。</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（5）容器管理功能：</w:t>
            </w:r>
            <w:r>
              <w:rPr>
                <w:rFonts w:ascii="宋体" w:hAnsi="宋体" w:cs="宋体"/>
                <w:color w:val="000000" w:themeColor="text1"/>
                <w:szCs w:val="21"/>
                <w14:textFill>
                  <w14:solidFill>
                    <w14:schemeClr w14:val="tx1"/>
                  </w14:solidFill>
                </w14:textFill>
              </w:rPr>
              <w:t xml:space="preserve">超融合管理界面支持对容器化部署的业务进行安全策略设置，非外部产品或工具提供，可按需对业务pod设置安全组，并按照白名单的方式来设定入流量和出流量</w:t>
            </w:r>
            <w:r>
              <w:rPr>
                <w:rFonts w:hint="eastAsia" w:ascii="宋体" w:hAnsi="宋体" w:cs="宋体"/>
                <w:color w:val="000000" w:themeColor="text1"/>
                <w:szCs w:val="21"/>
                <w14:textFill>
                  <w14:solidFill>
                    <w14:schemeClr w14:val="tx1"/>
                  </w14:solidFill>
                </w14:textFill>
              </w:rPr>
              <w:t xml:space="preserve">。采用真实系统成功演示的完全满足得3分</w:t>
            </w:r>
            <w:r>
              <w:rPr>
                <w:rStyle w:val="895"/>
                <w:rFonts w:hint="eastAsia" w:ascii="宋体" w:hAnsi="宋体" w:cs="宋体"/>
                <w:color w:val="000000" w:themeColor="text1"/>
                <w14:textFill>
                  <w14:solidFill>
                    <w14:schemeClr w14:val="tx1"/>
                  </w14:solidFill>
                </w14:textFill>
              </w:rPr>
              <w:t xml:space="preserve">，不满足得0分</w:t>
            </w:r>
            <w:r>
              <w:rPr>
                <w:rFonts w:hint="eastAsia" w:ascii="宋体" w:hAnsi="宋体" w:cs="宋体"/>
                <w:color w:val="000000" w:themeColor="text1"/>
                <w:szCs w:val="21"/>
                <w14:textFill>
                  <w14:solidFill>
                    <w14:schemeClr w14:val="tx1"/>
                  </w14:solidFill>
                </w14:textFill>
              </w:rPr>
              <w:t xml:space="preserve">。</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color w:val="000000"/>
                <w:sz w:val="23"/>
                <w:szCs w:val="23"/>
                <w:lang w:bidi="ar"/>
              </w:rPr>
            </w:pPr>
            <w:r>
              <w:rPr>
                <w:rFonts w:hint="eastAsia" w:ascii="宋体" w:hAnsi="宋体" w:eastAsia="宋体" w:cs="宋体"/>
                <w:color w:val="000000" w:themeColor="text1"/>
                <w:szCs w:val="21"/>
                <w14:textFill>
                  <w14:solidFill>
                    <w14:schemeClr w14:val="tx1"/>
                  </w14:solidFill>
                </w14:textFill>
              </w:rPr>
              <w:t xml:space="preserve">投标人提供所投超融合服务器产品检测报告，</w:t>
            </w:r>
            <w:r>
              <w:rPr>
                <w:rFonts w:hint="eastAsia"/>
                <w:lang w:val="en-US" w:eastAsia="zh-CN"/>
              </w:rPr>
              <w:t xml:space="preserve">依据</w:t>
            </w:r>
            <w:r>
              <w:rPr>
                <w:rFonts w:hint="eastAsia" w:ascii="宋体" w:hAnsi="宋体" w:cs="宋体"/>
                <w:color w:val="000000" w:themeColor="text1"/>
                <w:szCs w:val="21"/>
                <w14:textFill>
                  <w14:solidFill>
                    <w14:schemeClr w14:val="tx1"/>
                  </w14:solidFill>
                </w14:textFill>
              </w:rPr>
              <w:t xml:space="preserve">GB/T25000.51-2016《系统与软件工程 系统与软件质量要求和评价(SQuaRE)第51部分：就绪可用软件产品(RUSP)的质量要求和测试细则》。</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检测内容：</w:t>
            </w:r>
            <w:r/>
          </w:p>
          <w:p>
            <w:pPr>
              <w:spacing w:line="264"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虚拟机支持 SPDK-VHOST 功能，在此模式下虚拟磁盘支持精简置备</w:t>
            </w:r>
            <w:r>
              <w:rPr>
                <w:rFonts w:hint="eastAsia" w:ascii="宋体" w:hAnsi="宋体" w:cs="宋体"/>
                <w:color w:val="000000" w:themeColor="text1"/>
                <w:szCs w:val="21"/>
                <w:lang w:val="en-US" w:eastAsia="zh-CN"/>
                <w14:textFill>
                  <w14:solidFill>
                    <w14:schemeClr w14:val="tx1"/>
                  </w14:solidFill>
                </w14:textFill>
              </w:rPr>
              <w:t xml:space="preserve">；</w:t>
            </w:r>
            <w:r/>
          </w:p>
          <w:p>
            <w:pPr>
              <w:spacing w:line="264"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支持虚拟卷级别存储策略的功能，支持对单个虚拟机的不同虚拟磁盘应用同一存储池的不同存储策略 （纠删码和副本）</w:t>
            </w:r>
            <w:r>
              <w:rPr>
                <w:rFonts w:hint="eastAsia" w:ascii="宋体" w:hAnsi="宋体" w:cs="宋体"/>
                <w:color w:val="000000" w:themeColor="text1"/>
                <w:szCs w:val="21"/>
                <w:lang w:val="en-US" w:eastAsia="zh-CN"/>
                <w14:textFill>
                  <w14:solidFill>
                    <w14:schemeClr w14:val="tx1"/>
                  </w14:solidFill>
                </w14:textFill>
              </w:rPr>
              <w:t xml:space="preserve">；</w:t>
            </w:r>
            <w:r/>
          </w:p>
          <w:p>
            <w:pPr>
              <w:spacing w:line="264"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）支持虚拟机资源优化的功能，能对集群内长期处于低 IO 状态、vCPU/内存过剩或紧张的虚拟机进行筛选和识别，并能够导出虚拟机列表信息</w:t>
            </w:r>
            <w:r>
              <w:rPr>
                <w:rFonts w:hint="eastAsia" w:ascii="宋体" w:hAnsi="宋体" w:cs="宋体"/>
                <w:color w:val="000000" w:themeColor="text1"/>
                <w:szCs w:val="21"/>
                <w:lang w:val="en-US" w:eastAsia="zh-CN"/>
                <w14:textFill>
                  <w14:solidFill>
                    <w14:schemeClr w14:val="tx1"/>
                  </w14:solidFill>
                </w14:textFill>
              </w:rPr>
              <w:t xml:space="preserve">；</w:t>
            </w:r>
            <w:r/>
          </w:p>
          <w:p>
            <w:pPr>
              <w:spacing w:line="264"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超融合平台内置容器管理平台，支持 Underlay 网络插件，可从 Kubernetes 集群外部通过 Pod IP 地址直接访问业务应用 Pod</w:t>
            </w:r>
            <w:r>
              <w:rPr>
                <w:rFonts w:hint="eastAsia" w:ascii="宋体" w:hAnsi="宋体" w:cs="宋体"/>
                <w:color w:val="000000" w:themeColor="text1"/>
                <w:szCs w:val="21"/>
                <w:lang w:eastAsia="zh-CN"/>
                <w14:textFill>
                  <w14:solidFill>
                    <w14:schemeClr w14:val="tx1"/>
                  </w14:solidFill>
                </w14:textFill>
              </w:rPr>
              <w:t xml:space="preserve">。</w:t>
            </w:r>
            <w:r/>
          </w:p>
          <w:p>
            <w:pPr>
              <w:spacing w:line="264"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每提供1项</w:t>
            </w:r>
            <w:r>
              <w:rPr>
                <w:rFonts w:hint="eastAsia" w:ascii="宋体" w:hAnsi="宋体" w:eastAsia="宋体" w:cs="宋体"/>
                <w:color w:val="000000" w:themeColor="text1"/>
                <w:szCs w:val="21"/>
                <w:lang w:val="en-US" w:eastAsia="zh-CN"/>
                <w14:textFill>
                  <w14:solidFill>
                    <w14:schemeClr w14:val="tx1"/>
                  </w14:solidFill>
                </w14:textFill>
              </w:rPr>
              <w:t xml:space="preserve">符合要求的</w:t>
            </w:r>
            <w:r>
              <w:rPr>
                <w:rFonts w:hint="eastAsia" w:ascii="宋体" w:hAnsi="宋体" w:eastAsia="宋体" w:cs="宋体"/>
                <w:color w:val="000000" w:themeColor="text1"/>
                <w:szCs w:val="21"/>
                <w14:textFill>
                  <w14:solidFill>
                    <w14:schemeClr w14:val="tx1"/>
                  </w14:solidFill>
                </w14:textFill>
              </w:rPr>
              <w:t xml:space="preserve">检测报告得1分，最多得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p>
          <w:p>
            <w:pPr>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深化设计</w:t>
            </w:r>
            <w:r>
              <w:rPr>
                <w:rFonts w:hint="eastAsia" w:ascii="宋体" w:hAnsi="宋体"/>
              </w:rPr>
              <w:t xml:space="preserve">方案</w:t>
            </w:r>
            <w:r/>
          </w:p>
        </w:tc>
        <w:tc>
          <w:tcPr>
            <w:tcBorders>
              <w:top w:val="single" w:color="000000" w:sz="2" w:space="0"/>
              <w:bottom w:val="single" w:color="000000" w:sz="2" w:space="0"/>
            </w:tcBorders>
            <w:tcW w:w="6330" w:type="dxa"/>
            <w:vAlign w:val="center"/>
            <w:textDirection w:val="lrTb"/>
            <w:noWrap w:val="false"/>
          </w:tcPr>
          <w:p>
            <w:pPr>
              <w:pStyle w:val="964"/>
              <w:spacing w:line="264" w:lineRule="auto"/>
              <w:rPr>
                <w:color w:val="000000" w:themeColor="text1"/>
                <w:sz w:val="21"/>
                <w:szCs w:val="21"/>
                <w:lang w:bidi="ar-SA"/>
                <w14:textFill>
                  <w14:solidFill>
                    <w14:schemeClr w14:val="tx1"/>
                  </w14:solidFill>
                </w14:textFill>
              </w:rPr>
            </w:pPr>
            <w:r>
              <w:rPr>
                <w:rFonts w:hint="eastAsia"/>
                <w:color w:val="000000" w:themeColor="text1"/>
                <w:sz w:val="21"/>
                <w:szCs w:val="21"/>
                <w:lang w:bidi="ar-SA"/>
                <w14:textFill>
                  <w14:solidFill>
                    <w14:schemeClr w14:val="tx1"/>
                  </w14:solidFill>
                </w14:textFill>
              </w:rPr>
              <w:t xml:space="preserve">根据本项目采购需求中“</w:t>
            </w:r>
            <w:r>
              <w:rPr>
                <w:rFonts w:hint="eastAsia"/>
                <w:color w:val="000000" w:themeColor="text1"/>
                <w:sz w:val="21"/>
                <w:szCs w:val="21"/>
                <w:lang w:val="en-US" w:bidi="ar-SA"/>
                <w14:textFill>
                  <w14:solidFill>
                    <w14:schemeClr w14:val="tx1"/>
                  </w14:solidFill>
                </w14:textFill>
              </w:rPr>
              <w:t xml:space="preserve">质量要求</w:t>
            </w:r>
            <w:r>
              <w:rPr>
                <w:rFonts w:hint="eastAsia"/>
                <w:color w:val="000000" w:themeColor="text1"/>
                <w:sz w:val="21"/>
                <w:szCs w:val="21"/>
                <w:lang w:bidi="ar-SA"/>
                <w14:textFill>
                  <w14:solidFill>
                    <w14:schemeClr w14:val="tx1"/>
                  </w14:solidFill>
                </w14:textFill>
              </w:rPr>
              <w:t xml:space="preserve">”编制方案，内容包含：1.设计思路；2.架构设计；3.高可用设计；4.容灾设计。以上每项内容逐项评分：</w:t>
            </w:r>
            <w:r/>
          </w:p>
          <w:p>
            <w:pPr>
              <w:pStyle w:val="964"/>
              <w:spacing w:line="264" w:lineRule="auto"/>
              <w:rPr>
                <w:color w:val="000000" w:themeColor="text1"/>
                <w:sz w:val="21"/>
                <w:szCs w:val="21"/>
                <w:lang w:bidi="ar-SA"/>
                <w14:textFill>
                  <w14:solidFill>
                    <w14:schemeClr w14:val="tx1"/>
                  </w14:solidFill>
                </w14:textFill>
              </w:rPr>
            </w:pPr>
            <w:r>
              <w:rPr>
                <w:rFonts w:hint="eastAsia"/>
                <w:color w:val="000000" w:themeColor="text1"/>
                <w:sz w:val="21"/>
                <w:szCs w:val="21"/>
                <w:lang w:bidi="ar-SA"/>
                <w14:textFill>
                  <w14:solidFill>
                    <w14:schemeClr w14:val="tx1"/>
                  </w14:solidFill>
                </w14:textFill>
              </w:rPr>
              <w:t xml:space="preserve">方案内容细致完善，且专门针对本项目，契合采购需求视为符合；方案内容属于通用类，非专门针对本项目，部分契合采购需求视为部分符合；方案内容非专门针对本项目，脱离采购需求视为不符合。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rPr>
            </w:pPr>
            <w:r>
              <w:rPr>
                <w:rFonts w:hint="eastAsia" w:ascii="宋体" w:hAnsi="宋体"/>
                <w:color w:val="000000" w:themeColor="text1"/>
                <w:szCs w:val="21"/>
                <w14:textFill>
                  <w14:solidFill>
                    <w14:schemeClr w14:val="tx1"/>
                  </w14:solidFill>
                </w14:textFill>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ascii="宋体" w:hAnsi="宋体" w:cs="宋体"/>
                <w:color w:val="000000"/>
              </w:rPr>
              <w:t xml:space="preserve">总体技术方案</w:t>
            </w:r>
            <w:r/>
          </w:p>
        </w:tc>
        <w:tc>
          <w:tcPr>
            <w:tcBorders>
              <w:top w:val="single" w:color="000000" w:sz="2" w:space="0"/>
              <w:bottom w:val="single" w:color="000000" w:sz="2" w:space="0"/>
            </w:tcBorders>
            <w:tcW w:w="6330" w:type="dxa"/>
            <w:vAlign w:val="center"/>
            <w:textDirection w:val="lrTb"/>
            <w:noWrap w:val="false"/>
          </w:tcPr>
          <w:p>
            <w:pPr>
              <w:pStyle w:val="964"/>
              <w:spacing w:line="264" w:lineRule="auto"/>
              <w:rPr>
                <w:color w:val="000000" w:themeColor="text1"/>
                <w:sz w:val="21"/>
                <w:szCs w:val="21"/>
                <w:lang w:bidi="ar-SA"/>
                <w14:textFill>
                  <w14:solidFill>
                    <w14:schemeClr w14:val="tx1"/>
                  </w14:solidFill>
                </w14:textFill>
              </w:rPr>
            </w:pPr>
            <w:r>
              <w:rPr>
                <w:rFonts w:hint="eastAsia"/>
                <w:color w:val="000000" w:themeColor="text1"/>
                <w:sz w:val="21"/>
                <w:szCs w:val="21"/>
                <w:lang w:bidi="ar-SA"/>
                <w14:textFill>
                  <w14:solidFill>
                    <w14:schemeClr w14:val="tx1"/>
                  </w14:solidFill>
                </w14:textFill>
              </w:rPr>
              <w:t xml:space="preserve">根据本项目采购需求中“总体技术方案要求”编制方案，内容包含：1.需求理解；2.技术方案；3.技术前瞻性；4.实施风险与保障。以上每项内容逐项评分：</w:t>
            </w:r>
            <w:r/>
          </w:p>
          <w:p>
            <w:pPr>
              <w:pStyle w:val="964"/>
              <w:spacing w:line="264" w:lineRule="auto"/>
              <w:rPr>
                <w:color w:val="000000" w:themeColor="text1"/>
                <w:sz w:val="21"/>
                <w:szCs w:val="21"/>
                <w:lang w:bidi="ar-SA"/>
                <w14:textFill>
                  <w14:solidFill>
                    <w14:schemeClr w14:val="tx1"/>
                  </w14:solidFill>
                </w14:textFill>
              </w:rPr>
            </w:pPr>
            <w:r>
              <w:rPr>
                <w:rFonts w:hint="eastAsia"/>
                <w:color w:val="000000" w:themeColor="text1"/>
                <w:sz w:val="21"/>
                <w:szCs w:val="21"/>
                <w:lang w:bidi="ar-SA"/>
                <w14:textFill>
                  <w14:solidFill>
                    <w14:schemeClr w14:val="tx1"/>
                  </w14:solidFill>
                </w14:textFill>
              </w:rPr>
              <w:t xml:space="preserve">方案内容细致完善，且专门针对本项目，契合采购需求视为符合；方案内容属于通用类，非专门针对本项目，部分契合采购需求视为部分符合；方案内容非专门针对本项目，脱离采购需求视为不符合。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Cs w:val="21"/>
                <w:lang w:val="zh-CN"/>
              </w:rPr>
            </w:pPr>
            <w:r>
              <w:rPr>
                <w:rFonts w:hint="eastAsia" w:ascii="宋体" w:hAnsi="宋体"/>
                <w:color w:val="000000" w:themeColor="text1"/>
                <w:szCs w:val="21"/>
                <w14:textFill>
                  <w14:solidFill>
                    <w14:schemeClr w14:val="tx1"/>
                  </w14:solidFill>
                </w14:textFill>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964"/>
              <w:rPr>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根据本项目采购需求中“实施要求”编制方案，内容包含：1.供货进度保证措施；2.质量保证措施；3.协调配合措施；4.应急措施。以上每项内容逐项评分：</w:t>
            </w:r>
            <w:r/>
          </w:p>
          <w:p>
            <w:pPr>
              <w:pStyle w:val="964"/>
              <w:rPr>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方案内容细致完善，且专门针对本项目，契合采购需求视为符合；方案内容属于通用类，非专门针对本项目，部分契合采购需求视为部分符合；方案内容非专门针对本项目，脱离采购需求视为不符合。</w:t>
            </w:r>
            <w:r/>
          </w:p>
          <w:p>
            <w:pPr>
              <w:pStyle w:val="964"/>
              <w:spacing w:line="264" w:lineRule="auto"/>
              <w:rPr>
                <w:color w:val="000000" w:themeColor="text1"/>
                <w:sz w:val="21"/>
                <w:szCs w:val="21"/>
                <w:lang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64"/>
              <w:spacing w:line="264" w:lineRule="auto"/>
              <w:rPr>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根据本项目采购需求中“售后服务要求”编制方案，内容包含：1.售后服务内容；2.故障解决方案；3.售后服务体系；4.应急处理方案。以上每项内容逐项评分：</w:t>
            </w:r>
            <w:r/>
          </w:p>
          <w:p>
            <w:pPr>
              <w:pStyle w:val="964"/>
              <w:spacing w:line="264" w:lineRule="auto"/>
              <w:rPr>
                <w:color w:val="000000" w:themeColor="text1"/>
                <w:sz w:val="21"/>
                <w:szCs w:val="21"/>
                <w:lang w:val="en-US"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方案内容细致完善，且专门针对本项目，契合采购需求视为符合；方案内容属于通用类，非专门针对本项目，部分契合采购需求视为部分符合；方案内容非专门针对本项目，脱离采购需求视为不符合。</w:t>
            </w:r>
            <w:r/>
          </w:p>
          <w:p>
            <w:pPr>
              <w:pStyle w:val="964"/>
              <w:spacing w:line="264" w:lineRule="auto"/>
              <w:rPr>
                <w:rFonts w:hint="eastAsia" w:eastAsia="宋体"/>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上述每项内容符合得1分；部分符合得0.5分；不符合或不提供不得分</w:t>
            </w:r>
            <w:r>
              <w:rPr>
                <w:rFonts w:hint="eastAsia"/>
                <w:color w:val="000000" w:themeColor="text1"/>
                <w:sz w:val="21"/>
                <w:szCs w:val="21"/>
                <w:lang w:val="en-US" w:eastAsia="zh-CN" w:bidi="ar-SA"/>
                <w14:textFill>
                  <w14:solidFill>
                    <w14:schemeClr w14:val="tx1"/>
                  </w14:solidFill>
                </w14:textFill>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00" w:themeColor="text1"/>
                <w:szCs w:val="21"/>
                <w14:textFill>
                  <w14:solidFill>
                    <w14:schemeClr w14:val="tx1"/>
                  </w14:solidFill>
                </w14:textFill>
              </w:rPr>
            </w:pPr>
            <w:r>
              <w:rPr>
                <w:rFonts w:ascii="宋体" w:hAnsi="宋体" w:cs="宋体"/>
                <w:color w:val="000000"/>
              </w:rPr>
              <w:t xml:space="preserve">培训方案</w:t>
            </w:r>
            <w:r/>
          </w:p>
        </w:tc>
        <w:tc>
          <w:tcPr>
            <w:tcBorders>
              <w:top w:val="single" w:color="000000" w:sz="2" w:space="0"/>
              <w:bottom w:val="single" w:color="000000" w:sz="2" w:space="0"/>
            </w:tcBorders>
            <w:tcW w:w="6330" w:type="dxa"/>
            <w:vAlign w:val="center"/>
            <w:textDirection w:val="lrTb"/>
            <w:noWrap w:val="false"/>
          </w:tcPr>
          <w:p>
            <w:pPr>
              <w:rPr>
                <w:rFonts w:ascii="宋体" w:hAnsi="宋体"/>
                <w:color w:val="000000"/>
              </w:rPr>
            </w:pPr>
            <w:r>
              <w:rPr>
                <w:rFonts w:hint="eastAsia" w:ascii="宋体" w:hAnsi="宋体"/>
                <w:color w:val="000000"/>
              </w:rPr>
              <w:t xml:space="preserve">根据本项目采购需求中“培训要求”编制方案，内容包含：1.</w:t>
            </w:r>
            <w:r>
              <w:rPr>
                <w:rFonts w:ascii="宋体" w:hAnsi="宋体"/>
                <w:color w:val="000000"/>
              </w:rPr>
              <w:t xml:space="preserve">培训计划</w:t>
            </w:r>
            <w:r>
              <w:rPr>
                <w:rFonts w:hint="eastAsia" w:ascii="宋体" w:hAnsi="宋体"/>
                <w:color w:val="000000"/>
              </w:rPr>
              <w:t xml:space="preserve">；2.</w:t>
            </w:r>
            <w:r>
              <w:rPr>
                <w:rFonts w:ascii="宋体" w:hAnsi="宋体"/>
                <w:color w:val="000000"/>
              </w:rPr>
              <w:t xml:space="preserve"> 培训方法</w:t>
            </w:r>
            <w:r>
              <w:rPr>
                <w:rFonts w:hint="eastAsia" w:ascii="宋体" w:hAnsi="宋体"/>
                <w:color w:val="000000"/>
              </w:rPr>
              <w:t xml:space="preserve">；3.师资力量；4.</w:t>
            </w:r>
            <w:r>
              <w:rPr>
                <w:rFonts w:ascii="宋体" w:hAnsi="宋体"/>
                <w:color w:val="000000"/>
              </w:rPr>
              <w:t xml:space="preserve">培训质量控制</w:t>
            </w:r>
            <w:r>
              <w:rPr>
                <w:rFonts w:hint="eastAsia" w:ascii="宋体" w:hAnsi="宋体"/>
                <w:color w:val="000000"/>
              </w:rPr>
              <w:t xml:space="preserve">。以上每项内容逐项评分：</w:t>
            </w:r>
            <w:r/>
          </w:p>
          <w:p>
            <w:pPr>
              <w:rPr>
                <w:rFonts w:ascii="宋体" w:hAnsi="宋体"/>
                <w:color w:val="000000"/>
              </w:rPr>
            </w:pPr>
            <w:r>
              <w:rPr>
                <w:rFonts w:ascii="宋体" w:hAnsi="宋体"/>
                <w:color w:val="000000"/>
              </w:rPr>
              <w:t xml:space="preserve">方案内容</w:t>
            </w:r>
            <w:r>
              <w:rPr>
                <w:rFonts w:hint="eastAsia" w:ascii="宋体" w:hAnsi="宋体"/>
                <w:color w:val="000000"/>
              </w:rPr>
              <w:t xml:space="preserve">细致完善，且</w:t>
            </w:r>
            <w:r>
              <w:rPr>
                <w:rFonts w:ascii="宋体" w:hAnsi="宋体"/>
                <w:color w:val="000000"/>
              </w:rPr>
              <w:t xml:space="preserve">专门针对本项目，</w:t>
            </w:r>
            <w:r>
              <w:rPr>
                <w:rFonts w:hint="eastAsia" w:ascii="宋体" w:hAnsi="宋体"/>
                <w:color w:val="000000"/>
              </w:rPr>
              <w:t xml:space="preserve">契合</w:t>
            </w:r>
            <w:r>
              <w:rPr>
                <w:rFonts w:ascii="宋体" w:hAnsi="宋体"/>
                <w:color w:val="000000"/>
              </w:rPr>
              <w:t xml:space="preserve">采购需求视为符合；方案内容属于通用类，非专门针对本项目，部分</w:t>
            </w:r>
            <w:r>
              <w:rPr>
                <w:rFonts w:hint="eastAsia" w:ascii="宋体" w:hAnsi="宋体"/>
                <w:color w:val="000000"/>
              </w:rPr>
              <w:t xml:space="preserve">契合采购需求</w:t>
            </w:r>
            <w:r>
              <w:rPr>
                <w:rFonts w:ascii="宋体" w:hAnsi="宋体"/>
                <w:color w:val="000000"/>
              </w:rPr>
              <w:t xml:space="preserve">视为部分符合；方案内容非专门针对本项目</w:t>
            </w:r>
            <w:r>
              <w:rPr>
                <w:rFonts w:hint="eastAsia" w:ascii="宋体" w:hAnsi="宋体"/>
                <w:color w:val="000000"/>
              </w:rPr>
              <w:t xml:space="preserve">，脱离</w:t>
            </w:r>
            <w:r>
              <w:rPr>
                <w:rFonts w:ascii="宋体" w:hAnsi="宋体"/>
                <w:color w:val="000000"/>
              </w:rPr>
              <w:t xml:space="preserve">采购需求视为不符合。</w:t>
            </w:r>
            <w:r/>
          </w:p>
          <w:p>
            <w:pPr>
              <w:rPr>
                <w:rFonts w:ascii="宋体" w:hAnsi="宋体"/>
                <w:color w:val="000000" w:themeColor="text1"/>
                <w:szCs w:val="21"/>
                <w14:textFill>
                  <w14:solidFill>
                    <w14:schemeClr w14:val="tx1"/>
                  </w14:solidFill>
                </w14:textFill>
              </w:rPr>
            </w:pPr>
            <w:r>
              <w:rPr>
                <w:rFonts w:hint="eastAsia" w:ascii="宋体" w:hAnsi="宋体"/>
                <w:color w:val="000000"/>
              </w:rPr>
              <w:t xml:space="preserve">上述每项内容</w:t>
            </w:r>
            <w:r>
              <w:rPr>
                <w:rFonts w:ascii="宋体" w:hAnsi="宋体"/>
                <w:color w:val="000000"/>
              </w:rPr>
              <w:t xml:space="preserve">符合得</w:t>
            </w:r>
            <w:r>
              <w:rPr>
                <w:rFonts w:hint="eastAsia" w:ascii="宋体" w:hAnsi="宋体"/>
                <w:color w:val="000000"/>
              </w:rPr>
              <w:t xml:space="preserve">1</w:t>
            </w:r>
            <w:r>
              <w:rPr>
                <w:rFonts w:ascii="宋体" w:hAnsi="宋体"/>
                <w:color w:val="000000"/>
              </w:rPr>
              <w:t xml:space="preserve">分；部分符合得</w:t>
            </w:r>
            <w:r>
              <w:rPr>
                <w:rFonts w:hint="eastAsia" w:ascii="宋体" w:hAnsi="宋体"/>
                <w:color w:val="000000"/>
              </w:rPr>
              <w:t xml:space="preserve">0.5</w:t>
            </w:r>
            <w:r>
              <w:rPr>
                <w:rFonts w:ascii="宋体" w:hAnsi="宋体"/>
                <w:color w:val="000000"/>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szCs w:val="21"/>
              </w:rPr>
            </w:pPr>
            <w:r>
              <w:rPr>
                <w:rFonts w:hint="eastAsia" w:ascii="宋体" w:hAnsi="宋体" w:cs="宋体"/>
                <w:b/>
                <w:bCs/>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olor w:val="000000"/>
                <w:szCs w:val="21"/>
              </w:rPr>
            </w:pPr>
            <w:r>
              <w:rPr>
                <w:rFonts w:hint="eastAsia" w:ascii="宋体" w:hAnsi="宋体" w:cs="宋体"/>
                <w:color w:val="000000"/>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投标人提供2023年1月1日（含）以来类似项目业绩（至少包含服务器），每提供1个得</w:t>
            </w:r>
            <w:r>
              <w:rPr>
                <w:rFonts w:hint="eastAsia" w:ascii="宋体" w:hAnsi="宋体" w:cs="宋体"/>
                <w:color w:val="auto"/>
                <w:szCs w:val="21"/>
                <w:lang w:val="en-US" w:eastAsia="zh-CN"/>
              </w:rPr>
              <w:t xml:space="preserve">2</w:t>
            </w:r>
            <w:r>
              <w:rPr>
                <w:rFonts w:hint="eastAsia" w:ascii="宋体" w:hAnsi="宋体" w:cs="宋体"/>
                <w:color w:val="000000"/>
                <w:szCs w:val="21"/>
              </w:rPr>
              <w:t xml:space="preserve">分，最多得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eastAsia="宋体" w:cs="宋体"/>
                <w:szCs w:val="21"/>
                <w:lang w:eastAsia="zh-CN"/>
              </w:rPr>
            </w:pPr>
            <w:r>
              <w:rPr>
                <w:rFonts w:hint="eastAsia" w:ascii="宋体" w:hAnsi="宋体" w:cs="宋体"/>
                <w:color w:val="000000"/>
                <w:szCs w:val="21"/>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000000"/>
                <w:spacing w:val="-1"/>
                <w:szCs w:val="21"/>
              </w:rPr>
            </w:pPr>
            <w:r>
              <w:rPr>
                <w:rFonts w:hint="eastAsia" w:ascii="宋体" w:hAnsi="宋体" w:cs="宋体"/>
                <w:color w:val="000000"/>
                <w:spacing w:val="-1"/>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lang w:eastAsia="zh-CN"/>
              </w:rPr>
              <w:t xml:space="preserve">拟投入</w:t>
            </w:r>
            <w:r>
              <w:rPr>
                <w:rFonts w:hint="eastAsia" w:ascii="宋体" w:hAnsi="宋体" w:cs="宋体"/>
                <w:color w:val="000000"/>
                <w:szCs w:val="21"/>
              </w:rPr>
              <w:t xml:space="preserve">本项目</w:t>
            </w:r>
            <w:r>
              <w:rPr>
                <w:rFonts w:hint="eastAsia" w:ascii="宋体" w:hAnsi="宋体" w:cs="宋体"/>
                <w:color w:val="000000"/>
                <w:szCs w:val="21"/>
                <w:lang w:eastAsia="zh-CN"/>
              </w:rPr>
              <w:t xml:space="preserve">的</w:t>
            </w:r>
            <w:r>
              <w:rPr>
                <w:rFonts w:hint="eastAsia" w:ascii="宋体" w:hAnsi="宋体" w:cs="宋体"/>
                <w:color w:val="000000"/>
                <w:szCs w:val="21"/>
              </w:rPr>
              <w:t xml:space="preserve">项目经理具有信息系统项目管理师证书，得2分。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000000"/>
                <w:spacing w:val="-1"/>
                <w:szCs w:val="21"/>
              </w:rPr>
            </w:pPr>
            <w:r>
              <w:rPr>
                <w:rFonts w:hint="eastAsia" w:ascii="宋体" w:hAnsi="宋体" w:cs="宋体"/>
                <w:color w:val="000000"/>
                <w:spacing w:val="-1"/>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lang w:eastAsia="zh-CN"/>
              </w:rPr>
              <w:t xml:space="preserve">拟投入</w:t>
            </w:r>
            <w:r>
              <w:rPr>
                <w:rFonts w:hint="eastAsia" w:ascii="宋体" w:hAnsi="宋体" w:cs="宋体"/>
                <w:color w:val="000000"/>
                <w:szCs w:val="21"/>
              </w:rPr>
              <w:t xml:space="preserve">本项目</w:t>
            </w:r>
            <w:r>
              <w:rPr>
                <w:rFonts w:hint="eastAsia" w:ascii="宋体" w:hAnsi="宋体" w:cs="宋体"/>
                <w:color w:val="000000"/>
                <w:szCs w:val="21"/>
                <w:lang w:eastAsia="zh-CN"/>
              </w:rPr>
              <w:t xml:space="preserve">的</w:t>
            </w:r>
            <w:r>
              <w:rPr>
                <w:rFonts w:hint="eastAsia" w:ascii="宋体" w:hAnsi="宋体" w:cs="宋体"/>
                <w:color w:val="000000"/>
                <w:szCs w:val="21"/>
              </w:rPr>
              <w:t xml:space="preserve">项目团队成员（除项目经理</w:t>
            </w:r>
            <w:r>
              <w:rPr>
                <w:rFonts w:hint="eastAsia" w:ascii="宋体" w:hAnsi="宋体" w:cs="宋体"/>
                <w:color w:val="000000"/>
                <w:szCs w:val="21"/>
                <w:lang w:eastAsia="zh-CN"/>
              </w:rPr>
              <w:t xml:space="preserve">外</w:t>
            </w:r>
            <w:r>
              <w:rPr>
                <w:rFonts w:hint="eastAsia" w:ascii="宋体" w:hAnsi="宋体" w:cs="宋体"/>
                <w:color w:val="000000"/>
                <w:szCs w:val="21"/>
              </w:rPr>
              <w:t xml:space="preserve">)具有网络规划设计师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系统架构设计师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网络工程师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系统集成项目管理工程师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注册信息安全专业人员证书</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信息安全保障人员认</w:t>
            </w:r>
            <w:r>
              <w:rPr>
                <w:rFonts w:hint="eastAsia" w:ascii="宋体" w:hAnsi="宋体" w:cs="宋体"/>
                <w:color w:val="000000"/>
                <w:szCs w:val="21"/>
              </w:rPr>
              <w:t xml:space="preserve">证证书，每有1人得1分</w:t>
            </w:r>
            <w:r>
              <w:rPr>
                <w:rFonts w:hint="eastAsia" w:ascii="宋体" w:hAnsi="宋体" w:cs="宋体"/>
                <w:color w:val="000000"/>
                <w:szCs w:val="21"/>
                <w:lang w:eastAsia="zh-CN"/>
              </w:rPr>
              <w:t xml:space="preserve">，</w:t>
            </w:r>
            <w:r>
              <w:rPr>
                <w:rFonts w:hint="eastAsia" w:ascii="宋体" w:hAnsi="宋体" w:cs="宋体"/>
                <w:color w:val="000000"/>
                <w:szCs w:val="21"/>
              </w:rPr>
              <w:t xml:space="preserve">一人多证</w:t>
            </w:r>
            <w:r>
              <w:rPr>
                <w:rFonts w:hint="eastAsia" w:ascii="宋体" w:hAnsi="宋体" w:cs="宋体"/>
                <w:color w:val="000000"/>
                <w:szCs w:val="21"/>
                <w:lang w:eastAsia="zh-CN"/>
              </w:rPr>
              <w:t xml:space="preserve">、多人一证</w:t>
            </w:r>
            <w:r>
              <w:rPr>
                <w:rFonts w:hint="eastAsia" w:ascii="宋体" w:hAnsi="宋体" w:cs="宋体"/>
                <w:color w:val="000000"/>
                <w:szCs w:val="21"/>
              </w:rPr>
              <w:t xml:space="preserve">不可重复得</w:t>
            </w:r>
            <w:r>
              <w:rPr>
                <w:rFonts w:hint="eastAsia" w:ascii="宋体" w:hAnsi="宋体" w:cs="宋体"/>
                <w:color w:val="000000"/>
                <w:szCs w:val="21"/>
                <w:lang w:val="en-US" w:eastAsia="zh-CN"/>
              </w:rPr>
              <w:t xml:space="preserve">分</w:t>
            </w:r>
            <w:r>
              <w:rPr>
                <w:rFonts w:hint="eastAsia" w:ascii="宋体" w:hAnsi="宋体" w:cs="宋体"/>
                <w:color w:val="000000"/>
                <w:szCs w:val="21"/>
              </w:rPr>
              <w:t xml:space="preserve">，最高得3分。</w:t>
            </w:r>
            <w:r/>
          </w:p>
          <w:p>
            <w:pPr>
              <w:spacing w:line="264" w:lineRule="auto"/>
              <w:rPr>
                <w:rFonts w:ascii="宋体" w:hAnsi="宋体" w:cs="宋体"/>
                <w:color w:val="000000"/>
                <w:szCs w:val="21"/>
              </w:rPr>
            </w:pPr>
            <w:r>
              <w:rPr>
                <w:rFonts w:hint="eastAsia" w:ascii="宋体" w:hAnsi="宋体" w:cs="宋体"/>
                <w:color w:val="000000"/>
                <w:szCs w:val="21"/>
              </w:rPr>
              <w:t xml:space="preserve">（以上提供有效期内证书扫描件及投标人为其缴纳2026年1月1日以来任意一个月的社保证明材料并加盖投标人公章）</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3"/>
        </w:trPr>
        <w:tc>
          <w:tcPr>
            <w:gridSpan w:val="5"/>
            <w:tcBorders>
              <w:top w:val="single" w:color="000000" w:sz="2" w:space="0"/>
              <w:bottom w:val="single" w:color="000000" w:sz="2" w:space="0"/>
            </w:tcBorders>
            <w:tcW w:w="9575" w:type="dxa"/>
            <w:vAlign w:val="center"/>
            <w:textDirection w:val="lrTb"/>
            <w:noWrap w:val="false"/>
          </w:tcPr>
          <w:p>
            <w:pPr>
              <w:jc w:val="left"/>
              <w:spacing w:before="68" w:line="264" w:lineRule="auto"/>
              <w:rPr>
                <w:rFonts w:ascii="宋体" w:hAnsi="宋体" w:cs="宋体"/>
                <w:spacing w:val="-6"/>
                <w:szCs w:val="21"/>
              </w:rPr>
            </w:pPr>
            <w:r>
              <w:rPr>
                <w:rFonts w:hint="eastAsia" w:ascii="宋体" w:hAnsi="宋体" w:cs="宋体"/>
                <w:b/>
                <w:bCs/>
                <w:spacing w:val="-3"/>
                <w:szCs w:val="21"/>
              </w:rPr>
              <w:t xml:space="preserve">6.节能环保</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000000"/>
                <w:spacing w:val="-1"/>
                <w:szCs w:val="21"/>
                <w:lang w:eastAsia="zh-CN"/>
              </w:rPr>
            </w:pPr>
            <w:r>
              <w:rPr>
                <w:rFonts w:hint="eastAsia" w:ascii="宋体" w:hAnsi="宋体" w:cs="宋体"/>
                <w:spacing w:val="-1"/>
                <w:szCs w:val="21"/>
              </w:rPr>
              <w:t xml:space="preserve">节能</w:t>
            </w:r>
            <w:r>
              <w:rPr>
                <w:rFonts w:hint="eastAsia" w:ascii="宋体" w:hAnsi="宋体" w:cs="宋体"/>
                <w:spacing w:val="-1"/>
                <w:szCs w:val="21"/>
                <w:lang w:eastAsia="zh-CN"/>
              </w:rPr>
              <w:t xml:space="preserve">产品</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000000"/>
                <w:szCs w:val="21"/>
              </w:rPr>
            </w:pPr>
            <w:r>
              <w:rPr>
                <w:rFonts w:hint="eastAsia" w:ascii="宋体" w:hAnsi="宋体" w:cs="宋体"/>
                <w:szCs w:val="21"/>
              </w:rPr>
              <w:t xml:space="preserve">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lang w:val="en-US" w:eastAsia="zh-CN"/>
              </w:rPr>
            </w:pPr>
            <w:r>
              <w:rPr>
                <w:rFonts w:hint="eastAsia" w:ascii="宋体" w:hAnsi="宋体" w:cs="宋体"/>
                <w:spacing w:val="-2"/>
                <w:szCs w:val="21"/>
              </w:rPr>
              <w:t xml:space="preserve">6.</w:t>
            </w:r>
            <w:r>
              <w:rPr>
                <w:rFonts w:hint="eastAsia" w:ascii="宋体" w:hAnsi="宋体" w:cs="宋体"/>
                <w:spacing w:val="-2"/>
                <w:szCs w:val="21"/>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1"/>
                <w:szCs w:val="21"/>
                <w:lang w:eastAsia="zh-CN"/>
              </w:rPr>
            </w:pPr>
            <w:r>
              <w:rPr>
                <w:rFonts w:hint="eastAsia" w:ascii="宋体" w:hAnsi="宋体" w:cs="宋体"/>
                <w:spacing w:val="-1"/>
                <w:szCs w:val="21"/>
                <w:lang w:eastAsia="zh-CN"/>
              </w:rPr>
              <w:t xml:space="preserve">环境标志产品</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jc w:val="left"/>
        <w:widowControl/>
        <w:rPr>
          <w:rFonts w:ascii="宋体" w:hAnsi="宋体"/>
          <w:szCs w:val="20"/>
        </w:rPr>
      </w:pPr>
      <w:r>
        <w:br w:type="page" w:clear="all"/>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62"/>
      <w:r/>
      <w:bookmarkEnd w:id="63"/>
      <w:r/>
      <w:bookmarkEnd w:id="65"/>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67" w:name="_Hlt26955039"/>
      <w:r/>
      <w:bookmarkEnd w:id="67"/>
      <w:r/>
      <w:bookmarkStart w:id="68" w:name="_Hlt26671244"/>
      <w:r/>
      <w:bookmarkEnd w:id="68"/>
      <w:r/>
      <w:bookmarkStart w:id="69" w:name="_Toc26554094"/>
      <w:r/>
      <w:bookmarkStart w:id="70" w:name="_Toc120614282"/>
      <w:r/>
      <w:bookmarkStart w:id="71"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723"/>
        <w:spacing w:line="480" w:lineRule="exact"/>
        <w:rPr>
          <w:rFonts w:ascii="宋体" w:hAnsi="宋体" w:cs="仿宋"/>
          <w:sz w:val="24"/>
          <w:szCs w:val="24"/>
        </w:rPr>
      </w:pPr>
      <w:r>
        <w:rPr>
          <w:rFonts w:ascii="宋体" w:hAnsi="宋体"/>
          <w:b/>
          <w:color w:val="000000"/>
          <w:sz w:val="36"/>
          <w:szCs w:val="21"/>
          <w:u w:val="single"/>
        </w:rPr>
        <w:br w:type="page" w:clear="all"/>
      </w:r>
      <w:bookmarkEnd w:id="59"/>
      <w:r/>
      <w:bookmarkEnd w:id="60"/>
      <w:r/>
      <w:bookmarkEnd w:id="69"/>
      <w:r/>
      <w:bookmarkEnd w:id="70"/>
      <w:r/>
      <w:bookmarkEnd w:id="71"/>
      <w:r/>
      <w:r/>
    </w:p>
    <w:p>
      <w:pPr>
        <w:ind w:firstLine="560"/>
        <w:spacing w:line="600" w:lineRule="exact"/>
        <w:rPr>
          <w:rFonts w:hint="eastAsia" w:ascii="宋体" w:hAnsi="宋体" w:cs="宋体"/>
          <w:sz w:val="28"/>
          <w:szCs w:val="28"/>
          <w:highlight w:val="none"/>
        </w:rPr>
      </w:pPr>
      <w:r/>
      <w:bookmarkStart w:id="72"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十一、关于符合本国产品标准的声明函（如有）</w:t>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32"/>
        <w:ind w:firstLine="480"/>
        <w:spacing w:line="420" w:lineRule="exact"/>
        <w:rPr>
          <w:rFonts w:hint="eastAsia"/>
          <w:sz w:val="24"/>
          <w:szCs w:val="24"/>
          <w:highlight w:val="none"/>
        </w:rPr>
      </w:pPr>
      <w:r>
        <w:rPr>
          <w:rFonts w:hint="eastAsia"/>
          <w:sz w:val="24"/>
          <w:szCs w:val="24"/>
          <w:highlight w:val="none"/>
        </w:rPr>
      </w:r>
      <w:r/>
    </w:p>
    <w:p>
      <w:pPr>
        <w:pStyle w:val="932"/>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32"/>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32"/>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3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3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3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32"/>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32"/>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6"/>
        <w:ind w:firstLine="0"/>
        <w:rPr>
          <w:rFonts w:hint="eastAsia"/>
          <w:highlight w:val="none"/>
        </w:rPr>
      </w:pPr>
      <w:r>
        <w:rPr>
          <w:rFonts w:hint="eastAsia"/>
          <w:highlight w:val="none"/>
        </w:rPr>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32"/>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32"/>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3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3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3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3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3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88"/>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3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3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3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3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3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3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3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3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855"/>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3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23"/>
        <w:rPr>
          <w:rFonts w:hint="eastAsia"/>
          <w:highlight w:val="none"/>
        </w:rPr>
      </w:pPr>
      <w:r>
        <w:rPr>
          <w:rFonts w:hint="eastAsia"/>
          <w:highlight w:val="none"/>
        </w:rPr>
      </w:r>
      <w:r/>
    </w:p>
    <w:p>
      <w:pPr>
        <w:pStyle w:val="923"/>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8"/>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8"/>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855"/>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855"/>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8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855"/>
        <w:tblW w:w="9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88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88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884"/>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8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84"/>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5"/>
        <w:tblW w:w="9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88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2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2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ind w:firstLine="643"/>
        <w:spacing w:line="480" w:lineRule="exact"/>
        <w:rPr>
          <w:rFonts w:hint="eastAsia" w:ascii="宋体" w:hAnsi="宋体" w:eastAsia="宋体" w:cs="Times New Roman"/>
          <w:sz w:val="24"/>
          <w:highlight w:val="none"/>
        </w:rPr>
      </w:pPr>
      <w:r>
        <w:rPr>
          <w:rFonts w:hint="eastAsia" w:ascii="黑体" w:hAnsi="黑体" w:eastAsia="黑体"/>
          <w:b/>
          <w:sz w:val="32"/>
          <w:szCs w:val="32"/>
          <w:highlight w:val="none"/>
        </w:rPr>
        <w:br w:type="page" w:clear="all"/>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93"/>
          <w:rFonts w:hint="eastAsia"/>
          <w:i w:val="0"/>
          <w:highlight w:val="none"/>
          <w:u w:val="single"/>
          <w:shd w:val="clear" w:color="auto" w:fill="ffffff"/>
        </w:rPr>
        <w:t xml:space="preserve">（产品名称1）</w:t>
      </w:r>
      <w:r>
        <w:rPr>
          <w:rStyle w:val="89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93"/>
          <w:rFonts w:hint="eastAsia"/>
          <w:i w:val="0"/>
          <w:highlight w:val="none"/>
          <w:u w:val="single"/>
          <w:shd w:val="clear" w:color="auto" w:fill="ffffff"/>
        </w:rPr>
        <w:t xml:space="preserve">（厂名）</w:t>
      </w:r>
      <w:r>
        <w:rPr>
          <w:rStyle w:val="89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9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93"/>
          <w:rFonts w:hint="eastAsia"/>
          <w:i/>
          <w:strike w:val="0"/>
          <w:highlight w:val="none"/>
          <w:u w:val="single"/>
          <w:shd w:val="clear" w:color="auto" w:fill="ffffff"/>
        </w:rPr>
        <w:t xml:space="preserve">（规定比例）</w:t>
      </w:r>
      <w:r>
        <w:rPr>
          <w:rStyle w:val="893"/>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（关键组件）</w:t>
      </w:r>
      <w:r>
        <w:rPr>
          <w:rStyle w:val="893"/>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（关键工序）</w:t>
      </w:r>
      <w:r>
        <w:rPr>
          <w:rStyle w:val="893"/>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8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9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9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9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93"/>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8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8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8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8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8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73" w:name="OLE_LINK8"/>
      <w:r/>
      <w:bookmarkEnd w:id="73"/>
      <w:r/>
      <w:r/>
    </w:p>
    <w:p>
      <w:pPr>
        <w:numPr>
          <w:ilvl w:val="0"/>
          <w:numId w:val="0"/>
        </w:numPr>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72"/>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锐字工房云字库幼线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1"/>
        <w:rFonts w:ascii="宋体" w:hAnsi="宋体"/>
      </w:rPr>
      <w:framePr w:wrap="around" w:vAnchor="text" w:hAnchor="margin" w:xAlign="center" w:y="1"/>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４２</w:t>
    </w:r>
    <w:r>
      <w:rPr>
        <w:rFonts w:ascii="宋体" w:hAnsi="宋体"/>
      </w:rPr>
      <w:fldChar w:fldCharType="end"/>
    </w:r>
    <w:r/>
  </w:p>
  <w:p>
    <w:pPr>
      <w:pStyle w:val="87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0"/>
      <w:isLgl w:val="false"/>
      <w:suff w:val="nothing"/>
      <w:lvlText w:val=""/>
      <w:lvlJc w:val="left"/>
      <w:pPr>
        <w:ind w:left="0" w:firstLine="0"/>
      </w:pPr>
      <w:rPr>
        <w:rFonts w:hint="eastAsia"/>
      </w:rPr>
    </w:lvl>
    <w:lvl w:ilvl="6">
      <w:start w:val="1"/>
      <w:numFmt w:val="none"/>
      <w:pStyle w:val="851"/>
      <w:isLgl w:val="false"/>
      <w:suff w:val="nothing"/>
      <w:lvlText w:val=""/>
      <w:lvlJc w:val="left"/>
      <w:pPr>
        <w:ind w:left="0" w:firstLine="0"/>
      </w:pPr>
      <w:rPr>
        <w:rFonts w:hint="eastAsia"/>
      </w:rPr>
    </w:lvl>
    <w:lvl w:ilvl="7">
      <w:start w:val="1"/>
      <w:numFmt w:val="none"/>
      <w:pStyle w:val="852"/>
      <w:isLgl w:val="false"/>
      <w:suff w:val="nothing"/>
      <w:lvlText w:val=""/>
      <w:lvlJc w:val="left"/>
      <w:pPr>
        <w:ind w:left="0" w:firstLine="0"/>
      </w:pPr>
      <w:rPr>
        <w:rFonts w:hint="eastAsia"/>
      </w:rPr>
    </w:lvl>
    <w:lvl w:ilvl="8">
      <w:start w:val="1"/>
      <w:numFmt w:val="none"/>
      <w:pStyle w:val="853"/>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54"/>
    <w:link w:val="845"/>
    <w:uiPriority w:val="9"/>
    <w:rPr>
      <w:rFonts w:ascii="Arial" w:hAnsi="Arial" w:eastAsia="Arial" w:cs="Arial"/>
      <w:sz w:val="40"/>
      <w:szCs w:val="40"/>
    </w:rPr>
  </w:style>
  <w:style w:type="character" w:styleId="692">
    <w:name w:val="Heading 2 Char"/>
    <w:basedOn w:val="854"/>
    <w:link w:val="846"/>
    <w:uiPriority w:val="9"/>
    <w:rPr>
      <w:rFonts w:ascii="Arial" w:hAnsi="Arial" w:eastAsia="Arial" w:cs="Arial"/>
      <w:sz w:val="34"/>
    </w:rPr>
  </w:style>
  <w:style w:type="character" w:styleId="693">
    <w:name w:val="Heading 3 Char"/>
    <w:basedOn w:val="854"/>
    <w:link w:val="847"/>
    <w:uiPriority w:val="9"/>
    <w:rPr>
      <w:rFonts w:ascii="Arial" w:hAnsi="Arial" w:eastAsia="Arial" w:cs="Arial"/>
      <w:sz w:val="30"/>
      <w:szCs w:val="30"/>
    </w:rPr>
  </w:style>
  <w:style w:type="character" w:styleId="694">
    <w:name w:val="Heading 4 Char"/>
    <w:basedOn w:val="854"/>
    <w:link w:val="848"/>
    <w:uiPriority w:val="9"/>
    <w:rPr>
      <w:rFonts w:ascii="Arial" w:hAnsi="Arial" w:eastAsia="Arial" w:cs="Arial"/>
      <w:b/>
      <w:bCs/>
      <w:sz w:val="26"/>
      <w:szCs w:val="26"/>
    </w:rPr>
  </w:style>
  <w:style w:type="character" w:styleId="695">
    <w:name w:val="Heading 5 Char"/>
    <w:basedOn w:val="854"/>
    <w:link w:val="849"/>
    <w:uiPriority w:val="9"/>
    <w:rPr>
      <w:rFonts w:ascii="Arial" w:hAnsi="Arial" w:eastAsia="Arial" w:cs="Arial"/>
      <w:b/>
      <w:bCs/>
      <w:sz w:val="24"/>
      <w:szCs w:val="24"/>
    </w:rPr>
  </w:style>
  <w:style w:type="character" w:styleId="696">
    <w:name w:val="Heading 6 Char"/>
    <w:basedOn w:val="854"/>
    <w:link w:val="850"/>
    <w:uiPriority w:val="9"/>
    <w:rPr>
      <w:rFonts w:ascii="Arial" w:hAnsi="Arial" w:eastAsia="Arial" w:cs="Arial"/>
      <w:b/>
      <w:bCs/>
      <w:sz w:val="22"/>
      <w:szCs w:val="22"/>
    </w:rPr>
  </w:style>
  <w:style w:type="character" w:styleId="697">
    <w:name w:val="Heading 7 Char"/>
    <w:basedOn w:val="854"/>
    <w:link w:val="851"/>
    <w:uiPriority w:val="9"/>
    <w:rPr>
      <w:rFonts w:ascii="Arial" w:hAnsi="Arial" w:eastAsia="Arial" w:cs="Arial"/>
      <w:b/>
      <w:bCs/>
      <w:i/>
      <w:iCs/>
      <w:sz w:val="22"/>
      <w:szCs w:val="22"/>
    </w:rPr>
  </w:style>
  <w:style w:type="character" w:styleId="698">
    <w:name w:val="Heading 8 Char"/>
    <w:basedOn w:val="854"/>
    <w:link w:val="852"/>
    <w:uiPriority w:val="9"/>
    <w:rPr>
      <w:rFonts w:ascii="Arial" w:hAnsi="Arial" w:eastAsia="Arial" w:cs="Arial"/>
      <w:i/>
      <w:iCs/>
      <w:sz w:val="22"/>
      <w:szCs w:val="22"/>
    </w:rPr>
  </w:style>
  <w:style w:type="character" w:styleId="699">
    <w:name w:val="Heading 9 Char"/>
    <w:basedOn w:val="854"/>
    <w:link w:val="853"/>
    <w:uiPriority w:val="9"/>
    <w:rPr>
      <w:rFonts w:ascii="Arial" w:hAnsi="Arial" w:eastAsia="Arial" w:cs="Arial"/>
      <w:i/>
      <w:iCs/>
      <w:sz w:val="21"/>
      <w:szCs w:val="21"/>
    </w:rPr>
  </w:style>
  <w:style w:type="paragraph" w:styleId="700">
    <w:name w:val="Title"/>
    <w:basedOn w:val="844"/>
    <w:next w:val="844"/>
    <w:link w:val="701"/>
    <w:uiPriority w:val="10"/>
    <w:qFormat/>
    <w:pPr>
      <w:contextualSpacing/>
      <w:spacing w:before="300" w:after="200"/>
    </w:pPr>
    <w:rPr>
      <w:sz w:val="48"/>
      <w:szCs w:val="48"/>
    </w:rPr>
  </w:style>
  <w:style w:type="character" w:styleId="701">
    <w:name w:val="Title Char"/>
    <w:basedOn w:val="854"/>
    <w:link w:val="700"/>
    <w:uiPriority w:val="10"/>
    <w:rPr>
      <w:sz w:val="48"/>
      <w:szCs w:val="48"/>
    </w:rPr>
  </w:style>
  <w:style w:type="paragraph" w:styleId="702">
    <w:name w:val="Subtitle"/>
    <w:basedOn w:val="844"/>
    <w:next w:val="844"/>
    <w:link w:val="703"/>
    <w:uiPriority w:val="11"/>
    <w:qFormat/>
    <w:pPr>
      <w:spacing w:before="200" w:after="200"/>
    </w:pPr>
    <w:rPr>
      <w:sz w:val="24"/>
      <w:szCs w:val="24"/>
    </w:rPr>
  </w:style>
  <w:style w:type="character" w:styleId="703">
    <w:name w:val="Subtitle Char"/>
    <w:basedOn w:val="854"/>
    <w:link w:val="702"/>
    <w:uiPriority w:val="11"/>
    <w:rPr>
      <w:sz w:val="24"/>
      <w:szCs w:val="24"/>
    </w:rPr>
  </w:style>
  <w:style w:type="paragraph" w:styleId="704">
    <w:name w:val="Quote"/>
    <w:basedOn w:val="844"/>
    <w:next w:val="844"/>
    <w:link w:val="705"/>
    <w:uiPriority w:val="29"/>
    <w:qFormat/>
    <w:pPr>
      <w:ind w:left="720" w:right="720"/>
    </w:pPr>
    <w:rPr>
      <w:i/>
    </w:rPr>
  </w:style>
  <w:style w:type="character" w:styleId="705">
    <w:name w:val="Quote Char"/>
    <w:link w:val="704"/>
    <w:uiPriority w:val="29"/>
    <w:rPr>
      <w:i/>
    </w:rPr>
  </w:style>
  <w:style w:type="paragraph" w:styleId="706">
    <w:name w:val="Intense Quote"/>
    <w:basedOn w:val="844"/>
    <w:next w:val="84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4"/>
    <w:link w:val="874"/>
    <w:uiPriority w:val="99"/>
  </w:style>
  <w:style w:type="character" w:styleId="709">
    <w:name w:val="Footer Char"/>
    <w:basedOn w:val="854"/>
    <w:link w:val="873"/>
    <w:uiPriority w:val="99"/>
  </w:style>
  <w:style w:type="paragraph" w:styleId="710">
    <w:name w:val="Caption"/>
    <w:basedOn w:val="844"/>
    <w:next w:val="844"/>
    <w:uiPriority w:val="35"/>
    <w:semiHidden/>
    <w:unhideWhenUsed/>
    <w:qFormat/>
    <w:pPr>
      <w:spacing w:line="276" w:lineRule="auto"/>
    </w:pPr>
    <w:rPr>
      <w:b/>
      <w:bCs/>
      <w:color w:val="4f81bd" w:themeColor="accent1"/>
      <w:sz w:val="18"/>
      <w:szCs w:val="18"/>
    </w:rPr>
  </w:style>
  <w:style w:type="character" w:styleId="711">
    <w:name w:val="Caption Char"/>
    <w:basedOn w:val="710"/>
    <w:link w:val="873"/>
    <w:uiPriority w:val="99"/>
  </w:style>
  <w:style w:type="table" w:styleId="712">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48">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49">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50">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51">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52">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53">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0">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3">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84">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5">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6">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87">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88">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90">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91">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92">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93">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94">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5">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04">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5">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6">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07">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08">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09">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11">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12">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13">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14">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5">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6">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18">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19">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0">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1">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2">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3">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5">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6">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7">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8">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9">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30">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7">
    <w:name w:val="footnote text"/>
    <w:basedOn w:val="84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4"/>
    <w:uiPriority w:val="99"/>
    <w:unhideWhenUsed/>
    <w:rPr>
      <w:vertAlign w:val="superscript"/>
    </w:rPr>
  </w:style>
  <w:style w:type="paragraph" w:styleId="840">
    <w:name w:val="endnote text"/>
    <w:basedOn w:val="84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4"/>
    <w:uiPriority w:val="99"/>
    <w:semiHidden/>
    <w:unhideWhenUsed/>
    <w:rPr>
      <w:vertAlign w:val="superscript"/>
    </w:rPr>
  </w:style>
  <w:style w:type="paragraph" w:styleId="843">
    <w:name w:val="TOC Heading"/>
    <w:uiPriority w:val="39"/>
    <w:unhideWhenUsed/>
  </w:style>
  <w:style w:type="paragraph" w:styleId="84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5">
    <w:name w:val="Heading 1"/>
    <w:basedOn w:val="844"/>
    <w:next w:val="844"/>
    <w:link w:val="898"/>
    <w:uiPriority w:val="0"/>
    <w:qFormat/>
    <w:pPr>
      <w:jc w:val="center"/>
      <w:keepNext/>
      <w:outlineLvl w:val="0"/>
    </w:pPr>
    <w:rPr>
      <w:rFonts w:ascii="楷体_GB2312" w:eastAsia="楷体_GB2312"/>
      <w:sz w:val="28"/>
      <w:szCs w:val="28"/>
    </w:rPr>
  </w:style>
  <w:style w:type="paragraph" w:styleId="846">
    <w:name w:val="Heading 2"/>
    <w:basedOn w:val="844"/>
    <w:next w:val="844"/>
    <w:link w:val="899"/>
    <w:uiPriority w:val="0"/>
    <w:qFormat/>
    <w:pPr>
      <w:jc w:val="center"/>
      <w:keepLines/>
      <w:keepNext/>
      <w:spacing w:before="260" w:after="260" w:line="416" w:lineRule="auto"/>
      <w:outlineLvl w:val="1"/>
    </w:pPr>
    <w:rPr>
      <w:rFonts w:ascii="Arial" w:hAnsi="Arial" w:eastAsia="锐字工房云字库幼线GBK" w:cs="Arial"/>
      <w:b/>
      <w:bCs/>
      <w:sz w:val="44"/>
      <w:szCs w:val="44"/>
    </w:rPr>
  </w:style>
  <w:style w:type="paragraph" w:styleId="847">
    <w:name w:val="Heading 3"/>
    <w:basedOn w:val="844"/>
    <w:next w:val="856"/>
    <w:link w:val="900"/>
    <w:uiPriority w:val="0"/>
    <w:qFormat/>
    <w:pPr>
      <w:keepLines/>
      <w:keepNext/>
      <w:spacing w:before="260" w:after="260" w:line="416" w:lineRule="auto"/>
      <w:outlineLvl w:val="2"/>
    </w:pPr>
    <w:rPr>
      <w:b/>
      <w:bCs/>
      <w:sz w:val="32"/>
      <w:szCs w:val="32"/>
    </w:rPr>
  </w:style>
  <w:style w:type="paragraph" w:styleId="848">
    <w:name w:val="Heading 4"/>
    <w:basedOn w:val="844"/>
    <w:next w:val="856"/>
    <w:link w:val="902"/>
    <w:uiPriority w:val="0"/>
    <w:qFormat/>
    <w:pPr>
      <w:keepLines/>
      <w:keepNext/>
      <w:spacing w:before="280" w:after="290" w:line="376" w:lineRule="auto"/>
      <w:outlineLvl w:val="3"/>
    </w:pPr>
    <w:rPr>
      <w:rFonts w:ascii="Arial" w:hAnsi="Arial" w:eastAsia="黑体" w:cs="Arial"/>
      <w:b/>
      <w:bCs/>
      <w:sz w:val="28"/>
      <w:szCs w:val="28"/>
    </w:rPr>
  </w:style>
  <w:style w:type="paragraph" w:styleId="849">
    <w:name w:val="Heading 5"/>
    <w:basedOn w:val="844"/>
    <w:next w:val="856"/>
    <w:link w:val="903"/>
    <w:uiPriority w:val="0"/>
    <w:qFormat/>
    <w:pPr>
      <w:keepNext/>
      <w:outlineLvl w:val="4"/>
    </w:pPr>
    <w:rPr>
      <w:rFonts w:ascii="宋体"/>
      <w:color w:val="000000"/>
      <w:sz w:val="28"/>
      <w:szCs w:val="28"/>
    </w:rPr>
  </w:style>
  <w:style w:type="paragraph" w:styleId="850">
    <w:name w:val="Heading 6"/>
    <w:basedOn w:val="844"/>
    <w:next w:val="844"/>
    <w:link w:val="9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1">
    <w:name w:val="Heading 7"/>
    <w:basedOn w:val="844"/>
    <w:next w:val="844"/>
    <w:link w:val="905"/>
    <w:uiPriority w:val="0"/>
    <w:qFormat/>
    <w:pPr>
      <w:numPr>
        <w:ilvl w:val="6"/>
        <w:numId w:val="1"/>
      </w:numPr>
      <w:keepLines/>
      <w:keepNext/>
      <w:spacing w:before="240" w:after="64" w:line="320" w:lineRule="auto"/>
      <w:outlineLvl w:val="6"/>
    </w:pPr>
    <w:rPr>
      <w:b/>
      <w:bCs/>
      <w:sz w:val="24"/>
      <w:szCs w:val="24"/>
    </w:rPr>
  </w:style>
  <w:style w:type="paragraph" w:styleId="852">
    <w:name w:val="Heading 8"/>
    <w:basedOn w:val="844"/>
    <w:next w:val="844"/>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3">
    <w:name w:val="Heading 9"/>
    <w:basedOn w:val="844"/>
    <w:next w:val="844"/>
    <w:link w:val="907"/>
    <w:uiPriority w:val="0"/>
    <w:qFormat/>
    <w:pPr>
      <w:numPr>
        <w:ilvl w:val="8"/>
        <w:numId w:val="1"/>
      </w:numPr>
      <w:keepLines/>
      <w:keepNext/>
      <w:spacing w:before="240" w:after="64" w:line="320" w:lineRule="auto"/>
      <w:outlineLvl w:val="8"/>
    </w:pPr>
    <w:rPr>
      <w:rFonts w:ascii="Arial" w:hAnsi="Arial" w:eastAsia="黑体"/>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link w:val="901"/>
    <w:uiPriority w:val="0"/>
    <w:qFormat/>
    <w:pPr>
      <w:ind w:firstLine="420"/>
    </w:pPr>
    <w:rPr>
      <w:szCs w:val="21"/>
    </w:rPr>
  </w:style>
  <w:style w:type="paragraph" w:styleId="857">
    <w:name w:val="List 3"/>
    <w:basedOn w:val="844"/>
    <w:uiPriority w:val="0"/>
    <w:qFormat/>
    <w:pPr>
      <w:ind w:left="100" w:hanging="200"/>
    </w:pPr>
    <w:rPr>
      <w:szCs w:val="21"/>
    </w:rPr>
  </w:style>
  <w:style w:type="paragraph" w:styleId="858">
    <w:name w:val="toc 7"/>
    <w:basedOn w:val="844"/>
    <w:next w:val="844"/>
    <w:uiPriority w:val="0"/>
    <w:semiHidden/>
    <w:qFormat/>
    <w:pPr>
      <w:ind w:left="1260"/>
      <w:jc w:val="left"/>
    </w:pPr>
    <w:rPr>
      <w:szCs w:val="21"/>
    </w:rPr>
  </w:style>
  <w:style w:type="paragraph" w:styleId="859">
    <w:name w:val="Document Map"/>
    <w:basedOn w:val="844"/>
    <w:link w:val="908"/>
    <w:uiPriority w:val="0"/>
    <w:semiHidden/>
    <w:qFormat/>
    <w:pPr>
      <w:shd w:val="clear" w:color="auto" w:fill="000080"/>
    </w:pPr>
    <w:rPr>
      <w:szCs w:val="21"/>
    </w:rPr>
  </w:style>
  <w:style w:type="paragraph" w:styleId="860">
    <w:name w:val="annotation text"/>
    <w:basedOn w:val="844"/>
    <w:link w:val="922"/>
    <w:uiPriority w:val="0"/>
    <w:unhideWhenUsed/>
    <w:qFormat/>
    <w:pPr>
      <w:jc w:val="left"/>
    </w:pPr>
    <w:rPr>
      <w:rFonts w:ascii="Calibri" w:hAnsi="Calibri"/>
      <w:szCs w:val="24"/>
    </w:rPr>
  </w:style>
  <w:style w:type="paragraph" w:styleId="861">
    <w:name w:val="Body Text 3"/>
    <w:basedOn w:val="844"/>
    <w:link w:val="910"/>
    <w:uiPriority w:val="0"/>
    <w:qFormat/>
    <w:rPr>
      <w:rFonts w:ascii="仿宋_GB2312" w:hAnsi="Arial" w:eastAsia="仿宋_GB2312"/>
      <w:sz w:val="32"/>
      <w:szCs w:val="32"/>
    </w:rPr>
  </w:style>
  <w:style w:type="paragraph" w:styleId="862">
    <w:name w:val="Body Text"/>
    <w:basedOn w:val="844"/>
    <w:link w:val="911"/>
    <w:uiPriority w:val="0"/>
    <w:qFormat/>
    <w:rPr>
      <w:rFonts w:ascii="楷体_GB2312" w:hAnsi="Arial" w:eastAsia="楷体_GB2312"/>
      <w:sz w:val="28"/>
      <w:szCs w:val="28"/>
    </w:rPr>
  </w:style>
  <w:style w:type="paragraph" w:styleId="863">
    <w:name w:val="Body Text Indent"/>
    <w:basedOn w:val="844"/>
    <w:next w:val="864"/>
    <w:link w:val="896"/>
    <w:uiPriority w:val="0"/>
    <w:unhideWhenUsed/>
    <w:qFormat/>
    <w:pPr>
      <w:ind w:left="420"/>
      <w:spacing w:after="120"/>
    </w:pPr>
  </w:style>
  <w:style w:type="paragraph" w:styleId="864">
    <w:name w:val="envelope return"/>
    <w:basedOn w:val="844"/>
    <w:uiPriority w:val="0"/>
    <w:qFormat/>
    <w:rPr>
      <w:rFonts w:ascii="Arial" w:hAnsi="Arial" w:cs="宋体"/>
    </w:rPr>
  </w:style>
  <w:style w:type="paragraph" w:styleId="865">
    <w:name w:val="List 2"/>
    <w:basedOn w:val="844"/>
    <w:uiPriority w:val="0"/>
    <w:qFormat/>
    <w:pPr>
      <w:ind w:left="100" w:hanging="200"/>
    </w:pPr>
    <w:rPr>
      <w:szCs w:val="21"/>
    </w:rPr>
  </w:style>
  <w:style w:type="paragraph" w:styleId="866">
    <w:name w:val="toc 5"/>
    <w:basedOn w:val="844"/>
    <w:next w:val="844"/>
    <w:uiPriority w:val="0"/>
    <w:semiHidden/>
    <w:qFormat/>
    <w:pPr>
      <w:ind w:left="840"/>
      <w:jc w:val="left"/>
    </w:pPr>
    <w:rPr>
      <w:szCs w:val="21"/>
    </w:rPr>
  </w:style>
  <w:style w:type="paragraph" w:styleId="867">
    <w:name w:val="toc 3"/>
    <w:basedOn w:val="844"/>
    <w:next w:val="844"/>
    <w:uiPriority w:val="0"/>
    <w:semiHidden/>
    <w:qFormat/>
    <w:pPr>
      <w:ind w:left="420"/>
      <w:jc w:val="left"/>
    </w:pPr>
    <w:rPr>
      <w:i/>
      <w:iCs/>
      <w:szCs w:val="24"/>
    </w:rPr>
  </w:style>
  <w:style w:type="paragraph" w:styleId="868">
    <w:name w:val="Plain Text"/>
    <w:basedOn w:val="844"/>
    <w:link w:val="912"/>
    <w:uiPriority w:val="0"/>
    <w:qFormat/>
    <w:rPr>
      <w:rFonts w:ascii="宋体" w:hAnsi="Courier New" w:cs="Courier New"/>
      <w:szCs w:val="21"/>
    </w:rPr>
  </w:style>
  <w:style w:type="paragraph" w:styleId="869">
    <w:name w:val="toc 8"/>
    <w:basedOn w:val="844"/>
    <w:next w:val="844"/>
    <w:uiPriority w:val="0"/>
    <w:semiHidden/>
    <w:qFormat/>
    <w:pPr>
      <w:ind w:left="1470"/>
      <w:jc w:val="left"/>
    </w:pPr>
    <w:rPr>
      <w:szCs w:val="21"/>
    </w:rPr>
  </w:style>
  <w:style w:type="paragraph" w:styleId="870">
    <w:name w:val="Date"/>
    <w:basedOn w:val="844"/>
    <w:next w:val="844"/>
    <w:link w:val="913"/>
    <w:uiPriority w:val="0"/>
    <w:qFormat/>
    <w:rPr>
      <w:sz w:val="24"/>
      <w:szCs w:val="24"/>
    </w:rPr>
  </w:style>
  <w:style w:type="paragraph" w:styleId="871">
    <w:name w:val="Body Text Indent 2"/>
    <w:basedOn w:val="844"/>
    <w:link w:val="914"/>
    <w:uiPriority w:val="0"/>
    <w:qFormat/>
    <w:pPr>
      <w:ind w:left="630" w:firstLine="645"/>
    </w:pPr>
    <w:rPr>
      <w:rFonts w:ascii="Arial" w:hAnsi="Arial" w:eastAsia="仿宋_GB2312" w:cs="Arial"/>
      <w:sz w:val="32"/>
      <w:szCs w:val="32"/>
    </w:rPr>
  </w:style>
  <w:style w:type="paragraph" w:styleId="872">
    <w:name w:val="Balloon Text"/>
    <w:basedOn w:val="844"/>
    <w:link w:val="915"/>
    <w:uiPriority w:val="0"/>
    <w:semiHidden/>
    <w:qFormat/>
    <w:rPr>
      <w:sz w:val="18"/>
      <w:szCs w:val="18"/>
    </w:rPr>
  </w:style>
  <w:style w:type="paragraph" w:styleId="873">
    <w:name w:val="Footer"/>
    <w:basedOn w:val="844"/>
    <w:link w:val="916"/>
    <w:uiPriority w:val="0"/>
    <w:qFormat/>
    <w:pPr>
      <w:jc w:val="left"/>
      <w:tabs>
        <w:tab w:val="center" w:pos="4153" w:leader="none"/>
        <w:tab w:val="right" w:pos="8306" w:leader="none"/>
      </w:tabs>
    </w:pPr>
    <w:rPr>
      <w:sz w:val="18"/>
      <w:szCs w:val="18"/>
    </w:rPr>
  </w:style>
  <w:style w:type="paragraph" w:styleId="874">
    <w:name w:val="Header"/>
    <w:basedOn w:val="844"/>
    <w:link w:val="917"/>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4"/>
    <w:next w:val="844"/>
    <w:uiPriority w:val="0"/>
    <w:semiHidden/>
    <w:qFormat/>
    <w:pPr>
      <w:jc w:val="left"/>
      <w:spacing w:before="120" w:after="120" w:line="400" w:lineRule="exact"/>
      <w:tabs>
        <w:tab w:val="right" w:pos="8720" w:leader="dot"/>
      </w:tabs>
    </w:pPr>
    <w:rPr>
      <w:rFonts w:ascii="宋体" w:hAnsi="宋体"/>
      <w:caps/>
      <w:sz w:val="24"/>
      <w:szCs w:val="24"/>
    </w:rPr>
  </w:style>
  <w:style w:type="paragraph" w:styleId="876">
    <w:name w:val="toc 4"/>
    <w:basedOn w:val="844"/>
    <w:next w:val="844"/>
    <w:uiPriority w:val="0"/>
    <w:semiHidden/>
    <w:qFormat/>
    <w:pPr>
      <w:ind w:left="630"/>
      <w:jc w:val="left"/>
    </w:pPr>
    <w:rPr>
      <w:szCs w:val="21"/>
    </w:rPr>
  </w:style>
  <w:style w:type="paragraph" w:styleId="877">
    <w:name w:val="List"/>
    <w:basedOn w:val="844"/>
    <w:uiPriority w:val="0"/>
    <w:qFormat/>
    <w:pPr>
      <w:ind w:left="200" w:hanging="200"/>
    </w:pPr>
    <w:rPr>
      <w:szCs w:val="21"/>
    </w:rPr>
  </w:style>
  <w:style w:type="paragraph" w:styleId="878">
    <w:name w:val="toc 6"/>
    <w:basedOn w:val="844"/>
    <w:next w:val="844"/>
    <w:uiPriority w:val="0"/>
    <w:semiHidden/>
    <w:qFormat/>
    <w:pPr>
      <w:ind w:left="1050"/>
      <w:jc w:val="left"/>
    </w:pPr>
    <w:rPr>
      <w:szCs w:val="21"/>
    </w:rPr>
  </w:style>
  <w:style w:type="paragraph" w:styleId="879">
    <w:name w:val="Body Text Indent 3"/>
    <w:basedOn w:val="844"/>
    <w:link w:val="918"/>
    <w:uiPriority w:val="0"/>
    <w:qFormat/>
    <w:pPr>
      <w:ind w:left="645" w:firstLine="645"/>
    </w:pPr>
    <w:rPr>
      <w:rFonts w:ascii="Arial" w:hAnsi="Arial" w:eastAsia="仿宋_GB2312" w:cs="Arial"/>
      <w:color w:val="ffff00"/>
      <w:sz w:val="32"/>
      <w:szCs w:val="32"/>
    </w:rPr>
  </w:style>
  <w:style w:type="paragraph" w:styleId="880">
    <w:name w:val="table of figures"/>
    <w:basedOn w:val="844"/>
    <w:next w:val="844"/>
    <w:uiPriority w:val="0"/>
    <w:semiHidden/>
    <w:qFormat/>
    <w:pPr>
      <w:ind w:left="840" w:hanging="420"/>
    </w:pPr>
    <w:rPr>
      <w:szCs w:val="21"/>
    </w:rPr>
  </w:style>
  <w:style w:type="paragraph" w:styleId="881">
    <w:name w:val="toc 2"/>
    <w:basedOn w:val="844"/>
    <w:next w:val="844"/>
    <w:uiPriority w:val="0"/>
    <w:semiHidden/>
    <w:qFormat/>
    <w:pPr>
      <w:ind w:left="210"/>
      <w:jc w:val="left"/>
    </w:pPr>
    <w:rPr>
      <w:smallCaps/>
      <w:szCs w:val="24"/>
    </w:rPr>
  </w:style>
  <w:style w:type="paragraph" w:styleId="882">
    <w:name w:val="toc 9"/>
    <w:basedOn w:val="844"/>
    <w:next w:val="844"/>
    <w:uiPriority w:val="0"/>
    <w:semiHidden/>
    <w:qFormat/>
    <w:pPr>
      <w:ind w:left="1680"/>
      <w:jc w:val="left"/>
    </w:pPr>
    <w:rPr>
      <w:szCs w:val="21"/>
    </w:rPr>
  </w:style>
  <w:style w:type="paragraph" w:styleId="883">
    <w:name w:val="Body Text 2"/>
    <w:basedOn w:val="844"/>
    <w:link w:val="919"/>
    <w:uiPriority w:val="0"/>
    <w:qFormat/>
    <w:pPr>
      <w:jc w:val="center"/>
      <w:widowControl/>
    </w:pPr>
    <w:rPr>
      <w:rFonts w:ascii="楷体_GB2312" w:eastAsia="楷体_GB2312"/>
      <w:sz w:val="28"/>
      <w:szCs w:val="28"/>
    </w:rPr>
  </w:style>
  <w:style w:type="paragraph" w:styleId="884">
    <w:name w:val="Normal (Web)"/>
    <w:basedOn w:val="844"/>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4"/>
    <w:next w:val="844"/>
    <w:uiPriority w:val="0"/>
    <w:semiHidden/>
    <w:qFormat/>
    <w:pPr>
      <w:spacing w:line="240" w:lineRule="atLeast"/>
    </w:pPr>
    <w:rPr>
      <w:b/>
      <w:bCs/>
      <w:szCs w:val="21"/>
    </w:rPr>
  </w:style>
  <w:style w:type="paragraph" w:styleId="886">
    <w:name w:val="annotation subject"/>
    <w:basedOn w:val="860"/>
    <w:next w:val="860"/>
    <w:link w:val="920"/>
    <w:uiPriority w:val="0"/>
    <w:semiHidden/>
    <w:qFormat/>
    <w:rPr>
      <w:rFonts w:ascii="Times New Roman" w:hAnsi="Times New Roman"/>
      <w:b/>
      <w:bCs/>
      <w:szCs w:val="21"/>
    </w:rPr>
  </w:style>
  <w:style w:type="paragraph" w:styleId="887">
    <w:name w:val="Body Text First Indent"/>
    <w:basedOn w:val="844"/>
    <w:link w:val="921"/>
    <w:uiPriority w:val="0"/>
    <w:qFormat/>
    <w:pPr>
      <w:ind w:firstLine="200"/>
      <w:spacing w:line="360" w:lineRule="auto"/>
    </w:pPr>
    <w:rPr>
      <w:rFonts w:ascii="仿宋_GB2312" w:eastAsia="仿宋_GB2312"/>
      <w:sz w:val="30"/>
      <w:szCs w:val="30"/>
    </w:rPr>
  </w:style>
  <w:style w:type="paragraph" w:styleId="888">
    <w:name w:val="Body Text First Indent 2"/>
    <w:basedOn w:val="863"/>
    <w:next w:val="844"/>
    <w:link w:val="897"/>
    <w:uiPriority w:val="0"/>
    <w:qFormat/>
    <w:pPr>
      <w:ind w:left="0" w:firstLine="420"/>
      <w:spacing w:after="0" w:line="360" w:lineRule="auto"/>
    </w:pPr>
    <w:rPr>
      <w:rFonts w:ascii="宋体" w:hAnsi="宋体"/>
      <w:sz w:val="20"/>
      <w:szCs w:val="20"/>
      <w:lang w:eastAsia="en-US"/>
    </w:rPr>
  </w:style>
  <w:style w:type="table" w:styleId="889">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0"/>
    <w:qFormat/>
    <w:rPr>
      <w:b/>
      <w:bCs/>
    </w:rPr>
  </w:style>
  <w:style w:type="character" w:styleId="891">
    <w:name w:val="page number"/>
    <w:uiPriority w:val="0"/>
    <w:qFormat/>
  </w:style>
  <w:style w:type="character" w:styleId="892">
    <w:name w:val="FollowedHyperlink"/>
    <w:uiPriority w:val="0"/>
    <w:qFormat/>
    <w:rPr>
      <w:color w:val="800080"/>
      <w:u w:val="single"/>
    </w:rPr>
  </w:style>
  <w:style w:type="character" w:styleId="893">
    <w:name w:val="Emphasis"/>
    <w:uiPriority w:val="0"/>
    <w:qFormat/>
    <w:rPr>
      <w:i/>
    </w:rPr>
  </w:style>
  <w:style w:type="character" w:styleId="894">
    <w:name w:val="Hyperlink"/>
    <w:uiPriority w:val="0"/>
    <w:qFormat/>
    <w:rPr>
      <w:color w:val="0000ff"/>
      <w:u w:val="single"/>
    </w:rPr>
  </w:style>
  <w:style w:type="character" w:styleId="895">
    <w:name w:val="annotation reference"/>
    <w:uiPriority w:val="0"/>
    <w:semiHidden/>
    <w:qFormat/>
    <w:rPr>
      <w:sz w:val="21"/>
      <w:szCs w:val="21"/>
    </w:rPr>
  </w:style>
  <w:style w:type="character" w:styleId="896" w:customStyle="1">
    <w:name w:val="正文文本缩进 字符"/>
    <w:link w:val="863"/>
    <w:uiPriority w:val="99"/>
    <w:semiHidden/>
    <w:qFormat/>
  </w:style>
  <w:style w:type="character" w:styleId="897" w:customStyle="1">
    <w:name w:val="正文文本首行缩进 2 字符"/>
    <w:link w:val="888"/>
    <w:uiPriority w:val="0"/>
    <w:qFormat/>
    <w:rPr>
      <w:rFonts w:ascii="宋体" w:hAnsi="宋体" w:eastAsia="宋体" w:cs="Times New Roman"/>
      <w:szCs w:val="20"/>
    </w:rPr>
  </w:style>
  <w:style w:type="character" w:styleId="898" w:customStyle="1">
    <w:name w:val="标题 1 字符"/>
    <w:link w:val="845"/>
    <w:uiPriority w:val="0"/>
    <w:qFormat/>
    <w:rPr>
      <w:rFonts w:ascii="楷体_GB2312" w:hAnsi="Times New Roman" w:eastAsia="楷体_GB2312" w:cs="Times New Roman"/>
      <w:sz w:val="28"/>
      <w:szCs w:val="28"/>
    </w:rPr>
  </w:style>
  <w:style w:type="character" w:styleId="899" w:customStyle="1">
    <w:name w:val="标题 2 字符"/>
    <w:link w:val="846"/>
    <w:uiPriority w:val="0"/>
    <w:qFormat/>
    <w:rPr>
      <w:rFonts w:ascii="Arial" w:hAnsi="Arial" w:eastAsia="锐字工房云字库幼线GBK" w:cs="Arial"/>
      <w:b/>
      <w:bCs/>
      <w:sz w:val="44"/>
      <w:szCs w:val="44"/>
    </w:rPr>
  </w:style>
  <w:style w:type="character" w:styleId="900" w:customStyle="1">
    <w:name w:val="标题 3 字符"/>
    <w:link w:val="847"/>
    <w:uiPriority w:val="0"/>
    <w:qFormat/>
    <w:rPr>
      <w:rFonts w:ascii="Times New Roman" w:hAnsi="Times New Roman" w:eastAsia="宋体" w:cs="Times New Roman"/>
      <w:b/>
      <w:bCs/>
      <w:sz w:val="32"/>
      <w:szCs w:val="32"/>
    </w:rPr>
  </w:style>
  <w:style w:type="character" w:styleId="901" w:customStyle="1">
    <w:name w:val="正文缩进 字符"/>
    <w:link w:val="856"/>
    <w:uiPriority w:val="0"/>
    <w:qFormat/>
    <w:rPr>
      <w:szCs w:val="21"/>
    </w:rPr>
  </w:style>
  <w:style w:type="character" w:styleId="902" w:customStyle="1">
    <w:name w:val="标题 4 字符"/>
    <w:link w:val="848"/>
    <w:uiPriority w:val="0"/>
    <w:qFormat/>
    <w:rPr>
      <w:rFonts w:ascii="Arial" w:hAnsi="Arial" w:eastAsia="黑体" w:cs="Arial"/>
      <w:b/>
      <w:bCs/>
      <w:sz w:val="28"/>
      <w:szCs w:val="28"/>
    </w:rPr>
  </w:style>
  <w:style w:type="character" w:styleId="903" w:customStyle="1">
    <w:name w:val="标题 5 字符"/>
    <w:link w:val="849"/>
    <w:uiPriority w:val="0"/>
    <w:qFormat/>
    <w:rPr>
      <w:rFonts w:ascii="宋体" w:hAnsi="Times New Roman" w:eastAsia="宋体" w:cs="Times New Roman"/>
      <w:color w:val="000000"/>
      <w:sz w:val="28"/>
      <w:szCs w:val="28"/>
    </w:rPr>
  </w:style>
  <w:style w:type="character" w:styleId="904" w:customStyle="1">
    <w:name w:val="标题 6 字符"/>
    <w:link w:val="850"/>
    <w:uiPriority w:val="0"/>
    <w:qFormat/>
    <w:rPr>
      <w:rFonts w:ascii="Arial" w:hAnsi="Arial" w:eastAsia="黑体" w:cs="Times New Roman"/>
      <w:b/>
      <w:bCs/>
      <w:sz w:val="24"/>
      <w:szCs w:val="24"/>
    </w:rPr>
  </w:style>
  <w:style w:type="character" w:styleId="905" w:customStyle="1">
    <w:name w:val="标题 7 字符"/>
    <w:link w:val="851"/>
    <w:uiPriority w:val="0"/>
    <w:qFormat/>
    <w:rPr>
      <w:rFonts w:ascii="Times New Roman" w:hAnsi="Times New Roman" w:eastAsia="宋体" w:cs="Times New Roman"/>
      <w:b/>
      <w:bCs/>
      <w:sz w:val="24"/>
      <w:szCs w:val="24"/>
    </w:rPr>
  </w:style>
  <w:style w:type="character" w:styleId="906" w:customStyle="1">
    <w:name w:val="标题 8 字符"/>
    <w:link w:val="852"/>
    <w:uiPriority w:val="0"/>
    <w:qFormat/>
    <w:rPr>
      <w:rFonts w:ascii="Arial" w:hAnsi="Arial" w:eastAsia="黑体" w:cs="Times New Roman"/>
      <w:sz w:val="24"/>
      <w:szCs w:val="24"/>
    </w:rPr>
  </w:style>
  <w:style w:type="character" w:styleId="907" w:customStyle="1">
    <w:name w:val="标题 9 字符"/>
    <w:link w:val="853"/>
    <w:uiPriority w:val="0"/>
    <w:qFormat/>
    <w:rPr>
      <w:rFonts w:ascii="Arial" w:hAnsi="Arial" w:eastAsia="黑体" w:cs="Times New Roman"/>
      <w:szCs w:val="21"/>
    </w:rPr>
  </w:style>
  <w:style w:type="character" w:styleId="908" w:customStyle="1">
    <w:name w:val="文档结构图 字符"/>
    <w:link w:val="859"/>
    <w:uiPriority w:val="0"/>
    <w:semiHidden/>
    <w:qFormat/>
    <w:rPr>
      <w:rFonts w:ascii="Times New Roman" w:hAnsi="Times New Roman" w:eastAsia="宋体" w:cs="Times New Roman"/>
      <w:szCs w:val="21"/>
      <w:shd w:val="clear" w:color="auto" w:fill="000080"/>
    </w:rPr>
  </w:style>
  <w:style w:type="character" w:styleId="909" w:customStyle="1">
    <w:name w:val="批注文字 字符1"/>
    <w:uiPriority w:val="99"/>
    <w:semiHidden/>
    <w:qFormat/>
  </w:style>
  <w:style w:type="character" w:styleId="910" w:customStyle="1">
    <w:name w:val="正文文本 3 字符"/>
    <w:link w:val="861"/>
    <w:uiPriority w:val="0"/>
    <w:qFormat/>
    <w:rPr>
      <w:rFonts w:ascii="仿宋_GB2312" w:hAnsi="Arial" w:eastAsia="仿宋_GB2312" w:cs="Times New Roman"/>
      <w:sz w:val="32"/>
      <w:szCs w:val="32"/>
    </w:rPr>
  </w:style>
  <w:style w:type="character" w:styleId="911" w:customStyle="1">
    <w:name w:val="正文文本 字符"/>
    <w:link w:val="862"/>
    <w:uiPriority w:val="0"/>
    <w:qFormat/>
    <w:rPr>
      <w:rFonts w:ascii="楷体_GB2312" w:hAnsi="Arial" w:eastAsia="楷体_GB2312" w:cs="Times New Roman"/>
      <w:sz w:val="28"/>
      <w:szCs w:val="28"/>
    </w:rPr>
  </w:style>
  <w:style w:type="character" w:styleId="912" w:customStyle="1">
    <w:name w:val="纯文本 字符"/>
    <w:link w:val="868"/>
    <w:uiPriority w:val="0"/>
    <w:qFormat/>
    <w:rPr>
      <w:rFonts w:ascii="宋体" w:hAnsi="Courier New" w:eastAsia="宋体" w:cs="Courier New"/>
      <w:szCs w:val="21"/>
    </w:rPr>
  </w:style>
  <w:style w:type="character" w:styleId="913" w:customStyle="1">
    <w:name w:val="日期 字符"/>
    <w:link w:val="870"/>
    <w:uiPriority w:val="0"/>
    <w:qFormat/>
    <w:rPr>
      <w:rFonts w:ascii="Times New Roman" w:hAnsi="Times New Roman" w:eastAsia="宋体" w:cs="Times New Roman"/>
      <w:sz w:val="24"/>
      <w:szCs w:val="24"/>
    </w:rPr>
  </w:style>
  <w:style w:type="character" w:styleId="914" w:customStyle="1">
    <w:name w:val="正文文本缩进 2 字符"/>
    <w:link w:val="871"/>
    <w:uiPriority w:val="0"/>
    <w:qFormat/>
    <w:rPr>
      <w:rFonts w:ascii="Arial" w:hAnsi="Arial" w:eastAsia="仿宋_GB2312" w:cs="Arial"/>
      <w:sz w:val="32"/>
      <w:szCs w:val="32"/>
    </w:rPr>
  </w:style>
  <w:style w:type="character" w:styleId="915" w:customStyle="1">
    <w:name w:val="批注框文本 字符"/>
    <w:link w:val="872"/>
    <w:uiPriority w:val="0"/>
    <w:semiHidden/>
    <w:qFormat/>
    <w:rPr>
      <w:rFonts w:ascii="Times New Roman" w:hAnsi="Times New Roman" w:eastAsia="宋体" w:cs="Times New Roman"/>
      <w:sz w:val="18"/>
      <w:szCs w:val="18"/>
    </w:rPr>
  </w:style>
  <w:style w:type="character" w:styleId="916" w:customStyle="1">
    <w:name w:val="页脚 字符"/>
    <w:link w:val="873"/>
    <w:uiPriority w:val="0"/>
    <w:qFormat/>
    <w:rPr>
      <w:rFonts w:ascii="Times New Roman" w:hAnsi="Times New Roman" w:eastAsia="宋体" w:cs="Times New Roman"/>
      <w:sz w:val="18"/>
      <w:szCs w:val="18"/>
    </w:rPr>
  </w:style>
  <w:style w:type="character" w:styleId="917" w:customStyle="1">
    <w:name w:val="页眉 字符"/>
    <w:link w:val="874"/>
    <w:uiPriority w:val="0"/>
    <w:qFormat/>
    <w:rPr>
      <w:rFonts w:ascii="Times New Roman" w:hAnsi="Times New Roman" w:eastAsia="宋体" w:cs="Times New Roman"/>
      <w:sz w:val="18"/>
      <w:szCs w:val="18"/>
    </w:rPr>
  </w:style>
  <w:style w:type="character" w:styleId="918" w:customStyle="1">
    <w:name w:val="正文文本缩进 3 字符"/>
    <w:link w:val="879"/>
    <w:uiPriority w:val="0"/>
    <w:qFormat/>
    <w:rPr>
      <w:rFonts w:ascii="Arial" w:hAnsi="Arial" w:eastAsia="仿宋_GB2312" w:cs="Arial"/>
      <w:color w:val="ffff00"/>
      <w:sz w:val="32"/>
      <w:szCs w:val="32"/>
    </w:rPr>
  </w:style>
  <w:style w:type="character" w:styleId="919" w:customStyle="1">
    <w:name w:val="正文文本 2 字符"/>
    <w:link w:val="883"/>
    <w:uiPriority w:val="0"/>
    <w:qFormat/>
    <w:rPr>
      <w:rFonts w:ascii="楷体_GB2312" w:hAnsi="Times New Roman" w:eastAsia="楷体_GB2312" w:cs="Times New Roman"/>
      <w:sz w:val="28"/>
      <w:szCs w:val="28"/>
    </w:rPr>
  </w:style>
  <w:style w:type="character" w:styleId="920" w:customStyle="1">
    <w:name w:val="批注主题 字符"/>
    <w:link w:val="886"/>
    <w:uiPriority w:val="0"/>
    <w:semiHidden/>
    <w:qFormat/>
    <w:rPr>
      <w:rFonts w:ascii="Times New Roman" w:hAnsi="Times New Roman" w:eastAsia="宋体" w:cs="Times New Roman"/>
      <w:b/>
      <w:bCs/>
      <w:szCs w:val="21"/>
    </w:rPr>
  </w:style>
  <w:style w:type="character" w:styleId="921" w:customStyle="1">
    <w:name w:val="正文文本首行缩进 字符"/>
    <w:link w:val="887"/>
    <w:uiPriority w:val="0"/>
    <w:qFormat/>
    <w:rPr>
      <w:rFonts w:ascii="仿宋_GB2312" w:hAnsi="Times New Roman" w:eastAsia="仿宋_GB2312" w:cs="Times New Roman"/>
      <w:sz w:val="30"/>
      <w:szCs w:val="30"/>
    </w:rPr>
  </w:style>
  <w:style w:type="character" w:styleId="922" w:customStyle="1">
    <w:name w:val="批注文字 字符"/>
    <w:link w:val="860"/>
    <w:uiPriority w:val="0"/>
    <w:qFormat/>
    <w:rPr>
      <w:rFonts w:hint="default" w:ascii="Calibri" w:hAnsi="Calibri" w:eastAsia="宋体" w:cs="Times New Roman"/>
      <w:sz w:val="21"/>
      <w:szCs w:val="24"/>
    </w:rPr>
  </w:style>
  <w:style w:type="paragraph" w:styleId="923" w:customStyle="1">
    <w:name w:val="索引 41"/>
    <w:basedOn w:val="844"/>
    <w:next w:val="844"/>
    <w:uiPriority w:val="0"/>
    <w:semiHidden/>
    <w:qFormat/>
    <w:pPr>
      <w:ind w:left="1260"/>
    </w:pPr>
    <w:rPr>
      <w:rFonts w:ascii="Calibri" w:hAnsi="Calibri" w:eastAsia="Calibri" w:cs="宋体"/>
      <w:sz w:val="20"/>
      <w:lang w:val="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844"/>
    <w:link w:val="92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844"/>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844"/>
    <w:next w:val="862"/>
    <w:uiPriority w:val="0"/>
    <w:qFormat/>
    <w:pPr>
      <w:spacing w:after="120"/>
    </w:pPr>
    <w:rPr>
      <w:rFonts w:ascii="宋体" w:hAnsi="Arial"/>
      <w:bCs/>
      <w:iCs/>
      <w:szCs w:val="24"/>
    </w:rPr>
  </w:style>
  <w:style w:type="paragraph" w:styleId="930" w:customStyle="1">
    <w:name w:val="xl2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1" w:customStyle="1">
    <w:name w:val="xl2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2" w:customStyle="1">
    <w:name w:val="Char"/>
    <w:basedOn w:val="844"/>
    <w:uiPriority w:val="0"/>
    <w:qFormat/>
    <w:pPr>
      <w:ind w:firstLine="200"/>
      <w:tabs>
        <w:tab w:val="left" w:pos="360" w:leader="none"/>
      </w:tabs>
    </w:pPr>
    <w:rPr>
      <w:sz w:val="28"/>
      <w:szCs w:val="30"/>
    </w:rPr>
  </w:style>
  <w:style w:type="paragraph" w:styleId="933" w:customStyle="1">
    <w:name w:val="Char1"/>
    <w:basedOn w:val="859"/>
    <w:uiPriority w:val="0"/>
    <w:qFormat/>
    <w:rPr>
      <w:rFonts w:ascii="Tahoma" w:hAnsi="Tahoma"/>
      <w:sz w:val="24"/>
      <w:szCs w:val="24"/>
    </w:rPr>
  </w:style>
  <w:style w:type="paragraph" w:styleId="934" w:customStyle="1">
    <w:name w:val="普通正文"/>
    <w:basedOn w:val="844"/>
    <w:uiPriority w:val="0"/>
    <w:qFormat/>
    <w:pPr>
      <w:ind w:firstLine="480"/>
      <w:jc w:val="left"/>
      <w:spacing w:before="120" w:after="120" w:line="360" w:lineRule="auto"/>
    </w:pPr>
    <w:rPr>
      <w:rFonts w:ascii="Arial" w:hAnsi="Arial"/>
      <w:sz w:val="24"/>
      <w:szCs w:val="24"/>
    </w:rPr>
  </w:style>
  <w:style w:type="paragraph" w:styleId="935" w:customStyle="1">
    <w:name w:val="table_lines"/>
    <w:basedOn w:val="844"/>
    <w:uiPriority w:val="0"/>
    <w:qFormat/>
    <w:pPr>
      <w:jc w:val="left"/>
      <w:widowControl/>
    </w:pPr>
    <w:rPr>
      <w:sz w:val="20"/>
      <w:szCs w:val="20"/>
      <w:lang w:val="de-DE" w:eastAsia="de-DE"/>
    </w:rPr>
  </w:style>
  <w:style w:type="paragraph" w:styleId="93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7" w:customStyle="1">
    <w:name w:val="font7"/>
    <w:basedOn w:val="844"/>
    <w:uiPriority w:val="0"/>
    <w:qFormat/>
    <w:pPr>
      <w:jc w:val="left"/>
      <w:spacing w:before="100" w:beforeAutospacing="1" w:after="100" w:afterAutospacing="1"/>
      <w:widowControl/>
    </w:pPr>
    <w:rPr>
      <w:rFonts w:hint="eastAsia" w:ascii="宋体" w:hAnsi="宋体"/>
      <w:sz w:val="18"/>
      <w:szCs w:val="18"/>
    </w:rPr>
  </w:style>
  <w:style w:type="paragraph" w:styleId="938" w:customStyle="1">
    <w:name w:val="Char Char Char Char"/>
    <w:basedOn w:val="859"/>
    <w:uiPriority w:val="0"/>
    <w:qFormat/>
    <w:pPr>
      <w:spacing w:line="360" w:lineRule="auto"/>
    </w:pPr>
    <w:rPr>
      <w:rFonts w:ascii="Tahoma" w:hAnsi="Tahoma"/>
      <w:sz w:val="24"/>
      <w:szCs w:val="24"/>
    </w:rPr>
  </w:style>
  <w:style w:type="paragraph" w:styleId="939">
    <w:name w:val="List Paragraph"/>
    <w:basedOn w:val="844"/>
    <w:uiPriority w:val="0"/>
    <w:qFormat/>
    <w:pPr>
      <w:contextualSpacing/>
      <w:ind w:left="720"/>
      <w:jc w:val="left"/>
      <w:widowControl/>
    </w:pPr>
    <w:rPr>
      <w:rFonts w:ascii="Calibri" w:hAnsi="Calibri"/>
      <w:sz w:val="24"/>
      <w:szCs w:val="24"/>
      <w:lang w:eastAsia="en-US" w:bidi="en-US"/>
    </w:rPr>
  </w:style>
  <w:style w:type="paragraph" w:styleId="940" w:customStyle="1">
    <w:name w:val="4"/>
    <w:basedOn w:val="844"/>
    <w:next w:val="879"/>
    <w:uiPriority w:val="0"/>
    <w:qFormat/>
    <w:pPr>
      <w:ind w:firstLine="420"/>
      <w:spacing w:line="360" w:lineRule="auto"/>
    </w:pPr>
    <w:rPr>
      <w:color w:val="ff0000"/>
      <w:sz w:val="24"/>
      <w:szCs w:val="24"/>
    </w:rPr>
  </w:style>
  <w:style w:type="paragraph" w:styleId="941" w:customStyle="1">
    <w:name w:val="普通 (Web)"/>
    <w:basedOn w:val="844"/>
    <w:uiPriority w:val="0"/>
    <w:qFormat/>
    <w:pPr>
      <w:jc w:val="left"/>
      <w:spacing w:before="100" w:beforeAutospacing="1" w:after="100" w:afterAutospacing="1"/>
      <w:widowControl/>
    </w:pPr>
    <w:rPr>
      <w:rFonts w:ascii="宋体" w:hAnsi="宋体"/>
      <w:sz w:val="24"/>
      <w:szCs w:val="24"/>
    </w:rPr>
  </w:style>
  <w:style w:type="paragraph" w:styleId="942" w:customStyle="1">
    <w:name w:val="Char Char Char Char Char Char Char Char Char Char"/>
    <w:basedOn w:val="844"/>
    <w:uiPriority w:val="0"/>
    <w:qFormat/>
    <w:pPr>
      <w:spacing w:line="360" w:lineRule="auto"/>
    </w:pPr>
    <w:rPr>
      <w:sz w:val="24"/>
      <w:szCs w:val="20"/>
    </w:rPr>
  </w:style>
  <w:style w:type="paragraph" w:styleId="943" w:customStyle="1">
    <w:name w:val="样式1"/>
    <w:basedOn w:val="844"/>
    <w:uiPriority w:val="0"/>
    <w:qFormat/>
    <w:pPr>
      <w:numPr>
        <w:ilvl w:val="0"/>
        <w:numId w:val="3"/>
      </w:numPr>
    </w:pPr>
    <w:rPr>
      <w:rFonts w:ascii="宋体" w:hAnsi="宋体"/>
      <w:szCs w:val="21"/>
    </w:rPr>
  </w:style>
  <w:style w:type="paragraph" w:styleId="944" w:customStyle="1">
    <w:name w:val="font6"/>
    <w:basedOn w:val="844"/>
    <w:uiPriority w:val="0"/>
    <w:qFormat/>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844"/>
    <w:next w:val="8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844"/>
    <w:next w:val="844"/>
    <w:uiPriority w:val="0"/>
    <w:qFormat/>
    <w:pPr>
      <w:ind w:firstLine="624"/>
      <w:spacing w:line="590" w:lineRule="atLeast"/>
    </w:pPr>
    <w:rPr>
      <w:rFonts w:ascii="方正黑体_GBK" w:eastAsia="方正黑体_GBK"/>
      <w:sz w:val="32"/>
      <w:szCs w:val="32"/>
    </w:rPr>
  </w:style>
  <w:style w:type="paragraph" w:styleId="948" w:customStyle="1">
    <w:name w:val="xl24"/>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9" w:customStyle="1">
    <w:name w:val="xl29"/>
    <w:basedOn w:val="84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0" w:customStyle="1">
    <w:name w:val="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951"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2" w:customStyle="1">
    <w:name w:val="Char Char Char Char Char Char Char Char1"/>
    <w:basedOn w:val="844"/>
    <w:uiPriority w:val="0"/>
    <w:qFormat/>
    <w:pPr>
      <w:jc w:val="left"/>
      <w:spacing w:after="160" w:line="240" w:lineRule="exact"/>
      <w:widowControl/>
    </w:pPr>
    <w:rPr>
      <w:rFonts w:ascii="Verdana" w:hAnsi="Verdana"/>
      <w:sz w:val="20"/>
      <w:szCs w:val="20"/>
      <w:lang w:eastAsia="en-US"/>
    </w:rPr>
  </w:style>
  <w:style w:type="paragraph" w:styleId="953" w:customStyle="1">
    <w:name w:val="xl30"/>
    <w:basedOn w:val="844"/>
    <w:uiPriority w:val="0"/>
    <w:qFormat/>
    <w:pPr>
      <w:jc w:val="center"/>
      <w:spacing w:before="100" w:beforeAutospacing="1" w:after="100" w:afterAutospacing="1"/>
      <w:widowControl/>
    </w:pPr>
    <w:rPr>
      <w:rFonts w:ascii="宋体" w:hAnsi="宋体"/>
      <w:b/>
      <w:bCs/>
      <w:sz w:val="36"/>
      <w:szCs w:val="36"/>
    </w:rPr>
  </w:style>
  <w:style w:type="paragraph" w:styleId="954" w:customStyle="1">
    <w:name w:val="Char Char Char Char1"/>
    <w:basedOn w:val="859"/>
    <w:uiPriority w:val="0"/>
    <w:qFormat/>
    <w:pPr>
      <w:spacing w:line="360" w:lineRule="auto"/>
    </w:pPr>
    <w:rPr>
      <w:rFonts w:ascii="Tahoma" w:hAnsi="Tahoma"/>
      <w:sz w:val="24"/>
      <w:szCs w:val="24"/>
    </w:rPr>
  </w:style>
  <w:style w:type="paragraph" w:styleId="955" w:customStyle="1">
    <w:name w:val="table_1stline"/>
    <w:basedOn w:val="844"/>
    <w:uiPriority w:val="0"/>
    <w:qFormat/>
    <w:pPr>
      <w:jc w:val="left"/>
      <w:spacing w:before="120"/>
      <w:widowControl/>
    </w:pPr>
    <w:rPr>
      <w:bCs/>
      <w:sz w:val="20"/>
      <w:szCs w:val="20"/>
      <w:lang w:val="de-DE" w:eastAsia="de-DE"/>
    </w:rPr>
  </w:style>
  <w:style w:type="paragraph" w:styleId="956" w:customStyle="1">
    <w:name w:val="font5"/>
    <w:basedOn w:val="844"/>
    <w:uiPriority w:val="0"/>
    <w:qFormat/>
    <w:pPr>
      <w:jc w:val="left"/>
      <w:spacing w:before="100" w:beforeAutospacing="1" w:after="100" w:afterAutospacing="1"/>
      <w:widowControl/>
    </w:pPr>
    <w:rPr>
      <w:rFonts w:hint="eastAsia" w:ascii="宋体" w:hAnsi="宋体"/>
      <w:sz w:val="28"/>
      <w:szCs w:val="28"/>
    </w:rPr>
  </w:style>
  <w:style w:type="paragraph" w:styleId="957" w:customStyle="1">
    <w:name w:val="标题1"/>
    <w:basedOn w:val="844"/>
    <w:next w:val="8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修订1"/>
    <w:uiPriority w:val="99"/>
    <w:semiHidden/>
    <w:qFormat/>
    <w:rPr>
      <w:rFonts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0" w:customStyle="1">
    <w:name w:val="Table Normal"/>
    <w:uiPriority w:val="0"/>
    <w:qFormat/>
    <w:tblPr>
      <w:tblCellMar>
        <w:left w:w="0" w:type="dxa"/>
        <w:top w:w="0" w:type="dxa"/>
        <w:right w:w="0" w:type="dxa"/>
        <w:bottom w:w="0" w:type="dxa"/>
      </w:tblCellMar>
    </w:tblPr>
  </w:style>
  <w:style w:type="paragraph" w:styleId="961" w:customStyle="1">
    <w:name w:val="正文文本12"/>
    <w:basedOn w:val="844"/>
    <w:uiPriority w:val="1"/>
    <w:qFormat/>
    <w:pPr>
      <w:ind w:left="120"/>
    </w:pPr>
    <w:rPr>
      <w:rFonts w:ascii="宋体" w:hAnsi="宋体" w:cs="宋体"/>
      <w:szCs w:val="21"/>
      <w:lang w:val="zh-CN" w:bidi="zh-CN"/>
    </w:rPr>
  </w:style>
  <w:style w:type="paragraph" w:styleId="962" w:customStyle="1">
    <w:name w:val="正文文本 211"/>
    <w:basedOn w:val="844"/>
    <w:uiPriority w:val="99"/>
    <w:qFormat/>
    <w:pPr>
      <w:jc w:val="center"/>
    </w:pPr>
    <w:rPr>
      <w:b/>
      <w:bCs/>
      <w:sz w:val="20"/>
      <w:szCs w:val="20"/>
    </w:rPr>
  </w:style>
  <w:style w:type="paragraph" w:styleId="963" w:customStyle="1">
    <w:name w:val="正文文本1"/>
    <w:basedOn w:val="844"/>
    <w:next w:val="844"/>
    <w:uiPriority w:val="0"/>
    <w:semiHidden/>
    <w:qFormat/>
    <w:rPr>
      <w:rFonts w:ascii="Arial" w:hAnsi="Arial" w:eastAsia="Arial" w:cs="Arial"/>
      <w:szCs w:val="21"/>
      <w:lang w:eastAsia="en-US"/>
    </w:rPr>
  </w:style>
  <w:style w:type="paragraph" w:styleId="964" w:customStyle="1">
    <w:name w:val="Table Paragraph"/>
    <w:basedOn w:val="844"/>
    <w:uiPriority w:val="1"/>
    <w:qFormat/>
    <w:pPr>
      <w:jc w:val="left"/>
    </w:pPr>
    <w:rPr>
      <w:rFonts w:ascii="宋体" w:hAnsi="宋体" w:cs="宋体"/>
      <w:sz w:val="22"/>
      <w:lang w:val="zh-CN" w:bidi="zh-CN"/>
    </w:rPr>
  </w:style>
  <w:style w:type="table" w:styleId="965" w:customStyle="1">
    <w:name w:val="网格型1"/>
    <w:basedOn w:val="966"/>
    <w:uiPriority w:val="0"/>
    <w:qFormat/>
    <w:pPr>
      <w:jc w:val="both"/>
      <w:widowControl w:val="off"/>
    </w:pPr>
    <w:tblPr/>
  </w:style>
  <w:style w:type="table" w:styleId="966" w:customStyle="1">
    <w:name w:val="普通表格1"/>
    <w:uiPriority w:val="99"/>
    <w:unhideWhenUsed/>
    <w:qFormat/>
    <w:tblPr>
      <w:tblCellMar>
        <w:left w:w="0" w:type="dxa"/>
        <w:top w:w="0" w:type="dxa"/>
        <w:right w:w="0" w:type="dxa"/>
        <w:bottom w:w="0" w:type="dxa"/>
      </w:tblCellMar>
    </w:tblPr>
  </w:style>
  <w:style w:type="paragraph" w:styleId="967" w:customStyle="1">
    <w:name w:val="正文文本缩进1"/>
    <w:basedOn w:val="844"/>
    <w:next w:val="888"/>
    <w:uiPriority w:val="0"/>
    <w:unhideWhenUsed/>
    <w:qFormat/>
    <w:pPr>
      <w:ind w:left="420"/>
      <w:spacing w:after="120"/>
    </w:pPr>
  </w:style>
  <w:style w:type="table" w:styleId="968" w:customStyle="1">
    <w:name w:val="Table Normal_0"/>
    <w:uiPriority w:val="0"/>
    <w:qFormat/>
    <w:tblPr>
      <w:tblCellMar>
        <w:left w:w="0" w:type="dxa"/>
        <w:top w:w="0" w:type="dxa"/>
        <w:right w:w="0" w:type="dxa"/>
        <w:bottom w:w="0" w:type="dxa"/>
      </w:tblCellMar>
    </w:tblPr>
  </w:style>
  <w:style w:type="paragraph" w:styleId="969"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970" w:customStyle="1">
    <w:name w:val="批注文字1"/>
    <w:basedOn w:val="844"/>
    <w:uiPriority w:val="0"/>
    <w:unhideWhenUsed/>
    <w:qFormat/>
    <w:pPr>
      <w:jc w:val="left"/>
    </w:pPr>
  </w:style>
  <w:style w:type="character" w:styleId="971" w:customStyle="1">
    <w:name w:val="cfdate"/>
    <w:basedOn w:val="854"/>
    <w:uiPriority w:val="0"/>
    <w:qFormat/>
    <w:rPr>
      <w:color w:val="333333"/>
      <w:sz w:val="18"/>
      <w:szCs w:val="18"/>
    </w:rPr>
  </w:style>
  <w:style w:type="character" w:styleId="972" w:customStyle="1">
    <w:name w:val="redfilenumber"/>
    <w:basedOn w:val="854"/>
    <w:uiPriority w:val="0"/>
    <w:qFormat/>
    <w:rPr>
      <w:color w:val="ba2636"/>
      <w:sz w:val="18"/>
      <w:szCs w:val="18"/>
    </w:rPr>
  </w:style>
  <w:style w:type="character" w:styleId="973" w:customStyle="1">
    <w:name w:val="qxdate"/>
    <w:basedOn w:val="854"/>
    <w:uiPriority w:val="0"/>
    <w:qFormat/>
    <w:rPr>
      <w:color w:val="333333"/>
      <w:sz w:val="18"/>
      <w:szCs w:val="18"/>
    </w:rPr>
  </w:style>
  <w:style w:type="character" w:styleId="974" w:customStyle="1">
    <w:name w:val="prev"/>
    <w:basedOn w:val="854"/>
    <w:uiPriority w:val="0"/>
    <w:qFormat/>
    <w:rPr>
      <w:rFonts w:ascii="微软雅黑" w:hAnsi="微软雅黑" w:eastAsia="微软雅黑" w:cs="微软雅黑"/>
      <w:sz w:val="21"/>
      <w:szCs w:val="21"/>
    </w:rPr>
  </w:style>
  <w:style w:type="character" w:styleId="975" w:customStyle="1">
    <w:name w:val="prev1"/>
    <w:basedOn w:val="854"/>
    <w:uiPriority w:val="0"/>
    <w:qFormat/>
    <w:rPr>
      <w:color w:val="888888"/>
    </w:rPr>
  </w:style>
  <w:style w:type="character" w:styleId="976" w:customStyle="1">
    <w:name w:val="displayarti"/>
    <w:basedOn w:val="854"/>
    <w:uiPriority w:val="0"/>
    <w:qFormat/>
    <w:rPr>
      <w:color w:val="ffffff"/>
      <w:shd w:val="clear" w:color="auto" w:fill="a00000"/>
    </w:rPr>
  </w:style>
  <w:style w:type="character" w:styleId="977" w:customStyle="1">
    <w:name w:val="next2"/>
    <w:basedOn w:val="854"/>
    <w:uiPriority w:val="0"/>
    <w:qFormat/>
    <w:rPr>
      <w:rFonts w:hint="eastAsia" w:ascii="微软雅黑" w:hAnsi="微软雅黑" w:eastAsia="微软雅黑" w:cs="微软雅黑"/>
      <w:sz w:val="21"/>
      <w:szCs w:val="21"/>
    </w:rPr>
  </w:style>
  <w:style w:type="character" w:styleId="978" w:customStyle="1">
    <w:name w:val="next3"/>
    <w:basedOn w:val="854"/>
    <w:uiPriority w:val="0"/>
    <w:qFormat/>
    <w:rPr>
      <w:color w:val="888888"/>
    </w:rPr>
  </w:style>
  <w:style w:type="character" w:styleId="979" w:customStyle="1">
    <w:name w:val="gjfg"/>
    <w:basedOn w:val="854"/>
    <w:uiPriority w:val="0"/>
    <w:qFormat/>
  </w:style>
  <w:style w:type="character" w:styleId="980" w:customStyle="1">
    <w:name w:val="redfilefwwh"/>
    <w:basedOn w:val="854"/>
    <w:uiPriority w:val="0"/>
    <w:qFormat/>
    <w:rPr>
      <w:color w:val="ba2636"/>
      <w:sz w:val="18"/>
      <w:szCs w:val="18"/>
    </w:rPr>
  </w:style>
  <w:style w:type="character" w:styleId="981" w:customStyle="1">
    <w:name w:val="next"/>
    <w:basedOn w:val="854"/>
    <w:uiPriority w:val="0"/>
    <w:qFormat/>
    <w:rPr>
      <w:rFonts w:hint="eastAsia" w:ascii="微软雅黑" w:hAnsi="微软雅黑" w:eastAsia="微软雅黑" w:cs="微软雅黑"/>
      <w:sz w:val="21"/>
      <w:szCs w:val="21"/>
    </w:rPr>
  </w:style>
  <w:style w:type="character" w:styleId="982" w:customStyle="1">
    <w:name w:val="next1"/>
    <w:basedOn w:val="854"/>
    <w:uiPriority w:val="0"/>
    <w:qFormat/>
    <w:rPr>
      <w:color w:val="888888"/>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张舒</cp:lastModifiedBy>
  <cp:revision>7</cp:revision>
  <dcterms:created xsi:type="dcterms:W3CDTF">2026-07-01T10:36:00Z</dcterms:created>
  <dcterms:modified xsi:type="dcterms:W3CDTF">2026-08-27T07:21:05Z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41AA44A774674B11A0104CD244FCE371_13</vt:lpwstr>
  </property>
  <property fmtid="{D5CDD505-2E9C-101B-9397-08002B2CF9AE}" pid="4" name="KSOTemplateDocerSaveRecord">
    <vt:lpwstr>eyJoZGlkIjoiMjI2Njg1ZWMzNTcwZDc4MDI1YmE3MjQ0ODY3ZTI2OTUiLCJ1c2VySWQiOiIxNTUyNjk1MzkwIn0=</vt:lpwstr>
  </property>
</Properties>
</file>