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shd w:val="clear" w:color="auto" w:fill="auto"/>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80"/>
        <w:ind w:firstLine="0"/>
        <w:jc w:val="both"/>
        <w:shd w:val="clear" w:color="auto" w:fill="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80"/>
        <w:ind w:firstLine="0"/>
        <w:jc w:val="center"/>
        <w:shd w:val="clear" w:color="auto" w:fill="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80"/>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0"/>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0"/>
        <w:ind w:firstLine="0"/>
        <w:jc w:val="center"/>
        <w:shd w:val="clear" w:color="auto" w:fill="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91"/>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JSZC-320214-JZCG-G2026-0054</w:t>
      </w:r>
      <w:r>
        <w:rPr>
          <w:rFonts w:hint="eastAsia" w:ascii="黑体" w:hAnsi="华文中宋" w:eastAsia="黑体"/>
          <w:bCs/>
          <w:color w:val="000000"/>
          <w:sz w:val="32"/>
          <w:szCs w:val="32"/>
          <w:highlight w:val="none"/>
          <w:lang w:eastAsia="zh-CN"/>
        </w:rPr>
      </w:r>
      <w:r/>
    </w:p>
    <w:p>
      <w:pPr>
        <w:pStyle w:val="891"/>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江溪街道综治中心物业服务采购</w:t>
      </w:r>
      <w:r>
        <w:rPr>
          <w:rFonts w:hint="eastAsia" w:ascii="黑体" w:hAnsi="华文中宋" w:eastAsia="黑体"/>
          <w:bCs/>
          <w:color w:val="000000"/>
          <w:sz w:val="32"/>
          <w:szCs w:val="32"/>
          <w:highlight w:val="none"/>
          <w:lang w:eastAsia="zh-CN"/>
        </w:rPr>
      </w:r>
      <w:r/>
    </w:p>
    <w:p>
      <w:pPr>
        <w:pStyle w:val="891"/>
        <w:ind w:firstLine="1920"/>
        <w:jc w:val="left"/>
        <w:shd w:val="clear" w:color="auto" w:fill="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无锡市新吴区人民政府江溪街道办事处</w:t>
      </w:r>
      <w:r>
        <w:rPr>
          <w:rFonts w:hint="eastAsia" w:ascii="黑体" w:hAnsi="华文中宋" w:eastAsia="黑体"/>
          <w:bCs/>
          <w:color w:val="000000"/>
          <w:sz w:val="32"/>
          <w:szCs w:val="32"/>
          <w:highlight w:val="none"/>
          <w:lang w:eastAsia="zh-CN"/>
        </w:rPr>
      </w:r>
      <w:r/>
    </w:p>
    <w:p>
      <w:pPr>
        <w:pStyle w:val="891"/>
        <w:jc w:val="center"/>
        <w:shd w:val="clear" w:color="auto" w:fill="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80"/>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shd w:val="clear" w:color="auto" w:fill="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80"/>
        <w:ind w:firstLine="0"/>
        <w:jc w:val="center"/>
        <w:spacing w:before="0" w:after="0"/>
        <w:shd w:val="clear" w:color="auto" w:fill="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980"/>
        <w:ind w:firstLine="0"/>
        <w:jc w:val="center"/>
        <w:shd w:val="clear" w:color="auto" w:fill="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rPr>
        <w:t xml:space="preserve">7 月</w:t>
      </w:r>
      <w:r>
        <w:rPr>
          <w:rFonts w:ascii="黑体" w:hAnsi="华文中宋" w:eastAsia="黑体"/>
          <w:bCs/>
          <w:color w:val="000000"/>
          <w:sz w:val="32"/>
          <w:szCs w:val="32"/>
          <w:highlight w:val="none"/>
        </w:rPr>
      </w:r>
      <w:r/>
    </w:p>
    <w:p>
      <w:pPr>
        <w:pStyle w:val="980"/>
        <w:ind w:firstLine="0"/>
        <w:jc w:val="center"/>
        <w:shd w:val="clear" w:color="auto" w:fill="auto"/>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91"/>
        <w:jc w:val="center"/>
        <w:spacing w:line="480" w:lineRule="auto"/>
        <w:shd w:val="clear" w:color="auto" w:fill="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891"/>
        <w:numPr>
          <w:ilvl w:val="0"/>
          <w:numId w:val="4"/>
        </w:numPr>
        <w:spacing w:line="720" w:lineRule="auto"/>
        <w:shd w:val="clear" w:color="auto" w:fill="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891"/>
        <w:ind w:firstLine="480"/>
        <w:spacing w:line="500" w:lineRule="exact"/>
        <w:shd w:val="clear" w:color="auto" w:fill="auto"/>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无锡市新吴区人民政府江溪街道办事处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江溪街道综治中心物业服务采购</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JSZC-320214-JZCG-G2026-0054</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891"/>
        <w:ind w:firstLine="480"/>
        <w:spacing w:line="500" w:lineRule="exact"/>
        <w:shd w:val="clear" w:color="auto" w:fill="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91"/>
        <w:ind w:firstLine="480"/>
        <w:spacing w:line="500" w:lineRule="exact"/>
        <w:shd w:val="clear" w:color="auto" w:fill="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江溪街道综治中心物业服务采购</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年8月7日14点00分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94"/>
        <w:ind w:firstLine="452"/>
        <w:keepLines w:val="0"/>
        <w:keepNext w:val="0"/>
        <w:spacing w:before="0" w:after="0" w:line="500" w:lineRule="exact"/>
        <w:shd w:val="clear" w:color="auto" w:fill="auto"/>
        <w:rPr>
          <w:color w:val="000000"/>
          <w:sz w:val="30"/>
          <w:szCs w:val="30"/>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91"/>
        <w:ind w:firstLine="480"/>
        <w:spacing w:line="500" w:lineRule="exact"/>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JSZC-320214-JZCG-G2026-0054</w:t>
      </w:r>
      <w:r>
        <w:rPr>
          <w:rFonts w:hint="eastAsia" w:ascii="宋体" w:hAnsi="宋体" w:eastAsia="宋体"/>
          <w:color w:val="000000"/>
          <w:sz w:val="24"/>
          <w:szCs w:val="24"/>
          <w:highlight w:val="none"/>
          <w:lang w:eastAsia="zh-CN"/>
        </w:rPr>
      </w:r>
      <w:r/>
    </w:p>
    <w:p>
      <w:pPr>
        <w:pStyle w:val="891"/>
        <w:ind w:firstLine="480"/>
        <w:spacing w:line="500" w:lineRule="exact"/>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江溪街道综治中心物业服务采购</w:t>
      </w:r>
      <w:r>
        <w:rPr>
          <w:rFonts w:hint="eastAsia" w:ascii="宋体" w:hAnsi="宋体" w:eastAsia="宋体"/>
          <w:color w:val="000000"/>
          <w:sz w:val="24"/>
          <w:szCs w:val="24"/>
          <w:highlight w:val="none"/>
          <w:lang w:eastAsia="zh-CN"/>
        </w:rPr>
      </w:r>
      <w:r/>
    </w:p>
    <w:p>
      <w:pPr>
        <w:pStyle w:val="891"/>
        <w:ind w:firstLine="480"/>
        <w:spacing w:line="500" w:lineRule="exact"/>
        <w:shd w:val="clear" w:color="auto" w:fill="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color w:val="000000"/>
          <w:highlight w:val="none"/>
        </w:rPr>
        <w:t xml:space="preserve">272.4</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color w:val="000000"/>
          <w:highlight w:val="none"/>
        </w:rPr>
        <w:t xml:space="preserve">272.4</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894"/>
        <w:ind w:firstLine="452"/>
        <w:keepLines w:val="0"/>
        <w:keepNext w:val="0"/>
        <w:spacing w:before="0" w:after="0" w:line="500" w:lineRule="exact"/>
        <w:shd w:val="clear" w:color="auto" w:fill="auto"/>
        <w:rPr>
          <w:color w:val="000000"/>
          <w:sz w:val="30"/>
          <w:szCs w:val="30"/>
          <w:highlight w:val="none"/>
        </w:rPr>
      </w:pPr>
      <w:r/>
      <w:bookmarkStart w:id="12" w:name="_Toc28359003"/>
      <w:r/>
      <w:bookmarkStart w:id="13" w:name="_Toc28359080"/>
      <w:r/>
      <w:bookmarkStart w:id="14" w:name="_Toc38985264"/>
      <w:r/>
      <w:bookmarkStart w:id="15" w:name="_Toc35393622"/>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91"/>
        <w:ind w:firstLine="480"/>
        <w:spacing w:line="500" w:lineRule="exact"/>
        <w:shd w:val="clear" w:color="auto" w:fill="auto"/>
        <w:rPr>
          <w:rFonts w:ascii="宋体" w:hAnsi="宋体"/>
          <w:color w:val="000000"/>
          <w:sz w:val="24"/>
          <w:szCs w:val="24"/>
          <w:highlight w:val="none"/>
        </w:rPr>
      </w:pPr>
      <w:r/>
      <w:bookmarkStart w:id="17" w:name="_Toc38985265"/>
      <w:r/>
      <w:bookmarkStart w:id="18" w:name="_Toc28359081"/>
      <w:r/>
      <w:bookmarkStart w:id="19" w:name="_Toc35393792"/>
      <w:r/>
      <w:bookmarkStart w:id="20" w:name="_Toc35393623"/>
      <w:r/>
      <w:bookmarkStart w:id="21"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894"/>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91"/>
        <w:ind w:firstLine="540"/>
        <w:spacing w:line="500" w:lineRule="exact"/>
        <w:shd w:val="clear" w:color="auto" w:fill="auto"/>
        <w:rPr>
          <w:rFonts w:hint="eastAsia" w:ascii="宋体" w:hAnsi="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891"/>
        <w:ind w:firstLine="54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891"/>
        <w:ind w:firstLine="540"/>
        <w:spacing w:line="500" w:lineRule="exact"/>
        <w:shd w:val="clear" w:color="auto" w:fill="auto"/>
        <w:rPr>
          <w:rStyle w:val="968"/>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68"/>
          <w:color w:val="000000"/>
          <w:highlight w:val="none"/>
        </w:rPr>
      </w:r>
      <w:r/>
    </w:p>
    <w:p>
      <w:pPr>
        <w:pStyle w:val="891"/>
        <w:ind w:firstLine="540"/>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94"/>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年8月7日14点00分（北京时间）</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94"/>
        <w:ind w:firstLine="452"/>
        <w:keepLines w:val="0"/>
        <w:keepNext w:val="0"/>
        <w:spacing w:before="0" w:after="0" w:line="500" w:lineRule="exact"/>
        <w:shd w:val="clear" w:color="auto" w:fill="auto"/>
        <w:rPr>
          <w:color w:val="000000"/>
          <w:sz w:val="30"/>
          <w:szCs w:val="30"/>
          <w:highlight w:val="none"/>
        </w:rPr>
      </w:pPr>
      <w:r/>
      <w:bookmarkStart w:id="27" w:name="_Toc35393625"/>
      <w:r/>
      <w:bookmarkStart w:id="28" w:name="_Toc35393794"/>
      <w:r/>
      <w:bookmarkStart w:id="29" w:name="_Toc28359084"/>
      <w:r/>
      <w:bookmarkStart w:id="30" w:name="_Toc28359007"/>
      <w:r/>
      <w:bookmarkStart w:id="31" w:name="_Toc38985267"/>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91"/>
        <w:ind w:firstLine="480"/>
        <w:spacing w:line="500" w:lineRule="exact"/>
        <w:shd w:val="clear" w:color="auto" w:fill="auto"/>
        <w:rPr>
          <w:rFonts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94"/>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94"/>
        <w:ind w:firstLine="452"/>
        <w:keepLines w:val="0"/>
        <w:keepNext w:val="0"/>
        <w:spacing w:before="0" w:after="0" w:line="500" w:lineRule="exact"/>
        <w:shd w:val="clear" w:color="auto" w:fill="auto"/>
        <w:rPr>
          <w:color w:val="000000"/>
          <w:sz w:val="30"/>
          <w:szCs w:val="30"/>
          <w:highlight w:val="none"/>
        </w:rPr>
      </w:pPr>
      <w:r/>
      <w:bookmarkStart w:id="35" w:name="_Toc35393796"/>
      <w:r/>
      <w:bookmarkStart w:id="36" w:name="_Toc28359085"/>
      <w:r/>
      <w:bookmarkStart w:id="37" w:name="_Toc38985269"/>
      <w:r/>
      <w:bookmarkStart w:id="38" w:name="_Toc35393627"/>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91"/>
        <w:ind w:firstLine="480"/>
        <w:spacing w:line="5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无锡市新吴区人民政府江溪街道办事处</w:t>
      </w:r>
      <w:r>
        <w:rPr>
          <w:rFonts w:hint="eastAsia" w:ascii="宋体" w:hAnsi="宋体" w:eastAsia="宋体" w:cs="宋体"/>
          <w:color w:val="000000"/>
          <w:sz w:val="24"/>
          <w:szCs w:val="24"/>
          <w:highlight w:val="none"/>
          <w:lang w:eastAsia="zh-CN"/>
        </w:rPr>
      </w:r>
      <w:r/>
    </w:p>
    <w:p>
      <w:pPr>
        <w:pStyle w:val="891"/>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江苏省无锡市新吴区苏巷路1号</w:t>
      </w:r>
      <w:r>
        <w:rPr>
          <w:rFonts w:hint="eastAsia" w:ascii="宋体" w:hAnsi="宋体" w:eastAsia="宋体" w:cs="宋体"/>
          <w:color w:val="000000"/>
          <w:sz w:val="24"/>
          <w:szCs w:val="24"/>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91"/>
        <w:ind w:firstLine="480"/>
        <w:spacing w:line="50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91"/>
        <w:ind w:firstLine="480"/>
        <w:spacing w:line="5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891"/>
        <w:ind w:firstLine="480"/>
        <w:spacing w:line="500" w:lineRule="exact"/>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891"/>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91"/>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91"/>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rPr>
        <w:t xml:space="preserve">周晓静；电话：0510-82110033</w:t>
      </w:r>
      <w:r>
        <w:rPr>
          <w:rFonts w:hint="eastAsia" w:ascii="宋体" w:hAnsi="宋体" w:eastAsia="宋体" w:cs="宋体"/>
          <w:color w:val="000000"/>
          <w:sz w:val="24"/>
          <w:szCs w:val="24"/>
          <w:highlight w:val="none"/>
        </w:rPr>
      </w:r>
      <w:r/>
    </w:p>
    <w:p>
      <w:pPr>
        <w:pStyle w:val="891"/>
        <w:ind w:firstLine="480"/>
        <w:spacing w:line="5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采购人质疑受理联系人：周晓静；电话：0510-82110033</w:t>
      </w:r>
      <w:r>
        <w:rPr>
          <w:rFonts w:hint="eastAsia" w:ascii="宋体" w:hAnsi="宋体" w:eastAsia="宋体" w:cs="宋体"/>
          <w:color w:val="000000"/>
          <w:sz w:val="24"/>
          <w:szCs w:val="24"/>
          <w:highlight w:val="none"/>
        </w:rPr>
      </w:r>
      <w:r/>
    </w:p>
    <w:p>
      <w:pPr>
        <w:pStyle w:val="891"/>
        <w:ind w:firstLine="480"/>
        <w:spacing w:line="50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交易中心项目联系人：</w:t>
      </w:r>
      <w:r>
        <w:rPr>
          <w:rFonts w:hint="eastAsia" w:ascii="宋体" w:hAnsi="宋体" w:eastAsia="宋体" w:cs="宋体"/>
          <w:color w:val="000000"/>
          <w:sz w:val="24"/>
          <w:szCs w:val="24"/>
          <w:highlight w:val="none"/>
          <w:lang w:val="en-US" w:eastAsia="zh-CN"/>
        </w:rPr>
        <w:t xml:space="preserve">王丽娜</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80595969</w:t>
      </w:r>
      <w:r>
        <w:rPr>
          <w:rFonts w:ascii="宋体" w:hAnsi="宋体" w:eastAsia="宋体" w:cs="宋体"/>
          <w:color w:val="000000"/>
          <w:sz w:val="24"/>
          <w:szCs w:val="24"/>
          <w:highlight w:val="none"/>
          <w:lang w:val="en-US" w:eastAsia="zh-CN"/>
        </w:rPr>
      </w:r>
      <w:r/>
    </w:p>
    <w:p>
      <w:pPr>
        <w:pStyle w:val="894"/>
        <w:ind w:firstLine="452"/>
        <w:keepLines w:val="0"/>
        <w:keepNext w:val="0"/>
        <w:spacing w:before="0" w:after="0" w:line="500" w:lineRule="exact"/>
        <w:shd w:val="clear" w:color="auto" w:fill="auto"/>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891"/>
        <w:ind w:firstLine="480"/>
        <w:jc w:val="left"/>
        <w:spacing w:line="500" w:lineRule="exact"/>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891"/>
        <w:ind w:firstLine="480"/>
        <w:jc w:val="left"/>
        <w:spacing w:line="500" w:lineRule="exact"/>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91"/>
        <w:ind w:firstLine="480"/>
        <w:spacing w:line="500" w:lineRule="exact"/>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91"/>
        <w:ind w:firstLine="480"/>
        <w:spacing w:line="500" w:lineRule="exact"/>
        <w:shd w:val="clear" w:color="auto" w:fill="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891"/>
        <w:ind w:firstLine="480"/>
        <w:spacing w:line="500" w:lineRule="exact"/>
        <w:shd w:val="clear" w:color="auto" w:fill="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891"/>
        <w:ind w:firstLine="480"/>
        <w:spacing w:line="500" w:lineRule="exact"/>
        <w:shd w:val="clear" w:color="auto" w:fill="auto"/>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47" w:name="_Toc120614214"/>
      <w:r/>
      <w:bookmarkStart w:id="48" w:name="_Toc16938519"/>
      <w:r/>
      <w:bookmarkStart w:id="49" w:name="_Toc513029203"/>
      <w:r/>
      <w:bookmarkStart w:id="50" w:name="_Toc20823275"/>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5" w:name="_Toc20823277"/>
      <w:r/>
      <w:bookmarkStart w:id="56" w:name="_Toc513029205"/>
      <w:r/>
      <w:bookmarkStart w:id="57" w:name="_Toc16938521"/>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58" w:name="_Toc16938522"/>
      <w:r/>
      <w:bookmarkStart w:id="59" w:name="_Toc20823278"/>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65" w:name="_Toc120614215"/>
      <w:r/>
      <w:bookmarkStart w:id="66" w:name="_Toc513029209"/>
      <w:r/>
      <w:bookmarkStart w:id="67" w:name="_Toc20823281"/>
      <w:r/>
      <w:bookmarkStart w:id="68" w:name="_Toc16938525"/>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69" w:name="_Toc513029210"/>
      <w:r/>
      <w:bookmarkStart w:id="70" w:name="_Toc20823282"/>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91"/>
        <w:ind w:firstLine="480"/>
        <w:spacing w:line="500" w:lineRule="exact"/>
        <w:shd w:val="clear" w:color="auto" w:fill="auto"/>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72" w:name="_Toc462564070"/>
      <w:r/>
      <w:bookmarkStart w:id="73" w:name="_Toc513029211"/>
      <w:r/>
      <w:bookmarkStart w:id="74" w:name="_Toc16938527"/>
      <w:r/>
      <w:bookmarkStart w:id="75" w:name="_Toc20823283"/>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76" w:name="_Toc20823284"/>
      <w:r/>
      <w:bookmarkStart w:id="77" w:name="_Toc16938528"/>
      <w:r/>
      <w:bookmarkStart w:id="78" w:name="_Toc462564071"/>
      <w:r/>
      <w:bookmarkStart w:id="79" w:name="_Toc513029212"/>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80" w:name="_Toc16938529"/>
      <w:r/>
      <w:bookmarkStart w:id="81" w:name="_Toc120614216"/>
      <w:r/>
      <w:bookmarkStart w:id="82" w:name="_Toc20823285"/>
      <w:r/>
      <w:bookmarkStart w:id="83" w:name="_Toc462564072"/>
      <w:r/>
      <w:bookmarkStart w:id="84" w:name="_Toc513029213"/>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85" w:name="_Toc20823286"/>
      <w:r/>
      <w:bookmarkStart w:id="86" w:name="_Toc462564073"/>
      <w:r/>
      <w:bookmarkStart w:id="87" w:name="_Toc513029214"/>
      <w:r/>
      <w:bookmarkStart w:id="88" w:name="_Toc16938530"/>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891"/>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08" w:name="_Hlt26668983"/>
      <w:r/>
      <w:bookmarkEnd w:id="108"/>
      <w:r/>
      <w:bookmarkStart w:id="109" w:name="_Hlt26954842"/>
      <w:r/>
      <w:bookmarkEnd w:id="109"/>
      <w:r/>
      <w:bookmarkStart w:id="110" w:name="_Hlt26670403"/>
      <w:r/>
      <w:bookmarkEnd w:id="110"/>
      <w:r/>
      <w:bookmarkStart w:id="111" w:name="_Hlt26670425"/>
      <w:r/>
      <w:bookmarkEnd w:id="111"/>
      <w:r/>
      <w:bookmarkStart w:id="112" w:name="_Hlt26954848"/>
      <w:r/>
      <w:bookmarkEnd w:id="112"/>
      <w:r/>
      <w:bookmarkStart w:id="113" w:name="_Hlt26670486"/>
      <w:r/>
      <w:bookmarkEnd w:id="113"/>
      <w:r/>
      <w:bookmarkStart w:id="114" w:name="_Hlt26954844"/>
      <w:r/>
      <w:bookmarkEnd w:id="114"/>
      <w:r/>
      <w:bookmarkStart w:id="115" w:name="_Hlt26954846"/>
      <w:r/>
      <w:bookmarkEnd w:id="115"/>
      <w:r/>
      <w:bookmarkStart w:id="116" w:name="_Hlt26670482"/>
      <w:r/>
      <w:bookmarkEnd w:id="116"/>
      <w:r/>
      <w:bookmarkStart w:id="117" w:name="_Hlt26954731"/>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891"/>
        <w:ind w:firstLine="480"/>
        <w:spacing w:line="500" w:lineRule="exact"/>
        <w:shd w:val="clear" w:color="auto" w:fill="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1005"/>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16938542"/>
      <w:r/>
      <w:bookmarkStart w:id="135" w:name="_Toc20823298"/>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36" w:name="_Toc513029227"/>
      <w:r/>
      <w:bookmarkStart w:id="137" w:name="_Toc20823299"/>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39" w:name="_Toc513029228"/>
      <w:r/>
      <w:bookmarkStart w:id="140" w:name="_Toc20823300"/>
      <w:r/>
      <w:bookmarkStart w:id="141" w:name="_Toc16938544"/>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142" w:name="_Toc513029229"/>
      <w:r/>
      <w:bookmarkStart w:id="143" w:name="_Toc20823301"/>
      <w:r/>
      <w:bookmarkStart w:id="144" w:name="_Toc16938545"/>
      <w:r/>
      <w:bookmarkStart w:id="145" w:name="_Toc120614218"/>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891"/>
        <w:ind w:firstLine="480"/>
        <w:spacing w:line="500" w:lineRule="exact"/>
        <w:shd w:val="clear" w:color="auto" w:fill="auto"/>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891"/>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49" w:name="_Toc20823303"/>
      <w:r/>
      <w:bookmarkStart w:id="150" w:name="_Toc513029231"/>
      <w:r/>
      <w:bookmarkStart w:id="151" w:name="_Toc16938547"/>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52" w:name="_Toc20823304"/>
      <w:r/>
      <w:bookmarkStart w:id="153" w:name="_Toc513029232"/>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891"/>
        <w:ind w:firstLine="480"/>
        <w:spacing w:line="500" w:lineRule="exact"/>
        <w:shd w:val="clear" w:color="auto" w:fill="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55" w:name="_Toc16938549"/>
      <w:r/>
      <w:bookmarkStart w:id="156" w:name="_Toc513029233"/>
      <w:r/>
      <w:bookmarkStart w:id="157" w:name="_Toc20823305"/>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91"/>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91"/>
        <w:ind w:firstLine="480"/>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91"/>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91"/>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91"/>
        <w:ind w:firstLine="480"/>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91"/>
        <w:ind w:firstLine="480"/>
        <w:spacing w:line="500" w:lineRule="exact"/>
        <w:shd w:val="clear" w:color="auto" w:fill="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91"/>
        <w:ind w:firstLine="42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69"/>
        <w:ind w:firstLine="480"/>
        <w:shd w:val="clear" w:color="auto" w:fill="auto"/>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91"/>
        <w:ind w:left="479"/>
        <w:spacing w:line="500" w:lineRule="exact"/>
        <w:shd w:val="clear" w:color="auto" w:fill="auto"/>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891"/>
        <w:ind w:firstLine="480"/>
        <w:jc w:val="left"/>
        <w:keepLines w:val="0"/>
        <w:keepNext w:val="0"/>
        <w:shd w:val="clear" w:color="auto" w:fill="auto"/>
        <w:widowControl/>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91"/>
        <w:ind w:left="479"/>
        <w:spacing w:line="5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891"/>
        <w:ind w:left="479"/>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91"/>
        <w:ind w:firstLine="480"/>
        <w:spacing w:line="5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91"/>
        <w:ind w:firstLine="468"/>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94"/>
        <w:ind w:firstLine="452"/>
        <w:keepLines w:val="0"/>
        <w:keepNext w:val="0"/>
        <w:spacing w:before="0" w:after="0" w:line="500" w:lineRule="exact"/>
        <w:shd w:val="clear" w:color="auto" w:fill="auto"/>
        <w:rPr>
          <w:rFonts w:hint="eastAsia"/>
          <w:color w:val="000000"/>
          <w:sz w:val="30"/>
          <w:szCs w:val="30"/>
          <w:highlight w:val="none"/>
        </w:rPr>
      </w:pPr>
      <w:r/>
      <w:bookmarkStart w:id="169" w:name="_Toc120614220"/>
      <w:r/>
      <w:bookmarkStart w:id="170" w:name="_Toc513029236"/>
      <w:r/>
      <w:bookmarkStart w:id="171" w:name="_Toc20823308"/>
      <w:r/>
      <w:bookmarkStart w:id="172" w:name="_Toc16938552"/>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895"/>
        <w:ind w:firstLine="422"/>
        <w:keepLines w:val="0"/>
        <w:keepNext w:val="0"/>
        <w:spacing w:before="0" w:after="0" w:line="500" w:lineRule="exact"/>
        <w:shd w:val="clear" w:color="auto" w:fill="auto"/>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20823314"/>
      <w:r/>
      <w:bookmarkStart w:id="177" w:name="_Toc16938558"/>
      <w:r/>
      <w:bookmarkStart w:id="178" w:name="_Toc479757207"/>
      <w:r/>
      <w:bookmarkStart w:id="179" w:name="_Toc120614221"/>
      <w:r/>
      <w:bookmarkStart w:id="180" w:name="_Toc513029242"/>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91"/>
        <w:ind w:firstLine="480"/>
        <w:spacing w:line="400" w:lineRule="exact"/>
        <w:shd w:val="clear" w:color="auto" w:fill="auto"/>
        <w:rPr>
          <w:rFonts w:hint="eastAsia" w:ascii="宋体" w:hAnsi="宋体"/>
          <w:bCs/>
          <w:color w:val="000000"/>
          <w:sz w:val="24"/>
          <w:highlight w:val="none"/>
        </w:rPr>
      </w:pPr>
      <w:r/>
      <w:bookmarkStart w:id="181" w:name="_Toc20823315"/>
      <w:r/>
      <w:bookmarkStart w:id="182" w:name="_Toc513029243"/>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91"/>
        <w:spacing w:line="400" w:lineRule="exact"/>
        <w:shd w:val="clear" w:color="auto" w:fill="auto"/>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0"/>
        <w:spacing w:line="400" w:lineRule="exact"/>
        <w:shd w:val="clear" w:color="auto" w:fill="auto"/>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930"/>
        <w:spacing w:line="400" w:lineRule="exact"/>
        <w:shd w:val="clear" w:color="auto" w:fill="auto"/>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930"/>
        <w:spacing w:line="400" w:lineRule="exact"/>
        <w:shd w:val="clear" w:color="auto" w:fill="auto"/>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930"/>
        <w:spacing w:line="400" w:lineRule="exact"/>
        <w:shd w:val="clear" w:color="auto" w:fill="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891"/>
        <w:ind w:firstLine="480"/>
        <w:spacing w:line="400" w:lineRule="exact"/>
        <w:shd w:val="clear" w:color="auto" w:fill="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891"/>
        <w:ind w:firstLine="480"/>
        <w:spacing w:line="400" w:lineRule="exact"/>
        <w:shd w:val="clear" w:color="auto" w:fill="auto"/>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891"/>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91"/>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91"/>
        <w:ind w:firstLine="480"/>
        <w:spacing w:line="400" w:lineRule="exact"/>
        <w:shd w:val="clear" w:color="auto" w:fill="auto"/>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891"/>
        <w:ind w:firstLine="480"/>
        <w:spacing w:line="400" w:lineRule="exact"/>
        <w:shd w:val="clear" w:color="auto" w:fill="auto"/>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891"/>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891"/>
        <w:ind w:firstLine="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891"/>
        <w:ind w:firstLine="480"/>
        <w:spacing w:line="4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891"/>
        <w:ind w:firstLine="482"/>
        <w:spacing w:line="400" w:lineRule="exact"/>
        <w:shd w:val="clear" w:color="auto" w:fill="auto"/>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891"/>
        <w:ind w:firstLine="480"/>
        <w:spacing w:line="400" w:lineRule="exact"/>
        <w:shd w:val="clear" w:color="auto" w:fill="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891"/>
        <w:spacing w:line="400" w:lineRule="exact"/>
        <w:shd w:val="clear" w:color="auto" w:fill="auto"/>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891"/>
        <w:spacing w:line="400" w:lineRule="exact"/>
        <w:shd w:val="clear" w:color="auto" w:fill="auto"/>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891"/>
        <w:ind w:firstLine="482"/>
        <w:spacing w:line="40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891"/>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891"/>
        <w:ind w:firstLine="480"/>
        <w:spacing w:line="40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891"/>
        <w:ind w:firstLine="600"/>
        <w:jc w:val="left"/>
        <w:spacing w:line="360" w:lineRule="auto"/>
        <w:shd w:val="clear" w:color="auto" w:fill="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891"/>
        <w:ind w:firstLine="48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891"/>
        <w:ind w:firstLine="480"/>
        <w:spacing w:line="360" w:lineRule="auto"/>
        <w:shd w:val="clear" w:color="auto" w:fill="auto"/>
        <w:rPr>
          <w:color w:val="000000"/>
          <w:highlight w:val="none"/>
        </w:rPr>
      </w:pPr>
      <w:r>
        <w:rPr>
          <w:rFonts w:hint="eastAsia" w:ascii="宋体" w:hAnsi="宋体"/>
          <w:bCs/>
          <w:color w:val="000000"/>
          <w:sz w:val="24"/>
          <w:szCs w:val="24"/>
          <w:highlight w:val="none"/>
        </w:rPr>
        <w:t xml:space="preserve">本项目标的物所属行业：物业管理</w:t>
      </w:r>
      <w:r>
        <w:rPr>
          <w:color w:val="000000"/>
          <w:highlight w:val="none"/>
        </w:rPr>
      </w:r>
      <w:r/>
    </w:p>
    <w:p>
      <w:pPr>
        <w:pStyle w:val="891"/>
        <w:ind w:firstLine="602"/>
        <w:spacing w:line="360" w:lineRule="auto"/>
        <w:shd w:val="clear" w:color="auto" w:fill="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891"/>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1.项目基本情况</w:t>
      </w:r>
      <w:r>
        <w:rPr>
          <w:rFonts w:hint="eastAsia" w:ascii="宋体" w:hAnsi="宋体"/>
          <w:b/>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1.1物业情况</w:t>
      </w:r>
      <w:r>
        <w:rPr>
          <w:rFonts w:hint="eastAsia" w:ascii="宋体" w:hAnsi="宋体"/>
          <w:color w:val="000000"/>
          <w:sz w:val="24"/>
          <w:highlight w:val="none"/>
        </w:rPr>
      </w:r>
      <w:r/>
    </w:p>
    <w:p>
      <w:pPr>
        <w:pStyle w:val="891"/>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本项目位于</w:t>
      </w:r>
      <w:r>
        <w:rPr>
          <w:rFonts w:hint="eastAsia" w:ascii="Times New Roman" w:hAnsi="Times New Roman" w:cs="宋体"/>
          <w:color w:val="000000"/>
          <w:sz w:val="24"/>
          <w:highlight w:val="none"/>
        </w:rPr>
        <w:t xml:space="preserve">江溪街道综合办公楼，室内</w:t>
      </w:r>
      <w:r>
        <w:rPr>
          <w:rFonts w:hint="eastAsia" w:ascii="Times New Roman" w:hAnsi="Times New Roman" w:cs="宋体"/>
          <w:color w:val="000000"/>
          <w:sz w:val="24"/>
          <w:highlight w:val="none"/>
          <w:lang w:val="zh-CN"/>
        </w:rPr>
        <w:t xml:space="preserve">占地面积4362平方米，总建筑面积约11800平方米，室外占地面积8500平方米。</w:t>
      </w:r>
      <w:r>
        <w:rPr>
          <w:rFonts w:hint="eastAsia" w:ascii="宋体" w:hAnsi="宋体" w:cs="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具体情况以现场实际状况为准。</w:t>
      </w:r>
      <w:r>
        <w:rPr>
          <w:rFonts w:hint="eastAsia" w:ascii="宋体" w:hAnsi="宋体" w:cs="宋体"/>
          <w:color w:val="000000"/>
          <w:sz w:val="24"/>
          <w:highlight w:val="none"/>
        </w:rPr>
        <w:t xml:space="preserve">本项目服务期两年，最高限价：272.4万元。</w:t>
      </w:r>
      <w:r>
        <w:rPr>
          <w:rFonts w:hint="eastAsia" w:ascii="宋体" w:hAnsi="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1.2采购人提供供应商使用的场地、设施、设备、材料等。</w:t>
      </w:r>
      <w:r>
        <w:rPr>
          <w:rFonts w:hint="eastAsia" w:ascii="宋体" w:hAnsi="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【如采购人拥有与物业管理服务有关的且可以无偿提供给供应商在本项目中使用的设施、设备、材料、场地等，可在此列明】</w:t>
      </w:r>
      <w:r>
        <w:rPr>
          <w:rFonts w:hint="eastAsia" w:ascii="宋体" w:hAnsi="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（1）采购人可提供的办公室</w:t>
      </w:r>
      <w:r>
        <w:rPr>
          <w:rFonts w:hint="eastAsia" w:ascii="宋体" w:hAnsi="宋体"/>
          <w:color w:val="000000"/>
          <w:sz w:val="24"/>
          <w:highlight w:val="none"/>
        </w:rPr>
      </w:r>
      <w:r/>
    </w:p>
    <w:tbl>
      <w:tblPr>
        <w:tblStyle w:val="9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39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142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面积㎡</w:t>
            </w:r>
            <w:r>
              <w:rPr>
                <w:rFonts w:hint="eastAsia" w:ascii="宋体" w:hAnsi="宋体" w:cs="宋体"/>
                <w:color w:val="000000"/>
                <w:spacing w:val="-1"/>
                <w:szCs w:val="21"/>
                <w:highlight w:val="none"/>
              </w:rPr>
            </w:r>
            <w:r/>
          </w:p>
        </w:tc>
        <w:tc>
          <w:tcPr>
            <w:tcW w:w="475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办公室内可用设施设备清单</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39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42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50</w:t>
            </w:r>
            <w:r>
              <w:rPr>
                <w:rFonts w:hint="eastAsia" w:ascii="宋体" w:hAnsi="宋体" w:cs="宋体"/>
                <w:color w:val="000000"/>
                <w:spacing w:val="-1"/>
                <w:szCs w:val="21"/>
                <w:highlight w:val="none"/>
              </w:rPr>
            </w:r>
            <w:r/>
          </w:p>
        </w:tc>
        <w:tc>
          <w:tcPr>
            <w:tcW w:w="475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本项目的物业办公室由采购人提供</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39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lang w:eastAsia="en-US"/>
              </w:rPr>
            </w:r>
            <w:r/>
          </w:p>
        </w:tc>
        <w:tc>
          <w:tcPr>
            <w:tcW w:w="142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30</w:t>
            </w:r>
            <w:r>
              <w:rPr>
                <w:rFonts w:hint="eastAsia" w:ascii="宋体" w:hAnsi="宋体" w:cs="宋体"/>
                <w:color w:val="000000"/>
                <w:spacing w:val="-1"/>
                <w:szCs w:val="21"/>
                <w:highlight w:val="none"/>
                <w:lang w:eastAsia="en-US"/>
              </w:rPr>
            </w:r>
            <w:r/>
          </w:p>
        </w:tc>
        <w:tc>
          <w:tcPr>
            <w:tcW w:w="475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本项目的门卫室由采购人提供</w:t>
            </w:r>
            <w:r>
              <w:rPr>
                <w:rFonts w:hint="eastAsia" w:ascii="宋体" w:hAnsi="宋体" w:cs="宋体"/>
                <w:color w:val="000000"/>
                <w:spacing w:val="-1"/>
                <w:szCs w:val="21"/>
                <w:highlight w:val="none"/>
              </w:rPr>
            </w:r>
            <w:r/>
          </w:p>
        </w:tc>
      </w:tr>
      <w:tr>
        <w:trPr/>
        <w:tc>
          <w:tcPr>
            <w:tcW w:w="948"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3</w:t>
            </w:r>
            <w:r>
              <w:rPr>
                <w:rFonts w:hint="eastAsia" w:ascii="宋体" w:hAnsi="宋体" w:cs="宋体"/>
                <w:color w:val="000000"/>
                <w:spacing w:val="-1"/>
                <w:szCs w:val="21"/>
                <w:highlight w:val="none"/>
                <w:lang w:eastAsia="en-US"/>
              </w:rPr>
            </w:r>
            <w:r/>
          </w:p>
        </w:tc>
        <w:tc>
          <w:tcPr>
            <w:tcW w:w="139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lang w:eastAsia="en-US"/>
              </w:rPr>
            </w:r>
            <w:r/>
          </w:p>
        </w:tc>
        <w:tc>
          <w:tcPr>
            <w:tcW w:w="142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rPr>
              <w:t xml:space="preserve">68</w:t>
            </w:r>
            <w:r>
              <w:rPr>
                <w:rFonts w:hint="eastAsia" w:ascii="宋体" w:hAnsi="宋体" w:cs="宋体"/>
                <w:color w:val="000000"/>
                <w:spacing w:val="-1"/>
                <w:szCs w:val="21"/>
                <w:highlight w:val="none"/>
                <w:lang w:eastAsia="en-US"/>
              </w:rPr>
            </w:r>
            <w:r/>
          </w:p>
        </w:tc>
        <w:tc>
          <w:tcPr>
            <w:tcW w:w="475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（2）采购人可提供的物业管理服务设备</w:t>
      </w:r>
      <w:r>
        <w:rPr>
          <w:rFonts w:hint="eastAsia" w:ascii="宋体" w:hAnsi="宋体"/>
          <w:color w:val="000000"/>
          <w:sz w:val="24"/>
          <w:highlight w:val="none"/>
        </w:rPr>
      </w:r>
      <w:r/>
    </w:p>
    <w:tbl>
      <w:tblPr>
        <w:tblStyle w:val="9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357"/>
        <w:gridCol w:w="1013"/>
        <w:gridCol w:w="2135"/>
        <w:gridCol w:w="3051"/>
      </w:tblGrid>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357"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101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213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c>
          <w:tcPr>
            <w:tcW w:w="3051"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主要技术指标</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357" w:type="dxa"/>
            <w:vAlign w:val="center"/>
            <w:textDirection w:val="lrTb"/>
            <w:noWrap w:val="false"/>
          </w:tcPr>
          <w:p>
            <w:pPr>
              <w:pStyle w:val="891"/>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微型消防站</w:t>
            </w:r>
            <w:r>
              <w:rPr>
                <w:rFonts w:hint="eastAsia" w:ascii="宋体" w:hAnsi="宋体" w:cs="宋体"/>
                <w:color w:val="000000"/>
                <w:spacing w:val="-1"/>
                <w:szCs w:val="21"/>
                <w:highlight w:val="none"/>
              </w:rPr>
            </w:r>
            <w:r/>
          </w:p>
        </w:tc>
        <w:tc>
          <w:tcPr>
            <w:tcW w:w="1013" w:type="dxa"/>
            <w:vAlign w:val="center"/>
            <w:textDirection w:val="lrTb"/>
            <w:noWrap w:val="false"/>
          </w:tcPr>
          <w:p>
            <w:pPr>
              <w:pStyle w:val="891"/>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套</w:t>
            </w:r>
            <w:r>
              <w:rPr>
                <w:rFonts w:hint="eastAsia" w:ascii="宋体" w:hAnsi="宋体" w:cs="宋体"/>
                <w:color w:val="000000"/>
                <w:spacing w:val="-1"/>
                <w:szCs w:val="21"/>
                <w:highlight w:val="none"/>
              </w:rPr>
            </w:r>
            <w:r/>
          </w:p>
        </w:tc>
        <w:tc>
          <w:tcPr>
            <w:tcW w:w="2135" w:type="dxa"/>
            <w:vAlign w:val="center"/>
            <w:textDirection w:val="lrTb"/>
            <w:noWrap w:val="false"/>
          </w:tcPr>
          <w:p>
            <w:pPr>
              <w:pStyle w:val="891"/>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消防安全管理</w:t>
            </w:r>
            <w:r>
              <w:rPr>
                <w:rFonts w:hint="eastAsia" w:ascii="宋体" w:hAnsi="宋体" w:cs="宋体"/>
                <w:color w:val="000000"/>
                <w:spacing w:val="-1"/>
                <w:szCs w:val="21"/>
                <w:highlight w:val="none"/>
              </w:rPr>
            </w:r>
            <w:r/>
          </w:p>
        </w:tc>
        <w:tc>
          <w:tcPr>
            <w:tcW w:w="3051" w:type="dxa"/>
            <w:vAlign w:val="center"/>
            <w:textDirection w:val="lrTb"/>
            <w:noWrap w:val="false"/>
          </w:tcPr>
          <w:p>
            <w:pPr>
              <w:pStyle w:val="891"/>
              <w:jc w:val="center"/>
              <w:spacing w:line="0" w:lineRule="atLeast"/>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按消防规范</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357"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101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213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3051"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1357"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101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213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c>
          <w:tcPr>
            <w:tcW w:w="3051"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w:t>
            </w:r>
            <w:r>
              <w:rPr>
                <w:rFonts w:hint="eastAsia" w:ascii="宋体" w:hAnsi="宋体" w:cs="宋体"/>
                <w:color w:val="000000"/>
                <w:spacing w:val="-1"/>
                <w:szCs w:val="21"/>
                <w:highlight w:val="none"/>
                <w:lang w:eastAsia="en-US"/>
              </w:rPr>
            </w:r>
            <w:r/>
          </w:p>
        </w:tc>
      </w:tr>
    </w:tbl>
    <w:p>
      <w:pPr>
        <w:pStyle w:val="891"/>
        <w:numPr>
          <w:ilvl w:val="0"/>
          <w:numId w:val="5"/>
        </w:numPr>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采购人可提供的零星维修材料、低值易耗品</w:t>
      </w:r>
      <w:r>
        <w:rPr>
          <w:rFonts w:hint="eastAsia" w:ascii="宋体" w:hAnsi="宋体"/>
          <w:color w:val="000000"/>
          <w:sz w:val="24"/>
          <w:highlight w:val="none"/>
        </w:rPr>
      </w:r>
      <w:r/>
    </w:p>
    <w:tbl>
      <w:tblPr>
        <w:tblStyle w:val="96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555"/>
        <w:gridCol w:w="815"/>
        <w:gridCol w:w="5186"/>
      </w:tblGrid>
      <w:tr>
        <w:trPr/>
        <w:tc>
          <w:tcPr>
            <w:gridSpan w:val="4"/>
            <w:tcW w:w="8519" w:type="dxa"/>
            <w:vAlign w:val="center"/>
            <w:textDirection w:val="lrTb"/>
            <w:noWrap w:val="false"/>
          </w:tcPr>
          <w:p>
            <w:pPr>
              <w:pStyle w:val="891"/>
              <w:jc w:val="left"/>
              <w:shd w:val="clear" w:color="auto" w:fill="auto"/>
              <w:rPr>
                <w:rFonts w:hint="eastAsia" w:ascii="宋体" w:hAnsi="宋体" w:cs="宋体"/>
                <w:color w:val="000000"/>
                <w:spacing w:val="-1"/>
                <w:szCs w:val="21"/>
                <w:highlight w:val="none"/>
              </w:rPr>
            </w:pPr>
            <w:r>
              <w:rPr>
                <w:rFonts w:hint="eastAsia" w:ascii="宋体" w:hAnsi="宋体" w:cs="宋体"/>
                <w:b/>
                <w:bCs/>
                <w:color w:val="000000"/>
                <w:spacing w:val="-1"/>
                <w:szCs w:val="21"/>
                <w:highlight w:val="none"/>
              </w:rPr>
              <w:t xml:space="preserve">零星维修材料</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日常消耗用品</w:t>
            </w:r>
            <w:r>
              <w:rPr>
                <w:rFonts w:hint="eastAsia" w:ascii="宋体" w:hAnsi="宋体" w:cs="宋体"/>
                <w:color w:val="000000"/>
                <w:spacing w:val="-1"/>
                <w:szCs w:val="21"/>
                <w:highlight w:val="none"/>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日常使用</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工程维修配件</w:t>
            </w:r>
            <w:r>
              <w:rPr>
                <w:rFonts w:hint="eastAsia" w:ascii="宋体" w:hAnsi="宋体" w:cs="宋体"/>
                <w:color w:val="000000"/>
                <w:spacing w:val="-1"/>
                <w:szCs w:val="21"/>
                <w:highlight w:val="none"/>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日常更换及纵维修使用</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left"/>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815"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5186"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r>
      <w:tr>
        <w:trPr/>
        <w:tc>
          <w:tcPr>
            <w:gridSpan w:val="4"/>
            <w:tcW w:w="8519" w:type="dxa"/>
            <w:vAlign w:val="center"/>
            <w:textDirection w:val="lrTb"/>
            <w:noWrap w:val="false"/>
          </w:tcPr>
          <w:p>
            <w:pPr>
              <w:pStyle w:val="891"/>
              <w:jc w:val="left"/>
              <w:shd w:val="clear" w:color="auto" w:fill="auto"/>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低值易耗品</w:t>
            </w:r>
            <w:r>
              <w:rPr>
                <w:rFonts w:hint="eastAsia" w:ascii="宋体" w:hAnsi="宋体" w:cs="宋体"/>
                <w:b/>
                <w:bCs/>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序号</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名称</w:t>
            </w:r>
            <w:r>
              <w:rPr>
                <w:rFonts w:hint="eastAsia" w:ascii="宋体" w:hAnsi="宋体" w:cs="宋体"/>
                <w:color w:val="000000"/>
                <w:spacing w:val="-1"/>
                <w:szCs w:val="21"/>
                <w:highlight w:val="none"/>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数量</w:t>
            </w:r>
            <w:r>
              <w:rPr>
                <w:rFonts w:hint="eastAsia" w:ascii="宋体" w:hAnsi="宋体" w:cs="宋体"/>
                <w:color w:val="000000"/>
                <w:spacing w:val="-1"/>
                <w:szCs w:val="21"/>
                <w:highlight w:val="none"/>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用途</w:t>
            </w:r>
            <w:r>
              <w:rPr>
                <w:rFonts w:hint="eastAsia" w:ascii="宋体" w:hAnsi="宋体" w:cs="宋体"/>
                <w:color w:val="000000"/>
                <w:spacing w:val="-1"/>
                <w:szCs w:val="21"/>
                <w:highlight w:val="none"/>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t xml:space="preserve">垃</w:t>
            </w:r>
            <w:r>
              <w:rPr>
                <w:rFonts w:hint="eastAsia" w:ascii="宋体" w:hAnsi="宋体" w:cs="宋体"/>
                <w:color w:val="000000"/>
                <w:spacing w:val="-1"/>
                <w:szCs w:val="21"/>
                <w:highlight w:val="none"/>
                <w:lang w:eastAsia="en-US"/>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w:t>
            </w: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815"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c>
          <w:tcPr>
            <w:tcW w:w="5186"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lang w:eastAsia="en-US"/>
              </w:rPr>
            </w:pPr>
            <w:r>
              <w:rPr>
                <w:rFonts w:hint="eastAsia" w:ascii="宋体" w:hAnsi="宋体" w:cs="宋体"/>
                <w:color w:val="000000"/>
                <w:spacing w:val="-1"/>
                <w:szCs w:val="21"/>
                <w:highlight w:val="none"/>
                <w:lang w:eastAsia="en-US"/>
              </w:rPr>
            </w:r>
            <w:r/>
          </w:p>
        </w:tc>
      </w:tr>
      <w:tr>
        <w:trPr/>
        <w:tc>
          <w:tcPr>
            <w:tcW w:w="963" w:type="dxa"/>
            <w:vAlign w:val="center"/>
            <w:textDirection w:val="lrTb"/>
            <w:noWrap w:val="false"/>
          </w:tcPr>
          <w:p>
            <w:pPr>
              <w:pStyle w:val="891"/>
              <w:jc w:val="center"/>
              <w:shd w:val="clear" w:color="auto" w:fill="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r>
            <w:r/>
          </w:p>
        </w:tc>
        <w:tc>
          <w:tcPr>
            <w:tcW w:w="1555"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815"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c>
          <w:tcPr>
            <w:tcW w:w="5186" w:type="dxa"/>
            <w:vAlign w:val="center"/>
            <w:textDirection w:val="lrTb"/>
            <w:noWrap w:val="false"/>
          </w:tcPr>
          <w:p>
            <w:pPr>
              <w:pStyle w:val="891"/>
              <w:jc w:val="center"/>
              <w:shd w:val="clear" w:color="auto" w:fill="auto"/>
              <w:rPr>
                <w:rFonts w:hint="eastAsia" w:ascii="宋体" w:hAnsi="宋体" w:cs="宋体"/>
                <w:b/>
                <w:bCs/>
                <w:color w:val="000000"/>
                <w:spacing w:val="-1"/>
                <w:szCs w:val="21"/>
                <w:highlight w:val="none"/>
                <w:lang w:eastAsia="en-US"/>
              </w:rPr>
            </w:pPr>
            <w:r>
              <w:rPr>
                <w:rFonts w:hint="eastAsia" w:ascii="宋体" w:hAnsi="宋体" w:cs="宋体"/>
                <w:b/>
                <w:bCs/>
                <w:color w:val="000000"/>
                <w:spacing w:val="-1"/>
                <w:szCs w:val="21"/>
                <w:highlight w:val="none"/>
                <w:lang w:eastAsia="en-US"/>
              </w:rPr>
              <w:t xml:space="preserve">……</w:t>
            </w:r>
            <w:r>
              <w:rPr>
                <w:rFonts w:hint="eastAsia" w:ascii="宋体" w:hAnsi="宋体" w:cs="宋体"/>
                <w:b/>
                <w:bCs/>
                <w:color w:val="000000"/>
                <w:spacing w:val="-1"/>
                <w:szCs w:val="21"/>
                <w:highlight w:val="none"/>
                <w:lang w:eastAsia="en-US"/>
              </w:rPr>
            </w:r>
            <w:r/>
          </w:p>
        </w:tc>
      </w:tr>
    </w:tbl>
    <w:p>
      <w:pPr>
        <w:pStyle w:val="891"/>
        <w:spacing w:line="360" w:lineRule="auto"/>
        <w:shd w:val="clear" w:color="auto" w:fill="auto"/>
        <w:rPr>
          <w:rFonts w:hint="eastAsia" w:ascii="宋体" w:hAnsi="宋体" w:eastAsia="微软雅黑"/>
          <w:color w:val="000000"/>
          <w:sz w:val="24"/>
          <w:highlight w:val="none"/>
        </w:rPr>
      </w:pPr>
      <w:r>
        <w:rPr>
          <w:rFonts w:hint="eastAsia" w:ascii="微软雅黑" w:hAnsi="微软雅黑" w:eastAsia="微软雅黑" w:cs="微软雅黑"/>
          <w:b/>
          <w:bCs/>
          <w:color w:val="000000"/>
          <w:spacing w:val="-1"/>
          <w:szCs w:val="21"/>
          <w:highlight w:val="none"/>
          <w:lang w:eastAsia="en-US"/>
        </w:rPr>
        <w:t xml:space="preserve">……</w:t>
      </w:r>
      <w:r>
        <w:rPr>
          <w:rFonts w:hint="eastAsia" w:ascii="宋体" w:hAnsi="宋体" w:eastAsia="微软雅黑"/>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hint="eastAsia" w:ascii="宋体" w:hAnsi="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91"/>
        <w:ind w:firstLine="482"/>
        <w:spacing w:line="360" w:lineRule="auto"/>
        <w:shd w:val="clear" w:color="auto" w:fill="auto"/>
        <w:rPr>
          <w:rFonts w:hint="eastAsia"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物业服务范围</w:t>
      </w:r>
      <w:r>
        <w:rPr>
          <w:rFonts w:hint="eastAsia" w:ascii="宋体" w:hAnsi="宋体"/>
          <w:b/>
          <w:color w:val="000000"/>
          <w:sz w:val="24"/>
          <w:highlight w:val="none"/>
        </w:rPr>
      </w:r>
      <w:r/>
    </w:p>
    <w:p>
      <w:pPr>
        <w:pStyle w:val="891"/>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（1）物业管理（建筑物）</w:t>
      </w:r>
      <w:r>
        <w:rPr>
          <w:rFonts w:hint="eastAsia"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999"/>
      </w:tblGrid>
      <w:tr>
        <w:trPr/>
        <w:tc>
          <w:tcPr>
            <w:tcW w:w="2211"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29"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3999"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1"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江溪街道综合办公楼室内部分</w:t>
            </w:r>
            <w:r>
              <w:rPr>
                <w:rFonts w:hint="eastAsia" w:ascii="宋体" w:hAnsi="宋体" w:cs="宋体"/>
                <w:color w:val="000000"/>
                <w:szCs w:val="21"/>
                <w:highlight w:val="none"/>
              </w:rPr>
            </w:r>
            <w:r/>
          </w:p>
        </w:tc>
        <w:tc>
          <w:tcPr>
            <w:tcW w:w="2929"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占地面积4362平方米，总建筑面积11800平方米。</w:t>
            </w:r>
            <w:r>
              <w:rPr>
                <w:rFonts w:hint="eastAsia" w:ascii="宋体" w:hAnsi="宋体" w:cs="宋体"/>
                <w:color w:val="000000"/>
                <w:szCs w:val="21"/>
                <w:highlight w:val="none"/>
              </w:rPr>
            </w:r>
            <w:r/>
          </w:p>
        </w:tc>
        <w:tc>
          <w:tcPr>
            <w:tcW w:w="3999"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室内部分的保洁、保安（秩序维护）、公共服务、房屋、共用设施、设备维护与管理等。</w:t>
            </w:r>
            <w:r>
              <w:rPr>
                <w:rFonts w:hint="eastAsia" w:ascii="宋体" w:hAnsi="宋体" w:cs="宋体"/>
                <w:color w:val="000000"/>
                <w:szCs w:val="21"/>
                <w:highlight w:val="none"/>
              </w:rPr>
            </w:r>
            <w:r/>
          </w:p>
        </w:tc>
      </w:tr>
    </w:tbl>
    <w:p>
      <w:pPr>
        <w:pStyle w:val="891"/>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（2）物业管理（室外）</w:t>
      </w:r>
      <w:r>
        <w:rPr>
          <w:rFonts w:hint="eastAsia" w:ascii="宋体" w:hAnsi="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4029"/>
      </w:tblGrid>
      <w:tr>
        <w:trPr/>
        <w:tc>
          <w:tcPr>
            <w:tcW w:w="2211"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29"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4029" w:type="dxa"/>
            <w:vAlign w:val="center"/>
            <w:textDirection w:val="lrTb"/>
            <w:noWrap w:val="false"/>
          </w:tcPr>
          <w:p>
            <w:pPr>
              <w:pStyle w:val="891"/>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1"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江溪街道综合办公楼室外部分</w:t>
            </w:r>
            <w:r>
              <w:rPr>
                <w:rFonts w:hint="eastAsia" w:ascii="宋体" w:hAnsi="宋体" w:cs="宋体"/>
                <w:color w:val="000000"/>
                <w:szCs w:val="21"/>
                <w:highlight w:val="none"/>
              </w:rPr>
            </w:r>
            <w:r/>
          </w:p>
        </w:tc>
        <w:tc>
          <w:tcPr>
            <w:tcW w:w="2929"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占地面积8500平方米。</w:t>
            </w:r>
            <w:r>
              <w:rPr>
                <w:rFonts w:hint="eastAsia" w:ascii="宋体" w:hAnsi="宋体" w:cs="宋体"/>
                <w:color w:val="000000"/>
                <w:szCs w:val="21"/>
                <w:highlight w:val="none"/>
              </w:rPr>
            </w:r>
            <w:r/>
          </w:p>
        </w:tc>
        <w:tc>
          <w:tcPr>
            <w:tcW w:w="4029"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室外部分的保洁、保安（秩序维护）、弱电系统管理等。</w:t>
            </w:r>
            <w:r>
              <w:rPr>
                <w:rFonts w:hint="eastAsia" w:ascii="宋体" w:hAnsi="宋体" w:cs="宋体"/>
                <w:color w:val="000000"/>
                <w:szCs w:val="21"/>
                <w:highlight w:val="none"/>
              </w:rPr>
            </w:r>
            <w:r/>
          </w:p>
        </w:tc>
      </w:tr>
    </w:tbl>
    <w:p>
      <w:pPr>
        <w:pStyle w:val="891"/>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3.物业管理服务内容及标准</w:t>
      </w:r>
      <w:r>
        <w:rPr>
          <w:rFonts w:hint="eastAsia" w:ascii="宋体" w:hAnsi="宋体"/>
          <w:b/>
          <w:color w:val="000000"/>
          <w:sz w:val="24"/>
          <w:highlight w:val="none"/>
        </w:rPr>
      </w:r>
      <w:r/>
    </w:p>
    <w:p>
      <w:pPr>
        <w:pStyle w:val="891"/>
        <w:ind w:firstLine="480"/>
        <w:spacing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【物业管理服务包括房屋维护服务、公用设施设备维护服务、保洁服务、保安服务等。】</w:t>
      </w:r>
      <w:r>
        <w:rPr>
          <w:rFonts w:hint="eastAsia" w:ascii="宋体" w:hAnsi="宋体"/>
          <w:color w:val="000000"/>
          <w:sz w:val="24"/>
          <w:szCs w:val="21"/>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3.1  房屋维护服务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835"/>
        <w:gridCol w:w="5422"/>
      </w:tblGrid>
      <w:tr>
        <w:trPr/>
        <w:tc>
          <w:tcPr>
            <w:tcW w:w="899"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422"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899"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装修管理</w:t>
            </w:r>
            <w:r>
              <w:rPr>
                <w:rFonts w:hint="eastAsia" w:ascii="宋体" w:hAnsi="宋体" w:cs="微软雅黑"/>
                <w:color w:val="000000"/>
                <w:spacing w:val="-1"/>
                <w:szCs w:val="21"/>
                <w:highlight w:val="none"/>
              </w:rPr>
            </w:r>
            <w:r/>
          </w:p>
        </w:tc>
        <w:tc>
          <w:tcPr>
            <w:tcW w:w="5422" w:type="dxa"/>
            <w:vAlign w:val="center"/>
            <w:textDirection w:val="lrTb"/>
            <w:noWrap w:val="false"/>
          </w:tcPr>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1.将室内装饰装修工程的禁止行为和注意事项告知装修人；</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2.对业主（使用人）装修房屋的申请，应在2个工作日内给出同意意见或修改意见，并签定装饰装修管理服务协议；</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3.业主（使用人）装修期间每日巡查装修施工情况；</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4.装修结束组织验收；</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5.验收合格2个月后组织复验；</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6.复验合格后3个工作日内退还装修保证金；</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7.对装修中的违约行为及时劝阻；已造成事实后果或者拒不改正的，应当及时报告有关部门依法处理。</w:t>
            </w:r>
            <w:r>
              <w:rPr>
                <w:rFonts w:hint="eastAsia" w:ascii="宋体" w:hAnsi="宋体" w:cs="微软雅黑"/>
                <w:color w:val="000000"/>
                <w:spacing w:val="-1"/>
                <w:szCs w:val="21"/>
                <w:highlight w:val="none"/>
              </w:rPr>
            </w:r>
            <w:r/>
          </w:p>
        </w:tc>
      </w:tr>
      <w:tr>
        <w:trPr/>
        <w:tc>
          <w:tcPr>
            <w:tcW w:w="899"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建筑物外立面</w:t>
            </w:r>
            <w:r>
              <w:rPr>
                <w:rFonts w:hint="eastAsia" w:ascii="宋体" w:hAnsi="宋体" w:cs="微软雅黑"/>
                <w:color w:val="000000"/>
                <w:spacing w:val="-1"/>
                <w:szCs w:val="21"/>
                <w:highlight w:val="none"/>
              </w:rPr>
            </w:r>
            <w:r/>
          </w:p>
        </w:tc>
        <w:tc>
          <w:tcPr>
            <w:tcW w:w="5422" w:type="dxa"/>
            <w:vAlign w:val="center"/>
            <w:textDirection w:val="lrTb"/>
            <w:noWrap w:val="false"/>
          </w:tcPr>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建筑物外立面为玻璃幕墙、瓷砖、仿石、大理石的，配合第三方外包公司清洗1次；外立面为水刷石、干粘石和喷涂材料的，原则上每5年粉饰1次；外立面为其他材质的，视材质情况定期清洗。因施工等原因致使建筑物、构筑物外立面有明显污迹的，应当及时进行清洗、粉饰。</w:t>
            </w:r>
            <w:r>
              <w:rPr>
                <w:rFonts w:hint="eastAsia" w:ascii="宋体" w:hAnsi="宋体" w:cs="微软雅黑"/>
                <w:color w:val="000000"/>
                <w:spacing w:val="-1"/>
                <w:szCs w:val="21"/>
                <w:highlight w:val="none"/>
              </w:rPr>
            </w:r>
            <w:r/>
          </w:p>
          <w:p>
            <w:pPr>
              <w:pStyle w:val="891"/>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2.委托合同另有约定的按合同约定执行。</w:t>
            </w:r>
            <w:r>
              <w:rPr>
                <w:rFonts w:hint="eastAsia" w:ascii="宋体" w:hAnsi="宋体" w:cs="微软雅黑"/>
                <w:color w:val="000000"/>
                <w:spacing w:val="-1"/>
                <w:szCs w:val="21"/>
                <w:highlight w:val="none"/>
              </w:rPr>
            </w:r>
            <w:r/>
          </w:p>
        </w:tc>
      </w:tr>
      <w:tr>
        <w:trPr/>
        <w:tc>
          <w:tcPr>
            <w:tcW w:w="899"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422" w:type="dxa"/>
            <w:vAlign w:val="center"/>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3.2  公用设施设备维护服务</w:t>
      </w:r>
      <w:r>
        <w:rPr>
          <w:rFonts w:hint="eastAsia" w:ascii="宋体" w:hAnsi="宋体"/>
          <w:color w:val="000000"/>
          <w:sz w:val="24"/>
          <w:highlight w:val="none"/>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11"/>
        <w:gridCol w:w="6103"/>
      </w:tblGrid>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给排水系统及其配套设施</w:t>
            </w:r>
            <w:r>
              <w:rPr>
                <w:rFonts w:hint="eastAsia" w:ascii="宋体" w:hAnsi="宋体" w:cs="微软雅黑"/>
                <w:color w:val="000000"/>
                <w:spacing w:val="-1"/>
                <w:szCs w:val="21"/>
                <w:highlight w:val="none"/>
              </w:rPr>
            </w:r>
            <w:r/>
          </w:p>
        </w:tc>
        <w:tc>
          <w:tcPr>
            <w:tcW w:w="6103" w:type="dxa"/>
            <w:vAlign w:val="top"/>
            <w:textDirection w:val="lrTb"/>
            <w:noWrap w:val="false"/>
          </w:tcPr>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给水设施：按照程序操作，外包单位清洗时无二次污染，有严密的管理设施；保持水池（箱）结构完好，无渗漏，表面和支架不锈蚀，漆膜脱落处及时修补。经常检查保养水箱人孔、进水管、溢水管、泻水管、水位计、液位传感器、浮球阀和各类闸门；冬季水箱有可靠的保温措施，且不得对水质产生污染；</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保持泵房清洁卫生，良好的通风、照明和采暖，地面排水畅通；</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2.排水设施：检查排水出入口畅通，井内无积物浮于面上，池盖无污渍、污物，清理后及时清洁现场；</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楼面落水管落水口等保持完好，开裂、破损等及时报告要求更换，定期检查；</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清理时地面竖警示牌，必要时加护拦。外包单位清理后达到目视管道内壁无粘附物，井底无沉淀物，水面无漂浮物，水流畅通，井盖上无污渍、污物。</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供配电系统</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1.每日检电流互感器、断路器、隔离开关、高压熔断器、配电箱、导线等供配电系统的运行状况，并定时抄表做好记录，出现异常及时报告并采取适当处理；</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2.潮湿天气时，采用安全有效措施，保持配电房内主要电器设备干燥；</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3.每月检测1次配电间内有无蛙、鼠、蚁等虫害，如发现马上采取措施杜绝；</w:t>
            </w:r>
            <w:r>
              <w:rPr>
                <w:rFonts w:hint="eastAsia" w:ascii="宋体" w:hAnsi="宋体" w:cs="微软雅黑"/>
                <w:color w:val="000000"/>
                <w:spacing w:val="-1"/>
                <w:szCs w:val="21"/>
                <w:highlight w:val="none"/>
              </w:rPr>
            </w:r>
            <w:r/>
          </w:p>
          <w:p>
            <w:pPr>
              <w:pStyle w:val="891"/>
              <w:jc w:val="left"/>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4.每日填写运行记录，建档备查。</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3</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弱电系统</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1.工作时认真负责，精神集中，对异常情况能及时识别；发现异常，及时处理；</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2.有切实可行的维修保养计划；保养、检修及时；</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3.对相关设备、设施定期进行调试，使系统处于最佳工作状态；</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4.工作、维修、养护有记录，特殊系统、设备的进入经过授权，密码有有效保护；</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4</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道路、（车棚、车库）及配套设施</w:t>
            </w:r>
            <w:r>
              <w:rPr>
                <w:rFonts w:hint="eastAsia" w:ascii="宋体" w:hAnsi="宋体" w:cs="微软雅黑"/>
                <w:color w:val="000000"/>
                <w:spacing w:val="-1"/>
                <w:szCs w:val="21"/>
                <w:highlight w:val="none"/>
              </w:rPr>
            </w:r>
            <w:r/>
          </w:p>
        </w:tc>
        <w:tc>
          <w:tcPr>
            <w:tcW w:w="6103" w:type="dxa"/>
            <w:vAlign w:val="top"/>
            <w:textDirection w:val="lrTb"/>
            <w:noWrap w:val="false"/>
          </w:tcPr>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1.加强道路维修与养护，制定详细的道路维修养护计划，按照合同约定实施；</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2.保持道路畅通，路面平坦整齐，排水畅通；</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3.设立报修渠道，并有巡查制度，专人负责，发现损坏及时修补；</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4.按照办公楼规定，劝阻人为损坏路面，制止在路面焚烧垃圾、落叶或其他杂物；</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5.停车场、棚、房完好无损，需要大、中、小修计划提前七个工作日报告；</w:t>
            </w:r>
            <w:r>
              <w:rPr>
                <w:rFonts w:hint="eastAsia" w:ascii="宋体" w:hAnsi="宋体" w:cs="微软雅黑"/>
                <w:color w:val="000000"/>
                <w:spacing w:val="-1"/>
                <w:szCs w:val="21"/>
                <w:highlight w:val="none"/>
              </w:rPr>
            </w:r>
            <w:r/>
          </w:p>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6.停车场内照明设施完好，通道畅通无阻，配备必要的消防设备，符合停车场规范要求，便于管理和车主停放车辆。</w:t>
            </w:r>
            <w:r>
              <w:rPr>
                <w:rFonts w:hint="eastAsia" w:ascii="宋体" w:hAnsi="宋体" w:cs="微软雅黑"/>
                <w:color w:val="000000"/>
                <w:spacing w:val="-1"/>
                <w:szCs w:val="21"/>
                <w:highlight w:val="none"/>
              </w:rPr>
            </w:r>
            <w:r/>
          </w:p>
        </w:tc>
      </w:tr>
      <w:tr>
        <w:trPr/>
        <w:tc>
          <w:tcPr>
            <w:tcW w:w="85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5</w:t>
            </w:r>
            <w:r>
              <w:rPr>
                <w:rFonts w:hint="eastAsia" w:ascii="宋体" w:hAnsi="宋体" w:cs="微软雅黑"/>
                <w:color w:val="000000"/>
                <w:spacing w:val="-1"/>
                <w:szCs w:val="21"/>
                <w:highlight w:val="none"/>
                <w:lang w:eastAsia="en-US"/>
              </w:rPr>
            </w:r>
            <w:r/>
          </w:p>
        </w:tc>
        <w:tc>
          <w:tcPr>
            <w:tcW w:w="221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楼道安全管理</w:t>
            </w:r>
            <w:r>
              <w:rPr>
                <w:rFonts w:hint="eastAsia" w:ascii="宋体" w:hAnsi="宋体" w:cs="微软雅黑"/>
                <w:color w:val="000000"/>
                <w:spacing w:val="-1"/>
                <w:szCs w:val="21"/>
                <w:highlight w:val="none"/>
                <w:lang w:eastAsia="en-US"/>
              </w:rPr>
            </w:r>
            <w:r/>
          </w:p>
        </w:tc>
        <w:tc>
          <w:tcPr>
            <w:tcW w:w="6103" w:type="dxa"/>
            <w:vAlign w:val="top"/>
            <w:textDirection w:val="lrTb"/>
            <w:noWrap w:val="false"/>
          </w:tcPr>
          <w:p>
            <w:pPr>
              <w:pStyle w:val="891"/>
              <w:spacing w:line="360" w:lineRule="auto"/>
              <w:shd w:val="clear" w:color="auto" w:fill="auto"/>
              <w:tabs>
                <w:tab w:val="left" w:pos="945" w:leader="none"/>
                <w:tab w:val="left" w:pos="1155" w:leader="none"/>
              </w:tabs>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楼道处裸露电线处设置安全警示标语并采取防护措施。楼道地面检修口必须用铁板或水泥板封住，消除安全隐患。</w:t>
            </w:r>
            <w:r>
              <w:rPr>
                <w:rFonts w:hint="eastAsia" w:ascii="宋体" w:hAnsi="宋体" w:cs="微软雅黑"/>
                <w:color w:val="000000"/>
                <w:spacing w:val="-1"/>
                <w:szCs w:val="21"/>
                <w:highlight w:val="none"/>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3.3 日常维修服务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2623"/>
        <w:gridCol w:w="5341"/>
      </w:tblGrid>
      <w:tr>
        <w:trPr/>
        <w:tc>
          <w:tcPr>
            <w:tcW w:w="1208"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08"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维修</w:t>
            </w:r>
            <w:r>
              <w:rPr>
                <w:rFonts w:hint="eastAsia" w:ascii="宋体" w:hAnsi="宋体" w:cs="微软雅黑"/>
                <w:color w:val="000000"/>
                <w:spacing w:val="-1"/>
                <w:szCs w:val="21"/>
                <w:highlight w:val="none"/>
              </w:rPr>
            </w:r>
            <w:r/>
          </w:p>
        </w:tc>
        <w:tc>
          <w:tcPr>
            <w:tcW w:w="536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除医疗、食堂专用特殊设备以外的其它日常设备。</w:t>
            </w:r>
            <w:r>
              <w:rPr>
                <w:rFonts w:hint="eastAsia" w:ascii="宋体" w:hAnsi="宋体" w:cs="微软雅黑"/>
                <w:color w:val="000000"/>
                <w:spacing w:val="-1"/>
                <w:szCs w:val="21"/>
                <w:highlight w:val="none"/>
              </w:rPr>
            </w:r>
            <w:r/>
          </w:p>
        </w:tc>
      </w:tr>
      <w:tr>
        <w:trPr/>
        <w:tc>
          <w:tcPr>
            <w:tcW w:w="1208"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08"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632"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361"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3.4  保洁服务</w:t>
      </w:r>
      <w:r>
        <w:rPr>
          <w:rFonts w:hint="eastAsia" w:ascii="宋体" w:hAnsi="宋体"/>
          <w:color w:val="000000"/>
          <w:sz w:val="24"/>
          <w:highlight w:val="none"/>
        </w:rPr>
      </w:r>
      <w:r/>
    </w:p>
    <w:tbl>
      <w:tblPr>
        <w:tblW w:w="92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233"/>
        <w:gridCol w:w="6290"/>
      </w:tblGrid>
      <w:tr>
        <w:trPr/>
        <w:tc>
          <w:tcPr>
            <w:tcW w:w="709"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233"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290"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709"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233"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室内、室外、公共部位、其他部位保洁</w:t>
            </w:r>
            <w:r>
              <w:rPr>
                <w:rFonts w:hint="eastAsia" w:ascii="宋体" w:hAnsi="宋体" w:cs="微软雅黑"/>
                <w:color w:val="000000"/>
                <w:spacing w:val="-1"/>
                <w:szCs w:val="21"/>
                <w:highlight w:val="none"/>
              </w:rPr>
            </w:r>
            <w:r/>
          </w:p>
        </w:tc>
        <w:tc>
          <w:tcPr>
            <w:tcW w:w="6290" w:type="dxa"/>
            <w:vAlign w:val="top"/>
            <w:textDirection w:val="lrTb"/>
            <w:noWrap w:val="false"/>
          </w:tcPr>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1.1共用楼道保洁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每日打扫1次各楼层通道和楼梯台阶，每周拖洗2次；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水磨石地面和水泥地面每月冲洗1次，大理石地面配合外包每季度抛光打蜡1次；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每日收集2次业主（使用人）垃圾；</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每日用干净的抹布擦抹1次楼梯扶手；</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各层和通道的防火门、消防栓、玻璃箱内侧、灯具、墙面、地脚线、指示牌等公共设施每月循环清洁1次；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各梯间墙面、天花板每季除尘1次；每月擦1次楼梯道共用门窗玻璃。地面、梯间基本干净，无垃圾、灰尘、杂物，污渍、水渍，无乱贴乱划，无擅自占用现象，无乱堆乱放；</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扶手护拦基本干净、光亮，清洁结束用干净纸巾擦拭检查20cm无显著脏污；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梯间顶面无明显蜘蛛网、灰尘，地脚线无明显污渍，地面目视无明显杂物、污迹。</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楼梯道玻璃无灰尘。</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1.2共用卫生间保洁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每日早、晚对共用卫生间清洁2次，保洁时悬挂醒目标识；</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清洁内容包括：通风换气；冲洗烟灰缸、洁具；清扫地面垃圾、清倒垃圾篓垃圾、换新的垃圾袋；</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用洗洁剂清洗大、小便器；用快捷布擦洗洗手盆并冲洗干净；用毛巾抹墙面、台面、开关、门牌；</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用毛巾擦干净玻璃、镜面；用拖把拖干净地面等；每月2次对共用卫生间进行消杀，发现墙壁有字及时清洁。室内无异味、臭味；地面无烟头、纸屑、污渍、积水，天花板、墙面无灰尘、蜘蛛网，目视墙壁干净，便器洁净无黄渍。</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1.3停车场、共用车库或车棚保洁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每日清扫1次车库的纸屑和垃圾；及时清除进出口的垃圾；发现油迹、污迹、锈迹，应及时擦洗干净；</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每季车库的集水坑和排水沟盖板，冲刷1次，消防栓、指示牌、指示灯、车位档、防火门等公共设施；</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标识、指示牌等公共设施目视无明显灰尘；墙面、管线基本无污迹、无积灰。</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1.4道路保洁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每季清洁2次，目视灯具无灰尘，灯具内无蚊虫，灯盖、灯罩、灯座明亮清洁。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1.5标识、宣传牌、雕塑、信报箱保洁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宣传栏、通知栏保洁；停水停电等通知，禁止乱张贴，需统一张贴。</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标识、宣传牌每周擦拭1次，雕塑每月擦拭1次。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清洁后检查无污渍、无积灰，不损伤被清洁物；</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1.6绿化保洁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1.7门卫、岗亭、监控探头保洁</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门卫、岗亭每周清洁3次，内外地面拖洗干净，擦洗干净内外门窗玻璃、窗台，及其他台面，室内外每月清洁2次，发现不卫生随时处理，保持墙、地面干净、光亮、整洁，保安岗亭随时保洁、无积灰；</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工、器具排放整齐、有序；监控探头每周擦拭1次，镜头用专用纸，探头外表用微湿的毛巾；擦拭不得刮伤镜片，清洁后镜头光亮洁净，探头外表干净无灰尘。</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1.8垃圾桶、果皮箱</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垃圾桶、果皮箱：每日清运2次；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每日抹布抹1次；</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垃圾桶、果皮箱周围地面无散落垃圾、无污水、无明显污迹；垃圾桶、果皮箱无明显污迹、油污，无明显异味。</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1.9垃圾收集与处理</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保持垃圾桶清洁，回收垃圾桶垃圾后重新铺好新的垃圾袋；再盖好垃圾桶盖；垃圾分类收集；对有毒物质分离特殊处理；建筑垃圾定点堆放。</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1.10卫生消杀</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配合第三方公司进行夏季等蚊、蝇、孳生季节每月消杀1次，其他根据季节和当地情况制定具体计划；灭鼠：指定公司每季进行1次；确保操作人员和业主（使用人）安全，有切实可行措施，不干扰业主（使用人）正常生活，物业做好记录。检查仓库、目视无明显蚊虫在飞。</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公用设施设备的清洁卫生、沟渠、下水管道消毒杀菌无异味。</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四害”防治及处理。按国家卫生城市标准和要求对公共场所和周围环境定期要求外包公司进行预防性卫生消杀，制定详尽的消杀预防方案，消除老鼠蟑螂苍蝇及其他有害昆虫及其滋生条件，做到科学、有效、有记录。完成突发性事件造成的保洁工作，配合做好防汛、防冻、防台风、防火的应急处理。</w:t>
            </w:r>
            <w:r>
              <w:rPr>
                <w:rFonts w:hint="eastAsia" w:ascii="宋体" w:hAnsi="宋体" w:cs="微软雅黑"/>
                <w:color w:val="000000"/>
                <w:spacing w:val="-1"/>
                <w:szCs w:val="21"/>
                <w:highlight w:val="none"/>
              </w:rPr>
            </w:r>
            <w:r/>
          </w:p>
          <w:p>
            <w:pPr>
              <w:pStyle w:val="891"/>
              <w:jc w:val="left"/>
              <w:shd w:val="clear" w:color="auto" w:fill="auto"/>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r>
            <w:r/>
          </w:p>
        </w:tc>
      </w:tr>
      <w:tr>
        <w:trPr/>
        <w:tc>
          <w:tcPr>
            <w:tcW w:w="709" w:type="dxa"/>
            <w:vAlign w:val="top"/>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2233" w:type="dxa"/>
            <w:vAlign w:val="top"/>
            <w:textDirection w:val="lrTb"/>
            <w:noWrap w:val="false"/>
          </w:tcPr>
          <w:p>
            <w:pPr>
              <w:pStyle w:val="891"/>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6290" w:type="dxa"/>
            <w:vAlign w:val="top"/>
            <w:textDirection w:val="lrTb"/>
            <w:noWrap w:val="false"/>
          </w:tcPr>
          <w:p>
            <w:pPr>
              <w:pStyle w:val="891"/>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709" w:type="dxa"/>
            <w:vAlign w:val="top"/>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2233" w:type="dxa"/>
            <w:vAlign w:val="top"/>
            <w:textDirection w:val="lrTb"/>
            <w:noWrap w:val="false"/>
          </w:tcPr>
          <w:p>
            <w:pPr>
              <w:pStyle w:val="891"/>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6290" w:type="dxa"/>
            <w:vAlign w:val="top"/>
            <w:textDirection w:val="lrTb"/>
            <w:noWrap w:val="false"/>
          </w:tcPr>
          <w:p>
            <w:pPr>
              <w:pStyle w:val="891"/>
              <w:jc w:val="center"/>
              <w:shd w:val="clear" w:color="auto" w:fill="auto"/>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3.5  绿化服务</w:t>
      </w:r>
      <w:r>
        <w:rPr>
          <w:rFonts w:hint="eastAsia"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2621"/>
        <w:gridCol w:w="5379"/>
      </w:tblGrid>
      <w:tr>
        <w:trPr/>
        <w:tc>
          <w:tcPr>
            <w:tcW w:w="1175" w:type="dxa"/>
            <w:vAlign w:val="top"/>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序号</w:t>
            </w:r>
            <w:r>
              <w:rPr>
                <w:rFonts w:hint="eastAsia" w:ascii="宋体" w:hAnsi="宋体" w:cs="宋体"/>
                <w:color w:val="000000"/>
                <w:szCs w:val="21"/>
                <w:highlight w:val="none"/>
                <w:lang w:eastAsia="en-US"/>
              </w:rPr>
            </w:r>
            <w:r/>
          </w:p>
        </w:tc>
        <w:tc>
          <w:tcPr>
            <w:tcW w:w="2638" w:type="dxa"/>
            <w:vAlign w:val="top"/>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服务内容</w:t>
            </w:r>
            <w:r>
              <w:rPr>
                <w:rFonts w:hint="eastAsia" w:ascii="宋体" w:hAnsi="宋体" w:cs="宋体"/>
                <w:color w:val="000000"/>
                <w:szCs w:val="21"/>
                <w:highlight w:val="none"/>
                <w:lang w:eastAsia="en-US"/>
              </w:rPr>
            </w:r>
            <w:r/>
          </w:p>
        </w:tc>
        <w:tc>
          <w:tcPr>
            <w:tcW w:w="5416" w:type="dxa"/>
            <w:vAlign w:val="top"/>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服务标准</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2638" w:type="dxa"/>
            <w:vAlign w:val="center"/>
            <w:textDirection w:val="lrTb"/>
            <w:noWrap w:val="false"/>
          </w:tcPr>
          <w:p>
            <w:pPr>
              <w:pStyle w:val="891"/>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5416" w:type="dxa"/>
            <w:vAlign w:val="center"/>
            <w:textDirection w:val="lrTb"/>
            <w:noWrap w:val="false"/>
          </w:tcPr>
          <w:p>
            <w:pPr>
              <w:pStyle w:val="891"/>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2638" w:type="dxa"/>
            <w:vAlign w:val="center"/>
            <w:textDirection w:val="lrTb"/>
            <w:noWrap w:val="false"/>
          </w:tcPr>
          <w:p>
            <w:pPr>
              <w:pStyle w:val="891"/>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5416" w:type="dxa"/>
            <w:vAlign w:val="center"/>
            <w:textDirection w:val="lrTb"/>
            <w:noWrap w:val="false"/>
          </w:tcPr>
          <w:p>
            <w:pPr>
              <w:pStyle w:val="891"/>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ascii="宋体" w:hAnsi="宋体" w:cs="宋体"/>
                <w:color w:val="000000"/>
                <w:szCs w:val="21"/>
                <w:highlight w:val="none"/>
                <w:lang w:eastAsia="en-US"/>
              </w:rPr>
              <w:t xml:space="preserve">…</w:t>
            </w:r>
            <w:r>
              <w:rPr>
                <w:rFonts w:hint="eastAsia" w:ascii="宋体" w:hAnsi="宋体" w:cs="宋体"/>
                <w:color w:val="000000"/>
                <w:szCs w:val="21"/>
                <w:highlight w:val="none"/>
                <w:lang w:eastAsia="en-US"/>
              </w:rPr>
            </w:r>
            <w:r/>
          </w:p>
        </w:tc>
        <w:tc>
          <w:tcPr>
            <w:tcW w:w="2638" w:type="dxa"/>
            <w:vAlign w:val="center"/>
            <w:textDirection w:val="lrTb"/>
            <w:noWrap w:val="false"/>
          </w:tcPr>
          <w:p>
            <w:pPr>
              <w:pStyle w:val="891"/>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c>
          <w:tcPr>
            <w:tcW w:w="5416" w:type="dxa"/>
            <w:vAlign w:val="center"/>
            <w:textDirection w:val="lrTb"/>
            <w:noWrap w:val="false"/>
          </w:tcPr>
          <w:p>
            <w:pPr>
              <w:pStyle w:val="891"/>
              <w:jc w:val="left"/>
              <w:shd w:val="clear" w:color="auto" w:fill="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3.6  保安服务</w:t>
      </w:r>
      <w:r>
        <w:rPr>
          <w:rFonts w:hint="eastAsia" w:ascii="宋体" w:hAnsi="宋体"/>
          <w:color w:val="000000"/>
          <w:sz w:val="24"/>
          <w:highlight w:val="none"/>
        </w:rPr>
      </w:r>
      <w:r/>
    </w:p>
    <w:tbl>
      <w:tblPr>
        <w:tblW w:w="92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935"/>
        <w:gridCol w:w="6428"/>
      </w:tblGrid>
      <w:tr>
        <w:trPr/>
        <w:tc>
          <w:tcPr>
            <w:tcW w:w="916"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1935"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6428" w:type="dxa"/>
            <w:vAlign w:val="top"/>
            <w:textDirection w:val="lrTb"/>
            <w:noWrap w:val="false"/>
          </w:tcPr>
          <w:p>
            <w:pPr>
              <w:pStyle w:val="891"/>
              <w:jc w:val="center"/>
              <w:shd w:val="clear" w:color="auto" w:fill="auto"/>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916"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hint="eastAsia" w:ascii="宋体" w:hAnsi="宋体" w:cs="宋体"/>
                <w:color w:val="000000"/>
                <w:szCs w:val="21"/>
                <w:highlight w:val="none"/>
                <w:lang w:eastAsia="en-US"/>
              </w:rPr>
            </w:r>
            <w:r/>
          </w:p>
        </w:tc>
        <w:tc>
          <w:tcPr>
            <w:tcW w:w="1935" w:type="dxa"/>
            <w:vAlign w:val="center"/>
            <w:textDirection w:val="lrTb"/>
            <w:noWrap w:val="false"/>
          </w:tcPr>
          <w:p>
            <w:pPr>
              <w:pStyle w:val="891"/>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人员要求</w:t>
            </w:r>
            <w:r>
              <w:rPr>
                <w:rFonts w:hint="eastAsia" w:ascii="宋体" w:hAnsi="宋体" w:cs="宋体"/>
                <w:color w:val="000000"/>
                <w:szCs w:val="21"/>
                <w:highlight w:val="none"/>
                <w:lang w:eastAsia="en-US"/>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1.专职安全护卫人员，身体健康，责任心强，工作认真负责，体态良好；</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2.接受过安全护卫或相关训练，训练有素，掌握基本安全护卫技能，并定期进行安全防范学习，增强安全防范能力；</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3.熟悉办公楼环境，熟悉物业管理及有关法律法规，能恰当的处理和应对办公楼护卫工作；思想品质好，作风正派，热爱安全护卫工作，无犯罪记录；</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4.当班时保安人员上岗必须凭证并统一着装（着保安服、系武装带，戴保安帽），并配备对讲装置和其他必备的安全护卫工具及警用器材；</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上岗时精神振作，举止应文明，姿态良好，大方、得体，精神振作，姿态良好，抬头挺胸，注意检查和保持仪表；在执勤时不吸烟、吃零食,不袖手、背手、插腰或将手插入衣袋，不弯腰驼背，前倾后靠；讲普通话；</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6.交接班制度完善，并有工作及交接班记录。</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hint="eastAsia" w:ascii="宋体" w:hAnsi="宋体" w:cs="宋体"/>
                <w:color w:val="000000"/>
                <w:szCs w:val="21"/>
                <w:highlight w:val="none"/>
                <w:lang w:eastAsia="en-US"/>
              </w:rPr>
            </w:r>
            <w:r/>
          </w:p>
        </w:tc>
        <w:tc>
          <w:tcPr>
            <w:tcW w:w="1935" w:type="dxa"/>
            <w:vAlign w:val="center"/>
            <w:textDirection w:val="lrTb"/>
            <w:noWrap w:val="false"/>
          </w:tcPr>
          <w:p>
            <w:pPr>
              <w:pStyle w:val="891"/>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门卫</w:t>
            </w:r>
            <w:r>
              <w:rPr>
                <w:rFonts w:hint="eastAsia" w:ascii="宋体" w:hAnsi="宋体" w:cs="宋体"/>
                <w:color w:val="000000"/>
                <w:szCs w:val="21"/>
                <w:highlight w:val="none"/>
                <w:lang w:eastAsia="en-US"/>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各出入口24小时有值班看守，主出入口至少有1人驻守，其余出入口至少有一人值守；按照委托合同要求进行进出车辆管理、访客登记，谢绝业主拒绝访问人员和未经业主批准的商贩入内，大件物品搬出实行登记，实施交通指挥交通疏导等工作。</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35" w:type="dxa"/>
            <w:vAlign w:val="center"/>
            <w:textDirection w:val="lrTb"/>
            <w:noWrap w:val="false"/>
          </w:tcPr>
          <w:p>
            <w:pPr>
              <w:pStyle w:val="891"/>
              <w:jc w:val="center"/>
              <w:shd w:val="clear" w:color="auto" w:fill="auto"/>
              <w:rPr>
                <w:rFonts w:hint="eastAsia" w:ascii="宋体" w:hAnsi="宋体" w:cs="宋体"/>
                <w:color w:val="000000"/>
                <w:szCs w:val="21"/>
                <w:highlight w:val="none"/>
                <w:lang w:eastAsia="en-US"/>
              </w:rPr>
            </w:pPr>
            <w:r>
              <w:rPr>
                <w:rFonts w:hint="eastAsia" w:ascii="Times New Roman" w:hAnsi="Times New Roman"/>
                <w:color w:val="000000"/>
                <w:szCs w:val="21"/>
                <w:highlight w:val="none"/>
              </w:rPr>
              <w:t xml:space="preserve">巡逻</w:t>
            </w:r>
            <w:r>
              <w:rPr>
                <w:rFonts w:hint="eastAsia" w:ascii="宋体" w:hAnsi="宋体" w:cs="宋体"/>
                <w:color w:val="000000"/>
                <w:szCs w:val="21"/>
                <w:highlight w:val="none"/>
                <w:lang w:eastAsia="en-US"/>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白天巡逻次数不少于4次，夜间巡逻次数不少于4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35" w:type="dxa"/>
            <w:vAlign w:val="center"/>
            <w:textDirection w:val="lrTb"/>
            <w:noWrap w:val="false"/>
          </w:tcPr>
          <w:p>
            <w:pPr>
              <w:pStyle w:val="891"/>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消防</w:t>
            </w:r>
            <w:r>
              <w:rPr>
                <w:rFonts w:ascii="Times New Roman" w:hAnsi="Times New Roman"/>
                <w:color w:val="000000"/>
                <w:szCs w:val="21"/>
                <w:highlight w:val="none"/>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1.健全消防组织，建立消防责任制；</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2.根据防火、灭火的需要，配置相应种类、数量的消防器材、设备和设施；保持消防通道畅通，禁止在消防通道设置路障；</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3.制定防火安全管理办法，指定专人维护、管理消防器材、设备和设施，保持完整好用；</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4.发现火警有义务迅速向消防队报警，并马上派人前往报警地点，迅速采取措施，组织力量救火，抢救生命和物资，派人接应消防车，服从火场总指挥员的统一指挥；</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w:t>
            </w:r>
            <w:r>
              <w:rPr>
                <w:rFonts w:ascii="Times New Roman" w:hAnsi="Times New Roman"/>
                <w:color w:val="000000"/>
                <w:szCs w:val="21"/>
                <w:highlight w:val="none"/>
              </w:rPr>
            </w:r>
            <w:r/>
          </w:p>
        </w:tc>
        <w:tc>
          <w:tcPr>
            <w:tcW w:w="1935" w:type="dxa"/>
            <w:vAlign w:val="center"/>
            <w:textDirection w:val="lrTb"/>
            <w:noWrap w:val="false"/>
          </w:tcPr>
          <w:p>
            <w:pPr>
              <w:pStyle w:val="891"/>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交通、车辆管理</w:t>
            </w:r>
            <w:r>
              <w:rPr>
                <w:rFonts w:ascii="Times New Roman" w:hAnsi="Times New Roman"/>
                <w:color w:val="000000"/>
                <w:szCs w:val="21"/>
                <w:highlight w:val="none"/>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1.有较为完善的车辆管理制度；</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2.办公楼道路设置明显的交通标志；</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3.维持交通秩序，发现车辆未上锁及乱停乱放进行忠告或纠正，发现偷盗车辆、破坏交通设施等现象及时制止；</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4.封闭停车场由专人管理，车辆进场、离场有检查、记录；管理人员责任心强，认真负责。</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w:t>
            </w:r>
            <w:r>
              <w:rPr>
                <w:rFonts w:ascii="Times New Roman" w:hAnsi="Times New Roman"/>
                <w:color w:val="000000"/>
                <w:szCs w:val="21"/>
                <w:highlight w:val="none"/>
              </w:rPr>
            </w:r>
            <w:r/>
          </w:p>
        </w:tc>
        <w:tc>
          <w:tcPr>
            <w:tcW w:w="1935" w:type="dxa"/>
            <w:vAlign w:val="center"/>
            <w:textDirection w:val="lrTb"/>
            <w:noWrap w:val="false"/>
          </w:tcPr>
          <w:p>
            <w:pPr>
              <w:pStyle w:val="891"/>
              <w:jc w:val="center"/>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紧急事故反应</w:t>
            </w:r>
            <w:r>
              <w:rPr>
                <w:rFonts w:ascii="Times New Roman" w:hAnsi="Times New Roman"/>
                <w:color w:val="000000"/>
                <w:szCs w:val="21"/>
                <w:highlight w:val="none"/>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1.制定紧急事故处理预案，至少包括：火灾、爆炸、地震、炸弹恐吓、安全疏散等；</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2.有紧急事件救护组织，并始终处于紧急事故反应状态；</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3.书面描述紧急事故救护组织职责，并让每位成员了解，周期性地进行反应训练；</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4.按消防要求组织进行疏散演习；</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5.对紧急事故做出快速、正确的反应；尽可能减少破坏和损失程度；</w:t>
            </w:r>
            <w:r>
              <w:rPr>
                <w:rFonts w:ascii="Times New Roman" w:hAnsi="Times New Roman"/>
                <w:color w:val="000000"/>
                <w:szCs w:val="21"/>
                <w:highlight w:val="none"/>
              </w:rPr>
            </w:r>
            <w:r/>
          </w:p>
        </w:tc>
      </w:tr>
      <w:tr>
        <w:trPr/>
        <w:tc>
          <w:tcPr>
            <w:tcW w:w="916" w:type="dxa"/>
            <w:vAlign w:val="center"/>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35" w:type="dxa"/>
            <w:vAlign w:val="center"/>
            <w:textDirection w:val="lrTb"/>
            <w:noWrap w:val="false"/>
          </w:tcPr>
          <w:p>
            <w:pPr>
              <w:pStyle w:val="891"/>
              <w:jc w:val="center"/>
              <w:shd w:val="clear" w:color="auto" w:fill="auto"/>
              <w:rPr>
                <w:rFonts w:hint="eastAsia" w:ascii="宋体" w:hAnsi="宋体" w:cs="宋体"/>
                <w:bCs/>
                <w:color w:val="000000"/>
                <w:sz w:val="24"/>
                <w:highlight w:val="none"/>
              </w:rPr>
            </w:pPr>
            <w:r>
              <w:rPr>
                <w:rFonts w:hint="eastAsia" w:ascii="Times New Roman" w:hAnsi="Times New Roman"/>
                <w:color w:val="000000"/>
                <w:szCs w:val="21"/>
                <w:highlight w:val="none"/>
              </w:rPr>
              <w:t xml:space="preserve">其他防范措施</w:t>
            </w:r>
            <w:r>
              <w:rPr>
                <w:rFonts w:hint="eastAsia" w:ascii="宋体" w:hAnsi="宋体" w:cs="宋体"/>
                <w:bCs/>
                <w:color w:val="000000"/>
                <w:sz w:val="24"/>
                <w:highlight w:val="none"/>
              </w:rPr>
            </w:r>
            <w:r/>
          </w:p>
        </w:tc>
        <w:tc>
          <w:tcPr>
            <w:tcW w:w="6428" w:type="dxa"/>
            <w:vAlign w:val="center"/>
            <w:textDirection w:val="lrTb"/>
            <w:noWrap w:val="false"/>
          </w:tcPr>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1.设有业主（使用人）求助与报警电话，24小时有人值守；</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2.接到报警信号，确认后管理处应立即派人赶往现场查看，予以恰当的紧急处理；</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3.涉及人身安全处，设有明显标志并有防护措施；</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4.协助有关部门维持办公楼正常工作秩序，防止不安全事件发生；</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5.对办公楼内外围边界、角落、车库、道路的照明设施加强维护，保持必要的照明；</w:t>
            </w:r>
            <w:r>
              <w:rPr>
                <w:rFonts w:ascii="Times New Roman" w:hAnsi="Times New Roman"/>
                <w:color w:val="000000"/>
                <w:szCs w:val="21"/>
                <w:highlight w:val="none"/>
              </w:rPr>
            </w:r>
            <w:r/>
          </w:p>
          <w:p>
            <w:pPr>
              <w:pStyle w:val="891"/>
              <w:shd w:val="clear" w:color="auto" w:fill="auto"/>
              <w:rPr>
                <w:rFonts w:ascii="Times New Roman" w:hAnsi="Times New Roman"/>
                <w:color w:val="000000"/>
                <w:szCs w:val="21"/>
                <w:highlight w:val="none"/>
              </w:rPr>
            </w:pPr>
            <w:r>
              <w:rPr>
                <w:rFonts w:hint="eastAsia" w:ascii="Times New Roman" w:hAnsi="Times New Roman"/>
                <w:color w:val="000000"/>
                <w:szCs w:val="21"/>
                <w:highlight w:val="none"/>
              </w:rPr>
              <w:t xml:space="preserve">6.建立空置房间、设备室、垃圾房、杂物房巡查、钥匙管理及登记备案制度。</w:t>
            </w:r>
            <w:r>
              <w:rPr>
                <w:rFonts w:ascii="Times New Roman" w:hAnsi="Times New Roman"/>
                <w:color w:val="000000"/>
                <w:szCs w:val="21"/>
                <w:highlight w:val="none"/>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3.7  其他服务</w:t>
      </w:r>
      <w:r>
        <w:rPr>
          <w:rFonts w:hint="eastAsia" w:ascii="宋体" w:hAnsi="宋体"/>
          <w:color w:val="000000"/>
          <w:sz w:val="24"/>
          <w:highlight w:val="none"/>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876"/>
        <w:gridCol w:w="6487"/>
      </w:tblGrid>
      <w:tr>
        <w:trPr/>
        <w:tc>
          <w:tcPr>
            <w:tcW w:w="922" w:type="dxa"/>
            <w:vAlign w:val="top"/>
            <w:textDirection w:val="lrTb"/>
            <w:noWrap w:val="false"/>
          </w:tcPr>
          <w:p>
            <w:pPr>
              <w:pStyle w:val="891"/>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序号</w:t>
            </w:r>
            <w:r>
              <w:rPr>
                <w:rFonts w:hint="eastAsia" w:ascii="宋体" w:hAnsi="宋体" w:cs="宋体"/>
                <w:color w:val="000000"/>
                <w:szCs w:val="21"/>
                <w:highlight w:val="none"/>
              </w:rPr>
            </w:r>
            <w:r/>
          </w:p>
        </w:tc>
        <w:tc>
          <w:tcPr>
            <w:tcW w:w="1876" w:type="dxa"/>
            <w:vAlign w:val="top"/>
            <w:textDirection w:val="lrTb"/>
            <w:noWrap w:val="false"/>
          </w:tcPr>
          <w:p>
            <w:pPr>
              <w:pStyle w:val="891"/>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服务内容</w:t>
            </w:r>
            <w:r>
              <w:rPr>
                <w:rFonts w:hint="eastAsia" w:ascii="宋体" w:hAnsi="宋体" w:cs="宋体"/>
                <w:color w:val="000000"/>
                <w:szCs w:val="21"/>
                <w:highlight w:val="none"/>
              </w:rPr>
            </w:r>
            <w:r/>
          </w:p>
        </w:tc>
        <w:tc>
          <w:tcPr>
            <w:tcW w:w="6487" w:type="dxa"/>
            <w:vAlign w:val="top"/>
            <w:textDirection w:val="lrTb"/>
            <w:noWrap w:val="false"/>
          </w:tcPr>
          <w:p>
            <w:pPr>
              <w:pStyle w:val="891"/>
              <w:jc w:val="center"/>
              <w:shd w:val="clear" w:color="auto" w:fill="auto"/>
              <w:rPr>
                <w:rFonts w:hint="eastAsia" w:ascii="宋体" w:hAnsi="宋体" w:cs="宋体"/>
                <w:color w:val="000000"/>
                <w:szCs w:val="21"/>
                <w:highlight w:val="none"/>
              </w:rPr>
            </w:pPr>
            <w:r>
              <w:rPr>
                <w:rFonts w:ascii="宋体" w:hAnsi="宋体" w:cs="宋体"/>
                <w:color w:val="000000"/>
                <w:szCs w:val="21"/>
                <w:highlight w:val="none"/>
              </w:rPr>
              <w:t xml:space="preserve">服务标准</w:t>
            </w:r>
            <w:r>
              <w:rPr>
                <w:rFonts w:hint="eastAsia" w:ascii="宋体" w:hAnsi="宋体" w:cs="宋体"/>
                <w:color w:val="000000"/>
                <w:szCs w:val="21"/>
                <w:highlight w:val="none"/>
              </w:rPr>
            </w:r>
            <w:r/>
          </w:p>
        </w:tc>
      </w:tr>
      <w:tr>
        <w:trPr/>
        <w:tc>
          <w:tcPr>
            <w:tcW w:w="922"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876"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会议接待</w:t>
            </w:r>
            <w:r>
              <w:rPr>
                <w:rFonts w:hint="eastAsia" w:ascii="宋体" w:hAnsi="宋体" w:cs="宋体"/>
                <w:color w:val="000000"/>
                <w:szCs w:val="21"/>
                <w:highlight w:val="none"/>
              </w:rPr>
            </w:r>
            <w:r/>
          </w:p>
        </w:tc>
        <w:tc>
          <w:tcPr>
            <w:tcW w:w="6487" w:type="dxa"/>
            <w:vAlign w:val="top"/>
            <w:textDirection w:val="lrTb"/>
            <w:noWrap w:val="false"/>
          </w:tcPr>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接待：佩戴统一标志，仪表端庄、大方，衣着整洁，表情自然和蔼、亲切；对业主（使用人）一视同仁；接待时主动、热情、规范；迎送接待业主(使用人)时，用语准确，称呼恰当，问候亲切，语气诚恳，耐心细致；使用文明用语，不应使用服务忌语。</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对业主（使用人）的报修与求助应耐心细致，对收费项目及时说明服务标准、服务方式、收费标准等事项，征求业主（使用人）的意见。</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2.值守：有完善的值班制度和交接班制度；工作有记录。</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服务时限：急修服务10分钟内到位，中修8小时内修复，若不能，要有紧急处理措施，并对业主（使用人）做出合理解释，做出限时承诺。小修2日内修复，特殊情况必须做出说明和限时承诺。服务时限不得以节假日和休息时间顺延。</w:t>
            </w:r>
            <w:r>
              <w:rPr>
                <w:rFonts w:hint="eastAsia" w:ascii="宋体" w:hAnsi="宋体" w:cs="宋体"/>
                <w:color w:val="000000"/>
                <w:szCs w:val="21"/>
                <w:highlight w:val="none"/>
              </w:rPr>
            </w:r>
            <w:r/>
          </w:p>
        </w:tc>
      </w:tr>
      <w:tr>
        <w:trPr/>
        <w:tc>
          <w:tcPr>
            <w:tcW w:w="922"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876"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客房服务</w:t>
            </w:r>
            <w:r>
              <w:rPr>
                <w:rFonts w:hint="eastAsia" w:ascii="宋体" w:hAnsi="宋体" w:cs="宋体"/>
                <w:color w:val="000000"/>
                <w:szCs w:val="21"/>
                <w:highlight w:val="none"/>
              </w:rPr>
            </w:r>
            <w:r/>
          </w:p>
        </w:tc>
        <w:tc>
          <w:tcPr>
            <w:tcW w:w="6487" w:type="dxa"/>
            <w:vAlign w:val="top"/>
            <w:textDirection w:val="lrTb"/>
            <w:noWrap w:val="false"/>
          </w:tcPr>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卫生清洁方面，卧室地面、床底、墙角无灰尘、杂物、毛发及污渍，硬质地面无水渍，地毯洁净无杂物。床品执行一日一换、脏污即换制度，床铺整理平整无褶皱、无污渍。家具、门窗、玻璃、墙面每日擦拭，无积尘、手印、蛛网。卫生间洁具、台面、镜面、地面墙面彻底清洁，无黄垢、水渍、毛发与异味，下水缝隙重点清理，每日通风消杀，保持空气清新。客房垃圾桶每日清空消毒，垃圾日产日清。</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物品布置严格执行酒店统一标准，所有用品定点、对称、整齐摆放。床铺铺设规范，床品饱满对齐、平整美观。床头柜、书桌电器及日用品摆放有序，线路收纳整齐。衣柜内部干净无尘，被褥、衣架规整摆放，禁止杂物乱堆。卫生间洗漱用品、毛巾、浴巾统一规整摆放、折叠整齐，干湿分区，整体干净统一。</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衣物洗护方面，值班工装及私用衣物统一收纳清洗，严格区分深浅色、内外衣物、工装私服，分开洗涤防止串色。使用酒店专用洗涤用品，规范洗涤、漂洗流程，彻底去除污渍、汗渍，保证衣物洁净无异味、无洗涤剂残留。洗净衣物按材质晾晒或烘干，干爽无尘后统一收纳。</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所有工装、衬衫、裤装需标准化熨烫，根据衣物材质调节温度，避免烫损。重点熨烫衣领、袖口、衣襟、裤线等部位，确保衣物平整挺括、无褶皱、无烫痕，裤线笔直规整。熨烫完毕冷却定型后，统一悬挂或折叠，分类收纳摆放。</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5.日常管理中，保洁人员每日早中晚三次巡检客房，及时整理凌乱物品、清理杂物、补齐洗漱用品、饮用水等消耗物资，随时恢复客房标准状态。定时开窗通风，保障室内环境舒适。</w:t>
            </w:r>
            <w:r>
              <w:rPr>
                <w:rFonts w:hint="eastAsia" w:ascii="宋体" w:hAnsi="宋体" w:cs="宋体"/>
                <w:color w:val="000000"/>
                <w:szCs w:val="21"/>
                <w:highlight w:val="none"/>
              </w:rPr>
            </w:r>
            <w:r/>
          </w:p>
          <w:p>
            <w:pPr>
              <w:pStyle w:val="891"/>
              <w:spacing w:line="360" w:lineRule="auto"/>
              <w:shd w:val="clear" w:color="auto" w:fill="auto"/>
              <w:widowControl/>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6.客房验收统一参照酒店客房标准，整体干净整洁、无死角污渍、无异味，物品摆放规范有序，床品洁净平整，洗护熨烫衣物整洁挺括，全面符合酒店值班客房服务内务标准。</w:t>
            </w:r>
            <w:r>
              <w:rPr>
                <w:rFonts w:hint="eastAsia" w:ascii="宋体" w:hAnsi="宋体" w:cs="宋体"/>
                <w:color w:val="000000"/>
                <w:szCs w:val="21"/>
                <w:highlight w:val="none"/>
              </w:rPr>
            </w:r>
            <w:r/>
          </w:p>
        </w:tc>
      </w:tr>
      <w:tr>
        <w:trPr/>
        <w:tc>
          <w:tcPr>
            <w:tcW w:w="922"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876"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档案资料</w:t>
            </w:r>
            <w:r>
              <w:rPr>
                <w:rFonts w:hint="eastAsia" w:ascii="宋体" w:hAnsi="宋体" w:cs="宋体"/>
                <w:color w:val="000000"/>
                <w:szCs w:val="21"/>
                <w:highlight w:val="none"/>
              </w:rPr>
            </w:r>
            <w:r/>
          </w:p>
        </w:tc>
        <w:tc>
          <w:tcPr>
            <w:tcW w:w="6487" w:type="dxa"/>
            <w:vAlign w:val="top"/>
            <w:textDirection w:val="lrTb"/>
            <w:noWrap w:val="false"/>
          </w:tcPr>
          <w:p>
            <w:pPr>
              <w:pStyle w:val="891"/>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档案资料齐全完整；分类成册，管理完善，合理分类，查阅方便；及时变更登记，账物相符。</w:t>
            </w:r>
            <w:r>
              <w:rPr>
                <w:rFonts w:hint="eastAsia" w:ascii="宋体" w:hAnsi="宋体" w:cs="宋体"/>
                <w:color w:val="000000"/>
                <w:szCs w:val="21"/>
                <w:highlight w:val="none"/>
              </w:rPr>
            </w:r>
            <w:r/>
          </w:p>
        </w:tc>
      </w:tr>
      <w:tr>
        <w:trPr/>
        <w:tc>
          <w:tcPr>
            <w:tcW w:w="922"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876" w:type="dxa"/>
            <w:vAlign w:val="top"/>
            <w:textDirection w:val="lrTb"/>
            <w:noWrap w:val="false"/>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培训制度</w:t>
            </w:r>
            <w:r>
              <w:rPr>
                <w:rFonts w:hint="eastAsia" w:ascii="宋体" w:hAnsi="宋体" w:cs="宋体"/>
                <w:color w:val="000000"/>
                <w:szCs w:val="21"/>
                <w:highlight w:val="none"/>
              </w:rPr>
            </w:r>
            <w:r/>
          </w:p>
        </w:tc>
        <w:tc>
          <w:tcPr>
            <w:tcW w:w="6487" w:type="dxa"/>
            <w:vAlign w:val="top"/>
            <w:textDirection w:val="lrTb"/>
            <w:noWrap w:val="false"/>
          </w:tcPr>
          <w:p>
            <w:pPr>
              <w:pStyle w:val="891"/>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r>
              <w:rPr>
                <w:rFonts w:hint="eastAsia" w:ascii="宋体" w:hAnsi="宋体" w:cs="宋体"/>
                <w:color w:val="000000"/>
                <w:szCs w:val="21"/>
                <w:highlight w:val="none"/>
              </w:rPr>
            </w:r>
            <w:r/>
          </w:p>
          <w:p>
            <w:pPr>
              <w:pStyle w:val="891"/>
              <w:spacing w:line="360" w:lineRule="auto"/>
              <w:shd w:val="clear" w:color="auto" w:fill="auto"/>
              <w:tabs>
                <w:tab w:val="left" w:pos="945" w:leader="none"/>
                <w:tab w:val="left" w:pos="11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2.采购方有权根据实际情况对考评要求进行更改、增减。</w:t>
            </w:r>
            <w:r>
              <w:rPr>
                <w:rFonts w:hint="eastAsia" w:ascii="宋体" w:hAnsi="宋体" w:cs="宋体"/>
                <w:color w:val="000000"/>
                <w:szCs w:val="21"/>
                <w:highlight w:val="none"/>
              </w:rPr>
            </w:r>
            <w:r/>
          </w:p>
        </w:tc>
      </w:tr>
    </w:tbl>
    <w:p>
      <w:pPr>
        <w:pStyle w:val="891"/>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hint="eastAsia" w:ascii="宋体" w:hAnsi="宋体"/>
          <w:b/>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hint="eastAsia" w:ascii="宋体" w:hAnsi="宋体"/>
          <w:color w:val="000000"/>
          <w:sz w:val="24"/>
          <w:highlight w:val="none"/>
        </w:rPr>
      </w:r>
      <w:r/>
    </w:p>
    <w:tbl>
      <w:tblPr>
        <w:tblStyle w:val="1008"/>
        <w:tblW w:w="925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633"/>
        <w:gridCol w:w="936"/>
        <w:gridCol w:w="1477"/>
      </w:tblGrid>
      <w:tr>
        <w:trPr>
          <w:trHeight w:val="367"/>
        </w:trPr>
        <w:tc>
          <w:tcPr>
            <w:tcW w:w="803" w:type="dxa"/>
            <w:vAlign w:val="top"/>
            <w:textDirection w:val="lrTb"/>
            <w:noWrap w:val="false"/>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hint="eastAsia" w:ascii="微软雅黑" w:hAnsi="微软雅黑" w:eastAsia="微软雅黑" w:cs="微软雅黑"/>
                <w:color w:val="000000"/>
                <w:szCs w:val="21"/>
                <w:highlight w:val="none"/>
                <w:lang w:eastAsia="en-US"/>
              </w:rPr>
            </w:r>
            <w:r/>
          </w:p>
        </w:tc>
        <w:tc>
          <w:tcPr>
            <w:tcW w:w="2409" w:type="dxa"/>
            <w:vAlign w:val="top"/>
            <w:textDirection w:val="lrTb"/>
            <w:noWrap w:val="false"/>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hint="eastAsia" w:ascii="微软雅黑" w:hAnsi="微软雅黑" w:eastAsia="微软雅黑" w:cs="微软雅黑"/>
                <w:color w:val="000000"/>
                <w:szCs w:val="21"/>
                <w:highlight w:val="none"/>
                <w:lang w:eastAsia="en-US"/>
              </w:rPr>
            </w:r>
            <w:r/>
          </w:p>
        </w:tc>
        <w:tc>
          <w:tcPr>
            <w:tcW w:w="3633" w:type="dxa"/>
            <w:vAlign w:val="top"/>
            <w:textDirection w:val="lrTb"/>
            <w:noWrap w:val="false"/>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hint="eastAsia" w:ascii="微软雅黑" w:hAnsi="微软雅黑" w:eastAsia="微软雅黑" w:cs="微软雅黑"/>
                <w:color w:val="000000"/>
                <w:szCs w:val="21"/>
                <w:highlight w:val="none"/>
                <w:lang w:eastAsia="en-US"/>
              </w:rPr>
            </w:r>
            <w:r/>
          </w:p>
        </w:tc>
        <w:tc>
          <w:tcPr>
            <w:tcW w:w="936" w:type="dxa"/>
            <w:vAlign w:val="top"/>
            <w:textDirection w:val="lrTb"/>
            <w:noWrap w:val="false"/>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hint="eastAsia" w:ascii="微软雅黑" w:hAnsi="微软雅黑" w:eastAsia="微软雅黑" w:cs="微软雅黑"/>
                <w:color w:val="000000"/>
                <w:szCs w:val="21"/>
                <w:highlight w:val="none"/>
                <w:lang w:eastAsia="en-US"/>
              </w:rPr>
            </w:r>
            <w:r/>
          </w:p>
        </w:tc>
        <w:tc>
          <w:tcPr>
            <w:tcW w:w="1477" w:type="dxa"/>
            <w:vAlign w:val="top"/>
            <w:textDirection w:val="lrTb"/>
            <w:noWrap w:val="false"/>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hint="eastAsia" w:ascii="微软雅黑" w:hAnsi="微软雅黑" w:eastAsia="微软雅黑" w:cs="微软雅黑"/>
                <w:color w:val="000000"/>
                <w:szCs w:val="21"/>
                <w:highlight w:val="none"/>
                <w:lang w:eastAsia="en-US"/>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1</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2"/>
                <w:highlight w:val="none"/>
              </w:rPr>
              <w:t xml:space="preserve">基本服务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s="Calibri"/>
                <w:color w:val="000000"/>
                <w:highlight w:val="none"/>
                <w:lang w:eastAsia="zh-CN"/>
              </w:rPr>
            </w:pPr>
            <w:r>
              <w:rPr>
                <w:rFonts w:hint="eastAsia"/>
                <w:color w:val="000000"/>
                <w:spacing w:val="-2"/>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90"/>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2</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1"/>
                <w:highlight w:val="none"/>
              </w:rPr>
              <w:t xml:space="preserve">房屋维修服务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3</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lang w:eastAsia="zh-CN"/>
              </w:rPr>
            </w:pPr>
            <w:r>
              <w:rPr>
                <w:color w:val="000000"/>
                <w:spacing w:val="-2"/>
                <w:highlight w:val="none"/>
                <w:lang w:eastAsia="zh-CN"/>
              </w:rPr>
              <w:t xml:space="preserve">公用设施设备维护服务</w:t>
            </w:r>
            <w:r>
              <w:rPr>
                <w:rFonts w:hint="eastAsia"/>
                <w:color w:val="000000"/>
                <w:highlight w:val="none"/>
                <w:lang w:eastAsia="zh-CN"/>
              </w:rPr>
            </w:r>
            <w:r/>
          </w:p>
        </w:tc>
        <w:tc>
          <w:tcPr>
            <w:tcW w:w="3633" w:type="dxa"/>
            <w:vAlign w:val="top"/>
            <w:textDirection w:val="lrTb"/>
            <w:noWrap w:val="false"/>
          </w:tcPr>
          <w:p>
            <w:pPr>
              <w:pStyle w:val="1009"/>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日常使用工具</w:t>
            </w:r>
            <w:r>
              <w:rPr>
                <w:rFonts w:hint="eastAsia" w:cs="Calibri"/>
                <w:color w:val="000000"/>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1</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套</w:t>
            </w:r>
            <w:r>
              <w:rPr>
                <w:rFonts w:hint="eastAsia"/>
                <w:color w:val="000000"/>
                <w:highlight w:val="none"/>
                <w:lang w:eastAsia="zh-CN"/>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4</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2"/>
                <w:highlight w:val="none"/>
              </w:rPr>
              <w:t xml:space="preserve">保洁服务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43"/>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5</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2"/>
                <w:highlight w:val="none"/>
              </w:rPr>
              <w:t xml:space="preserve">绿化服务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s="Calibri"/>
                <w:color w:val="000000"/>
                <w:highlight w:val="none"/>
                <w:lang w:eastAsia="zh-CN"/>
              </w:rPr>
            </w:pPr>
            <w:r>
              <w:rPr>
                <w:rFonts w:hint="eastAsia" w:cs="Calibri"/>
                <w:color w:val="000000"/>
                <w:highlight w:val="none"/>
                <w:lang w:eastAsia="zh-CN"/>
              </w:rPr>
              <w:t xml:space="preserve">/</w:t>
            </w:r>
            <w:r>
              <w:rPr>
                <w:rFonts w:hint="eastAsia" w:cs="Calibri"/>
                <w:color w:val="000000"/>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6</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2"/>
                <w:highlight w:val="none"/>
              </w:rPr>
              <w:t xml:space="preserve">保安服务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olor w:val="000000"/>
                <w:highlight w:val="none"/>
              </w:rPr>
            </w:pPr>
            <w:r>
              <w:rPr>
                <w:rFonts w:hint="eastAsia" w:cs="Calibri"/>
                <w:color w:val="000000"/>
                <w:highlight w:val="none"/>
                <w:lang w:eastAsia="zh-CN"/>
              </w:rPr>
              <w:t xml:space="preserve">安全防护盾套</w:t>
            </w:r>
            <w:r>
              <w:rPr>
                <w:rFonts w:hint="eastAsia"/>
                <w:color w:val="000000"/>
                <w:highlight w:val="none"/>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1</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套</w:t>
            </w:r>
            <w:r>
              <w:rPr>
                <w:rFonts w:hint="eastAsia"/>
                <w:color w:val="000000"/>
                <w:highlight w:val="none"/>
                <w:lang w:eastAsia="zh-CN"/>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ascii="宋体" w:hAnsi="宋体" w:cs="Calibri"/>
                <w:color w:val="000000"/>
                <w:szCs w:val="21"/>
                <w:highlight w:val="none"/>
                <w:lang w:eastAsia="en-US"/>
              </w:rPr>
              <w:t xml:space="preserve">7</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highlight w:val="none"/>
              </w:rPr>
            </w:pPr>
            <w:r>
              <w:rPr>
                <w:color w:val="000000"/>
                <w:spacing w:val="-1"/>
                <w:highlight w:val="none"/>
              </w:rPr>
              <w:t xml:space="preserve">会议服务</w:t>
            </w:r>
            <w:r>
              <w:rPr>
                <w:rFonts w:hint="eastAsia"/>
                <w:color w:val="000000"/>
                <w:highlight w:val="none"/>
              </w:rPr>
            </w:r>
            <w:r/>
          </w:p>
        </w:tc>
        <w:tc>
          <w:tcPr>
            <w:tcW w:w="3633" w:type="dxa"/>
            <w:vAlign w:val="top"/>
            <w:textDirection w:val="lrTb"/>
            <w:noWrap w:val="false"/>
          </w:tcPr>
          <w:p>
            <w:pPr>
              <w:pStyle w:val="1009"/>
              <w:jc w:val="center"/>
              <w:shd w:val="clear" w:color="auto" w:fill="auto"/>
              <w:rPr>
                <w:rFonts w:hint="eastAsia"/>
                <w:color w:val="000000"/>
                <w:highlight w:val="none"/>
              </w:rPr>
            </w:pPr>
            <w:r>
              <w:rPr>
                <w:rFonts w:hint="eastAsia"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891"/>
              <w:jc w:val="center"/>
              <w:shd w:val="clear" w:color="auto" w:fill="auto"/>
              <w:rPr>
                <w:rFonts w:hint="eastAsia" w:ascii="宋体" w:hAnsi="宋体" w:cs="Calibri"/>
                <w:color w:val="000000"/>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Calibri"/>
                <w:color w:val="000000"/>
                <w:szCs w:val="21"/>
                <w:highlight w:val="none"/>
                <w:lang w:eastAsia="en-US"/>
              </w:rPr>
              <w:t xml:space="preserve">8</w:t>
            </w:r>
            <w:r>
              <w:rPr>
                <w:rFonts w:hint="eastAsia" w:ascii="宋体" w:hAnsi="宋体" w:cs="Calibri"/>
                <w:color w:val="000000"/>
                <w:szCs w:val="21"/>
                <w:highlight w:val="none"/>
                <w:lang w:eastAsia="en-US"/>
              </w:rPr>
            </w:r>
            <w:r/>
          </w:p>
        </w:tc>
        <w:tc>
          <w:tcPr>
            <w:tcW w:w="2409" w:type="dxa"/>
            <w:vAlign w:val="top"/>
            <w:textDirection w:val="lrTb"/>
            <w:noWrap w:val="false"/>
          </w:tcPr>
          <w:p>
            <w:pPr>
              <w:pStyle w:val="1009"/>
              <w:jc w:val="center"/>
              <w:shd w:val="clear" w:color="auto" w:fill="auto"/>
              <w:rPr>
                <w:rFonts w:hint="eastAsia"/>
                <w:color w:val="000000"/>
                <w:spacing w:val="-1"/>
                <w:highlight w:val="none"/>
                <w:lang w:eastAsia="zh-CN"/>
              </w:rPr>
            </w:pPr>
            <w:r>
              <w:rPr>
                <w:rFonts w:hint="eastAsia"/>
                <w:color w:val="000000"/>
                <w:spacing w:val="-1"/>
                <w:highlight w:val="none"/>
              </w:rPr>
              <w:t xml:space="preserve">突发防爆</w:t>
            </w:r>
            <w:r>
              <w:rPr>
                <w:rFonts w:hint="eastAsia"/>
                <w:color w:val="000000"/>
                <w:spacing w:val="-1"/>
                <w:highlight w:val="none"/>
                <w:lang w:eastAsia="zh-CN"/>
              </w:rPr>
            </w:r>
            <w:r/>
          </w:p>
        </w:tc>
        <w:tc>
          <w:tcPr>
            <w:tcW w:w="3633" w:type="dxa"/>
            <w:vAlign w:val="top"/>
            <w:textDirection w:val="lrTb"/>
            <w:noWrap w:val="false"/>
          </w:tcPr>
          <w:p>
            <w:pPr>
              <w:pStyle w:val="1009"/>
              <w:jc w:val="center"/>
              <w:shd w:val="clear" w:color="auto" w:fill="auto"/>
              <w:rPr>
                <w:rFonts w:hint="eastAsia"/>
                <w:color w:val="000000"/>
                <w:spacing w:val="-2"/>
                <w:highlight w:val="none"/>
                <w:lang w:eastAsia="zh-CN"/>
              </w:rPr>
            </w:pPr>
            <w:r>
              <w:rPr>
                <w:rFonts w:hint="eastAsia" w:cs="Calibri"/>
                <w:color w:val="000000"/>
                <w:highlight w:val="none"/>
                <w:lang w:eastAsia="zh-CN"/>
              </w:rPr>
              <w:t xml:space="preserve">/</w:t>
            </w:r>
            <w:r>
              <w:rPr>
                <w:rFonts w:hint="eastAsia"/>
                <w:color w:val="000000"/>
                <w:spacing w:val="-2"/>
                <w:highlight w:val="none"/>
                <w:lang w:eastAsia="zh-CN"/>
              </w:rPr>
            </w:r>
            <w:r/>
          </w:p>
        </w:tc>
        <w:tc>
          <w:tcPr>
            <w:tcW w:w="936" w:type="dxa"/>
            <w:vAlign w:val="top"/>
            <w:textDirection w:val="lrTb"/>
            <w:noWrap w:val="false"/>
          </w:tcPr>
          <w:p>
            <w:pPr>
              <w:pStyle w:val="891"/>
              <w:jc w:val="center"/>
              <w:shd w:val="clear" w:color="auto" w:fill="auto"/>
              <w:rPr>
                <w:rFonts w:hint="eastAsia" w:ascii="宋体" w:hAnsi="宋体" w:cs="Calibri"/>
                <w:color w:val="000000"/>
                <w:szCs w:val="21"/>
                <w:highlight w:val="none"/>
                <w:lang w:eastAsia="en-US"/>
              </w:rPr>
            </w:pPr>
            <w:r>
              <w:rPr>
                <w:rFonts w:hint="eastAsia" w:ascii="宋体" w:hAnsi="宋体" w:cs="Arial"/>
                <w:color w:val="000000"/>
                <w:spacing w:val="-2"/>
                <w:highlight w:val="none"/>
                <w:lang w:eastAsia="en-US"/>
              </w:rPr>
              <w:t xml:space="preserve">/</w:t>
            </w:r>
            <w:r>
              <w:rPr>
                <w:rFonts w:hint="eastAsia" w:ascii="宋体" w:hAnsi="宋体" w:cs="Calibri"/>
                <w:color w:val="000000"/>
                <w:szCs w:val="21"/>
                <w:highlight w:val="none"/>
                <w:lang w:eastAsia="en-US"/>
              </w:rPr>
            </w:r>
            <w:r/>
          </w:p>
        </w:tc>
        <w:tc>
          <w:tcPr>
            <w:tcW w:w="1477" w:type="dxa"/>
            <w:vAlign w:val="top"/>
            <w:textDirection w:val="lrTb"/>
            <w:noWrap w:val="false"/>
          </w:tcPr>
          <w:p>
            <w:pPr>
              <w:pStyle w:val="1009"/>
              <w:jc w:val="center"/>
              <w:shd w:val="clear" w:color="auto" w:fill="auto"/>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bl>
    <w:p>
      <w:pPr>
        <w:pStyle w:val="891"/>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hint="eastAsia" w:ascii="宋体" w:hAnsi="宋体"/>
          <w:color w:val="000000"/>
          <w:sz w:val="24"/>
          <w:highlight w:val="none"/>
        </w:rPr>
      </w:r>
      <w:r/>
    </w:p>
    <w:p>
      <w:pPr>
        <w:pStyle w:val="891"/>
        <w:ind w:left="482"/>
        <w:spacing w:line="360" w:lineRule="auto"/>
        <w:shd w:val="clear" w:color="auto" w:fill="auto"/>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5.物业管理服务人员需求</w:t>
      </w:r>
      <w:r>
        <w:rPr>
          <w:rFonts w:hint="eastAsia" w:ascii="宋体" w:hAnsi="宋体"/>
          <w:b/>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本项目人员配置总数不少于20人。本项目允许配置按国家规定可不缴纳社保的人员，该类人员最高不超过项目总配置人数的</w:t>
      </w:r>
      <w:r>
        <w:rPr>
          <w:rFonts w:hint="eastAsia" w:ascii="宋体" w:hAnsi="宋体"/>
          <w:color w:val="000000"/>
          <w:sz w:val="24"/>
          <w:highlight w:val="none"/>
          <w:u w:val="single"/>
        </w:rPr>
        <w:t xml:space="preserve"> 30% </w:t>
      </w:r>
      <w:r>
        <w:rPr>
          <w:rFonts w:hint="eastAsia" w:ascii="宋体" w:hAnsi="宋体"/>
          <w:color w:val="000000"/>
          <w:sz w:val="24"/>
          <w:highlight w:val="none"/>
        </w:rPr>
        <w:t xml:space="preserve">。</w:t>
      </w:r>
      <w:r>
        <w:rPr>
          <w:rFonts w:hint="eastAsia" w:ascii="宋体" w:hAnsi="宋体"/>
          <w:b/>
          <w:bCs/>
          <w:color w:val="000000"/>
          <w:sz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color w:val="000000"/>
          <w:sz w:val="24"/>
          <w:highlight w:val="none"/>
        </w:rPr>
      </w:r>
      <w:r/>
    </w:p>
    <w:tbl>
      <w:tblPr>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0"/>
        <w:gridCol w:w="785"/>
        <w:gridCol w:w="6809"/>
      </w:tblGrid>
      <w:tr>
        <w:trPr>
          <w:trHeight w:val="889"/>
        </w:trPr>
        <w:tc>
          <w:tcPr>
            <w:tcW w:w="870" w:type="dxa"/>
            <w:vAlign w:val="center"/>
            <w:textDirection w:val="lrTb"/>
            <w:noWrap/>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类别</w:t>
            </w:r>
            <w:r>
              <w:rPr>
                <w:rFonts w:hint="eastAsia" w:ascii="微软雅黑" w:hAnsi="微软雅黑" w:eastAsia="微软雅黑" w:cs="微软雅黑"/>
                <w:color w:val="000000"/>
                <w:szCs w:val="21"/>
                <w:highlight w:val="none"/>
                <w:lang w:eastAsia="en-US"/>
              </w:rPr>
            </w:r>
            <w:r/>
          </w:p>
        </w:tc>
        <w:tc>
          <w:tcPr>
            <w:tcW w:w="970" w:type="dxa"/>
            <w:vAlign w:val="center"/>
            <w:textDirection w:val="lrTb"/>
            <w:noWrap/>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岗位</w:t>
            </w:r>
            <w:r>
              <w:rPr>
                <w:rFonts w:hint="eastAsia" w:ascii="微软雅黑" w:hAnsi="微软雅黑" w:eastAsia="微软雅黑" w:cs="微软雅黑"/>
                <w:color w:val="000000"/>
                <w:szCs w:val="21"/>
                <w:highlight w:val="none"/>
                <w:lang w:eastAsia="en-US"/>
              </w:rPr>
            </w:r>
            <w:r/>
          </w:p>
        </w:tc>
        <w:tc>
          <w:tcPr>
            <w:tcW w:w="785" w:type="dxa"/>
            <w:vAlign w:val="center"/>
            <w:textDirection w:val="lrTb"/>
            <w:noWrap/>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en-US"/>
              </w:rPr>
              <w:t xml:space="preserve">人数</w:t>
            </w:r>
            <w:r>
              <w:rPr>
                <w:rFonts w:hint="eastAsia" w:ascii="微软雅黑" w:hAnsi="微软雅黑" w:eastAsia="微软雅黑" w:cs="微软雅黑"/>
                <w:color w:val="000000"/>
                <w:szCs w:val="21"/>
                <w:highlight w:val="none"/>
                <w:lang w:eastAsia="en-US"/>
              </w:rPr>
            </w:r>
            <w:r/>
          </w:p>
        </w:tc>
        <w:tc>
          <w:tcPr>
            <w:tcW w:w="6809" w:type="dxa"/>
            <w:vAlign w:val="center"/>
            <w:textDirection w:val="lrTb"/>
            <w:noWrap/>
          </w:tcPr>
          <w:p>
            <w:pPr>
              <w:pStyle w:val="891"/>
              <w:jc w:val="center"/>
              <w:shd w:val="clear" w:color="auto" w:fill="auto"/>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备注</w:t>
            </w:r>
            <w:r>
              <w:rPr>
                <w:rFonts w:hint="eastAsia"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tcPr>
          <w:p>
            <w:pPr>
              <w:pStyle w:val="891"/>
              <w:jc w:val="center"/>
              <w:shd w:val="clear" w:color="auto" w:fill="auto"/>
              <w:widowControl/>
              <w:rPr>
                <w:rFonts w:hint="eastAsia" w:ascii="宋体" w:hAnsi="宋体" w:cs="宋体"/>
                <w:b/>
                <w:bCs/>
                <w:color w:val="000000"/>
                <w:szCs w:val="21"/>
                <w:highlight w:val="none"/>
                <w:lang w:eastAsia="en-US"/>
              </w:rPr>
            </w:pPr>
            <w:r>
              <w:rPr>
                <w:rFonts w:ascii="宋体" w:hAnsi="宋体" w:cs="宋体"/>
                <w:b/>
                <w:bCs/>
                <w:color w:val="000000"/>
                <w:szCs w:val="21"/>
                <w:highlight w:val="none"/>
                <w:lang w:eastAsia="en-US"/>
              </w:rPr>
              <w:t xml:space="preserve">管理</w:t>
            </w:r>
            <w:r>
              <w:rPr>
                <w:rFonts w:hint="eastAsia" w:ascii="宋体" w:hAnsi="宋体" w:cs="宋体"/>
                <w:b/>
                <w:bCs/>
                <w:color w:val="000000"/>
                <w:szCs w:val="21"/>
                <w:highlight w:val="none"/>
                <w:lang w:eastAsia="en-US"/>
              </w:rPr>
            </w:r>
            <w:r/>
          </w:p>
        </w:tc>
        <w:tc>
          <w:tcPr>
            <w:tcW w:w="970" w:type="dxa"/>
            <w:vAlign w:val="center"/>
            <w:textDirection w:val="lrTb"/>
            <w:noWrap/>
          </w:tcPr>
          <w:p>
            <w:pPr>
              <w:pStyle w:val="891"/>
              <w:jc w:val="center"/>
              <w:shd w:val="clear" w:color="auto" w:fill="auto"/>
              <w:widowControl/>
              <w:rPr>
                <w:rFonts w:eastAsia="Calibri" w:cs="Calibri"/>
                <w:b/>
                <w:bCs/>
                <w:color w:val="000000"/>
                <w:szCs w:val="21"/>
                <w:highlight w:val="none"/>
                <w:lang w:eastAsia="en-US"/>
              </w:rPr>
            </w:pPr>
            <w:r>
              <w:rPr>
                <w:rFonts w:hint="eastAsia" w:cs="Calibri"/>
                <w:b/>
                <w:bCs/>
                <w:color w:val="000000"/>
                <w:szCs w:val="21"/>
                <w:highlight w:val="none"/>
              </w:rPr>
              <w:t xml:space="preserve">项目经理</w:t>
            </w:r>
            <w:r>
              <w:rPr>
                <w:rFonts w:eastAsia="Calibri" w:cs="Calibri"/>
                <w:b/>
                <w:bCs/>
                <w:color w:val="000000"/>
                <w:szCs w:val="21"/>
                <w:highlight w:val="none"/>
                <w:lang w:eastAsia="en-US"/>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891"/>
              <w:shd w:val="clear" w:color="auto" w:fill="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1、基本要求：男女不限，男性不超过65周岁，女性不超过55周岁</w:t>
            </w:r>
            <w:r>
              <w:rPr>
                <w:rFonts w:hint="eastAsia" w:ascii="宋体" w:hAnsi="宋体" w:cs="宋体"/>
                <w:color w:val="000000"/>
                <w:szCs w:val="21"/>
                <w:highlight w:val="none"/>
              </w:rPr>
              <w:t xml:space="preserve">。本项目的项目经理不能任意更换，如确需更换，应取得甲方书面认可，并且更换的新的物业经理的要求不低于原负责人。</w:t>
            </w:r>
            <w:r>
              <w:rPr>
                <w:rFonts w:hint="eastAsia" w:ascii="宋体" w:hAnsi="宋体" w:cs="宋体"/>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（1）主持物业管理人员的招聘、面试工作，具备相当的组织管理能力；</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（2）领导项目物业管理团队做好物业竣工前施工现场及租售处的物业管理，能够为物业管理人员提供日常培训；</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（3）定期与委托方代表展开前期物业工作会议；主持制订、完善物业管理规章制度及流程；</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（4）协助选择合适的物业保险及其他需要外包的物业管理服务供应商；协助物业管理费标准的确定；</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（5）领导项目物业管理团队做好装修改造、保安、清洁、工程设施维护保养等日常管理服务；</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（6）定期主持业主对物业服务之满意度调查，并能够根据反馈，在提供给业主的服务项目及质量上，不断提高；</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（7）具备良好的沟通协调能力，能够与委托方、第三方外包、业主保持良好的关系；</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（8）协助统筹物管的人事及财务管理，能够良好执行年度财务预算计划；</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（9）对外推广物业的优质服务和管理形象；能够不断完善物管制度及管理体系，并对物业管理人员提供定期培训。</w:t>
            </w:r>
            <w:r>
              <w:rPr>
                <w:rFonts w:hint="eastAsia" w:ascii="宋体" w:hAnsi="宋体" w:cs="宋体"/>
                <w:color w:val="000000"/>
                <w:szCs w:val="21"/>
                <w:highlight w:val="none"/>
              </w:rPr>
            </w:r>
            <w:r/>
          </w:p>
        </w:tc>
      </w:tr>
      <w:tr>
        <w:trPr>
          <w:trHeight w:val="1409"/>
        </w:trPr>
        <w:tc>
          <w:tcPr>
            <w:tcW w:w="870" w:type="dxa"/>
            <w:vAlign w:val="top"/>
            <w:vMerge w:val="continue"/>
            <w:textDirection w:val="lrTb"/>
            <w:noWrap/>
          </w:tcPr>
          <w:p>
            <w:pPr>
              <w:pStyle w:val="891"/>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891"/>
              <w:jc w:val="center"/>
              <w:shd w:val="clear" w:color="auto" w:fill="auto"/>
              <w:widowControl/>
              <w:rPr>
                <w:rFonts w:cs="Calibri"/>
                <w:b/>
                <w:bCs/>
                <w:color w:val="000000"/>
                <w:szCs w:val="21"/>
                <w:highlight w:val="none"/>
              </w:rPr>
            </w:pPr>
            <w:r>
              <w:rPr>
                <w:rFonts w:hint="eastAsia" w:cs="Calibri"/>
                <w:b/>
                <w:bCs/>
                <w:color w:val="000000"/>
                <w:szCs w:val="21"/>
                <w:highlight w:val="none"/>
              </w:rPr>
              <w:t xml:space="preserve">接待员</w:t>
            </w:r>
            <w:r>
              <w:rPr>
                <w:rFonts w:cs="Calibri"/>
                <w:b/>
                <w:bCs/>
                <w:color w:val="000000"/>
                <w:szCs w:val="21"/>
                <w:highlight w:val="none"/>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w:t>
            </w:r>
            <w:r>
              <w:rPr>
                <w:rFonts w:hint="eastAsia" w:ascii="宋体" w:hAnsi="宋体" w:cs="宋体"/>
                <w:b/>
                <w:bCs/>
                <w:color w:val="000000"/>
                <w:szCs w:val="21"/>
                <w:highlight w:val="none"/>
              </w:rPr>
              <w:t xml:space="preserve">男女不限，男性不超过65周岁，女性不超过55周岁</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（1）负责来访客户、人员引导接待，礼貌问好、登记信息、引导至会客室及相关办公室，端茶倒水。</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（2）坚守前台岗位，保持大厅整洁美观，维护办公大厅秩序，做好日常形象迎宾。</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（3）负责办公座机接听、转接，做好来电记录，及时传达相关信息。</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（4）收发登记快递、信件、报刊、文件，分类整理并及时通知各部门领取。</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（5）做好外来人员、施工人员、访客出入登记，配合做好员工考勤辅助工作。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（6）负责前台及大厅卫生巡检，绿植养护，及时上报设施损坏问题。</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（7）协助会议室布置、会前准备、会后清理，配合日常会务接待工作。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（8）管理前台办公用品、饮用水、接待用品，及时申领补充。</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（9）严格遵守办公楼管理制度，做好门禁管理、夜间巡查协助，做好安全防范。</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（10）完成领导交办的各类临时性后勤、协助工作。</w:t>
            </w:r>
            <w:r>
              <w:rPr>
                <w:rFonts w:hint="eastAsia" w:ascii="宋体" w:hAnsi="宋体" w:cs="宋体"/>
                <w:color w:val="000000"/>
                <w:szCs w:val="21"/>
                <w:highlight w:val="none"/>
              </w:rPr>
            </w:r>
            <w:r/>
          </w:p>
        </w:tc>
      </w:tr>
      <w:tr>
        <w:trPr>
          <w:trHeight w:val="1522"/>
        </w:trPr>
        <w:tc>
          <w:tcPr>
            <w:tcW w:w="870" w:type="dxa"/>
            <w:vAlign w:val="center"/>
            <w:vMerge w:val="restart"/>
            <w:textDirection w:val="lrTb"/>
            <w:noWrap/>
          </w:tcPr>
          <w:p>
            <w:pPr>
              <w:pStyle w:val="891"/>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秩序维护</w:t>
            </w:r>
            <w:r>
              <w:rPr>
                <w:rFonts w:hint="eastAsia" w:ascii="宋体" w:hAnsi="宋体" w:cs="宋体"/>
                <w:b/>
                <w:bCs/>
                <w:color w:val="000000"/>
                <w:szCs w:val="21"/>
                <w:highlight w:val="none"/>
              </w:rPr>
            </w:r>
            <w:r/>
          </w:p>
        </w:tc>
        <w:tc>
          <w:tcPr>
            <w:tcW w:w="970" w:type="dxa"/>
            <w:vAlign w:val="center"/>
            <w:textDirection w:val="lrTb"/>
            <w:noWrap/>
          </w:tcPr>
          <w:p>
            <w:pPr>
              <w:pStyle w:val="891"/>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保安队长</w:t>
            </w:r>
            <w:r>
              <w:rPr>
                <w:rFonts w:hint="eastAsia" w:ascii="宋体" w:hAnsi="宋体" w:cs="宋体"/>
                <w:b/>
                <w:bCs/>
                <w:color w:val="000000"/>
                <w:szCs w:val="21"/>
                <w:highlight w:val="none"/>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rPr>
            </w:r>
            <w:r/>
          </w:p>
        </w:tc>
        <w:tc>
          <w:tcPr>
            <w:tcW w:w="6809" w:type="dxa"/>
            <w:vAlign w:val="center"/>
            <w:vMerge w:val="restart"/>
            <w:textDirection w:val="lrTb"/>
            <w:noWrap/>
          </w:tcPr>
          <w:p>
            <w:pPr>
              <w:pStyle w:val="891"/>
              <w:numPr>
                <w:ilvl w:val="0"/>
                <w:numId w:val="6"/>
              </w:numPr>
              <w:shd w:val="clear" w:color="auto" w:fill="auto"/>
              <w:widowControl/>
              <w:rPr>
                <w:color w:val="000000"/>
                <w:highlight w:val="none"/>
              </w:rPr>
            </w:pPr>
            <w:r>
              <w:rPr>
                <w:rFonts w:hint="eastAsia" w:ascii="宋体" w:hAnsi="宋体" w:cs="宋体"/>
                <w:b/>
                <w:bCs/>
                <w:color w:val="000000"/>
                <w:szCs w:val="21"/>
                <w:highlight w:val="none"/>
              </w:rPr>
              <w:t xml:space="preserve">基本要求：保安队长：男女不限，男性不超过65周岁，女性不超过55周岁；</w:t>
            </w:r>
            <w:r>
              <w:rPr>
                <w:color w:val="000000"/>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保安员（巡逻岗、门卫执勤）：男女不限，男性不超过65周岁，女性不超过55周岁。</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（1）负责治安防范、安全保卫和消防管理工作；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（2）负责把守大门，礼貌接待问询。主动热情为业主提供便利服务，诸如提携物品、备好打气筒、代招出租车等；</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（3）严格核对外来人员务工者，遇访客登记或征得业主的同意后方能进入；大宗物品搬运出，须办理物品出门手续，经业主认可方能放行；</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（5）定期测试消防设施，参加消防演练；遇突发事件，须按规定的程序，负责执行本职范围内的工作；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（6）熟悉办公楼运行情况，与业主建立友好关系，及时反馈业主的意见和要求；</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（7）对改进管理处工作提出建议；监督检查二次装修有无违规行为，施工人员是否有证；</w:t>
            </w:r>
            <w:r>
              <w:rPr>
                <w:rFonts w:hint="eastAsia" w:ascii="宋体" w:hAnsi="宋体" w:cs="宋体"/>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（1）门岗保安岗位要求：</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①自身条件：性别：男/女，视力良好、外表端正，初中以上文化，普通话良好，沟通良好；</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②主动热情帮助办公楼内做好协助工作：比如小件物品的搬运工作等；</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③熟悉办公楼的日常工作方式；</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④按标准着装、仪表整洁端正；</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⑤上下班、开门敬礼，用文明礼貌语言。大门开关准确及时、灵活操作。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（2）巡逻保安岗位要求：</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①按标准着装、仪表整洁端正；</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②具备独立公共秩序维护工作能力，能掌握发生事件，事故等应急预案的基本要求和处理方法；</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891"/>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891"/>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保安员（巡逻岗、门卫执勤）</w:t>
            </w:r>
            <w:r>
              <w:rPr>
                <w:rFonts w:hint="eastAsia" w:ascii="宋体" w:hAnsi="宋体" w:cs="宋体"/>
                <w:b/>
                <w:bCs/>
                <w:color w:val="000000"/>
                <w:szCs w:val="21"/>
                <w:highlight w:val="none"/>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不少于10人</w:t>
            </w:r>
            <w:r>
              <w:rPr>
                <w:rFonts w:ascii="Arial" w:hAnsi="Arial" w:cs="Calibri"/>
                <w:b/>
                <w:bCs/>
                <w:color w:val="000000"/>
                <w:szCs w:val="21"/>
                <w:highlight w:val="none"/>
              </w:rPr>
            </w:r>
            <w:r/>
          </w:p>
        </w:tc>
        <w:tc>
          <w:tcPr>
            <w:tcW w:w="6809" w:type="dxa"/>
            <w:vAlign w:val="center"/>
            <w:vMerge w:val="continue"/>
            <w:textDirection w:val="lrTb"/>
            <w:noWrap/>
          </w:tcPr>
          <w:p>
            <w:pPr>
              <w:pStyle w:val="891"/>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rHeight w:val="4056"/>
        </w:trPr>
        <w:tc>
          <w:tcPr>
            <w:tcW w:w="870" w:type="dxa"/>
            <w:vAlign w:val="center"/>
            <w:textDirection w:val="lrTb"/>
            <w:noWrap/>
          </w:tcPr>
          <w:p>
            <w:pPr>
              <w:pStyle w:val="891"/>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保洁服务</w:t>
            </w:r>
            <w:r>
              <w:rPr>
                <w:rFonts w:hint="eastAsia" w:ascii="宋体" w:hAnsi="宋体" w:cs="宋体"/>
                <w:b/>
                <w:bCs/>
                <w:color w:val="000000"/>
                <w:szCs w:val="21"/>
                <w:highlight w:val="none"/>
              </w:rPr>
            </w:r>
            <w:r/>
          </w:p>
        </w:tc>
        <w:tc>
          <w:tcPr>
            <w:tcW w:w="970" w:type="dxa"/>
            <w:vAlign w:val="center"/>
            <w:textDirection w:val="lrTb"/>
            <w:noWrap/>
          </w:tcPr>
          <w:p>
            <w:pPr>
              <w:pStyle w:val="891"/>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保洁员（含外场保洁）</w:t>
            </w:r>
            <w:r>
              <w:rPr>
                <w:rFonts w:hint="eastAsia" w:ascii="宋体" w:hAnsi="宋体" w:cs="宋体"/>
                <w:b/>
                <w:bCs/>
                <w:color w:val="000000"/>
                <w:szCs w:val="21"/>
                <w:highlight w:val="none"/>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不少于6人</w:t>
            </w:r>
            <w:r>
              <w:rPr>
                <w:rFonts w:ascii="Arial" w:hAnsi="Arial" w:cs="Calibri"/>
                <w:b/>
                <w:bCs/>
                <w:color w:val="000000"/>
                <w:szCs w:val="21"/>
                <w:highlight w:val="none"/>
              </w:rPr>
            </w:r>
            <w:r/>
          </w:p>
        </w:tc>
        <w:tc>
          <w:tcPr>
            <w:tcW w:w="6809" w:type="dxa"/>
            <w:vAlign w:val="center"/>
            <w:textDirection w:val="lrTb"/>
            <w:noWrap/>
          </w:tcPr>
          <w:p>
            <w:pPr>
              <w:pStyle w:val="891"/>
              <w:numPr>
                <w:ilvl w:val="0"/>
                <w:numId w:val="7"/>
              </w:numP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基本要求：男女不限，男性不超过65周岁，女性不超过55周岁。</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ascii="宋体" w:hAnsi="宋体" w:cs="宋体"/>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（1）着装仪表：上岗时按规定的方式和位置佩戴工作牌，制服穿着统一整齐，工作鞋要洗刷干净；</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（2）保洁工作时间安排，尽量做到不影响办公楼内部工作；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（3）重点区域重点对待。</w:t>
            </w:r>
            <w:r>
              <w:rPr>
                <w:rFonts w:hint="eastAsia" w:ascii="宋体" w:hAnsi="宋体" w:cs="宋体"/>
                <w:color w:val="000000"/>
                <w:szCs w:val="21"/>
                <w:highlight w:val="none"/>
              </w:rPr>
            </w:r>
            <w:r/>
          </w:p>
        </w:tc>
      </w:tr>
      <w:tr>
        <w:trPr/>
        <w:tc>
          <w:tcPr>
            <w:tcW w:w="870" w:type="dxa"/>
            <w:vAlign w:val="center"/>
            <w:textDirection w:val="lrTb"/>
            <w:noWrap/>
          </w:tcPr>
          <w:p>
            <w:pPr>
              <w:pStyle w:val="891"/>
              <w:jc w:val="center"/>
              <w:shd w:val="clear" w:color="auto" w:fill="auto"/>
              <w:widowControl/>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工程（水电）维修服务</w:t>
            </w:r>
            <w:r>
              <w:rPr>
                <w:rFonts w:hint="eastAsia" w:ascii="宋体" w:hAnsi="宋体" w:cs="宋体"/>
                <w:b/>
                <w:bCs/>
                <w:color w:val="000000"/>
                <w:spacing w:val="-1"/>
                <w:szCs w:val="21"/>
                <w:highlight w:val="none"/>
              </w:rPr>
            </w:r>
            <w:r/>
          </w:p>
        </w:tc>
        <w:tc>
          <w:tcPr>
            <w:tcW w:w="970" w:type="dxa"/>
            <w:vAlign w:val="center"/>
            <w:textDirection w:val="lrTb"/>
            <w:noWrap/>
          </w:tcPr>
          <w:p>
            <w:pPr>
              <w:pStyle w:val="891"/>
              <w:jc w:val="center"/>
              <w:shd w:val="clear" w:color="auto" w:fill="auto"/>
              <w:widowControl/>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工程维护人员</w:t>
            </w:r>
            <w:r>
              <w:rPr>
                <w:rFonts w:hint="eastAsia" w:ascii="宋体" w:hAnsi="宋体" w:cs="宋体"/>
                <w:b/>
                <w:bCs/>
                <w:color w:val="000000"/>
                <w:spacing w:val="-2"/>
                <w:szCs w:val="21"/>
                <w:highlight w:val="none"/>
              </w:rPr>
            </w:r>
            <w:r/>
          </w:p>
        </w:tc>
        <w:tc>
          <w:tcPr>
            <w:tcW w:w="785" w:type="dxa"/>
            <w:vAlign w:val="center"/>
            <w:textDirection w:val="lrTb"/>
            <w:noWrap/>
          </w:tcPr>
          <w:p>
            <w:pPr>
              <w:pStyle w:val="891"/>
              <w:jc w:val="center"/>
              <w:shd w:val="clear" w:color="auto" w:fill="auto"/>
              <w:rPr>
                <w:rFonts w:ascii="Arial" w:hAnsi="Arial" w:cs="Calibri"/>
                <w:b/>
                <w:bCs/>
                <w:color w:val="000000"/>
                <w:szCs w:val="21"/>
                <w:highlight w:val="none"/>
              </w:rPr>
            </w:pPr>
            <w:r>
              <w:rPr>
                <w:rFonts w:hint="eastAsia" w:ascii="Arial" w:hAnsi="Arial" w:cs="Calibri"/>
                <w:b/>
                <w:bCs/>
                <w:color w:val="000000"/>
                <w:szCs w:val="21"/>
                <w:highlight w:val="none"/>
              </w:rPr>
              <w:t xml:space="preserve">不少于1人</w:t>
            </w:r>
            <w:r>
              <w:rPr>
                <w:rFonts w:ascii="Arial" w:hAnsi="Arial" w:cs="Calibri"/>
                <w:b/>
                <w:bCs/>
                <w:color w:val="000000"/>
                <w:szCs w:val="21"/>
                <w:highlight w:val="none"/>
              </w:rPr>
            </w:r>
            <w:r/>
          </w:p>
        </w:tc>
        <w:tc>
          <w:tcPr>
            <w:tcW w:w="6809" w:type="dxa"/>
            <w:vAlign w:val="center"/>
            <w:textDirection w:val="lrTb"/>
            <w:noWrap/>
          </w:tcPr>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1、基本要求：男女不限，男性不超过65周岁，女性不超过55周岁；</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（1）负责对设施及设备的接收工作，熟悉各项设备、设施。</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（2）负责工程部人员的选配和管理；负责工程部员工的专业技术培训工作，提高工程部人员的职业道德，专业技能和服务意识；负责工程部人员的年度考评工作；</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（3）负责监督公用设施、设备的正常运行工作，并负责计划的审定；负责监督公用设施设备的保养、维修安全检查的计划的审定；</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（4）完善工程部的各项规章制度，并报上级批准实施；负责制定工程部的低值易耗品、物料、固定资产的每月采购计划，并报管理处审批，协同采购；</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（5）组织并参与设备的大检修，负责制定设备大检修计划并监督实施；每月召开工程部例会，布置、协调工程部内部各项事务；</w:t>
            </w:r>
            <w:r>
              <w:rPr>
                <w:rFonts w:hint="eastAsia" w:ascii="宋体" w:hAnsi="宋体" w:cs="宋体"/>
                <w:color w:val="000000"/>
                <w:szCs w:val="21"/>
                <w:highlight w:val="none"/>
              </w:rPr>
            </w:r>
            <w:r/>
          </w:p>
          <w:p>
            <w:pPr>
              <w:pStyle w:val="891"/>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（6）负责外包服务合同的接洽，并报管理处审批；负责物业使用人对工程部工作的投诉处理，回访；负责工程部不合格服务的处理、纠正和预防措施的实施，跟踪检查等。</w:t>
            </w:r>
            <w:r>
              <w:rPr>
                <w:rFonts w:hint="eastAsia" w:ascii="宋体" w:hAnsi="宋体" w:cs="宋体"/>
                <w:color w:val="000000"/>
                <w:szCs w:val="21"/>
                <w:highlight w:val="none"/>
              </w:rPr>
            </w:r>
            <w:r/>
          </w:p>
        </w:tc>
      </w:tr>
      <w:tr>
        <w:trPr>
          <w:trHeight w:val="527"/>
        </w:trPr>
        <w:tc>
          <w:tcPr>
            <w:gridSpan w:val="2"/>
            <w:tcW w:w="1840" w:type="dxa"/>
            <w:vAlign w:val="center"/>
            <w:textDirection w:val="lrTb"/>
            <w:noWrap/>
          </w:tcPr>
          <w:p>
            <w:pPr>
              <w:pStyle w:val="891"/>
              <w:jc w:val="center"/>
              <w:shd w:val="clear" w:color="auto" w:fill="auto"/>
              <w:widowControl/>
              <w:rPr>
                <w:rFonts w:hint="eastAsia" w:ascii="宋体" w:hAnsi="宋体" w:cs="宋体"/>
                <w:b/>
                <w:color w:val="000000"/>
                <w:spacing w:val="-2"/>
                <w:szCs w:val="21"/>
                <w:highlight w:val="none"/>
              </w:rPr>
            </w:pPr>
            <w:r>
              <w:rPr>
                <w:rFonts w:hint="eastAsia" w:ascii="宋体" w:hAnsi="宋体" w:cs="宋体"/>
                <w:b/>
                <w:color w:val="000000"/>
                <w:spacing w:val="-2"/>
                <w:szCs w:val="21"/>
                <w:highlight w:val="none"/>
              </w:rPr>
              <w:t xml:space="preserve">人员总数</w:t>
            </w:r>
            <w:r>
              <w:rPr>
                <w:rFonts w:hint="eastAsia" w:ascii="宋体" w:hAnsi="宋体" w:cs="宋体"/>
                <w:b/>
                <w:color w:val="000000"/>
                <w:spacing w:val="-2"/>
                <w:szCs w:val="21"/>
                <w:highlight w:val="none"/>
              </w:rPr>
            </w:r>
            <w:r/>
          </w:p>
        </w:tc>
        <w:tc>
          <w:tcPr>
            <w:tcW w:w="785" w:type="dxa"/>
            <w:vAlign w:val="center"/>
            <w:textDirection w:val="lrTb"/>
            <w:noWrap/>
          </w:tcPr>
          <w:p>
            <w:pPr>
              <w:pStyle w:val="891"/>
              <w:jc w:val="center"/>
              <w:shd w:val="clear" w:color="auto" w:fill="auto"/>
              <w:rPr>
                <w:rFonts w:ascii="Arial" w:hAnsi="Arial" w:cs="Calibri"/>
                <w:b/>
                <w:color w:val="000000"/>
                <w:szCs w:val="21"/>
                <w:highlight w:val="none"/>
              </w:rPr>
            </w:pPr>
            <w:r>
              <w:rPr>
                <w:rFonts w:hint="eastAsia" w:ascii="Arial" w:hAnsi="Arial" w:cs="Calibri"/>
                <w:b/>
                <w:color w:val="000000"/>
                <w:szCs w:val="21"/>
                <w:highlight w:val="none"/>
              </w:rPr>
              <w:t xml:space="preserve">不少于20人</w:t>
            </w:r>
            <w:r>
              <w:rPr>
                <w:rFonts w:ascii="Arial" w:hAnsi="Arial" w:cs="Calibri"/>
                <w:b/>
                <w:color w:val="000000"/>
                <w:szCs w:val="21"/>
                <w:highlight w:val="none"/>
              </w:rPr>
            </w:r>
            <w:r/>
          </w:p>
        </w:tc>
        <w:tc>
          <w:tcPr>
            <w:tcW w:w="6809" w:type="dxa"/>
            <w:vAlign w:val="center"/>
            <w:textDirection w:val="lrTb"/>
            <w:noWrap/>
          </w:tcPr>
          <w:p>
            <w:pPr>
              <w:pStyle w:val="891"/>
              <w:jc w:val="center"/>
              <w:shd w:val="clear" w:color="auto" w:fill="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91"/>
        <w:ind w:firstLine="48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color w:val="000000"/>
          <w:sz w:val="24"/>
          <w:highlight w:val="none"/>
        </w:rPr>
      </w:r>
      <w:r/>
    </w:p>
    <w:p>
      <w:pPr>
        <w:pStyle w:val="891"/>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6.验收标准与要求</w:t>
      </w:r>
      <w:r>
        <w:rPr>
          <w:rFonts w:hint="eastAsia" w:ascii="宋体" w:hAnsi="宋体"/>
          <w:b/>
          <w:color w:val="000000"/>
          <w:sz w:val="24"/>
          <w:highlight w:val="none"/>
        </w:rPr>
      </w:r>
      <w:r/>
    </w:p>
    <w:p>
      <w:pPr>
        <w:pStyle w:val="891"/>
        <w:ind w:firstLine="480"/>
        <w:spacing w:line="360" w:lineRule="auto"/>
        <w:shd w:val="clear" w:color="auto" w:fill="auto"/>
        <w:rPr>
          <w:rFonts w:hint="eastAsia"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rPr>
          <w:rFonts w:hint="eastAsia" w:ascii="宋体" w:hAnsi="宋体"/>
          <w:bCs/>
          <w:color w:val="000000"/>
          <w:sz w:val="24"/>
          <w:highlight w:val="none"/>
        </w:rPr>
      </w:r>
      <w:r/>
    </w:p>
    <w:p>
      <w:pPr>
        <w:pStyle w:val="891"/>
        <w:ind w:firstLine="480"/>
        <w:spacing w:line="360" w:lineRule="auto"/>
        <w:shd w:val="clear" w:color="auto" w:fill="auto"/>
        <w:rPr>
          <w:rFonts w:hint="eastAsia" w:ascii="宋体" w:hAnsi="宋体"/>
          <w:bCs/>
          <w:color w:val="000000"/>
          <w:sz w:val="24"/>
          <w:highlight w:val="none"/>
        </w:rPr>
      </w:pPr>
      <w:r>
        <w:rPr>
          <w:rFonts w:ascii="宋体" w:hAnsi="宋体"/>
          <w:bCs/>
          <w:color w:val="000000"/>
          <w:sz w:val="24"/>
          <w:highlight w:val="none"/>
        </w:rPr>
        <w:t xml:space="preserve">具体要求：</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根据考核要求进行考核 </w:t>
      </w:r>
      <w:r>
        <w:rPr>
          <w:rFonts w:ascii="宋体" w:hAnsi="宋体"/>
          <w:bCs/>
          <w:color w:val="000000"/>
          <w:sz w:val="24"/>
          <w:highlight w:val="none"/>
          <w:u w:val="single"/>
        </w:rPr>
        <w:t xml:space="preserve">  </w:t>
      </w:r>
      <w:r>
        <w:rPr>
          <w:rFonts w:ascii="宋体" w:hAnsi="宋体"/>
          <w:bCs/>
          <w:color w:val="000000"/>
          <w:sz w:val="24"/>
          <w:highlight w:val="none"/>
        </w:rPr>
        <w:t xml:space="preserve">（如验收标准、验收主体、时间、方式、程序、内容等）</w:t>
      </w:r>
      <w:r>
        <w:rPr>
          <w:rFonts w:hint="eastAsia" w:ascii="宋体" w:hAnsi="宋体"/>
          <w:bCs/>
          <w:color w:val="000000"/>
          <w:sz w:val="24"/>
          <w:highlight w:val="none"/>
        </w:rPr>
      </w:r>
      <w:r/>
    </w:p>
    <w:p>
      <w:pPr>
        <w:pStyle w:val="891"/>
        <w:ind w:firstLine="482"/>
        <w:spacing w:line="360" w:lineRule="auto"/>
        <w:shd w:val="clear" w:color="auto" w:fill="auto"/>
        <w:rPr>
          <w:rFonts w:hint="eastAsia" w:ascii="宋体" w:hAnsi="宋体"/>
          <w:b/>
          <w:color w:val="000000"/>
          <w:sz w:val="24"/>
          <w:highlight w:val="none"/>
        </w:rPr>
      </w:pPr>
      <w:r>
        <w:rPr>
          <w:rFonts w:hint="eastAsia" w:ascii="宋体" w:hAnsi="宋体"/>
          <w:b/>
          <w:color w:val="000000"/>
          <w:sz w:val="24"/>
          <w:highlight w:val="none"/>
        </w:rPr>
      </w:r>
      <w:r/>
    </w:p>
    <w:p>
      <w:pPr>
        <w:pStyle w:val="89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7.其他要求:</w:t>
      </w:r>
      <w:r>
        <w:rPr>
          <w:rFonts w:hint="eastAsia" w:ascii="宋体" w:hAnsi="宋体" w:cs="宋体"/>
          <w:b/>
          <w:color w:val="000000"/>
          <w:sz w:val="24"/>
          <w:highlight w:val="none"/>
        </w:rPr>
      </w:r>
      <w:r/>
    </w:p>
    <w:p>
      <w:pPr>
        <w:pStyle w:val="89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7.1以下相关费用由供应商承担：</w:t>
      </w:r>
      <w:r>
        <w:rPr>
          <w:rFonts w:hint="eastAsia" w:ascii="宋体" w:hAnsi="宋体" w:cs="宋体"/>
          <w:color w:val="000000"/>
          <w:sz w:val="24"/>
          <w:highlight w:val="none"/>
        </w:rPr>
      </w:r>
      <w:r/>
    </w:p>
    <w:p>
      <w:pPr>
        <w:pStyle w:val="891"/>
        <w:ind w:firstLine="480"/>
        <w:spacing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本项目涉及的零星维修材料、低值易耗品、客耗品等费用，是采购人承担，服务人员相关费用服务费用包含在物业服务项目合同金额之内。</w:t>
      </w:r>
      <w:r>
        <w:rPr>
          <w:rFonts w:hint="eastAsia" w:ascii="宋体" w:hAnsi="宋体"/>
          <w:color w:val="000000"/>
          <w:sz w:val="24"/>
          <w:szCs w:val="21"/>
          <w:highlight w:val="none"/>
        </w:rPr>
      </w:r>
      <w:r/>
    </w:p>
    <w:p>
      <w:pPr>
        <w:pStyle w:val="891"/>
        <w:ind w:firstLine="44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例：低值易耗品费用</w:t>
      </w:r>
      <w:r>
        <w:rPr>
          <w:rFonts w:hint="eastAsia" w:ascii="宋体" w:hAnsi="宋体" w:cs="宋体"/>
          <w:color w:val="000000"/>
          <w:sz w:val="24"/>
          <w:highlight w:val="none"/>
        </w:rPr>
      </w:r>
      <w:r/>
    </w:p>
    <w:p>
      <w:pPr>
        <w:pStyle w:val="89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涉及以下情形的，相关费用包含在物业管理服务采购合同金额之内，由供应商承担：__</w:t>
      </w:r>
      <w:r>
        <w:rPr>
          <w:rFonts w:hint="eastAsia" w:ascii="宋体" w:hAnsi="宋体" w:cs="宋体"/>
          <w:color w:val="000000"/>
          <w:sz w:val="24"/>
          <w:highlight w:val="none"/>
          <w:u w:val="single"/>
        </w:rPr>
        <w:t xml:space="preserve">保洁服装及工作腰包等</w:t>
      </w:r>
      <w:r>
        <w:rPr>
          <w:rFonts w:hint="eastAsia" w:ascii="宋体" w:hAnsi="宋体" w:cs="宋体"/>
          <w:color w:val="000000"/>
          <w:sz w:val="24"/>
          <w:highlight w:val="none"/>
        </w:rPr>
        <w:t xml:space="preserve">（明确涉及的环境维护等服务中需要的低值易耗品以及关于费用方面的规定）。</w:t>
      </w:r>
      <w:r>
        <w:rPr>
          <w:rFonts w:hint="eastAsia" w:ascii="宋体" w:hAnsi="宋体" w:cs="宋体"/>
          <w:color w:val="000000"/>
          <w:sz w:val="24"/>
          <w:highlight w:val="none"/>
        </w:rPr>
      </w:r>
      <w:r/>
    </w:p>
    <w:p>
      <w:pPr>
        <w:pStyle w:val="891"/>
        <w:spacing w:line="360" w:lineRule="auto"/>
        <w:shd w:val="clear" w:color="auto" w:fill="auto"/>
        <w:rPr>
          <w:rFonts w:hint="eastAsia" w:ascii="宋体" w:hAnsi="宋体"/>
          <w:color w:val="000000"/>
          <w:sz w:val="24"/>
          <w:szCs w:val="21"/>
          <w:highlight w:val="none"/>
        </w:rPr>
      </w:pPr>
      <w:r>
        <w:rPr>
          <w:rFonts w:hint="eastAsia" w:ascii="宋体" w:hAnsi="宋体" w:cs="宋体"/>
          <w:color w:val="000000"/>
          <w:sz w:val="24"/>
          <w:highlight w:val="none"/>
        </w:rPr>
        <w:t xml:space="preserve"> </w:t>
      </w:r>
      <w:r>
        <w:rPr>
          <w:rFonts w:hint="eastAsia" w:ascii="宋体" w:hAnsi="宋体"/>
          <w:color w:val="000000"/>
          <w:sz w:val="24"/>
          <w:szCs w:val="21"/>
          <w:highlight w:val="none"/>
        </w:rPr>
        <w:t xml:space="preserve">物业费用有关说明：投标报价除应包括物业管理服务人员的工资（员工工资不得低于规定的无锡市最低工资标准，</w:t>
      </w:r>
      <w:r>
        <w:rPr>
          <w:rFonts w:hint="eastAsia" w:ascii="宋体" w:hAnsi="宋体"/>
          <w:color w:val="000000"/>
          <w:sz w:val="24"/>
          <w:highlight w:val="none"/>
        </w:rPr>
        <w:t xml:space="preserve">本项目如有允许配置按国家规定可不缴纳社保的人员除外，</w:t>
      </w:r>
      <w:r>
        <w:rPr>
          <w:rFonts w:hint="eastAsia" w:ascii="宋体" w:hAnsi="宋体"/>
          <w:color w:val="000000"/>
          <w:sz w:val="24"/>
          <w:szCs w:val="21"/>
          <w:highlight w:val="none"/>
        </w:rPr>
        <w:t xml:space="preserve">其他满足缴纳社保条件的人员必须缴纳养老、医疗、失业、生育、工伤等在内的社会保险）、员工福利费、</w:t>
      </w:r>
      <w:r>
        <w:rPr>
          <w:rFonts w:hint="eastAsia" w:ascii="宋体" w:hAnsi="宋体" w:cs="宋体"/>
          <w:color w:val="000000"/>
          <w:sz w:val="24"/>
          <w:szCs w:val="21"/>
          <w:highlight w:val="none"/>
        </w:rPr>
        <w:t xml:space="preserve">加班费、各类工具耗材、服装、办公费、</w:t>
      </w:r>
      <w:r>
        <w:rPr>
          <w:rFonts w:hint="eastAsia" w:ascii="宋体" w:hAnsi="宋体"/>
          <w:color w:val="000000"/>
          <w:sz w:val="24"/>
          <w:szCs w:val="21"/>
          <w:highlight w:val="none"/>
        </w:rPr>
        <w:t xml:space="preserve">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olor w:val="000000"/>
          <w:sz w:val="24"/>
          <w:szCs w:val="21"/>
          <w:highlight w:val="none"/>
        </w:rPr>
      </w:r>
      <w:r/>
    </w:p>
    <w:p>
      <w:pPr>
        <w:pStyle w:val="891"/>
        <w:ind w:firstLine="482"/>
        <w:spacing w:before="5" w:line="360" w:lineRule="auto"/>
        <w:shd w:val="clear" w:color="auto" w:fill="auto"/>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（2）物业费用有关说明：</w:t>
      </w:r>
      <w:r>
        <w:rPr>
          <w:rFonts w:hint="eastAsia" w:ascii="宋体" w:hAnsi="宋体"/>
          <w:color w:val="000000"/>
          <w:sz w:val="24"/>
          <w:szCs w:val="21"/>
          <w:highlight w:val="none"/>
        </w:rPr>
        <w:t xml:space="preserve">投标报价除应包括</w:t>
      </w:r>
      <w:r>
        <w:rPr>
          <w:rFonts w:hint="eastAsia" w:ascii="宋体" w:hAnsi="宋体"/>
          <w:color w:val="000000"/>
          <w:sz w:val="24"/>
          <w:highlight w:val="none"/>
        </w:rPr>
        <w:t xml:space="preserve">物业管理服务人员的所有薪酬待遇费用【中标人在依法经营、守法经营中产生的所有人员的薪酬待遇费用，中标人必须严格执行国家及地方政府部门有关最低工资标准的规定和支付加班工资的规定（工作时间不得超过政府规定</w:t>
      </w:r>
      <w:r>
        <w:rPr>
          <w:rFonts w:hint="eastAsia" w:ascii="宋体" w:hAnsi="宋体"/>
          <w:color w:val="000000"/>
          <w:sz w:val="24"/>
          <w:highlight w:val="none"/>
        </w:rPr>
        <w:t xml:space="preserve">的最长工作时间）以及其他有关劳动用工的法律法规；必须为员工缴纳“五险一金”等费用】；高温费、春夏秋冬四季劳保用品等福利费用；加班费；伙食费（中标单位必须给为招标单位服务的全体员工缴纳伙食费，伙食费每月按时交给招标单位食堂，每月三餐伙食费=人数*25元/人/天*21天/月）；管理费（合理利润）；各类证书办理、年检费用；法定税费；办公费；体检、管理、劳务、服装、培训、保修、通讯、安全保卫等各项应有费用，以及为完成采购文件规定的物业管理工作所涉及到的相关费用，投标人报价时应充分考虑服务期内所有可能影响到报价的因素</w:t>
      </w:r>
      <w:r>
        <w:rPr>
          <w:rFonts w:hint="eastAsia" w:ascii="宋体" w:hAnsi="宋体"/>
          <w:b/>
          <w:color w:val="000000"/>
          <w:sz w:val="24"/>
          <w:highlight w:val="none"/>
        </w:rPr>
        <w:t xml:space="preserve">（包括人员最低工资政策性调整风险及政策性文件规定调整的风险）</w:t>
      </w:r>
      <w:r>
        <w:rPr>
          <w:rFonts w:hint="eastAsia" w:ascii="宋体" w:hAnsi="宋体"/>
          <w:color w:val="000000"/>
          <w:sz w:val="24"/>
          <w:highlight w:val="none"/>
        </w:rPr>
        <w:t xml:space="preserve">，一旦中标，总价将包定，即为合同价，不予调整。如发生漏、缺、少项，都将被认为是投标人的报价让利行为，损失自负。</w:t>
      </w:r>
      <w:r>
        <w:rPr>
          <w:rFonts w:hint="eastAsia" w:ascii="宋体" w:hAnsi="宋体"/>
          <w:bCs/>
          <w:color w:val="000000"/>
          <w:sz w:val="24"/>
          <w:szCs w:val="21"/>
          <w:highlight w:val="none"/>
        </w:rPr>
      </w:r>
      <w:r/>
    </w:p>
    <w:p>
      <w:pPr>
        <w:pStyle w:val="891"/>
        <w:ind w:firstLine="480"/>
        <w:spacing w:line="360" w:lineRule="auto"/>
        <w:shd w:val="clear" w:color="auto" w:fill="auto"/>
        <w:rPr>
          <w:rFonts w:hint="eastAsia" w:ascii="宋体" w:hAnsi="宋体" w:cs="宋体"/>
          <w:color w:val="000000"/>
          <w:sz w:val="24"/>
          <w:highlight w:val="none"/>
        </w:rPr>
      </w:pPr>
      <w:r>
        <w:rPr>
          <w:rFonts w:hint="eastAsia" w:ascii="宋体" w:hAnsi="宋体"/>
          <w:color w:val="000000"/>
          <w:sz w:val="24"/>
          <w:szCs w:val="21"/>
          <w:highlight w:val="none"/>
        </w:rPr>
        <w:t xml:space="preserve">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s="宋体"/>
          <w:color w:val="000000"/>
          <w:sz w:val="24"/>
          <w:highlight w:val="none"/>
        </w:rPr>
      </w:r>
      <w:r/>
    </w:p>
    <w:p>
      <w:pPr>
        <w:pStyle w:val="89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7.2物业管理服务的考核</w:t>
      </w:r>
      <w:r>
        <w:rPr>
          <w:rFonts w:hint="eastAsia" w:ascii="宋体" w:hAnsi="宋体" w:cs="宋体"/>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具体考核工作由江溪街道办事处负责：</w:t>
      </w:r>
      <w:r>
        <w:rPr>
          <w:rFonts w:hint="eastAsia" w:ascii="宋体" w:hAnsi="宋体" w:cs="宋体"/>
          <w:bCs/>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考核综合得分≧</w:t>
      </w:r>
      <w:r>
        <w:rPr>
          <w:rFonts w:ascii="宋体" w:hAnsi="宋体" w:cs="宋体"/>
          <w:bCs/>
          <w:color w:val="000000"/>
          <w:sz w:val="24"/>
          <w:highlight w:val="none"/>
        </w:rPr>
        <w:t xml:space="preserve">95</w:t>
      </w:r>
      <w:r>
        <w:rPr>
          <w:rFonts w:hint="eastAsia" w:ascii="宋体" w:hAnsi="宋体" w:cs="宋体"/>
          <w:bCs/>
          <w:color w:val="000000"/>
          <w:sz w:val="24"/>
          <w:highlight w:val="none"/>
        </w:rPr>
        <w:t xml:space="preserve">分</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付当月全额服务费；</w:t>
      </w:r>
      <w:r>
        <w:rPr>
          <w:rFonts w:hint="eastAsia" w:ascii="宋体" w:hAnsi="宋体" w:cs="宋体"/>
          <w:bCs/>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考核综合得分90-94分,不足95分部分每分扣除100元，扣除当月服务费为100*（95-当月分值）元；</w:t>
      </w:r>
      <w:r>
        <w:rPr>
          <w:rFonts w:hint="eastAsia" w:ascii="宋体" w:hAnsi="宋体" w:cs="宋体"/>
          <w:bCs/>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考核综合得分80-89分,不足90分部分每分扣除300元，扣除当月费用为1000+300*（90-当月分值）元；</w:t>
      </w:r>
      <w:r>
        <w:rPr>
          <w:rFonts w:hint="eastAsia" w:ascii="宋体" w:hAnsi="宋体" w:cs="宋体"/>
          <w:bCs/>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4、考核综合得分＜80分，不足80分部分每分扣除500元，扣除当月费用为4000+500*（80-当月分值）元；</w:t>
      </w:r>
      <w:r>
        <w:rPr>
          <w:rFonts w:hint="eastAsia" w:ascii="宋体" w:hAnsi="宋体" w:cs="宋体"/>
          <w:bCs/>
          <w:color w:val="000000"/>
          <w:sz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5、未按规定执行，情节严重者开具处罚单另行处理，月度考核不再重复扣分。</w:t>
      </w:r>
      <w:r>
        <w:rPr>
          <w:rFonts w:hint="eastAsia" w:ascii="宋体" w:hAnsi="宋体" w:cs="宋体"/>
          <w:bCs/>
          <w:color w:val="000000"/>
          <w:sz w:val="24"/>
          <w:highlight w:val="none"/>
        </w:rPr>
      </w:r>
      <w:r/>
    </w:p>
    <w:tbl>
      <w:tblPr>
        <w:tblW w:w="9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07"/>
        <w:gridCol w:w="1960"/>
        <w:gridCol w:w="4354"/>
        <w:gridCol w:w="851"/>
        <w:gridCol w:w="1275"/>
      </w:tblGrid>
      <w:tr>
        <w:trPr>
          <w:trHeight w:val="57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考核项目</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考核内容</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考核标准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扣分原因</w:t>
            </w: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一、内部管理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1、公司管理制度健全，各岗位职责、考核标准明确、台帐记录规范</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①无岗位职责，扣1分/项；②制度、各类台帐不健全规范，扣1分；③各岗位考核标准缺失，扣1分/项。</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2、按约定人数、持证上岗，着装规范，定期现场巡检查</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保障人员缺岗，影响保障工作的，扣1分/人次；②管理、技术人员、未持证上岗的，扣1分/人次；③工作时间，各岗位未按规定着装，扣1分/人次；④物业管理人员对各值班岗位未定期（尤其是晚上）巡检查每月少于2次或无记录的，扣5分</w:t>
            </w:r>
            <w:r>
              <w:rPr>
                <w:rStyle w:val="1010"/>
                <w:color w:val="000000"/>
                <w:highlight w:val="none"/>
                <w:lang w:bidi="ar"/>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3、员工培训有计划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①无计划、台帐记录扣1分；②时间、人员落实不到位扣1分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4、提倡节能降耗，爱护中心所配设施设备</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①发现人为因素有长明灯、长流水、无人空调现象，扣1分；②发现人为损坏的除按原价赔偿外，扣1分/人次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5、服从管理，听从现场指派</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①不服从现场领导指挥或跟踪不到位的，扣1分/人次；②做有损中心声誉的，扣1分/人次；③发现员工上班吵架现象扣1分/人次</w:t>
            </w:r>
            <w:r>
              <w:rPr>
                <w:rStyle w:val="1010"/>
                <w:color w:val="000000"/>
                <w:highlight w:val="none"/>
                <w:lang w:bidi="ar"/>
              </w:rPr>
              <w:t xml:space="preserve">。</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6、健全考勤制度，按时到岗，不迟到、早退</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①不按规定考勤、，扣1分/人次；②发现有迟到、早退、离岗现象，扣1分/人次；③上班做私事，扣1分/人次。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7、遵守中心各项规定</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①违反中心各项规定的扣1分/人次；②发现员工有故意行为，除追究其责任外扣1分/人次；③不服从管理或推诿扯皮的扣1分/次。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74"/>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8、服务规范，态度热情，整改及时，严格落实设备的操作维修规定，定期维护</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①态度冷漠、蛮横粗鲁，与服务对象发生争吵扣2分/次；</w:t>
            </w:r>
            <w:r>
              <w:rPr>
                <w:rStyle w:val="1011"/>
                <w:color w:val="000000"/>
                <w:highlight w:val="none"/>
                <w:lang w:bidi="ar"/>
              </w:rPr>
              <w:t xml:space="preserve">②服务对象向中心投诉，查实的扣2分/次；③未按要求，在指定区域放置警示标志的，扣1分/次，造成事故的，物业承担相应责任；④出现违规操作设施设备的，扣1分/次，造成事故的，物业承担相应责任；</w:t>
            </w:r>
            <w:r>
              <w:rPr>
                <w:rStyle w:val="1012"/>
                <w:color w:val="000000"/>
                <w:highlight w:val="none"/>
                <w:lang w:bidi="ar"/>
              </w:rPr>
              <w:t xml:space="preserve">⑤</w:t>
            </w:r>
            <w:r>
              <w:rPr>
                <w:rStyle w:val="1011"/>
                <w:color w:val="000000"/>
                <w:highlight w:val="none"/>
                <w:lang w:bidi="ar"/>
              </w:rPr>
              <w:t xml:space="preserve">上月存在的问题，次月未整改或重复出现的，以2倍分扣除。</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9、档案管理科学，规范</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①未对现有施、竣工图进行整理熟悉的</w:t>
            </w:r>
            <w:r>
              <w:rPr>
                <w:rStyle w:val="1010"/>
                <w:color w:val="000000"/>
                <w:highlight w:val="none"/>
                <w:lang w:bidi="ar"/>
              </w:rPr>
              <w:t xml:space="preserve">，</w:t>
            </w:r>
            <w:r>
              <w:rPr>
                <w:rStyle w:val="1011"/>
                <w:color w:val="000000"/>
                <w:highlight w:val="none"/>
                <w:lang w:bidi="ar"/>
              </w:rPr>
              <w:t xml:space="preserve">扣1分/次；②日常报修维护记录，归档存档不连续的，扣1分/次。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891"/>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357"/>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二、供电运维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1、做好设备和强弱电房间的卫生清理工作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①检查发现有堆杂物，扣1分/次；②发现有灰尘、鼠虫害现象，扣1分/次;③无巡检维保台帐记录，扣1分/次。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2、做好办公楼正常的供电保障和停电前主备供转换工作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①发现有私拉乱接现象，扣1分/次</w:t>
            </w:r>
            <w:r>
              <w:rPr>
                <w:rStyle w:val="1010"/>
                <w:color w:val="000000"/>
                <w:highlight w:val="none"/>
                <w:lang w:bidi="ar"/>
              </w:rPr>
              <w:t xml:space="preserve">。</w:t>
            </w:r>
            <w:r>
              <w:rPr>
                <w:rStyle w:val="1011"/>
                <w:color w:val="000000"/>
                <w:highlight w:val="none"/>
                <w:lang w:bidi="ar"/>
              </w:rPr>
              <w:t xml:space="preserve">②检修停电无提前通知，扣1分/次；③临时用电未报中心领导批准，扣1分/次。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三、消防运维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2、加强巡检维护，确保消防设备设施齐全、完好无损，可随时启用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①未按中心要求维修更换或漏换设备设施的，扣1分/次，扣当月维保费用；</w:t>
            </w:r>
            <w:r>
              <w:rPr>
                <w:rFonts w:cs="Calibri"/>
                <w:color w:val="000000"/>
                <w:sz w:val="24"/>
                <w:highlight w:val="none"/>
                <w:lang w:bidi="ar"/>
              </w:rPr>
              <w:t xml:space="preserve">②</w:t>
            </w:r>
            <w:r>
              <w:rPr>
                <w:rFonts w:hint="eastAsia" w:ascii="宋体" w:hAnsi="宋体" w:cs="宋体"/>
                <w:color w:val="000000"/>
                <w:sz w:val="24"/>
                <w:highlight w:val="none"/>
                <w:lang w:bidi="ar"/>
              </w:rPr>
              <w:t xml:space="preserve">未对消防安全进行巡检（白、晚各一次）并做好登记的，扣1分/次。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四、电梯运维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2、电梯通风、照明完好，安全警示齐全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①紧急情况下电话无人接听或打不通，扣2分/次，②检查发现通风、照明不正常、扣1分/次。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1、监督维保单位按要求进行检修维保，确保中央空调运行正常</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①未提醒和现场监督维保单位及时进行保养，影响使用扣3分/次；②未按约定时间到现场抢修的，扣5分/次和当月空调维保费50%。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五、安保管理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2、严格执行24小时双人双岗和定时巡检制度，做好台帐记录</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①出现单岗、脱岗和睡岗或其它违反值班规定的，扣5分/次；②未落实3小时巡检一次的（尤其晚上），扣2分/次，造成事故的，物业承担相应责任；③未落实上下班站岗制度的，扣2分/次。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3、人员和车辆进出中心，手续齐全,检查到位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进出中心外来人员未登记，外来车辆未在在指定位置停放的，扣2分/次；②未对驶离中心车辆进行检查，或放手续不全的入住对象外出的，扣2分/次；③未按疫情防控要求执行，视情况扣2-5分/次。造成事故的，损失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062"/>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4、严格落实大宗物资出中心查验制度</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①大宗物资运出中心未查验相关手续的，扣2分/次，造成损失的，物业承担。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1清扫及时、垃圾入桶，外场环境整洁</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①外场发现垃圾或乱堆乱放的，扣2分/次；②外场垃圾未做到日产日清，扣1分/次；③垃圾桶未定期清洗消毒的，扣1分/次。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六、环卫管理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2、楼层内部和公共部位卫生清洁、消毒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公共部位未巡检或楼内垃圾未及时清运的，扣2分/次；②天台未定期清理或有积水的，扣2分/次；③楼层卫生不到位，有垃圾、灰尘和污垢的，扣2分/次；④未按防疫要求做好公共区域消毒的，扣2分/次。造成损失的，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78"/>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3、保洁用具按规定摆放、使用，定期消毒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①未按要求摆放保洁用具的，除扣1分/次，引发事故的，物业承担相应责任；②未对保洁用具定期消毒或无记录的，扣1分/次；③未按区域分划使用保洁用具的，扣2分/次。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jc w:val="left"/>
              <w:shd w:val="clear" w:color="auto" w:fill="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891"/>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七、楼房维护、巡检制度完善，维修及时，记录完整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①未按规定的路线、内容进行巡检到位、无记录，扣3分/次，造成损失的，由物业承担；②维修、巡检记录不完整的，扣2分/次。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八、给排水运维</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对各类报修响应及时；根据维修难易程度在合理的时间内及时修复；室外设施经常保持完好</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w:t>
            </w:r>
            <w:r>
              <w:rPr>
                <w:rStyle w:val="1011"/>
                <w:color w:val="000000"/>
                <w:highlight w:val="none"/>
                <w:lang w:bidi="ar"/>
              </w:rPr>
              <w:t xml:space="preserve">建立日常巡检制度，能及时发现问题并修复。无制度扣3分，巡检效果差视情扣2-5分。</w:t>
            </w:r>
            <w:r>
              <w:rPr>
                <w:rStyle w:val="1013"/>
                <w:color w:val="000000"/>
                <w:highlight w:val="none"/>
                <w:lang w:bidi="ar"/>
              </w:rPr>
              <w:t xml:space="preserve">②</w:t>
            </w:r>
            <w:r>
              <w:rPr>
                <w:rStyle w:val="1011"/>
                <w:color w:val="000000"/>
                <w:highlight w:val="none"/>
                <w:lang w:bidi="ar"/>
              </w:rPr>
              <w:t xml:space="preserve">接到报修通知后维修人员一般应在15钟内到达现场，否则扣2分/次；</w:t>
            </w:r>
            <w:r>
              <w:rPr>
                <w:rStyle w:val="1013"/>
                <w:color w:val="000000"/>
                <w:highlight w:val="none"/>
                <w:lang w:bidi="ar"/>
              </w:rPr>
              <w:t xml:space="preserve">③</w:t>
            </w:r>
            <w:r>
              <w:rPr>
                <w:rStyle w:val="1011"/>
                <w:color w:val="000000"/>
                <w:highlight w:val="none"/>
                <w:lang w:bidi="ar"/>
              </w:rPr>
              <w:t xml:space="preserve">简单维修当场完成，维修难度大的制定方案，报业主审核确定后按时完成,不能按时完成维修的，扣2分/次；④确保维修质量，维修完成后应请由业主方有关人员确认，否则扣1分/次；</w:t>
            </w:r>
            <w:r>
              <w:rPr>
                <w:rStyle w:val="1012"/>
                <w:color w:val="000000"/>
                <w:highlight w:val="none"/>
                <w:lang w:bidi="ar"/>
              </w:rPr>
              <w:t xml:space="preserve">⑤</w:t>
            </w:r>
            <w:r>
              <w:rPr>
                <w:rStyle w:val="1011"/>
                <w:color w:val="000000"/>
                <w:highlight w:val="none"/>
                <w:lang w:bidi="ar"/>
              </w:rPr>
              <w:t xml:space="preserve">园内设施不及时修复的，根据情况扣2-5分</w:t>
            </w:r>
            <w:r>
              <w:rPr>
                <w:rStyle w:val="1013"/>
                <w:color w:val="000000"/>
                <w:highlight w:val="none"/>
                <w:lang w:bidi="ar"/>
              </w:rPr>
              <w:t xml:space="preserve">；⑥外来工程施工维护，未派现场协调监督的，扣2分/次；</w:t>
            </w:r>
            <w:r>
              <w:rPr>
                <w:rStyle w:val="1012"/>
                <w:color w:val="000000"/>
                <w:highlight w:val="none"/>
                <w:lang w:bidi="ar"/>
              </w:rPr>
              <w:t xml:space="preserve">⑦</w:t>
            </w:r>
            <w:r>
              <w:rPr>
                <w:rStyle w:val="1013"/>
                <w:color w:val="000000"/>
                <w:highlight w:val="none"/>
                <w:lang w:bidi="ar"/>
              </w:rPr>
              <w:t xml:space="preserve">所有需更换维修零配件，无询价、发票等手续不全的，均由物业承担。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994"/>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九、日常维修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安全管理要求</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安全岗位责任、安全检查、安全整理、安全教育、安全会议、安全活动、应急处置、特殊岗位作业、施工作业、安全应知应会等相关方面未按相关安全要求执行，按照安全员检查实际情况考核扣分。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shd w:val="clear" w:color="auto" w:fill="auto"/>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十、安全生产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工作尽心尽责，积极参加中心的各种活动，积极维护集体荣誉，并做出显著成绩</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①得到中心服务对象表扬信，加3-5分/次；</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②及时发现或积极参与各类突发事件处理，取得较好成效，加5分/次。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jc w:val="left"/>
              <w:shd w:val="clear" w:color="auto" w:fill="auto"/>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891"/>
              <w:jc w:val="center"/>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十三、加分项目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拾金不昧。勇敢担当。</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354" w:type="dxa"/>
            <w:vAlign w:val="center"/>
            <w:textDirection w:val="lrTb"/>
            <w:noWrap w:val="false"/>
          </w:tcPr>
          <w:p>
            <w:pPr>
              <w:pStyle w:val="891"/>
              <w:shd w:val="clear" w:color="auto" w:fill="auto"/>
              <w:widowControl/>
              <w:rPr>
                <w:rFonts w:hint="eastAsia" w:ascii="宋体" w:hAnsi="宋体" w:cs="宋体"/>
                <w:color w:val="000000"/>
                <w:sz w:val="24"/>
                <w:highlight w:val="none"/>
              </w:rPr>
            </w:pPr>
            <w:r>
              <w:rPr>
                <w:rFonts w:cs="Calibri"/>
                <w:color w:val="000000"/>
                <w:sz w:val="24"/>
                <w:highlight w:val="none"/>
              </w:rPr>
              <w:t xml:space="preserve">①</w:t>
            </w:r>
            <w:r>
              <w:rPr>
                <w:rFonts w:hint="eastAsia" w:ascii="宋体" w:hAnsi="宋体" w:cs="宋体"/>
                <w:color w:val="000000"/>
                <w:sz w:val="24"/>
                <w:highlight w:val="none"/>
              </w:rPr>
              <w:t xml:space="preserve">拾到贵重物品归还加5分，</w:t>
            </w:r>
            <w:r>
              <w:rPr>
                <w:rFonts w:cs="Calibri"/>
                <w:color w:val="000000"/>
                <w:sz w:val="24"/>
                <w:highlight w:val="none"/>
              </w:rPr>
              <w:t xml:space="preserve">②</w:t>
            </w:r>
            <w:r>
              <w:rPr>
                <w:rFonts w:hint="eastAsia" w:cs="Calibri"/>
                <w:color w:val="000000"/>
                <w:sz w:val="24"/>
                <w:highlight w:val="none"/>
              </w:rPr>
              <w:t xml:space="preserve">勇于为所服务项目做出突出贡献，爱岗敬业加3-5分/次。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891"/>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9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pStyle w:val="891"/>
              <w:jc w:val="center"/>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合计得分</w:t>
            </w:r>
            <w:r>
              <w:rPr>
                <w:rFonts w:hint="eastAsia" w:ascii="宋体" w:hAnsi="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891"/>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891"/>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241"/>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8.关于中标后项目进行分包的情况</w:t>
      </w:r>
      <w:r>
        <w:rPr>
          <w:rFonts w:hint="eastAsia" w:ascii="宋体" w:hAnsi="宋体" w:cs="宋体"/>
          <w:b/>
          <w:color w:val="000000"/>
          <w:sz w:val="24"/>
          <w:highlight w:val="none"/>
        </w:rPr>
      </w:r>
      <w:r/>
    </w:p>
    <w:p>
      <w:pPr>
        <w:pStyle w:val="891"/>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明确相应资格条件，接受联合体或同意采取分包方式履行</w:t>
      </w:r>
      <w:r>
        <w:rPr>
          <w:rFonts w:hint="eastAsia" w:ascii="宋体" w:hAnsi="宋体" w:cs="宋体"/>
          <w:color w:val="000000"/>
          <w:sz w:val="24"/>
          <w:highlight w:val="none"/>
        </w:rPr>
      </w:r>
      <w:r/>
    </w:p>
    <w:p>
      <w:pPr>
        <w:pStyle w:val="891"/>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如本项目含有分包事项，请填写分包的具体内容、金额或比例</w:t>
      </w:r>
      <w:r>
        <w:rPr>
          <w:rFonts w:hint="eastAsia" w:ascii="宋体" w:hAnsi="宋体" w:cs="宋体"/>
          <w:color w:val="000000"/>
          <w:sz w:val="24"/>
          <w:highlight w:val="none"/>
        </w:rPr>
      </w:r>
      <w:r/>
    </w:p>
    <w:p>
      <w:pPr>
        <w:pStyle w:val="891"/>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bCs/>
          <w:color w:val="000000"/>
          <w:sz w:val="24"/>
          <w:szCs w:val="21"/>
          <w:highlight w:val="none"/>
        </w:rPr>
        <w:t xml:space="preserve">无</w:t>
      </w:r>
      <w:r>
        <w:rPr>
          <w:rFonts w:hint="eastAsia" w:ascii="宋体" w:hAnsi="宋体" w:cs="宋体"/>
          <w:bCs/>
          <w:color w:val="000000"/>
          <w:sz w:val="24"/>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891"/>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602"/>
        <w:spacing w:line="360" w:lineRule="auto"/>
        <w:shd w:val="clear" w:color="auto" w:fill="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1"/>
        <w:numPr>
          <w:ilvl w:val="1"/>
          <w:numId w:val="8"/>
        </w:numPr>
        <w:ind w:left="0" w:firstLine="480"/>
        <w:spacing w:line="360" w:lineRule="auto"/>
        <w:shd w:val="clear" w:color="auto" w:fill="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服务期限：自签订服务合同生效之日起两年。</w:t>
      </w:r>
      <w:r>
        <w:rPr>
          <w:rFonts w:hint="eastAsia" w:ascii="宋体" w:hAnsi="宋体" w:eastAsia="宋体" w:cs="仿宋_GB2312"/>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付款方式：物业服务费按季度预支付，预支付时间为季后次月的10号，预支付金额为当季度物业服务费用的95%。剩余的5%物业服务费用，由甲方根据小区物业服务考核结果，到年终统一结算。</w:t>
      </w:r>
      <w:r>
        <w:rPr>
          <w:rFonts w:hint="eastAsia" w:ascii="宋体" w:hAnsi="宋体" w:eastAsia="宋体" w:cs="仿宋_GB2312"/>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中标（成交）供应商以履约保函（保险）形式按签约合同价的</w:t>
      </w:r>
      <w:r>
        <w:rPr>
          <w:rFonts w:hint="eastAsia" w:ascii="宋体" w:hAnsi="宋体" w:eastAsia="宋体" w:cs="仿宋_GB2312"/>
          <w:color w:val="000000"/>
          <w:sz w:val="24"/>
          <w:szCs w:val="24"/>
          <w:highlight w:val="none"/>
          <w:lang w:val="en-US" w:eastAsia="zh-CN"/>
        </w:rPr>
        <w:t xml:space="preserve">3</w:t>
      </w:r>
      <w:r>
        <w:rPr>
          <w:rFonts w:hint="eastAsia" w:ascii="宋体" w:hAnsi="宋体" w:eastAsia="宋体" w:cs="仿宋_GB2312"/>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本项目合同履行地点： 江溪街道综合办公楼  。中标方必须按采购人要求将本项目中货物送到指定地点(包括可能的分布范围)，并分地实施安装调试。</w:t>
      </w:r>
      <w:r>
        <w:rPr>
          <w:rFonts w:hint="eastAsia" w:ascii="宋体" w:hAnsi="宋体" w:eastAsia="宋体" w:cs="仿宋_GB2312"/>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891"/>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1"/>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1"/>
        <w:numPr>
          <w:ilvl w:val="1"/>
          <w:numId w:val="8"/>
        </w:numPr>
        <w:ind w:left="0" w:firstLine="480"/>
        <w:spacing w:line="360" w:lineRule="auto"/>
        <w:shd w:val="clear" w:color="auto" w:fill="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1"/>
        <w:ind w:left="525"/>
        <w:spacing w:line="360" w:lineRule="auto"/>
        <w:shd w:val="clear" w:color="auto" w:fill="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891"/>
        <w:numPr>
          <w:ilvl w:val="1"/>
          <w:numId w:val="9"/>
        </w:numPr>
        <w:ind w:left="0" w:firstLine="525"/>
        <w:spacing w:line="360" w:lineRule="auto"/>
        <w:shd w:val="clear" w:color="auto" w:fill="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891"/>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891"/>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891"/>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891"/>
        <w:numPr>
          <w:ilvl w:val="1"/>
          <w:numId w:val="9"/>
        </w:numPr>
        <w:ind w:left="0" w:firstLine="480"/>
        <w:spacing w:line="360" w:lineRule="auto"/>
        <w:shd w:val="clear" w:color="auto" w:fill="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2"/>
      <w:r/>
      <w:bookmarkStart w:id="194" w:name="OLE_LINK1"/>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891"/>
        <w:ind w:firstLine="480"/>
        <w:spacing w:line="360" w:lineRule="auto"/>
        <w:shd w:val="clear" w:color="auto" w:fill="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980"/>
        <w:ind w:firstLine="602"/>
        <w:spacing w:before="0" w:after="0" w:line="500" w:lineRule="exact"/>
        <w:shd w:val="clear" w:color="auto" w:fill="auto"/>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980"/>
        <w:spacing w:before="0" w:after="0" w:line="500" w:lineRule="exact"/>
        <w:shd w:val="clear" w:color="auto" w:fill="auto"/>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980"/>
        <w:spacing w:before="0" w:after="0" w:line="500" w:lineRule="exact"/>
        <w:shd w:val="clear" w:color="auto" w:fill="auto"/>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980"/>
        <w:spacing w:before="0" w:after="0" w:line="500" w:lineRule="exact"/>
        <w:shd w:val="clear" w:color="auto" w:fill="auto"/>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980"/>
        <w:spacing w:before="0" w:after="0" w:line="500" w:lineRule="exact"/>
        <w:shd w:val="clear" w:color="auto" w:fill="auto"/>
        <w:rPr>
          <w:rFonts w:hint="eastAsia" w:cs="Arial"/>
          <w:b/>
          <w:color w:val="000000"/>
          <w:sz w:val="30"/>
          <w:szCs w:val="3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980"/>
        <w:ind w:firstLine="562"/>
        <w:spacing w:before="0" w:after="0" w:line="500" w:lineRule="exact"/>
        <w:shd w:val="clear" w:color="auto" w:fill="auto"/>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891"/>
        <w:ind w:firstLine="482"/>
        <w:jc w:val="left"/>
        <w:spacing w:line="5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91"/>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891"/>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891"/>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891"/>
        <w:ind w:firstLine="480"/>
        <w:jc w:val="left"/>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891"/>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891"/>
        <w:ind w:firstLine="480"/>
        <w:jc w:val="left"/>
        <w:spacing w:line="50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jc w:val="left"/>
        <w:spacing w:line="500" w:lineRule="exact"/>
        <w:shd w:val="clear" w:color="auto" w:fill="auto"/>
        <w:rPr>
          <w:rFonts w:ascii="宋体" w:hAnsi="宋体"/>
          <w:color w:val="000000"/>
          <w:highlight w:val="none"/>
          <w:shd w:val="clear" w:color="ffffff" w:fill="d9d9d9"/>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color w:val="000000"/>
          <w:highlight w:val="none"/>
          <w:shd w:val="clear" w:color="ffffff" w:fill="d9d9d9"/>
        </w:rPr>
      </w:r>
      <w:r/>
    </w:p>
    <w:p>
      <w:pPr>
        <w:pStyle w:val="980"/>
        <w:spacing w:before="0" w:after="0" w:line="500" w:lineRule="exact"/>
        <w:shd w:val="clear" w:color="auto" w:fill="auto"/>
        <w:rPr>
          <w:rFonts w:hint="eastAsia" w:ascii="宋体" w:hAnsi="宋体" w:eastAsia="宋体"/>
          <w:color w:val="000000"/>
          <w:highlight w:val="none"/>
          <w:shd w:val="clear" w:color="ffffff" w:fill="d9d9d9"/>
          <w:lang w:val="en-US" w:eastAsia="zh-CN"/>
        </w:rPr>
      </w:pPr>
      <w:r>
        <w:rPr>
          <w:rFonts w:hint="eastAsia" w:ascii="宋体" w:hAnsi="宋体"/>
          <w:b/>
          <w:color w:val="000000"/>
          <w:sz w:val="28"/>
          <w:szCs w:val="28"/>
          <w:highlight w:val="none"/>
        </w:rPr>
        <w:t xml:space="preserve">二、评分标准</w:t>
      </w:r>
      <w:r>
        <w:rPr>
          <w:rFonts w:hint="eastAsia" w:ascii="宋体" w:hAnsi="宋体"/>
          <w:b/>
          <w:color w:val="000000"/>
          <w:sz w:val="28"/>
          <w:szCs w:val="28"/>
          <w:highlight w:val="none"/>
          <w:lang w:val="en-US" w:eastAsia="zh-CN"/>
        </w:rPr>
        <w:t xml:space="preserve"> </w:t>
      </w:r>
      <w:r>
        <w:rPr>
          <w:rFonts w:hint="eastAsia" w:ascii="宋体" w:hAnsi="宋体" w:eastAsia="宋体"/>
          <w:color w:val="000000"/>
          <w:highlight w:val="none"/>
          <w:shd w:val="clear" w:color="ffffff" w:fill="d9d9d9"/>
          <w:lang w:val="en-US" w:eastAsia="zh-CN"/>
        </w:rPr>
      </w:r>
      <w:r/>
    </w:p>
    <w:p>
      <w:pPr>
        <w:pStyle w:val="891"/>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91"/>
        <w:ind w:firstLine="480"/>
        <w:spacing w:line="500" w:lineRule="exact"/>
        <w:shd w:val="clear" w:color="auto" w:fill="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891"/>
        <w:ind w:firstLine="480"/>
        <w:spacing w:line="500" w:lineRule="exact"/>
        <w:shd w:val="clear" w:color="auto" w:fill="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1"/>
        <w:ind w:firstLine="480"/>
        <w:jc w:val="left"/>
        <w:spacing w:line="50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891"/>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16</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实际到岗人员资质需与投标时一致。违反该条款，甲方有权拒绝支付相应报酬</w:t>
      </w:r>
      <w:r>
        <w:rPr>
          <w:rFonts w:hint="eastAsia" w:ascii="宋体" w:hAnsi="宋体"/>
          <w:bCs/>
          <w:color w:val="000000"/>
          <w:sz w:val="24"/>
          <w:szCs w:val="24"/>
          <w:highlight w:val="none"/>
          <w:lang w:eastAsia="zh-CN"/>
        </w:rPr>
        <w:t xml:space="preserve">。</w:t>
      </w:r>
      <w:r>
        <w:rPr>
          <w:rFonts w:ascii="宋体" w:hAnsi="宋体"/>
          <w:b/>
          <w:bCs/>
          <w:color w:val="000000"/>
          <w:sz w:val="24"/>
          <w:szCs w:val="24"/>
          <w:highlight w:val="none"/>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lang w:val="zh-CN"/>
        </w:rPr>
      </w:pPr>
      <w:r>
        <w:rPr>
          <w:rFonts w:hint="eastAsia" w:ascii="宋体" w:hAnsi="宋体"/>
          <w:bCs/>
          <w:color w:val="000000"/>
          <w:sz w:val="24"/>
          <w:szCs w:val="21"/>
          <w:highlight w:val="none"/>
          <w:lang w:val="zh-CN"/>
        </w:rPr>
        <w:t xml:space="preserve">（1）</w:t>
      </w:r>
      <w:r>
        <w:rPr>
          <w:rFonts w:hint="eastAsia" w:ascii="宋体" w:hAnsi="宋体"/>
          <w:bCs/>
          <w:color w:val="000000"/>
          <w:sz w:val="24"/>
          <w:highlight w:val="none"/>
          <w:lang w:val="zh-CN"/>
        </w:rPr>
        <w:t xml:space="preserve">项目经理</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分）：具有本科及以上学历证的得2分；</w:t>
      </w:r>
      <w:r>
        <w:rPr>
          <w:rFonts w:hint="eastAsia" w:ascii="宋体" w:hAnsi="宋体"/>
          <w:bCs/>
          <w:color w:val="000000"/>
          <w:sz w:val="24"/>
          <w:highlight w:val="none"/>
        </w:rPr>
        <w:t xml:space="preserve">具有全国物业管理企业经理证的得2分；具有消防设施操作员证（或建筑物消防员证）的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w:t>
      </w:r>
      <w:r>
        <w:rPr>
          <w:rFonts w:hint="eastAsia" w:ascii="宋体" w:hAnsi="宋体"/>
          <w:bCs/>
          <w:color w:val="000000"/>
          <w:sz w:val="24"/>
          <w:highlight w:val="none"/>
        </w:rPr>
        <w:t xml:space="preserve">具有特种设备安全管理和作业人员</w:t>
      </w:r>
      <w:r>
        <w:rPr>
          <w:rFonts w:hint="eastAsia" w:ascii="宋体" w:hAnsi="宋体"/>
          <w:bCs/>
          <w:color w:val="000000"/>
          <w:sz w:val="24"/>
          <w:highlight w:val="none"/>
          <w:lang w:val="zh-CN"/>
        </w:rPr>
        <w:t xml:space="preserve">证</w:t>
      </w:r>
      <w:r>
        <w:rPr>
          <w:rFonts w:hint="eastAsia" w:ascii="宋体" w:hAnsi="宋体"/>
          <w:bCs/>
          <w:color w:val="000000"/>
          <w:sz w:val="24"/>
          <w:highlight w:val="none"/>
        </w:rPr>
        <w:t xml:space="preserve">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分；本项最高得</w:t>
      </w:r>
      <w:r>
        <w:rPr>
          <w:rFonts w:hint="eastAsia" w:ascii="宋体" w:hAnsi="宋体"/>
          <w:bCs/>
          <w:color w:val="000000"/>
          <w:sz w:val="24"/>
          <w:highlight w:val="none"/>
        </w:rPr>
        <w:t xml:space="preserve">8</w:t>
      </w:r>
      <w:r>
        <w:rPr>
          <w:rFonts w:hint="eastAsia" w:ascii="宋体" w:hAnsi="宋体"/>
          <w:bCs/>
          <w:color w:val="000000"/>
          <w:sz w:val="24"/>
          <w:highlight w:val="none"/>
          <w:lang w:val="zh-CN"/>
        </w:rPr>
        <w:t xml:space="preserve">分。</w:t>
      </w:r>
      <w:r>
        <w:rPr>
          <w:rFonts w:hint="eastAsia" w:ascii="宋体" w:hAnsi="宋体"/>
          <w:bCs/>
          <w:color w:val="000000"/>
          <w:sz w:val="24"/>
          <w:highlight w:val="none"/>
          <w:lang w:val="zh-CN"/>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需提供项目经理身份证、相关证书、劳动合同、</w:t>
      </w:r>
      <w:r>
        <w:rPr>
          <w:rFonts w:hint="eastAsia" w:ascii="宋体" w:hAnsi="宋体"/>
          <w:bCs/>
          <w:color w:val="000000"/>
          <w:sz w:val="24"/>
          <w:highlight w:val="none"/>
          <w:lang w:val="zh-CN"/>
        </w:rPr>
        <w:t xml:space="preserve">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w:t>
      </w:r>
      <w:r>
        <w:rPr>
          <w:rFonts w:hint="eastAsia" w:ascii="宋体" w:hAnsi="宋体"/>
          <w:bCs/>
          <w:color w:val="000000"/>
          <w:sz w:val="24"/>
          <w:highlight w:val="none"/>
        </w:rPr>
        <w:t xml:space="preserve">扫描</w:t>
      </w:r>
      <w:r>
        <w:rPr>
          <w:rFonts w:hint="eastAsia" w:ascii="宋体" w:hAnsi="宋体"/>
          <w:bCs/>
          <w:color w:val="000000"/>
          <w:sz w:val="24"/>
          <w:highlight w:val="none"/>
          <w:lang w:val="zh-CN"/>
        </w:rPr>
        <w:t xml:space="preserve">件）</w:t>
      </w:r>
      <w:r>
        <w:rPr>
          <w:rFonts w:hint="eastAsia" w:ascii="宋体" w:hAnsi="宋体"/>
          <w:bCs/>
          <w:color w:val="000000"/>
          <w:sz w:val="24"/>
          <w:highlight w:val="none"/>
        </w:rPr>
        <w:t xml:space="preserve">等资料的扫描件上传至投标文件中并加盖投标人电子签章，未按要求提供不得分。</w:t>
      </w:r>
      <w:r>
        <w:rPr>
          <w:rFonts w:hint="eastAsia" w:ascii="宋体" w:hAnsi="宋体"/>
          <w:bCs/>
          <w:color w:val="000000"/>
          <w:sz w:val="24"/>
          <w:highlight w:val="none"/>
        </w:rPr>
      </w:r>
      <w:r/>
    </w:p>
    <w:p>
      <w:pPr>
        <w:pStyle w:val="891"/>
        <w:ind w:firstLine="480"/>
        <w:jc w:val="left"/>
        <w:spacing w:line="360" w:lineRule="auto"/>
        <w:shd w:val="clear" w:color="auto" w:fill="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（2）</w:t>
      </w:r>
      <w:r>
        <w:rPr>
          <w:rFonts w:hint="eastAsia" w:ascii="宋体" w:hAnsi="宋体"/>
          <w:bCs/>
          <w:color w:val="000000"/>
          <w:sz w:val="24"/>
          <w:highlight w:val="none"/>
        </w:rPr>
        <w:t xml:space="preserve">其他服务人员的配置</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w:t>
      </w:r>
      <w:r>
        <w:rPr>
          <w:rFonts w:hint="eastAsia" w:ascii="宋体" w:hAnsi="宋体"/>
          <w:bCs/>
          <w:color w:val="000000"/>
          <w:sz w:val="24"/>
          <w:highlight w:val="none"/>
        </w:rPr>
        <w:t xml:space="preserve">保洁</w:t>
      </w:r>
      <w:r>
        <w:rPr>
          <w:rFonts w:hint="eastAsia" w:ascii="宋体" w:hAnsi="宋体"/>
          <w:bCs/>
          <w:color w:val="000000"/>
          <w:sz w:val="24"/>
          <w:highlight w:val="none"/>
          <w:lang w:val="zh-CN"/>
        </w:rPr>
        <w:t xml:space="preserve">服务人员</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lang w:val="zh-CN"/>
        </w:rPr>
      </w:pPr>
      <w:r>
        <w:rPr>
          <w:rFonts w:hint="eastAsia" w:ascii="宋体" w:hAnsi="宋体"/>
          <w:bCs/>
          <w:color w:val="000000"/>
          <w:sz w:val="24"/>
          <w:highlight w:val="none"/>
        </w:rPr>
        <w:t xml:space="preserve">具有本科及以上学历证得2分</w:t>
      </w:r>
      <w:r>
        <w:rPr>
          <w:rFonts w:hint="eastAsia" w:ascii="宋体" w:hAnsi="宋体"/>
          <w:bCs/>
          <w:color w:val="000000"/>
          <w:sz w:val="24"/>
          <w:highlight w:val="none"/>
          <w:lang w:val="zh-CN"/>
        </w:rPr>
        <w:t xml:space="preserve">本项最高得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w:t>
      </w:r>
      <w:r>
        <w:rPr>
          <w:rFonts w:hint="eastAsia" w:ascii="宋体" w:hAnsi="宋体"/>
          <w:bCs/>
          <w:color w:val="000000"/>
          <w:sz w:val="24"/>
          <w:highlight w:val="none"/>
          <w:lang w:val="zh-CN"/>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身份证、相关证书、</w:t>
      </w:r>
      <w:r>
        <w:rPr>
          <w:rFonts w:ascii="宋体" w:hAnsi="宋体" w:cs="宋体"/>
          <w:color w:val="000000"/>
          <w:sz w:val="24"/>
          <w:highlight w:val="none"/>
        </w:rPr>
        <w:t xml:space="preserve">劳动合同</w:t>
      </w:r>
      <w:r>
        <w:rPr>
          <w:rFonts w:hint="eastAsia" w:ascii="宋体" w:hAnsi="宋体"/>
          <w:bCs/>
          <w:color w:val="000000"/>
          <w:sz w:val="24"/>
          <w:highlight w:val="none"/>
          <w:lang w:val="zh-CN"/>
        </w:rPr>
        <w:t xml:space="preserve">、社保部门出具的最近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ascii="宋体" w:hAnsi="宋体"/>
          <w:bCs/>
          <w:color w:val="000000"/>
          <w:sz w:val="24"/>
          <w:highlight w:val="none"/>
          <w:lang w:val="zh-CN"/>
        </w:rPr>
        <w:t xml:space="preserve">②</w:t>
      </w:r>
      <w:r>
        <w:rPr>
          <w:rFonts w:hint="eastAsia" w:ascii="宋体" w:hAnsi="宋体"/>
          <w:bCs/>
          <w:color w:val="000000"/>
          <w:sz w:val="24"/>
          <w:highlight w:val="none"/>
          <w:lang w:val="zh-CN"/>
        </w:rPr>
        <w:t xml:space="preserve">其他岗位服务人员（</w:t>
      </w:r>
      <w:r>
        <w:rPr>
          <w:rFonts w:hint="eastAsia" w:ascii="宋体" w:hAnsi="宋体"/>
          <w:bCs/>
          <w:color w:val="000000"/>
          <w:sz w:val="24"/>
          <w:highlight w:val="none"/>
        </w:rPr>
        <w:t xml:space="preserve">6</w:t>
      </w:r>
      <w:r>
        <w:rPr>
          <w:rFonts w:hint="eastAsia" w:ascii="宋体" w:hAnsi="宋体"/>
          <w:bCs/>
          <w:color w:val="000000"/>
          <w:sz w:val="24"/>
          <w:highlight w:val="none"/>
          <w:lang w:val="zh-CN"/>
        </w:rPr>
        <w:t xml:space="preserve">分)</w:t>
      </w:r>
      <w:r>
        <w:rPr>
          <w:rFonts w:hint="eastAsia" w:ascii="宋体" w:hAnsi="宋体"/>
          <w:bCs/>
          <w:color w:val="000000"/>
          <w:sz w:val="24"/>
          <w:highlight w:val="none"/>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a.</w:t>
      </w:r>
      <w:r>
        <w:rPr>
          <w:rFonts w:hint="eastAsia" w:ascii="宋体" w:hAnsi="宋体"/>
          <w:bCs/>
          <w:color w:val="000000"/>
          <w:sz w:val="24"/>
          <w:highlight w:val="none"/>
          <w:lang w:val="zh-CN"/>
        </w:rPr>
        <w:t xml:space="preserve">工程部，</w:t>
      </w:r>
      <w:r>
        <w:rPr>
          <w:rFonts w:hint="eastAsia" w:ascii="宋体" w:hAnsi="宋体"/>
          <w:bCs/>
          <w:color w:val="000000"/>
          <w:sz w:val="24"/>
          <w:highlight w:val="none"/>
        </w:rPr>
        <w:t xml:space="preserve">具有高压电工证书的</w:t>
      </w:r>
      <w:r>
        <w:rPr>
          <w:rFonts w:hint="eastAsia" w:ascii="宋体" w:hAnsi="宋体"/>
          <w:bCs/>
          <w:color w:val="000000"/>
          <w:sz w:val="24"/>
          <w:highlight w:val="none"/>
          <w:lang w:val="zh-CN"/>
        </w:rPr>
        <w:t xml:space="preserve">得</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分，本项</w:t>
      </w:r>
      <w:r>
        <w:rPr>
          <w:rFonts w:hint="eastAsia" w:ascii="宋体" w:hAnsi="宋体"/>
          <w:bCs/>
          <w:color w:val="000000"/>
          <w:sz w:val="24"/>
          <w:highlight w:val="none"/>
        </w:rPr>
        <w:t xml:space="preserve">最高得2分。</w:t>
      </w:r>
      <w:r>
        <w:rPr>
          <w:rFonts w:hint="eastAsia" w:ascii="宋体" w:hAnsi="宋体"/>
          <w:bCs/>
          <w:color w:val="000000"/>
          <w:sz w:val="24"/>
          <w:highlight w:val="none"/>
        </w:rPr>
      </w:r>
      <w:r/>
    </w:p>
    <w:p>
      <w:pPr>
        <w:pStyle w:val="891"/>
        <w:ind w:firstLine="480"/>
        <w:jc w:val="left"/>
        <w:spacing w:line="360" w:lineRule="auto"/>
        <w:shd w:val="clear" w:color="auto" w:fill="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w:t>
      </w:r>
      <w:r>
        <w:rPr>
          <w:rFonts w:hint="eastAsia" w:ascii="宋体" w:hAnsi="宋体"/>
          <w:bCs/>
          <w:color w:val="000000"/>
          <w:sz w:val="24"/>
          <w:highlight w:val="none"/>
          <w:lang w:val="zh-CN"/>
        </w:rPr>
        <w:t xml:space="preserve">相关</w:t>
      </w:r>
      <w:r>
        <w:rPr>
          <w:rFonts w:hint="eastAsia" w:ascii="宋体" w:hAnsi="宋体"/>
          <w:bCs/>
          <w:color w:val="000000"/>
          <w:sz w:val="24"/>
          <w:highlight w:val="none"/>
        </w:rPr>
        <w:t xml:space="preserve">证书、</w:t>
      </w:r>
      <w:r>
        <w:rPr>
          <w:rFonts w:hint="eastAsia" w:ascii="宋体" w:hAnsi="宋体"/>
          <w:bCs/>
          <w:color w:val="000000"/>
          <w:sz w:val="24"/>
          <w:highlight w:val="none"/>
          <w:lang w:val="zh-CN"/>
        </w:rPr>
        <w:t xml:space="preserve">劳动合同、社保部门出具的最近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1"/>
        <w:ind w:firstLine="480"/>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b.保安队长具有消防设施操作员证（或建筑物消防员证）的得2分；保安队员中提供一张特种设备安全管理和作业人员</w:t>
      </w:r>
      <w:r>
        <w:rPr>
          <w:rFonts w:hint="eastAsia" w:ascii="宋体" w:hAnsi="宋体"/>
          <w:bCs/>
          <w:color w:val="000000"/>
          <w:sz w:val="24"/>
          <w:highlight w:val="none"/>
          <w:lang w:val="zh-CN"/>
        </w:rPr>
        <w:t xml:space="preserve">证</w:t>
      </w:r>
      <w:r>
        <w:rPr>
          <w:rFonts w:hint="eastAsia" w:ascii="宋体" w:hAnsi="宋体"/>
          <w:bCs/>
          <w:color w:val="000000"/>
          <w:sz w:val="24"/>
          <w:highlight w:val="none"/>
        </w:rPr>
        <w:t xml:space="preserve">书的得2分，本项最高得4分。</w:t>
      </w:r>
      <w:r>
        <w:rPr>
          <w:rFonts w:hint="eastAsia" w:ascii="宋体" w:hAnsi="宋体"/>
          <w:bCs/>
          <w:color w:val="000000"/>
          <w:sz w:val="24"/>
          <w:highlight w:val="none"/>
        </w:rPr>
      </w:r>
      <w:r/>
    </w:p>
    <w:p>
      <w:pPr>
        <w:pStyle w:val="891"/>
        <w:ind w:firstLine="480"/>
        <w:jc w:val="left"/>
        <w:spacing w:line="360" w:lineRule="auto"/>
        <w:shd w:val="clear" w:color="auto" w:fill="auto"/>
        <w:tabs>
          <w:tab w:val="left" w:pos="945" w:leader="none"/>
          <w:tab w:val="left" w:pos="1155" w:leader="none"/>
        </w:tabs>
        <w:rPr>
          <w:color w:val="000000"/>
          <w:highlight w:val="none"/>
        </w:rPr>
      </w:pPr>
      <w:r>
        <w:rPr>
          <w:rFonts w:hint="eastAsia" w:ascii="宋体" w:hAnsi="宋体"/>
          <w:bCs/>
          <w:color w:val="000000"/>
          <w:sz w:val="24"/>
          <w:highlight w:val="none"/>
        </w:rPr>
        <w:t xml:space="preserve">需</w:t>
      </w:r>
      <w:r>
        <w:rPr>
          <w:rFonts w:hint="eastAsia" w:ascii="宋体" w:hAnsi="宋体"/>
          <w:bCs/>
          <w:color w:val="000000"/>
          <w:sz w:val="24"/>
          <w:highlight w:val="none"/>
          <w:lang w:val="zh-CN"/>
        </w:rPr>
        <w:t xml:space="preserve">提供</w:t>
      </w:r>
      <w:r>
        <w:rPr>
          <w:rFonts w:hint="eastAsia" w:ascii="宋体" w:hAnsi="宋体"/>
          <w:bCs/>
          <w:color w:val="000000"/>
          <w:sz w:val="24"/>
          <w:highlight w:val="none"/>
        </w:rPr>
        <w:t xml:space="preserve">身份证、</w:t>
      </w:r>
      <w:r>
        <w:rPr>
          <w:rFonts w:hint="eastAsia" w:ascii="宋体" w:hAnsi="宋体"/>
          <w:bCs/>
          <w:color w:val="000000"/>
          <w:sz w:val="24"/>
          <w:highlight w:val="none"/>
          <w:lang w:val="zh-CN"/>
        </w:rPr>
        <w:t xml:space="preserve">相关</w:t>
      </w:r>
      <w:r>
        <w:rPr>
          <w:rFonts w:hint="eastAsia" w:ascii="宋体" w:hAnsi="宋体"/>
          <w:bCs/>
          <w:color w:val="000000"/>
          <w:sz w:val="24"/>
          <w:highlight w:val="none"/>
        </w:rPr>
        <w:t xml:space="preserve">证书、</w:t>
      </w:r>
      <w:r>
        <w:rPr>
          <w:rFonts w:hint="eastAsia" w:ascii="宋体" w:hAnsi="宋体"/>
          <w:bCs/>
          <w:color w:val="000000"/>
          <w:sz w:val="24"/>
          <w:highlight w:val="none"/>
          <w:lang w:val="zh-CN"/>
        </w:rPr>
        <w:t xml:space="preserve">劳动合同、社保部门出具的最近</w:t>
      </w:r>
      <w:r>
        <w:rPr>
          <w:rFonts w:hint="eastAsia" w:ascii="宋体" w:hAnsi="宋体"/>
          <w:bCs/>
          <w:color w:val="000000"/>
          <w:sz w:val="24"/>
          <w:highlight w:val="none"/>
        </w:rPr>
        <w:t xml:space="preserve">一年中任意一个月</w:t>
      </w:r>
      <w:r>
        <w:rPr>
          <w:rFonts w:hint="eastAsia" w:ascii="宋体" w:hAnsi="宋体"/>
          <w:bCs/>
          <w:color w:val="000000"/>
          <w:sz w:val="24"/>
          <w:highlight w:val="none"/>
          <w:lang w:val="zh-CN"/>
        </w:rPr>
        <w:t xml:space="preserve">（不含投标当月）社保缴纳证明（需提供带有清晰二维码的官网打印件）</w:t>
      </w:r>
      <w:r>
        <w:rPr>
          <w:rFonts w:hint="eastAsia" w:ascii="宋体" w:hAnsi="宋体"/>
          <w:bCs/>
          <w:color w:val="000000"/>
          <w:sz w:val="24"/>
          <w:highlight w:val="none"/>
        </w:rPr>
        <w:t xml:space="preserve">等</w:t>
      </w:r>
      <w:r>
        <w:rPr>
          <w:rFonts w:hint="eastAsia" w:ascii="宋体" w:hAnsi="宋体"/>
          <w:bCs/>
          <w:color w:val="000000"/>
          <w:sz w:val="24"/>
          <w:highlight w:val="none"/>
          <w:lang w:val="zh-CN"/>
        </w:rPr>
        <w:t xml:space="preserve">资料的扫描件上传至投标文件</w:t>
      </w:r>
      <w:r>
        <w:rPr>
          <w:rFonts w:hint="eastAsia" w:ascii="宋体" w:hAnsi="宋体"/>
          <w:bCs/>
          <w:color w:val="000000"/>
          <w:sz w:val="24"/>
          <w:highlight w:val="none"/>
        </w:rPr>
        <w:t xml:space="preserve">并加盖投标人电子签章</w:t>
      </w:r>
      <w:r>
        <w:rPr>
          <w:rFonts w:hint="eastAsia" w:ascii="宋体" w:hAnsi="宋体"/>
          <w:bCs/>
          <w:color w:val="000000"/>
          <w:sz w:val="24"/>
          <w:highlight w:val="none"/>
          <w:lang w:val="zh-CN"/>
        </w:rPr>
        <w:t xml:space="preserve">，未按要求提供不得分</w:t>
      </w:r>
      <w:r>
        <w:rPr>
          <w:rFonts w:hint="eastAsia" w:ascii="宋体" w:hAnsi="宋体"/>
          <w:bCs/>
          <w:color w:val="000000"/>
          <w:sz w:val="24"/>
          <w:highlight w:val="none"/>
        </w:rPr>
        <w:t xml:space="preserve">。</w:t>
      </w:r>
      <w:r>
        <w:rPr>
          <w:color w:val="000000"/>
          <w:highlight w:val="none"/>
        </w:rPr>
      </w:r>
      <w:r/>
    </w:p>
    <w:p>
      <w:pPr>
        <w:pStyle w:val="891"/>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 </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91"/>
        <w:ind w:firstLine="480"/>
        <w:jc w:val="left"/>
        <w:spacing w:line="360" w:lineRule="auto"/>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（1）业绩（3分）：投标人自</w:t>
      </w:r>
      <w:r>
        <w:rPr>
          <w:rFonts w:ascii="宋体" w:hAnsi="宋体"/>
          <w:bCs/>
          <w:color w:val="000000"/>
          <w:sz w:val="24"/>
          <w:szCs w:val="21"/>
          <w:highlight w:val="none"/>
        </w:rPr>
        <w:t xml:space="preserve">202</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年1月1日以来（以</w:t>
      </w:r>
      <w:r>
        <w:rPr>
          <w:rFonts w:hint="eastAsia" w:ascii="宋体" w:hAnsi="宋体"/>
          <w:bCs/>
          <w:color w:val="000000"/>
          <w:sz w:val="24"/>
          <w:szCs w:val="21"/>
          <w:highlight w:val="none"/>
        </w:rPr>
        <w:t xml:space="preserve">合同签订</w:t>
      </w:r>
      <w:r>
        <w:rPr>
          <w:rFonts w:ascii="宋体" w:hAnsi="宋体"/>
          <w:bCs/>
          <w:color w:val="000000"/>
          <w:sz w:val="24"/>
          <w:szCs w:val="21"/>
          <w:highlight w:val="none"/>
        </w:rPr>
        <w:t xml:space="preserve">时间为准），具有</w:t>
      </w:r>
      <w:r>
        <w:rPr>
          <w:rFonts w:hint="eastAsia" w:ascii="宋体" w:hAnsi="宋体"/>
          <w:bCs/>
          <w:color w:val="000000"/>
          <w:sz w:val="24"/>
          <w:szCs w:val="21"/>
          <w:highlight w:val="none"/>
        </w:rPr>
        <w:t xml:space="preserve">类似</w:t>
      </w:r>
      <w:r>
        <w:rPr>
          <w:rFonts w:ascii="宋体" w:hAnsi="宋体"/>
          <w:bCs/>
          <w:color w:val="000000"/>
          <w:sz w:val="24"/>
          <w:szCs w:val="21"/>
          <w:highlight w:val="none"/>
        </w:rPr>
        <w:t xml:space="preserve">业绩的，</w:t>
      </w:r>
      <w:r>
        <w:rPr>
          <w:rFonts w:hint="eastAsia" w:ascii="宋体" w:hAnsi="宋体"/>
          <w:bCs/>
          <w:color w:val="000000"/>
          <w:sz w:val="24"/>
          <w:szCs w:val="21"/>
          <w:highlight w:val="none"/>
        </w:rPr>
        <w:t xml:space="preserve">提供合同原件扫描件加盖公章，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1.5</w:t>
      </w:r>
      <w:r>
        <w:rPr>
          <w:rFonts w:ascii="宋体" w:hAnsi="宋体"/>
          <w:bCs/>
          <w:color w:val="000000"/>
          <w:sz w:val="24"/>
          <w:szCs w:val="21"/>
          <w:highlight w:val="none"/>
        </w:rPr>
        <w:t xml:space="preserve">分，本项</w:t>
      </w:r>
      <w:r>
        <w:rPr>
          <w:rFonts w:hint="eastAsia" w:ascii="宋体" w:hAnsi="宋体"/>
          <w:bCs/>
          <w:color w:val="000000"/>
          <w:sz w:val="24"/>
          <w:szCs w:val="21"/>
          <w:highlight w:val="none"/>
        </w:rPr>
        <w:t xml:space="preserve">最高</w:t>
      </w:r>
      <w:r>
        <w:rPr>
          <w:rFonts w:ascii="宋体" w:hAnsi="宋体"/>
          <w:bCs/>
          <w:color w:val="000000"/>
          <w:sz w:val="24"/>
          <w:szCs w:val="21"/>
          <w:highlight w:val="none"/>
        </w:rPr>
        <w:t xml:space="preserve">得</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分</w:t>
      </w:r>
      <w:r>
        <w:rPr>
          <w:rFonts w:hint="eastAsia" w:ascii="宋体" w:hAnsi="宋体"/>
          <w:bCs/>
          <w:color w:val="000000"/>
          <w:sz w:val="24"/>
          <w:highlight w:val="none"/>
        </w:rPr>
        <w:t xml:space="preserve">，未按要求提供不得分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91"/>
        <w:ind w:firstLine="480"/>
        <w:jc w:val="left"/>
        <w:spacing w:line="360" w:lineRule="auto"/>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（2）体系（6分）：投标人具有有效期内的质量管理体系认证证书、环境管理体系认证证书、职业安全健康管理体系认证证书；</w:t>
      </w:r>
      <w:r>
        <w:rPr>
          <w:rFonts w:hint="eastAsia" w:ascii="宋体" w:hAnsi="宋体"/>
          <w:bCs/>
          <w:color w:val="000000"/>
          <w:sz w:val="24"/>
          <w:szCs w:val="21"/>
          <w:highlight w:val="none"/>
        </w:rPr>
      </w:r>
      <w:r/>
    </w:p>
    <w:p>
      <w:pPr>
        <w:pStyle w:val="891"/>
        <w:ind w:firstLine="480"/>
        <w:jc w:val="left"/>
        <w:spacing w:line="360" w:lineRule="auto"/>
        <w:shd w:val="clear" w:color="auto" w:fill="auto"/>
        <w:rPr>
          <w:rFonts w:ascii="宋体" w:hAnsi="宋体"/>
          <w:color w:val="000000"/>
          <w:sz w:val="24"/>
          <w:highlight w:val="none"/>
        </w:rPr>
      </w:pPr>
      <w:r>
        <w:rPr>
          <w:rFonts w:hint="eastAsia" w:ascii="宋体" w:hAnsi="宋体"/>
          <w:bCs/>
          <w:color w:val="000000"/>
          <w:sz w:val="24"/>
          <w:szCs w:val="21"/>
          <w:highlight w:val="none"/>
        </w:rPr>
        <w:t xml:space="preserve">提供上述证书原件扫描件并加盖投标人公章。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本项</w:t>
      </w:r>
      <w:r>
        <w:rPr>
          <w:rFonts w:hint="eastAsia" w:ascii="宋体" w:hAnsi="宋体"/>
          <w:bCs/>
          <w:color w:val="000000"/>
          <w:sz w:val="24"/>
          <w:szCs w:val="21"/>
          <w:highlight w:val="none"/>
        </w:rPr>
        <w:t xml:space="preserve">最高得6分</w:t>
      </w:r>
      <w:r>
        <w:rPr>
          <w:rFonts w:hint="eastAsia" w:ascii="宋体" w:hAnsi="宋体"/>
          <w:bCs/>
          <w:color w:val="000000"/>
          <w:sz w:val="24"/>
          <w:highlight w:val="none"/>
        </w:rPr>
        <w:t xml:space="preserve">，未按要求提供不得分</w:t>
      </w:r>
      <w:r>
        <w:rPr>
          <w:rFonts w:hint="eastAsia" w:ascii="宋体" w:hAnsi="宋体"/>
          <w:bCs/>
          <w:color w:val="000000"/>
          <w:sz w:val="24"/>
          <w:szCs w:val="21"/>
          <w:highlight w:val="none"/>
        </w:rPr>
        <w:t xml:space="preserve">。</w:t>
      </w:r>
      <w:r>
        <w:rPr>
          <w:rFonts w:ascii="宋体" w:hAnsi="宋体"/>
          <w:color w:val="000000"/>
          <w:sz w:val="24"/>
          <w:highlight w:val="none"/>
        </w:rPr>
      </w:r>
      <w:r/>
    </w:p>
    <w:p>
      <w:pPr>
        <w:pStyle w:val="891"/>
        <w:numPr>
          <w:ilvl w:val="4"/>
          <w:numId w:val="10"/>
        </w:numPr>
        <w:ind w:left="0" w:firstLine="482"/>
        <w:spacing w:line="500" w:lineRule="exact"/>
        <w:shd w:val="clear" w:color="auto" w:fill="auto"/>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w:t>
      </w:r>
      <w:r>
        <w:rPr>
          <w:rFonts w:hint="eastAsia" w:ascii="宋体" w:hAnsi="宋体"/>
          <w:bCs/>
          <w:color w:val="000000"/>
          <w:sz w:val="24"/>
          <w:highlight w:val="none"/>
        </w:rPr>
        <w:t xml:space="preserve">以下各部分如未见阐述则不得分：</w:t>
      </w:r>
      <w:r>
        <w:rPr>
          <w:rFonts w:ascii="宋体" w:hAnsi="宋体"/>
          <w:b/>
          <w:bCs/>
          <w:color w:val="000000"/>
          <w:sz w:val="24"/>
          <w:szCs w:val="24"/>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4.1目标及整体设想（10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4.2管理服务体系（10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4.3培训及日常管理标准和措施（10分）：内容包括：①物业管理服务的岗前培训目标、方案、计划、内容等和物业管理服务的阶段性培训管理；②综合管理的日常管理标准及措施；③保安管理的日常管理标准及措施；④保洁管理的日常管理标准及措施；⑤保安管理的日常管理标准及措施。</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4.4综合协调方案和正式接管前具体措施（10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方案完整、科学合理，设计清晰详细，完全符合本项目需求，且能够提供上述5项全部方案的，得10分；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方案较完整，科学合理性较强，设计较清晰详细，能够符合本项目需求，能够提供上述4-5项方案的，得7分；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方案完整性一般，科学合理性一般，设计清晰详细程度一般，能够符合本项目需求，能够提供上述3-5项方案的，得4分；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方案完整性、科学合理性、设计的清晰详细程度等只能基本满足要求，能够提供上述2-5项方案的，得2分；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4.5应急预案及措施、管理重点难点和措施（5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方案完整、科学合理，设计清晰详细，完全符合本项目需求，且能够提供上述5项全部方案的，得5分；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方案较完整，科学合理性较强，设计较清晰详细，能够符合本项目需求，能够提供上述4-5项方案的，得3分；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方案完整性、科学合理性、设计的清晰详细程度等只能基本满足要求，能够提供上述2-5项方案的，得1分；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提供方案不足2项或无方案的，不得分。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4.6服务响应、特色与创新（5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方案完整、科学合理，设计清晰详细，完全符合本项目需求，且能够提供上述5项全部方案的，得5分；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方案较完整，科学合理性较强，设计较清晰详细，能够符合本项目需求，能够提供上述4-5项方案的，得3分；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hint="eastAsia" w:ascii="宋体" w:hAnsi="宋体"/>
          <w:bCs/>
          <w:color w:val="000000"/>
          <w:sz w:val="24"/>
          <w:szCs w:val="21"/>
          <w:highlight w:val="none"/>
        </w:rPr>
      </w:pPr>
      <w:r>
        <w:rPr>
          <w:rFonts w:hint="eastAsia" w:ascii="宋体" w:hAnsi="宋体"/>
          <w:bCs/>
          <w:color w:val="000000"/>
          <w:sz w:val="24"/>
          <w:szCs w:val="21"/>
          <w:highlight w:val="none"/>
        </w:rPr>
        <w:t xml:space="preserve">方案完整性、科学合理性、设计的清晰详细程度等只能基本满足要求，能够提供上述2-5项方案的，得1分；</w:t>
      </w:r>
      <w:r>
        <w:rPr>
          <w:rFonts w:hint="eastAsia" w:ascii="宋体" w:hAnsi="宋体"/>
          <w:bCs/>
          <w:color w:val="000000"/>
          <w:sz w:val="24"/>
          <w:szCs w:val="21"/>
          <w:highlight w:val="none"/>
        </w:rPr>
      </w:r>
      <w:r/>
    </w:p>
    <w:p>
      <w:pPr>
        <w:pStyle w:val="891"/>
        <w:ind w:firstLine="480"/>
        <w:spacing w:line="500" w:lineRule="exact"/>
        <w:shd w:val="clear" w:color="auto" w:fill="auto"/>
        <w:tabs>
          <w:tab w:val="left" w:pos="945" w:leader="none"/>
          <w:tab w:val="left" w:pos="1155" w:leader="none"/>
        </w:tabs>
        <w:rPr>
          <w:rFonts w:ascii="宋体" w:hAnsi="宋体"/>
          <w:color w:val="000000"/>
          <w:sz w:val="24"/>
          <w:highlight w:val="none"/>
        </w:rPr>
      </w:pPr>
      <w:r>
        <w:rPr>
          <w:rFonts w:hint="eastAsia" w:ascii="宋体" w:hAnsi="宋体"/>
          <w:bCs/>
          <w:color w:val="000000"/>
          <w:sz w:val="24"/>
          <w:szCs w:val="21"/>
          <w:highlight w:val="none"/>
        </w:rPr>
        <w:t xml:space="preserve">提供方案不足2项或无方案的，不得分。</w:t>
      </w:r>
      <w:r>
        <w:rPr>
          <w:rFonts w:ascii="宋体" w:hAnsi="宋体"/>
          <w:color w:val="000000"/>
          <w:sz w:val="24"/>
          <w:highlight w:val="none"/>
        </w:rPr>
      </w:r>
      <w:r/>
    </w:p>
    <w:p>
      <w:pPr>
        <w:pStyle w:val="891"/>
        <w:jc w:val="center"/>
        <w:spacing w:line="500" w:lineRule="exact"/>
        <w:shd w:val="clear" w:color="auto" w:fill="auto"/>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980"/>
        <w:ind w:firstLine="602"/>
        <w:spacing w:before="0" w:after="0" w:line="500" w:lineRule="exact"/>
        <w:shd w:val="clear" w:color="auto" w:fill="auto"/>
        <w:rPr>
          <w:rFonts w:hint="eastAsia" w:cs="Arial"/>
          <w:b/>
          <w:color w:val="000000"/>
          <w:sz w:val="30"/>
          <w:szCs w:val="30"/>
          <w:highlight w:val="none"/>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980"/>
        <w:ind w:firstLine="0"/>
        <w:spacing w:before="0" w:after="0" w:line="500" w:lineRule="exact"/>
        <w:shd w:val="clear" w:color="auto" w:fill="auto"/>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980"/>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980"/>
              <w:ind w:firstLine="0"/>
              <w:spacing w:before="0" w:after="0"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980"/>
              <w:ind w:firstLine="0"/>
              <w:jc w:val="both"/>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980"/>
              <w:ind w:firstLine="0"/>
              <w:spacing w:before="0" w:after="0" w:line="240" w:lineRule="auto"/>
              <w:shd w:val="clear" w:color="auto" w:fill="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980"/>
              <w:ind w:firstLine="0"/>
              <w:jc w:val="center"/>
              <w:spacing w:before="0" w:after="0" w:line="240" w:lineRule="auto"/>
              <w:shd w:val="clear" w:color="auto" w:fill="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980"/>
              <w:ind w:firstLine="0"/>
              <w:spacing w:before="0" w:after="0" w:line="24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1"/>
        <w:numPr>
          <w:ilvl w:val="0"/>
          <w:numId w:val="11"/>
        </w:numPr>
        <w:ind w:firstLine="480"/>
        <w:spacing w:line="50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891"/>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891"/>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891"/>
        <w:numPr>
          <w:ilvl w:val="0"/>
          <w:numId w:val="11"/>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891"/>
        <w:shd w:val="clear" w:color="auto" w:fill="auto"/>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891"/>
        <w:shd w:val="clear" w:color="auto" w:fill="auto"/>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980"/>
              <w:ind w:firstLine="0"/>
              <w:jc w:val="center"/>
              <w:spacing w:before="0" w:after="0" w:line="240" w:lineRule="auto"/>
              <w:shd w:val="clear" w:color="auto" w:fill="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980"/>
              <w:ind w:firstLine="0"/>
              <w:jc w:val="center"/>
              <w:spacing w:before="0" w:after="0" w:line="240" w:lineRule="auto"/>
              <w:shd w:val="clear" w:color="auto" w:fill="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980"/>
              <w:ind w:firstLine="0"/>
              <w:jc w:val="center"/>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980"/>
              <w:ind w:firstLine="0"/>
              <w:jc w:val="both"/>
              <w:spacing w:before="0" w:after="0" w:line="240" w:lineRule="auto"/>
              <w:shd w:val="clear" w:color="auto" w:fill="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980"/>
              <w:ind w:firstLine="0"/>
              <w:jc w:val="center"/>
              <w:spacing w:before="0" w:after="0" w:line="240" w:lineRule="auto"/>
              <w:shd w:val="clear" w:color="auto" w:fill="auto"/>
              <w:rPr>
                <w:rFonts w:hint="eastAsia" w:cs="Arial"/>
                <w:color w:val="000000"/>
                <w:highlight w:val="none"/>
              </w:rPr>
            </w:pPr>
            <w:r>
              <w:rPr>
                <w:rFonts w:hint="eastAsia" w:cs="Arial"/>
                <w:color w:val="000000"/>
                <w:highlight w:val="none"/>
              </w:rPr>
            </w:r>
            <w:r/>
          </w:p>
        </w:tc>
      </w:tr>
    </w:tbl>
    <w:p>
      <w:pPr>
        <w:pStyle w:val="891"/>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91"/>
        <w:numPr>
          <w:ilvl w:val="0"/>
          <w:numId w:val="12"/>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891"/>
        <w:numPr>
          <w:ilvl w:val="0"/>
          <w:numId w:val="12"/>
        </w:numPr>
        <w:ind w:firstLine="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891"/>
        <w:numPr>
          <w:ilvl w:val="0"/>
          <w:numId w:val="12"/>
        </w:numPr>
        <w:ind w:firstLine="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91"/>
        <w:shd w:val="clear" w:color="auto" w:fill="auto"/>
        <w:rPr>
          <w:rFonts w:hint="eastAsia"/>
          <w:b/>
          <w:color w:val="000000"/>
          <w:sz w:val="28"/>
          <w:szCs w:val="28"/>
          <w:highlight w:val="none"/>
        </w:rPr>
      </w:pPr>
      <w:r>
        <w:rPr>
          <w:rFonts w:hint="eastAsia"/>
          <w:b/>
          <w:color w:val="000000"/>
          <w:sz w:val="28"/>
          <w:szCs w:val="28"/>
          <w:highlight w:val="none"/>
        </w:rPr>
      </w:r>
      <w:r/>
    </w:p>
    <w:p>
      <w:pPr>
        <w:pStyle w:val="891"/>
        <w:shd w:val="clear" w:color="auto" w:fill="auto"/>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891"/>
        <w:ind w:left="480"/>
        <w:spacing w:line="50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891"/>
        <w:ind w:left="480"/>
        <w:spacing w:line="50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891"/>
        <w:shd w:val="clear" w:color="auto" w:fill="auto"/>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80"/>
        <w:ind w:firstLine="0"/>
        <w:spacing w:before="0" w:after="0"/>
        <w:shd w:val="clear" w:color="auto" w:fill="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jc w:val="center"/>
        <w:shd w:val="clear" w:color="auto" w:fill="auto"/>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jc w:val="center"/>
        <w:shd w:val="clear" w:color="auto" w:fill="auto"/>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1"/>
        <w:ind w:firstLine="1800"/>
        <w:shd w:val="clear" w:color="auto" w:fill="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JSZC-320214-JZCG-G2026-0054</w:t>
      </w:r>
      <w:r>
        <w:rPr>
          <w:rFonts w:hint="eastAsia" w:ascii="黑体" w:hAnsi="华文中宋" w:eastAsia="黑体"/>
          <w:bCs/>
          <w:color w:val="000000"/>
          <w:sz w:val="30"/>
          <w:szCs w:val="30"/>
          <w:highlight w:val="none"/>
          <w:lang w:eastAsia="zh-CN"/>
        </w:rPr>
      </w:r>
      <w:r/>
    </w:p>
    <w:p>
      <w:pPr>
        <w:pStyle w:val="891"/>
        <w:ind w:firstLine="1800"/>
        <w:shd w:val="clear" w:color="auto" w:fill="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江溪街道综治中心物业服务采购</w:t>
      </w:r>
      <w:r>
        <w:rPr>
          <w:rFonts w:hint="eastAsia" w:ascii="黑体" w:hAnsi="华文中宋" w:eastAsia="黑体"/>
          <w:bCs/>
          <w:color w:val="000000"/>
          <w:sz w:val="30"/>
          <w:szCs w:val="30"/>
          <w:highlight w:val="none"/>
          <w:lang w:eastAsia="zh-CN"/>
        </w:rPr>
      </w:r>
      <w:r/>
    </w:p>
    <w:p>
      <w:pPr>
        <w:pStyle w:val="891"/>
        <w:ind w:firstLine="1800"/>
        <w:shd w:val="clear" w:color="auto" w:fill="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91"/>
        <w:ind w:firstLine="1800"/>
        <w:shd w:val="clear" w:color="auto" w:fill="auto"/>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91"/>
        <w:spacing w:line="440" w:lineRule="exact"/>
        <w:shd w:val="clear" w:color="auto" w:fill="auto"/>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91"/>
        <w:jc w:val="center"/>
        <w:shd w:val="clear" w:color="auto" w:fill="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78"/>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978"/>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8"/>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8"/>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78"/>
        <w:ind w:firstLine="480"/>
        <w:shd w:val="clear" w:color="auto" w:fill="auto"/>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78"/>
        <w:ind w:firstLine="48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78"/>
        <w:ind w:firstLine="0"/>
        <w:shd w:val="clear" w:color="auto" w:fill="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78"/>
        <w:ind w:firstLine="0"/>
        <w:shd w:val="clear" w:color="auto" w:fill="auto"/>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78"/>
        <w:ind w:firstLine="0"/>
        <w:shd w:val="clear" w:color="auto" w:fill="auto"/>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78"/>
        <w:ind w:firstLine="0"/>
        <w:shd w:val="clear" w:color="auto" w:fill="auto"/>
        <w:tabs>
          <w:tab w:val="left" w:pos="360" w:leader="none"/>
        </w:tabs>
        <w:rPr>
          <w:rFonts w:hint="eastAsia"/>
          <w:color w:val="000000"/>
          <w:sz w:val="21"/>
          <w:szCs w:val="21"/>
          <w:highlight w:val="none"/>
        </w:rPr>
      </w:pPr>
      <w:r>
        <w:rPr>
          <w:rFonts w:hint="eastAsia"/>
          <w:color w:val="000000"/>
          <w:sz w:val="21"/>
          <w:szCs w:val="21"/>
          <w:highlight w:val="none"/>
        </w:rPr>
      </w:r>
      <w:r/>
    </w:p>
    <w:p>
      <w:pPr>
        <w:pStyle w:val="978"/>
        <w:ind w:firstLine="0"/>
        <w:spacing w:line="360" w:lineRule="auto"/>
        <w:shd w:val="clear" w:color="auto" w:fill="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78"/>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8"/>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78"/>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8"/>
        <w:numPr>
          <w:ilvl w:val="0"/>
          <w:numId w:val="13"/>
        </w:numPr>
        <w:ind w:firstLine="420"/>
        <w:spacing w:line="360" w:lineRule="auto"/>
        <w:shd w:val="clear" w:color="auto" w:fill="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78"/>
        <w:ind w:firstLine="0"/>
        <w:shd w:val="clear" w:color="auto" w:fill="auto"/>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91"/>
        <w:jc w:val="center"/>
        <w:shd w:val="clear" w:color="auto" w:fill="auto"/>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91"/>
        <w:jc w:val="center"/>
        <w:spacing w:line="48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891"/>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1"/>
        <w:ind w:firstLine="480"/>
        <w:spacing w:line="48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891"/>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91"/>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91"/>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91"/>
        <w:ind w:firstLine="480"/>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91"/>
        <w:spacing w:line="48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891"/>
        <w:spacing w:line="480" w:lineRule="auto"/>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91"/>
        <w:spacing w:line="440" w:lineRule="exact"/>
        <w:shd w:val="clear" w:color="auto" w:fill="auto"/>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891"/>
        <w:ind w:firstLine="560"/>
        <w:jc w:val="center"/>
        <w:spacing w:line="360" w:lineRule="auto"/>
        <w:shd w:val="clear" w:color="auto" w:fill="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ascii="黑体" w:eastAsia="黑体"/>
          <w:bCs/>
          <w:color w:val="000000"/>
          <w:sz w:val="28"/>
          <w:szCs w:val="28"/>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1"/>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91"/>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91"/>
        <w:ind w:firstLine="480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1"/>
        <w:ind w:firstLine="420"/>
        <w:spacing w:line="360" w:lineRule="auto"/>
        <w:shd w:val="clear" w:color="auto" w:fill="auto"/>
        <w:rPr>
          <w:rFonts w:hint="eastAsia"/>
          <w:color w:val="000000"/>
          <w:highlight w:val="none"/>
        </w:rPr>
      </w:pPr>
      <w:r>
        <w:rPr>
          <w:rFonts w:hint="eastAsia"/>
          <w:color w:val="000000"/>
          <w:highlight w:val="none"/>
        </w:rPr>
      </w:r>
      <w:r/>
    </w:p>
    <w:p>
      <w:pPr>
        <w:pStyle w:val="891"/>
        <w:ind w:firstLine="420"/>
        <w:spacing w:line="360" w:lineRule="auto"/>
        <w:shd w:val="clear" w:color="auto" w:fill="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891"/>
        <w:ind w:firstLine="420"/>
        <w:spacing w:line="360" w:lineRule="auto"/>
        <w:shd w:val="clear" w:color="auto" w:fill="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91"/>
        <w:ind w:firstLine="420"/>
        <w:spacing w:line="360" w:lineRule="auto"/>
        <w:shd w:val="clear" w:color="auto" w:fill="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91"/>
        <w:spacing w:line="360" w:lineRule="auto"/>
        <w:shd w:val="clear" w:color="auto" w:fill="auto"/>
        <w:rPr>
          <w:rFonts w:hint="eastAsia"/>
          <w:color w:val="000000"/>
          <w:highlight w:val="none"/>
        </w:rPr>
      </w:pPr>
      <w:r>
        <w:rPr>
          <w:rFonts w:hint="eastAsia"/>
          <w:color w:val="000000"/>
          <w:highlight w:val="none"/>
        </w:rPr>
      </w:r>
      <w:r/>
    </w:p>
    <w:p>
      <w:pPr>
        <w:pStyle w:val="891"/>
        <w:spacing w:line="360" w:lineRule="auto"/>
        <w:shd w:val="clear" w:color="auto" w:fill="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91"/>
        <w:ind w:firstLine="482"/>
        <w:spacing w:line="440" w:lineRule="exact"/>
        <w:shd w:val="clear" w:color="auto" w:fill="auto"/>
        <w:rPr>
          <w:rFonts w:ascii="Arial" w:hAnsi="Arial"/>
          <w:b/>
          <w:color w:val="000000"/>
          <w:sz w:val="24"/>
          <w:highlight w:val="none"/>
        </w:rPr>
      </w:pPr>
      <w:r>
        <w:rPr>
          <w:rFonts w:ascii="Arial" w:hAnsi="Arial"/>
          <w:b/>
          <w:color w:val="000000"/>
          <w:sz w:val="24"/>
          <w:highlight w:val="none"/>
        </w:rPr>
      </w:r>
      <w:r/>
    </w:p>
    <w:p>
      <w:pPr>
        <w:pStyle w:val="891"/>
        <w:jc w:val="center"/>
        <w:shd w:val="clear" w:color="auto" w:fill="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91"/>
        <w:jc w:val="center"/>
        <w:shd w:val="clear" w:color="auto" w:fill="auto"/>
        <w:rPr>
          <w:rFonts w:ascii="黑体" w:eastAsia="黑体"/>
          <w:bCs/>
          <w:color w:val="000000"/>
          <w:sz w:val="28"/>
          <w:szCs w:val="28"/>
          <w:highlight w:val="none"/>
        </w:rPr>
      </w:pPr>
      <w:r>
        <w:rPr>
          <w:rFonts w:ascii="黑体" w:eastAsia="黑体"/>
          <w:bCs/>
          <w:color w:val="000000"/>
          <w:sz w:val="28"/>
          <w:szCs w:val="28"/>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91"/>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1"/>
        <w:spacing w:line="360" w:lineRule="auto"/>
        <w:shd w:val="clear" w:color="auto" w:fill="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891"/>
        <w:spacing w:line="360" w:lineRule="auto"/>
        <w:shd w:val="clear" w:color="auto" w:fill="auto"/>
        <w:rPr>
          <w:rFonts w:hint="eastAsia"/>
          <w:b/>
          <w:color w:val="000000"/>
          <w:sz w:val="30"/>
          <w:szCs w:val="30"/>
          <w:highlight w:val="none"/>
        </w:rPr>
      </w:pPr>
      <w:r>
        <w:rPr>
          <w:rFonts w:hint="eastAsia"/>
          <w:b/>
          <w:color w:val="000000"/>
          <w:sz w:val="30"/>
          <w:szCs w:val="30"/>
          <w:highlight w:val="none"/>
        </w:rPr>
      </w:r>
      <w:r/>
    </w:p>
    <w:p>
      <w:pPr>
        <w:pStyle w:val="891"/>
        <w:jc w:val="center"/>
        <w:spacing w:line="400" w:lineRule="exact"/>
        <w:shd w:val="clear" w:color="auto" w:fill="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91"/>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1"/>
        <w:ind w:firstLine="480"/>
        <w:spacing w:line="400" w:lineRule="exact"/>
        <w:shd w:val="clear" w:color="auto" w:fill="auto"/>
        <w:rPr>
          <w:rFonts w:ascii="宋体"/>
          <w:bCs/>
          <w:color w:val="000000"/>
          <w:sz w:val="24"/>
          <w:szCs w:val="24"/>
          <w:highlight w:val="none"/>
        </w:rPr>
      </w:pPr>
      <w:r>
        <w:rPr>
          <w:rFonts w:ascii="宋体"/>
          <w:bCs/>
          <w:color w:val="000000"/>
          <w:sz w:val="24"/>
          <w:szCs w:val="24"/>
          <w:highlight w:val="none"/>
        </w:rPr>
      </w:r>
      <w:r/>
    </w:p>
    <w:p>
      <w:pPr>
        <w:pStyle w:val="891"/>
        <w:ind w:firstLine="480"/>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JSZC-320214-JZCG-G2026-0054</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91"/>
        <w:numPr>
          <w:ilvl w:val="0"/>
          <w:numId w:val="14"/>
        </w:numPr>
        <w:ind w:left="0" w:firstLine="525"/>
        <w:spacing w:line="400" w:lineRule="exact"/>
        <w:shd w:val="clear" w:color="auto" w:fill="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840" w:leader="none"/>
          <w:tab w:val="left" w:pos="945" w:leader="none"/>
          <w:tab w:val="left" w:pos="1050" w:leader="none"/>
        </w:tabs>
        <w:rPr>
          <w:rStyle w:val="966"/>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966"/>
          <w:bCs/>
          <w:color w:val="000000"/>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91"/>
        <w:numPr>
          <w:ilvl w:val="0"/>
          <w:numId w:val="14"/>
        </w:numPr>
        <w:ind w:left="0" w:firstLine="523"/>
        <w:spacing w:line="400" w:lineRule="exact"/>
        <w:shd w:val="clear" w:color="auto" w:fill="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91"/>
        <w:ind w:firstLine="720"/>
        <w:spacing w:line="400" w:lineRule="exact"/>
        <w:shd w:val="clear" w:color="auto" w:fill="auto"/>
        <w:rPr>
          <w:rFonts w:ascii="宋体"/>
          <w:bCs/>
          <w:color w:val="000000"/>
          <w:sz w:val="24"/>
          <w:szCs w:val="24"/>
          <w:highlight w:val="none"/>
        </w:rPr>
      </w:pPr>
      <w:r>
        <w:rPr>
          <w:rFonts w:ascii="宋体"/>
          <w:bCs/>
          <w:color w:val="000000"/>
          <w:sz w:val="24"/>
          <w:szCs w:val="24"/>
          <w:highlight w:val="none"/>
        </w:rPr>
      </w:r>
      <w:r/>
    </w:p>
    <w:p>
      <w:pPr>
        <w:pStyle w:val="891"/>
        <w:ind w:firstLine="480"/>
        <w:spacing w:line="400" w:lineRule="exact"/>
        <w:shd w:val="clear" w:color="auto" w:fill="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91"/>
        <w:ind w:firstLine="480"/>
        <w:spacing w:line="400" w:lineRule="exact"/>
        <w:shd w:val="clear" w:color="auto" w:fill="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91"/>
        <w:spacing w:line="46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91"/>
        <w:spacing w:line="48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pStyle w:val="891"/>
        <w:shd w:val="clear" w:color="auto" w:fill="auto"/>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1"/>
        <w:ind w:firstLine="602"/>
        <w:shd w:val="clear" w:color="auto" w:fill="auto"/>
        <w:rPr>
          <w:rFonts w:hint="eastAsia"/>
          <w:b/>
          <w:color w:val="000000"/>
          <w:sz w:val="30"/>
          <w:szCs w:val="30"/>
          <w:highlight w:val="none"/>
        </w:rPr>
        <w:outlineLvl w:val="0"/>
      </w:pPr>
      <w:r>
        <w:rPr>
          <w:rFonts w:hint="eastAsia"/>
          <w:b/>
          <w:color w:val="000000"/>
          <w:sz w:val="30"/>
          <w:szCs w:val="30"/>
          <w:highlight w:val="none"/>
        </w:rPr>
      </w:r>
      <w:r/>
    </w:p>
    <w:p>
      <w:pPr>
        <w:pStyle w:val="891"/>
        <w:jc w:val="center"/>
        <w:shd w:val="clear" w:color="auto" w:fill="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91"/>
        <w:spacing w:line="48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JSZC-320214-JZCG-G2026-0054</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91"/>
        <w:spacing w:line="48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1"/>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891"/>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891"/>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891"/>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891"/>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891"/>
        <w:ind w:firstLine="465"/>
        <w:spacing w:line="360" w:lineRule="auto"/>
        <w:shd w:val="clear" w:color="auto" w:fill="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891"/>
        <w:ind w:firstLine="960"/>
        <w:spacing w:line="480" w:lineRule="auto"/>
        <w:shd w:val="clear" w:color="auto" w:fill="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1"/>
        <w:ind w:firstLine="96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891"/>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3720"/>
        <w:spacing w:line="480" w:lineRule="auto"/>
        <w:shd w:val="clear" w:color="auto" w:fill="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891"/>
        <w:ind w:firstLine="480"/>
        <w:spacing w:line="48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1"/>
        <w:ind w:firstLine="420"/>
        <w:spacing w:line="480" w:lineRule="auto"/>
        <w:shd w:val="clear" w:color="auto" w:fill="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891"/>
        <w:spacing w:line="360" w:lineRule="auto"/>
        <w:shd w:val="clear" w:color="auto" w:fill="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91"/>
        <w:ind w:firstLine="482"/>
        <w:spacing w:line="440" w:lineRule="exact"/>
        <w:shd w:val="clear" w:color="auto" w:fill="auto"/>
        <w:rPr>
          <w:rFonts w:hint="eastAsia" w:ascii="Arial" w:hAnsi="Arial"/>
          <w:b/>
          <w:color w:val="000000"/>
          <w:sz w:val="24"/>
          <w:highlight w:val="none"/>
        </w:rPr>
      </w:pPr>
      <w:r>
        <w:rPr>
          <w:rFonts w:hint="eastAsia" w:ascii="Arial" w:hAnsi="Arial"/>
          <w:b/>
          <w:color w:val="000000"/>
          <w:sz w:val="24"/>
          <w:highlight w:val="none"/>
        </w:rPr>
      </w:r>
      <w:r/>
    </w:p>
    <w:p>
      <w:pPr>
        <w:pStyle w:val="891"/>
        <w:jc w:val="center"/>
        <w:shd w:val="clear" w:color="auto" w:fill="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91"/>
        <w:jc w:val="center"/>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spacing w:line="360" w:lineRule="auto"/>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891"/>
        <w:spacing w:line="360" w:lineRule="auto"/>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1"/>
        <w:spacing w:line="360" w:lineRule="auto"/>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91"/>
              <w:jc w:val="center"/>
              <w:shd w:val="clear" w:color="auto" w:fill="auto"/>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1006"/>
              <w:jc w:val="center"/>
              <w:spacing w:line="400" w:lineRule="exact"/>
              <w:shd w:val="clear" w:color="auto" w:fill="auto"/>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江溪街道综治中心物业服务采购</w:t>
            </w:r>
            <w:r>
              <w:rPr>
                <w:rFonts w:hint="eastAsia" w:hAnsi="宋体" w:eastAsia="宋体"/>
                <w:bCs/>
                <w:color w:val="000000"/>
                <w:szCs w:val="24"/>
                <w:highlight w:val="none"/>
                <w:lang w:eastAsia="zh-CN"/>
              </w:rPr>
            </w:r>
            <w:r/>
          </w:p>
        </w:tc>
        <w:tc>
          <w:tcPr>
            <w:tcW w:w="3188" w:type="dxa"/>
            <w:vAlign w:val="center"/>
            <w:textDirection w:val="lrTb"/>
            <w:noWrap w:val="false"/>
          </w:tcPr>
          <w:p>
            <w:pPr>
              <w:pStyle w:val="1006"/>
              <w:jc w:val="center"/>
              <w:shd w:val="clear" w:color="auto" w:fill="auto"/>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91"/>
              <w:shd w:val="clear" w:color="auto" w:fill="auto"/>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891"/>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91"/>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1"/>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1"/>
        <w:spacing w:line="400" w:lineRule="exact"/>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891"/>
        <w:numPr>
          <w:ilvl w:val="0"/>
          <w:numId w:val="15"/>
        </w:numPr>
        <w:spacing w:line="360" w:lineRule="auto"/>
        <w:shd w:val="clear" w:color="auto" w:fill="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b/>
          <w:color w:val="000000"/>
          <w:sz w:val="28"/>
          <w:szCs w:val="28"/>
          <w:highlight w:val="none"/>
        </w:rPr>
      </w:r>
      <w:r/>
    </w:p>
    <w:p>
      <w:pPr>
        <w:pStyle w:val="891"/>
        <w:numPr>
          <w:ilvl w:val="0"/>
          <w:numId w:val="0"/>
        </w:numPr>
        <w:spacing w:line="360" w:lineRule="auto"/>
        <w:shd w:val="clear" w:color="auto" w:fill="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1"/>
        <w:spacing w:line="400" w:lineRule="exact"/>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891"/>
              <w:shd w:val="clear" w:color="auto" w:fill="auto"/>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891"/>
              <w:jc w:val="center"/>
              <w:shd w:val="clear" w:color="auto" w:fill="auto"/>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891"/>
              <w:jc w:val="left"/>
              <w:shd w:val="clear" w:color="auto" w:fill="auto"/>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highlight w:val="none"/>
              </w:rPr>
            </w:pPr>
            <w:r>
              <w:rPr>
                <w:rFonts w:hint="eastAsia" w:ascii="宋体" w:hAnsi="宋体"/>
                <w:color w:val="000000"/>
                <w:highlight w:val="none"/>
              </w:rPr>
            </w:r>
            <w:r/>
          </w:p>
        </w:tc>
      </w:tr>
    </w:tbl>
    <w:p>
      <w:pPr>
        <w:pStyle w:val="891"/>
        <w:spacing w:line="400" w:lineRule="exact"/>
        <w:shd w:val="clear" w:color="auto" w:fill="auto"/>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891"/>
        <w:shd w:val="clear" w:color="auto" w:fill="auto"/>
        <w:rPr>
          <w:rFonts w:hint="eastAsia" w:ascii="宋体" w:hAnsi="宋体"/>
          <w:bCs/>
          <w:color w:val="000000"/>
          <w:highlight w:val="none"/>
        </w:rPr>
      </w:pPr>
      <w:r>
        <w:rPr>
          <w:rFonts w:hint="eastAsia" w:ascii="宋体" w:hAnsi="宋体"/>
          <w:bCs/>
          <w:color w:val="000000"/>
          <w:highlight w:val="none"/>
        </w:rPr>
      </w:r>
      <w:r/>
    </w:p>
    <w:p>
      <w:pPr>
        <w:pStyle w:val="891"/>
        <w:shd w:val="clear" w:color="auto" w:fill="auto"/>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891"/>
        <w:ind w:firstLine="420"/>
        <w:shd w:val="clear" w:color="auto" w:fill="auto"/>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891"/>
        <w:ind w:firstLine="420"/>
        <w:shd w:val="clear" w:color="auto" w:fill="auto"/>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891"/>
        <w:ind w:firstLine="420"/>
        <w:shd w:val="clear" w:color="auto" w:fill="auto"/>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891"/>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891"/>
              <w:shd w:val="clear" w:color="auto" w:fill="auto"/>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color w:val="000000"/>
                <w:sz w:val="18"/>
                <w:szCs w:val="18"/>
                <w:highlight w:val="none"/>
              </w:rPr>
              <w:t xml:space="preserve">……</w:t>
            </w:r>
            <w:r>
              <w:rPr>
                <w:rFonts w:hint="eastAsia" w:ascii="宋体" w:hAnsi="宋体"/>
                <w:b/>
                <w:color w:val="000000"/>
                <w:sz w:val="18"/>
                <w:szCs w:val="18"/>
                <w:highlight w:val="none"/>
              </w:rPr>
            </w:r>
            <w:r/>
          </w:p>
        </w:tc>
        <w:tc>
          <w:tcPr>
            <w:tcW w:w="1985" w:type="dxa"/>
            <w:vAlign w:val="center"/>
            <w:textDirection w:val="lrTb"/>
            <w:noWrap w:val="false"/>
          </w:tcPr>
          <w:p>
            <w:pPr>
              <w:pStyle w:val="891"/>
              <w:jc w:val="center"/>
              <w:shd w:val="clear" w:color="auto" w:fill="auto"/>
              <w:rPr>
                <w:color w:val="000000"/>
                <w:highlight w:val="none"/>
              </w:rPr>
            </w:pPr>
            <w:r>
              <w:rPr>
                <w:color w:val="000000"/>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891"/>
        <w:shd w:val="clear" w:color="auto" w:fill="auto"/>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rPr>
          <w:rFonts w:hint="eastAsia" w:ascii="宋体" w:hAnsi="宋体"/>
          <w:bCs/>
          <w:color w:val="000000"/>
          <w:highlight w:val="none"/>
        </w:rPr>
      </w:r>
      <w:r/>
    </w:p>
    <w:p>
      <w:pPr>
        <w:pStyle w:val="891"/>
        <w:ind w:firstLine="405"/>
        <w:shd w:val="clear" w:color="auto" w:fill="auto"/>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891"/>
        <w:jc w:val="left"/>
        <w:spacing w:line="4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891"/>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891"/>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891"/>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566"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481"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639" w:type="dxa"/>
            <w:vAlign w:val="center"/>
            <w:textDirection w:val="lrTb"/>
            <w:noWrap w:val="false"/>
          </w:tcPr>
          <w:p>
            <w:pPr>
              <w:pStyle w:val="891"/>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566"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891"/>
        <w:jc w:val="left"/>
        <w:spacing w:line="400" w:lineRule="exact"/>
        <w:shd w:val="clear" w:color="auto" w:fil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891"/>
        <w:jc w:val="left"/>
        <w:spacing w:line="400" w:lineRule="exact"/>
        <w:shd w:val="clear" w:color="auto" w:fill="auto"/>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2705"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75"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699"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657" w:type="dxa"/>
            <w:vAlign w:val="center"/>
            <w:textDirection w:val="lrTb"/>
            <w:noWrap w:val="false"/>
          </w:tcPr>
          <w:p>
            <w:pPr>
              <w:pStyle w:val="891"/>
              <w:jc w:val="center"/>
              <w:shd w:val="clear" w:color="auto" w:fill="auto"/>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744"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2705" w:type="dxa"/>
            <w:vAlign w:val="center"/>
            <w:textDirection w:val="lrTb"/>
            <w:noWrap w:val="false"/>
          </w:tcPr>
          <w:p>
            <w:pPr>
              <w:pStyle w:val="891"/>
              <w:jc w:val="center"/>
              <w:shd w:val="clear" w:color="auto" w:fill="auto"/>
              <w:rPr>
                <w:rFonts w:ascii="宋体" w:hAnsi="宋体"/>
                <w:b/>
                <w:color w:val="000000"/>
                <w:sz w:val="18"/>
                <w:szCs w:val="18"/>
                <w:highlight w:val="none"/>
              </w:rPr>
            </w:pPr>
            <w:r>
              <w:rPr>
                <w:rFonts w:ascii="宋体" w:hAnsi="宋体"/>
                <w:b/>
                <w:color w:val="000000"/>
                <w:sz w:val="18"/>
                <w:szCs w:val="18"/>
                <w:highlight w:val="none"/>
              </w:rPr>
            </w:r>
            <w:r/>
          </w:p>
        </w:tc>
        <w:tc>
          <w:tcPr>
            <w:tcW w:w="1275"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891"/>
              <w:jc w:val="center"/>
              <w:shd w:val="clear" w:color="auto" w:fill="auto"/>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2705" w:type="dxa"/>
            <w:vAlign w:val="center"/>
            <w:textDirection w:val="lrTb"/>
            <w:noWrap w:val="false"/>
          </w:tcPr>
          <w:p>
            <w:pPr>
              <w:pStyle w:val="891"/>
              <w:jc w:val="center"/>
              <w:shd w:val="clear" w:color="auto" w:fill="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75"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4847"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699"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891"/>
              <w:jc w:val="center"/>
              <w:shd w:val="clear" w:color="auto" w:fill="auto"/>
              <w:rPr>
                <w:rFonts w:ascii="宋体" w:hAnsi="宋体"/>
                <w:color w:val="000000"/>
                <w:sz w:val="18"/>
                <w:szCs w:val="18"/>
                <w:highlight w:val="none"/>
              </w:rPr>
            </w:pPr>
            <w:r>
              <w:rPr>
                <w:rFonts w:ascii="宋体" w:hAnsi="宋体"/>
                <w:color w:val="000000"/>
                <w:sz w:val="18"/>
                <w:szCs w:val="18"/>
                <w:highlight w:val="none"/>
              </w:rPr>
            </w:r>
            <w:r/>
          </w:p>
        </w:tc>
      </w:tr>
    </w:tbl>
    <w:p>
      <w:pPr>
        <w:pStyle w:val="891"/>
        <w:shd w:val="clear" w:color="auto" w:fill="auto"/>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891"/>
        <w:spacing w:line="360" w:lineRule="auto"/>
        <w:shd w:val="clear" w:color="auto" w:fill="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91"/>
        <w:ind w:firstLine="490"/>
        <w:jc w:val="center"/>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ind w:firstLine="490"/>
        <w:jc w:val="center"/>
        <w:shd w:val="clear" w:color="auto" w:fill="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91"/>
        <w:jc w:val="center"/>
        <w:spacing w:line="400" w:lineRule="exact"/>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jc w:val="center"/>
        <w:spacing w:line="400" w:lineRule="exact"/>
        <w:shd w:val="clear" w:color="auto" w:fill="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1"/>
        <w:spacing w:line="400" w:lineRule="exact"/>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shd w:val="clear" w:color="auto" w:fill="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shd w:val="clear" w:color="auto" w:fill="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shd w:val="clear" w:color="auto" w:fill="auto"/>
              <w:rPr>
                <w:rFonts w:ascii="宋体"/>
                <w:bCs/>
                <w:color w:val="000000"/>
                <w:highlight w:val="none"/>
              </w:rPr>
            </w:pPr>
            <w:r>
              <w:rPr>
                <w:rFonts w:ascii="宋体"/>
                <w:bCs/>
                <w:color w:val="000000"/>
                <w:highlight w:val="none"/>
              </w:rPr>
            </w:r>
            <w:r/>
          </w:p>
        </w:tc>
      </w:tr>
    </w:tbl>
    <w:p>
      <w:pPr>
        <w:pStyle w:val="891"/>
        <w:shd w:val="clear" w:color="auto" w:fill="auto"/>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91"/>
        <w:shd w:val="clear" w:color="auto" w:fill="auto"/>
        <w:rPr>
          <w:rFonts w:ascii="宋体"/>
          <w:bCs/>
          <w:color w:val="000000"/>
          <w:sz w:val="30"/>
          <w:highlight w:val="none"/>
        </w:rPr>
      </w:pPr>
      <w:r>
        <w:rPr>
          <w:rFonts w:ascii="宋体"/>
          <w:bCs/>
          <w:color w:val="000000"/>
          <w:sz w:val="30"/>
          <w:highlight w:val="none"/>
        </w:rPr>
      </w:r>
      <w:r/>
    </w:p>
    <w:p>
      <w:pPr>
        <w:pStyle w:val="891"/>
        <w:ind w:firstLine="420"/>
        <w:shd w:val="clear" w:color="auto" w:fill="auto"/>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91"/>
        <w:ind w:firstLine="420"/>
        <w:shd w:val="clear" w:color="auto" w:fill="auto"/>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891"/>
        <w:ind w:firstLine="420"/>
        <w:shd w:val="clear" w:color="auto" w:fill="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891"/>
        <w:ind w:firstLine="420"/>
        <w:shd w:val="clear" w:color="auto" w:fill="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91"/>
        <w:shd w:val="clear" w:color="auto" w:fill="auto"/>
        <w:rPr>
          <w:color w:val="000000"/>
          <w:highlight w:val="none"/>
        </w:rPr>
      </w:pPr>
      <w:r>
        <w:rPr>
          <w:color w:val="000000"/>
          <w:highlight w:val="none"/>
        </w:rPr>
      </w:r>
      <w:r/>
    </w:p>
    <w:p>
      <w:pPr>
        <w:pStyle w:val="891"/>
        <w:shd w:val="clear" w:color="auto" w:fill="auto"/>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91"/>
        <w:ind w:firstLine="420"/>
        <w:shd w:val="clear" w:color="auto" w:fill="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91"/>
        <w:ind w:firstLine="490"/>
        <w:jc w:val="center"/>
        <w:shd w:val="clear" w:color="auto" w:fill="auto"/>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91"/>
        <w:jc w:val="center"/>
        <w:spacing w:line="400" w:lineRule="exact"/>
        <w:shd w:val="clear" w:color="auto" w:fill="auto"/>
        <w:rPr>
          <w:rFonts w:ascii="黑体" w:eastAsia="黑体"/>
          <w:bCs/>
          <w:color w:val="000000"/>
          <w:sz w:val="28"/>
          <w:szCs w:val="28"/>
          <w:highlight w:val="none"/>
        </w:rPr>
      </w:pPr>
      <w:r>
        <w:rPr>
          <w:rFonts w:ascii="黑体" w:eastAsia="黑体"/>
          <w:bCs/>
          <w:color w:val="000000"/>
          <w:sz w:val="28"/>
          <w:szCs w:val="28"/>
          <w:highlight w:val="none"/>
        </w:rPr>
      </w:r>
      <w:r/>
    </w:p>
    <w:p>
      <w:pPr>
        <w:pStyle w:val="891"/>
        <w:ind w:firstLine="480"/>
        <w:shd w:val="clear" w:color="auto" w:fill="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JSZC-320214-JZCG-G2026-0054</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1"/>
              <w:jc w:val="center"/>
              <w:shd w:val="clear" w:color="auto" w:fill="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891"/>
              <w:jc w:val="center"/>
              <w:shd w:val="clear" w:color="auto" w:fill="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891"/>
              <w:jc w:val="center"/>
              <w:shd w:val="clear" w:color="auto" w:fill="auto"/>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891"/>
              <w:jc w:val="center"/>
              <w:shd w:val="clear" w:color="auto" w:fill="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891"/>
              <w:jc w:val="center"/>
              <w:shd w:val="clear" w:color="auto" w:fill="auto"/>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891"/>
              <w:jc w:val="center"/>
              <w:shd w:val="clear" w:color="auto" w:fill="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891"/>
              <w:jc w:val="center"/>
              <w:shd w:val="clear" w:color="auto" w:fill="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891"/>
              <w:jc w:val="center"/>
              <w:shd w:val="clear" w:color="auto" w:fill="auto"/>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891"/>
              <w:jc w:val="center"/>
              <w:shd w:val="clear" w:color="auto" w:fill="auto"/>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891"/>
              <w:jc w:val="center"/>
              <w:shd w:val="clear" w:color="auto" w:fill="auto"/>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shd w:val="clear" w:color="auto" w:fill="auto"/>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1"/>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1"/>
              <w:jc w:val="center"/>
              <w:shd w:val="clear" w:color="auto" w:fill="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91"/>
        <w:shd w:val="clear" w:color="auto" w:fill="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91"/>
        <w:shd w:val="clear" w:color="auto" w:fill="auto"/>
        <w:rPr>
          <w:rFonts w:hint="eastAsia" w:ascii="宋体" w:hAnsi="宋体"/>
          <w:bCs/>
          <w:color w:val="000000"/>
          <w:highlight w:val="none"/>
        </w:rPr>
      </w:pPr>
      <w:r>
        <w:rPr>
          <w:rFonts w:hint="eastAsia" w:ascii="宋体" w:hAnsi="宋体"/>
          <w:bCs/>
          <w:color w:val="000000"/>
          <w:highlight w:val="none"/>
        </w:rPr>
      </w:r>
      <w:r/>
    </w:p>
    <w:p>
      <w:pPr>
        <w:pStyle w:val="891"/>
        <w:shd w:val="clear" w:color="auto" w:fill="auto"/>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891"/>
        <w:shd w:val="clear" w:color="auto" w:fill="auto"/>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91"/>
        <w:shd w:val="clear" w:color="auto" w:fill="auto"/>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91"/>
        <w:shd w:val="clear" w:color="auto" w:fill="auto"/>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１５</w:t>
    </w:r>
    <w:r>
      <w:rPr>
        <w:rFonts w:ascii="宋体" w:hAnsi="宋体"/>
      </w:rPr>
      <w:fldChar w:fldCharType="end"/>
    </w:r>
    <w:r>
      <w:rPr>
        <w:rStyle w:val="964"/>
        <w:rFonts w:ascii="宋体" w:hAnsi="宋体"/>
      </w:rPr>
    </w:r>
    <w:r/>
  </w:p>
  <w:p>
    <w:pPr>
      <w:pStyle w:val="939"/>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2"/>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1"/>
        <w:ind w:left="2250" w:hanging="420"/>
        <w:tabs>
          <w:tab w:val="num" w:pos="2250" w:leader="none"/>
        </w:tabs>
      </w:pPr>
      <w:rPr>
        <w:rFonts w:hint="eastAsia"/>
        <w:b/>
        <w:lang w:val="en-US"/>
      </w:rPr>
    </w:lvl>
    <w:lvl w:ilvl="5">
      <w:start w:val="10"/>
      <w:numFmt w:val="japaneseCounting"/>
      <w:isLgl w:val="false"/>
      <w:suff w:val="tab"/>
      <w:lvlText w:val="（%6）"/>
      <w:lvlJc w:val="left"/>
      <w:pPr>
        <w:pStyle w:val="891"/>
        <w:ind w:left="2970" w:hanging="720"/>
      </w:pPr>
      <w:rPr>
        <w:rFonts w:cs="Times New Roman"/>
      </w:rPr>
    </w:lvl>
    <w:lvl w:ilvl="6">
      <w:start w:val="1"/>
      <w:numFmt w:val="decimal"/>
      <w:isLgl w:val="false"/>
      <w:suff w:val="tab"/>
      <w:lvlText w:val="（%7）"/>
      <w:lvlJc w:val="left"/>
      <w:pPr>
        <w:pStyle w:val="89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cs="Times New Roman"/>
      </w:rPr>
    </w:lvl>
    <w:lvl w:ilvl="8">
      <w:start w:val="1"/>
      <w:numFmt w:val="lowerRoman"/>
      <w:isLgl w:val="false"/>
      <w:suff w:val="tab"/>
      <w:lvlText w:val="%9."/>
      <w:lvlJc w:val="right"/>
      <w:pPr>
        <w:pStyle w:val="891"/>
        <w:ind w:left="3930" w:hanging="420"/>
        <w:tabs>
          <w:tab w:val="num" w:pos="3930" w:leader="none"/>
        </w:tabs>
      </w:pPr>
      <w:rPr>
        <w:rFonts w:cs="Times New Roman"/>
      </w:rPr>
    </w:lvl>
  </w:abstractNum>
  <w:abstractNum w:abstractNumId="7">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9"/>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num w:numId="1">
    <w:abstractNumId w:val="10"/>
  </w:num>
  <w:num w:numId="2">
    <w:abstractNumId w:val="5"/>
  </w:num>
  <w:num w:numId="3">
    <w:abstractNumId w:val="8"/>
  </w:num>
  <w:num w:numId="4">
    <w:abstractNumId w:val="13"/>
  </w:num>
  <w:num w:numId="5">
    <w:abstractNumId w:val="7"/>
  </w:num>
  <w:num w:numId="6">
    <w:abstractNumId w:val="1"/>
  </w:num>
  <w:num w:numId="7">
    <w:abstractNumId w:val="14"/>
  </w:num>
  <w:num w:numId="8">
    <w:abstractNumId w:val="9"/>
  </w:num>
  <w:num w:numId="9">
    <w:abstractNumId w:val="2"/>
  </w:num>
  <w:num w:numId="10">
    <w:abstractNumId w:val="6"/>
  </w:num>
  <w:num w:numId="11">
    <w:abstractNumId w:val="3"/>
  </w:num>
  <w:num w:numId="12">
    <w:abstractNumId w:val="12"/>
  </w:num>
  <w:num w:numId="13">
    <w:abstractNumId w:val="0"/>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6"/>
    <w:link w:val="908"/>
    <w:qFormat/>
    <w:pPr>
      <w:keepLines/>
      <w:keepNext/>
      <w:spacing w:before="260" w:after="260" w:line="416" w:lineRule="auto"/>
      <w:outlineLvl w:val="2"/>
    </w:pPr>
    <w:rPr>
      <w:b/>
      <w:bCs/>
      <w:sz w:val="32"/>
      <w:szCs w:val="32"/>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6"/>
    <w:link w:val="910"/>
    <w:qFormat/>
    <w:pPr>
      <w:keepNext/>
      <w:outlineLvl w:val="4"/>
    </w:pPr>
    <w:rPr>
      <w:rFonts w:ascii="宋体"/>
      <w:color w:val="000000"/>
      <w:sz w:val="28"/>
      <w:szCs w:val="28"/>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文本11"/>
    <w:next w:val="903"/>
    <w:link w:val="891"/>
    <w:qFormat/>
    <w:pPr>
      <w:jc w:val="both"/>
      <w:widowControl w:val="off"/>
    </w:pPr>
    <w:rPr>
      <w:rFonts w:ascii="Times New Roman" w:hAnsi="Times New Roman" w:eastAsia="宋体" w:cs="Times New Roman"/>
      <w:sz w:val="18"/>
      <w:lang w:val="en-US" w:eastAsia="zh-CN" w:bidi="ar-SA"/>
    </w:rPr>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pPr>
      <w:jc w:val="left"/>
      <w:tabs>
        <w:tab w:val="center" w:pos="4153" w:leader="none"/>
        <w:tab w:val="right" w:pos="8306" w:leader="none"/>
      </w:tabs>
    </w:pPr>
    <w:rPr>
      <w:sz w:val="18"/>
      <w:szCs w:val="18"/>
    </w:rPr>
  </w:style>
  <w:style w:type="character" w:styleId="940">
    <w:name w:val="页脚 Char"/>
    <w:next w:val="940"/>
    <w:link w:val="939"/>
    <w:rPr>
      <w:rFonts w:ascii="Times New Roman" w:hAnsi="Times New Roman" w:eastAsia="宋体" w:cs="Times New Roman"/>
      <w:sz w:val="18"/>
      <w:szCs w:val="18"/>
    </w:rPr>
  </w:style>
  <w:style w:type="paragraph" w:styleId="941">
    <w:name w:val="页眉"/>
    <w:basedOn w:val="891"/>
    <w:next w:val="941"/>
    <w:link w:val="942"/>
    <w:uiPriority w:val="99"/>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uiPriority w:val="99"/>
    <w:qFormat/>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HTML 打字机"/>
    <w:next w:val="966"/>
    <w:link w:val="891"/>
    <w:uiPriority w:val="99"/>
    <w:rPr>
      <w:rFonts w:ascii="宋体" w:hAnsi="宋体" w:eastAsia="宋体" w:cs="宋体"/>
      <w:sz w:val="24"/>
      <w:szCs w:val="24"/>
    </w:rPr>
  </w:style>
  <w:style w:type="character" w:styleId="967">
    <w:name w:val="超链接"/>
    <w:next w:val="967"/>
    <w:link w:val="891"/>
    <w:rPr>
      <w:color w:val="0000ff"/>
      <w:u w:val="single"/>
    </w:rPr>
  </w:style>
  <w:style w:type="character" w:styleId="968">
    <w:name w:val="批注引用"/>
    <w:basedOn w:val="901"/>
    <w:next w:val="968"/>
    <w:link w:val="891"/>
    <w:semiHidden/>
    <w:rPr>
      <w:sz w:val="21"/>
      <w:szCs w:val="21"/>
    </w:rPr>
  </w:style>
  <w:style w:type="paragraph" w:styleId="969">
    <w:name w:val="正文文本1"/>
    <w:basedOn w:val="891"/>
    <w:next w:val="969"/>
    <w:link w:val="891"/>
    <w:qFormat/>
    <w:rPr>
      <w:rFonts w:ascii="楷体_GB2312" w:hAnsi="Arial" w:eastAsia="楷体_GB2312"/>
      <w:sz w:val="28"/>
      <w:szCs w:val="28"/>
    </w:rPr>
  </w:style>
  <w:style w:type="character" w:styleId="970">
    <w:name w:val="font5 Char"/>
    <w:next w:val="970"/>
    <w:link w:val="891"/>
    <w:rPr>
      <w:rFonts w:ascii="宋体" w:hAnsi="宋体" w:eastAsia="宋体"/>
      <w:sz w:val="28"/>
      <w:szCs w:val="28"/>
      <w:lang w:val="en-US" w:eastAsia="zh-CN" w:bidi="ar-SA"/>
    </w:rPr>
  </w:style>
  <w:style w:type="character" w:styleId="971">
    <w:name w:val="二级目录 Char"/>
    <w:next w:val="971"/>
    <w:link w:val="972"/>
    <w:rPr>
      <w:b/>
      <w:sz w:val="30"/>
      <w:szCs w:val="28"/>
      <w:lang w:val="en-US" w:eastAsia="zh-CN" w:bidi="ar-SA"/>
    </w:rPr>
  </w:style>
  <w:style w:type="paragraph" w:styleId="972">
    <w:name w:val="二级目录"/>
    <w:next w:val="891"/>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1"/>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1"/>
    <w:next w:val="923"/>
    <w:link w:val="891"/>
    <w:pPr>
      <w:spacing w:after="120"/>
    </w:pPr>
    <w:rPr>
      <w:rFonts w:ascii="宋体" w:hAnsi="Arial"/>
      <w:bCs/>
      <w:iCs/>
      <w:szCs w:val="24"/>
    </w:rPr>
  </w:style>
  <w:style w:type="paragraph" w:styleId="976">
    <w:name w:val="xl27"/>
    <w:basedOn w:val="891"/>
    <w:next w:val="976"/>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91"/>
    <w:next w:val="977"/>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91"/>
    <w:next w:val="978"/>
    <w:link w:val="891"/>
    <w:pPr>
      <w:ind w:firstLine="200"/>
      <w:tabs>
        <w:tab w:val="left" w:pos="360" w:leader="none"/>
      </w:tabs>
    </w:pPr>
    <w:rPr>
      <w:sz w:val="28"/>
      <w:szCs w:val="30"/>
    </w:rPr>
  </w:style>
  <w:style w:type="paragraph" w:styleId="979">
    <w:name w:val=" Char"/>
    <w:basedOn w:val="917"/>
    <w:next w:val="979"/>
    <w:link w:val="891"/>
    <w:rPr>
      <w:rFonts w:ascii="Tahoma" w:hAnsi="Tahoma"/>
      <w:sz w:val="24"/>
      <w:szCs w:val="24"/>
    </w:rPr>
  </w:style>
  <w:style w:type="paragraph" w:styleId="980">
    <w:name w:val="普通正文"/>
    <w:basedOn w:val="891"/>
    <w:next w:val="980"/>
    <w:link w:val="891"/>
    <w:pPr>
      <w:ind w:firstLine="480"/>
      <w:jc w:val="left"/>
      <w:spacing w:before="120" w:after="120" w:line="360" w:lineRule="auto"/>
    </w:pPr>
    <w:rPr>
      <w:rFonts w:ascii="Arial" w:hAnsi="Arial"/>
      <w:sz w:val="24"/>
      <w:szCs w:val="24"/>
    </w:rPr>
  </w:style>
  <w:style w:type="paragraph" w:styleId="981">
    <w:name w:val="table_lines"/>
    <w:basedOn w:val="891"/>
    <w:next w:val="981"/>
    <w:link w:val="891"/>
    <w:pPr>
      <w:jc w:val="left"/>
      <w:widowControl/>
    </w:pPr>
    <w:rPr>
      <w:sz w:val="20"/>
      <w:szCs w:val="20"/>
      <w:lang w:val="de-DE" w:eastAsia="de-DE"/>
    </w:rPr>
  </w:style>
  <w:style w:type="paragraph" w:styleId="982">
    <w:name w:val="附录1"/>
    <w:next w:val="982"/>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91"/>
    <w:next w:val="983"/>
    <w:link w:val="891"/>
    <w:pPr>
      <w:jc w:val="left"/>
      <w:spacing w:before="100" w:beforeAutospacing="1" w:after="100" w:afterAutospacing="1"/>
      <w:widowControl/>
    </w:pPr>
    <w:rPr>
      <w:rFonts w:hint="eastAsia" w:ascii="宋体" w:hAnsi="宋体"/>
      <w:sz w:val="18"/>
      <w:szCs w:val="18"/>
    </w:rPr>
  </w:style>
  <w:style w:type="paragraph" w:styleId="984">
    <w:name w:val=" Char Char Char Char"/>
    <w:basedOn w:val="917"/>
    <w:next w:val="984"/>
    <w:link w:val="891"/>
    <w:pPr>
      <w:spacing w:line="360" w:lineRule="auto"/>
    </w:pPr>
    <w:rPr>
      <w:rFonts w:ascii="Tahoma" w:hAnsi="Tahoma"/>
      <w:sz w:val="24"/>
      <w:szCs w:val="24"/>
    </w:rPr>
  </w:style>
  <w:style w:type="paragraph" w:styleId="985">
    <w:name w:val="列出段落"/>
    <w:basedOn w:val="891"/>
    <w:next w:val="985"/>
    <w:link w:val="891"/>
    <w:uiPriority w:val="99"/>
    <w:qFormat/>
    <w:pPr>
      <w:contextualSpacing/>
      <w:ind w:left="720"/>
      <w:jc w:val="left"/>
      <w:widowControl/>
    </w:pPr>
    <w:rPr>
      <w:rFonts w:ascii="Calibri" w:hAnsi="Calibri"/>
      <w:sz w:val="24"/>
      <w:szCs w:val="24"/>
      <w:lang w:eastAsia="en-US" w:bidi="en-US"/>
    </w:rPr>
  </w:style>
  <w:style w:type="paragraph" w:styleId="986">
    <w:name w:val="4"/>
    <w:basedOn w:val="891"/>
    <w:next w:val="947"/>
    <w:link w:val="891"/>
    <w:pPr>
      <w:ind w:firstLine="420"/>
      <w:spacing w:line="360" w:lineRule="auto"/>
    </w:pPr>
    <w:rPr>
      <w:color w:val="ff0000"/>
      <w:sz w:val="24"/>
      <w:szCs w:val="24"/>
    </w:rPr>
  </w:style>
  <w:style w:type="paragraph" w:styleId="987">
    <w:name w:val="普通 (Web)"/>
    <w:basedOn w:val="891"/>
    <w:next w:val="987"/>
    <w:link w:val="891"/>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91"/>
    <w:next w:val="988"/>
    <w:link w:val="891"/>
    <w:pPr>
      <w:spacing w:line="360" w:lineRule="auto"/>
    </w:pPr>
    <w:rPr>
      <w:sz w:val="24"/>
      <w:szCs w:val="20"/>
    </w:rPr>
  </w:style>
  <w:style w:type="paragraph" w:styleId="989">
    <w:name w:val="样式1"/>
    <w:basedOn w:val="891"/>
    <w:next w:val="989"/>
    <w:link w:val="891"/>
    <w:pPr>
      <w:numPr>
        <w:ilvl w:val="0"/>
        <w:numId w:val="3"/>
      </w:numPr>
      <w:tabs>
        <w:tab w:val="left" w:pos="709" w:leader="none"/>
      </w:tabs>
    </w:pPr>
    <w:rPr>
      <w:rFonts w:ascii="宋体" w:hAnsi="宋体"/>
    </w:rPr>
  </w:style>
  <w:style w:type="paragraph" w:styleId="990">
    <w:name w:val="font6"/>
    <w:basedOn w:val="891"/>
    <w:next w:val="990"/>
    <w:link w:val="891"/>
    <w:pPr>
      <w:jc w:val="left"/>
      <w:spacing w:before="100" w:beforeAutospacing="1" w:after="100" w:afterAutospacing="1"/>
      <w:widowControl/>
    </w:pPr>
    <w:rPr>
      <w:rFonts w:hint="eastAsia" w:ascii="宋体" w:hAnsi="宋体"/>
      <w:sz w:val="28"/>
      <w:szCs w:val="28"/>
      <w:u w:val="single"/>
    </w:rPr>
  </w:style>
  <w:style w:type="paragraph" w:styleId="991">
    <w:name w:val="xl25"/>
    <w:basedOn w:val="891"/>
    <w:next w:val="991"/>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91"/>
    <w:next w:val="891"/>
    <w:link w:val="891"/>
    <w:pPr>
      <w:ind w:firstLine="624"/>
      <w:spacing w:line="590" w:lineRule="atLeast"/>
    </w:pPr>
    <w:rPr>
      <w:rFonts w:ascii="方正黑体_GBK" w:eastAsia="方正黑体_GBK"/>
      <w:sz w:val="32"/>
      <w:szCs w:val="32"/>
    </w:rPr>
  </w:style>
  <w:style w:type="paragraph" w:styleId="994">
    <w:name w:val="xl24"/>
    <w:basedOn w:val="891"/>
    <w:next w:val="994"/>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1"/>
    <w:next w:val="995"/>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1"/>
    <w:next w:val="996"/>
    <w:link w:val="891"/>
    <w:pPr>
      <w:jc w:val="left"/>
      <w:spacing w:after="160" w:line="240" w:lineRule="exact"/>
      <w:widowControl/>
    </w:pPr>
    <w:rPr>
      <w:rFonts w:ascii="Verdana" w:hAnsi="Verdana"/>
      <w:sz w:val="20"/>
      <w:szCs w:val="20"/>
      <w:lang w:eastAsia="en-US"/>
    </w:rPr>
  </w:style>
  <w:style w:type="paragraph" w:styleId="997">
    <w:name w:val="xl28"/>
    <w:basedOn w:val="891"/>
    <w:next w:val="997"/>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91"/>
    <w:next w:val="998"/>
    <w:link w:val="891"/>
    <w:pPr>
      <w:jc w:val="left"/>
      <w:spacing w:after="160" w:line="240" w:lineRule="exact"/>
      <w:widowControl/>
    </w:pPr>
    <w:rPr>
      <w:rFonts w:ascii="Verdana" w:hAnsi="Verdana"/>
      <w:sz w:val="20"/>
      <w:szCs w:val="20"/>
      <w:lang w:eastAsia="en-US"/>
    </w:rPr>
  </w:style>
  <w:style w:type="paragraph" w:styleId="999">
    <w:name w:val="xl30"/>
    <w:basedOn w:val="891"/>
    <w:next w:val="999"/>
    <w:link w:val="891"/>
    <w:pPr>
      <w:jc w:val="center"/>
      <w:spacing w:before="100" w:beforeAutospacing="1" w:after="100" w:afterAutospacing="1"/>
      <w:widowControl/>
    </w:pPr>
    <w:rPr>
      <w:rFonts w:ascii="宋体" w:hAnsi="宋体"/>
      <w:b/>
      <w:bCs/>
      <w:sz w:val="36"/>
      <w:szCs w:val="36"/>
    </w:rPr>
  </w:style>
  <w:style w:type="paragraph" w:styleId="1000">
    <w:name w:val="Char Char Char Char"/>
    <w:basedOn w:val="917"/>
    <w:next w:val="1000"/>
    <w:link w:val="891"/>
    <w:pPr>
      <w:spacing w:line="360" w:lineRule="auto"/>
    </w:pPr>
    <w:rPr>
      <w:rFonts w:ascii="Tahoma" w:hAnsi="Tahoma"/>
      <w:sz w:val="24"/>
      <w:szCs w:val="24"/>
    </w:rPr>
  </w:style>
  <w:style w:type="paragraph" w:styleId="1001">
    <w:name w:val="table_1stline"/>
    <w:basedOn w:val="891"/>
    <w:next w:val="1001"/>
    <w:link w:val="891"/>
    <w:pPr>
      <w:jc w:val="left"/>
      <w:spacing w:before="120"/>
      <w:widowControl/>
    </w:pPr>
    <w:rPr>
      <w:bCs/>
      <w:sz w:val="20"/>
      <w:szCs w:val="20"/>
      <w:lang w:val="de-DE" w:eastAsia="de-DE"/>
    </w:rPr>
  </w:style>
  <w:style w:type="paragraph" w:styleId="1002">
    <w:name w:val="font5"/>
    <w:basedOn w:val="891"/>
    <w:next w:val="1002"/>
    <w:link w:val="891"/>
    <w:pPr>
      <w:jc w:val="left"/>
      <w:spacing w:before="100" w:beforeAutospacing="1" w:after="100" w:afterAutospacing="1"/>
      <w:widowControl/>
    </w:pPr>
    <w:rPr>
      <w:rFonts w:hint="eastAsia" w:ascii="宋体" w:hAnsi="宋体"/>
      <w:sz w:val="28"/>
      <w:szCs w:val="28"/>
    </w:rPr>
  </w:style>
  <w:style w:type="paragraph" w:styleId="1003">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91"/>
    <w:uiPriority w:val="99"/>
    <w:semiHidden/>
    <w:rPr>
      <w:rFonts w:ascii="Times New Roman" w:hAnsi="Times New Roman"/>
      <w:sz w:val="21"/>
      <w:szCs w:val="21"/>
      <w:lang w:val="en-US" w:eastAsia="zh-CN" w:bidi="ar-SA"/>
    </w:rPr>
  </w:style>
  <w:style w:type="paragraph" w:styleId="1005">
    <w:name w:val="无间隔"/>
    <w:next w:val="1005"/>
    <w:link w:val="891"/>
    <w:uiPriority w:val="99"/>
    <w:qFormat/>
    <w:pPr>
      <w:jc w:val="both"/>
      <w:widowControl w:val="off"/>
    </w:pPr>
    <w:rPr>
      <w:rFonts w:ascii="Times New Roman" w:hAnsi="Times New Roman"/>
      <w:sz w:val="21"/>
      <w:szCs w:val="21"/>
      <w:lang w:val="en-US" w:eastAsia="zh-CN" w:bidi="ar-SA"/>
    </w:rPr>
  </w:style>
  <w:style w:type="paragraph" w:styleId="1006">
    <w:name w:val="普通文字"/>
    <w:basedOn w:val="891"/>
    <w:next w:val="891"/>
    <w:link w:val="891"/>
    <w:uiPriority w:val="99"/>
    <w:rPr>
      <w:rFonts w:ascii="宋体" w:hAnsi="Times New Roman" w:eastAsia="宋体" w:cs="Times New Roman"/>
      <w:sz w:val="24"/>
      <w:szCs w:val="20"/>
      <w:u w:val="none"/>
    </w:rPr>
  </w:style>
  <w:style w:type="paragraph" w:styleId="1007">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table" w:styleId="1008">
    <w:name w:val="Table Normal"/>
    <w:next w:val="1008"/>
    <w:link w:val="891"/>
    <w:unhideWhenUsed/>
    <w:qFormat/>
    <w:rPr>
      <w:rFonts w:ascii="Arial" w:hAnsi="Arial" w:cs="Arial"/>
      <w:color w:val="000000"/>
      <w:szCs w:val="21"/>
      <w:lang w:eastAsia="en-US"/>
    </w:rPr>
    <w:tblPr/>
  </w:style>
  <w:style w:type="paragraph" w:styleId="1009">
    <w:name w:val="Table Text"/>
    <w:basedOn w:val="891"/>
    <w:next w:val="1009"/>
    <w:link w:val="891"/>
    <w:semiHidden/>
    <w:qFormat/>
    <w:pPr>
      <w:jc w:val="left"/>
      <w:widowControl/>
    </w:pPr>
    <w:rPr>
      <w:rFonts w:ascii="宋体" w:hAnsi="宋体" w:cs="宋体"/>
      <w:color w:val="000000"/>
      <w:szCs w:val="21"/>
      <w:lang w:eastAsia="en-US"/>
    </w:rPr>
  </w:style>
  <w:style w:type="character" w:styleId="1010">
    <w:name w:val="font21"/>
    <w:basedOn w:val="901"/>
    <w:next w:val="1010"/>
    <w:link w:val="891"/>
    <w:qFormat/>
    <w:rPr>
      <w:rFonts w:hint="eastAsia" w:ascii="宋体" w:hAnsi="宋体" w:eastAsia="宋体" w:cs="宋体"/>
      <w:b/>
      <w:bCs/>
      <w:color w:val="000000"/>
      <w:sz w:val="24"/>
      <w:szCs w:val="24"/>
      <w:u w:val="none"/>
    </w:rPr>
  </w:style>
  <w:style w:type="character" w:styleId="1011">
    <w:name w:val="font31"/>
    <w:basedOn w:val="901"/>
    <w:next w:val="1011"/>
    <w:link w:val="891"/>
    <w:qFormat/>
    <w:rPr>
      <w:rFonts w:hint="eastAsia" w:ascii="宋体" w:hAnsi="宋体" w:eastAsia="宋体" w:cs="宋体"/>
      <w:color w:val="000000"/>
      <w:sz w:val="24"/>
      <w:szCs w:val="24"/>
      <w:u w:val="none"/>
    </w:rPr>
  </w:style>
  <w:style w:type="character" w:styleId="1012">
    <w:name w:val="font101"/>
    <w:basedOn w:val="901"/>
    <w:next w:val="1012"/>
    <w:link w:val="891"/>
    <w:qFormat/>
    <w:rPr>
      <w:rFonts w:hint="eastAsia" w:ascii="宋体" w:hAnsi="宋体" w:eastAsia="宋体" w:cs="宋体"/>
      <w:b/>
      <w:bCs/>
      <w:color w:val="000000"/>
      <w:sz w:val="24"/>
      <w:szCs w:val="24"/>
      <w:u w:val="none"/>
    </w:rPr>
  </w:style>
  <w:style w:type="character" w:styleId="1013">
    <w:name w:val="font61"/>
    <w:basedOn w:val="901"/>
    <w:next w:val="1013"/>
    <w:link w:val="891"/>
    <w:qFormat/>
    <w:rPr>
      <w:rFonts w:hint="eastAsia" w:ascii="宋体" w:hAnsi="宋体" w:eastAsia="宋体" w:cs="宋体"/>
      <w:color w:val="000000"/>
      <w:sz w:val="24"/>
      <w:szCs w:val="24"/>
      <w:u w:val="none"/>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64</cp:revision>
  <dcterms:created xsi:type="dcterms:W3CDTF">2023-03-16T02:16:00Z</dcterms:created>
  <dcterms:modified xsi:type="dcterms:W3CDTF">2026-07-20T08:17:50Z</dcterms:modified>
</cp:coreProperties>
</file>