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jc w:val="left"/>
        <w:spacing w:line="288" w:lineRule="auto"/>
        <w:rPr>
          <w:rFonts w:hint="eastAsia" w:ascii="宋体" w:hAnsi="宋体" w:cs="宋体"/>
          <w:sz w:val="100"/>
          <w:szCs w:val="100"/>
          <w:lang w:val="zh-CN"/>
        </w:rPr>
      </w:pPr>
      <w:r>
        <w:rPr>
          <w:rFonts w:hint="eastAsia" w:ascii="宋体" w:hAnsi="宋体" w:cs="宋体"/>
          <w:sz w:val="100"/>
          <w:szCs w:val="100"/>
          <w:lang w:val="zh-CN"/>
        </w:rPr>
        <w:t xml:space="preserve">   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JSZC-320114-XYJT-G2026-0003</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雨花台区多校课</w:t>
            </w:r>
            <w:r>
              <w:rPr>
                <w:rFonts w:ascii="宋体" w:hAnsi="宋体" w:cs="宋体"/>
                <w:color w:val="000000"/>
                <w:sz w:val="44"/>
                <w:szCs w:val="44"/>
              </w:rPr>
              <w:t xml:space="preserve">桌椅设备项目</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八</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雨花台区多校课</w:t>
      </w:r>
      <w:r>
        <w:rPr>
          <w:rFonts w:ascii="宋体" w:hAnsi="宋体" w:cs="宋体"/>
        </w:rPr>
        <w:t xml:space="preserve">桌椅设备项目JSZC-320114-XYJT-G2026-0003</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”系统获取招标文件，并于</w:t>
      </w:r>
      <w:bookmarkStart w:id="0" w:name="OLE_LINK8"/>
      <w:r>
        <w:rPr>
          <w:rFonts w:hint="eastAsia" w:ascii="宋体" w:hAnsi="宋体" w:cs="宋体"/>
          <w:u w:val="single"/>
        </w:rPr>
        <w:t xml:space="preserve">2026</w:t>
      </w:r>
      <w:r>
        <w:rPr>
          <w:rFonts w:hint="eastAsia" w:ascii="宋体" w:hAnsi="宋体" w:cs="宋体"/>
          <w:bCs/>
          <w:u w:val="single"/>
        </w:rPr>
        <w:t xml:space="preserve">年9月</w:t>
      </w:r>
      <w:r>
        <w:rPr>
          <w:rFonts w:hint="eastAsia" w:ascii="宋体" w:hAnsi="宋体" w:cs="宋体"/>
          <w:bCs/>
          <w:u w:val="single"/>
        </w:rPr>
        <w:t xml:space="preserve">1</w:t>
      </w:r>
      <w:r>
        <w:rPr>
          <w:rFonts w:hint="eastAsia" w:ascii="宋体" w:hAnsi="宋体" w:cs="宋体"/>
          <w:bCs/>
          <w:u w:val="single"/>
        </w:rPr>
        <w:t xml:space="preserve">日14：30</w:t>
      </w:r>
      <w:bookmarkEnd w:id="0"/>
      <w:r>
        <w:rPr>
          <w:rFonts w:hint="eastAsia" w:ascii="宋体" w:hAnsi="宋体" w:cs="宋体"/>
          <w:bCs/>
        </w:rPr>
        <w:t xml:space="preserve">（北京</w:t>
      </w:r>
      <w:r>
        <w:rPr>
          <w:rFonts w:hint="eastAsia" w:ascii="宋体" w:hAnsi="宋体" w:cs="宋体"/>
          <w:bCs/>
        </w:rPr>
        <w:t xml:space="preserve">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06"/>
        <w:spacing w:before="0" w:after="0" w:line="288" w:lineRule="auto"/>
        <w:rPr>
          <w:rFonts w:hint="eastAsia" w:cs="宋体"/>
          <w:szCs w:val="21"/>
        </w:rPr>
      </w:pPr>
      <w:r/>
      <w:bookmarkStart w:id="1" w:name="_Toc28359079"/>
      <w:r/>
      <w:bookmarkStart w:id="2" w:name="_Toc35393790"/>
      <w:r/>
      <w:bookmarkStart w:id="3" w:name="_Toc35393621"/>
      <w:r/>
      <w:bookmarkStart w:id="4" w:name="_Toc28359002"/>
      <w:r/>
      <w:bookmarkStart w:id="5" w:name="_Hlk24379207"/>
      <w:r>
        <w:rPr>
          <w:rFonts w:hint="eastAsia" w:cs="宋体"/>
          <w:szCs w:val="21"/>
        </w:rPr>
        <w:t xml:space="preserve">一、项目基本情况</w:t>
      </w:r>
      <w:bookmarkEnd w:id="1"/>
      <w:r/>
      <w:bookmarkEnd w:id="2"/>
      <w:r/>
      <w:bookmarkEnd w:id="3"/>
      <w:r/>
      <w:bookmarkEnd w:id="4"/>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JSZC-320114-XYJT-G2026-0003</w:t>
      </w:r>
      <w:r/>
    </w:p>
    <w:p>
      <w:pPr>
        <w:ind w:firstLine="420"/>
        <w:spacing w:line="288" w:lineRule="auto"/>
        <w:rPr>
          <w:rFonts w:hint="eastAsia" w:ascii="宋体" w:hAnsi="宋体" w:cs="宋体"/>
        </w:rPr>
      </w:pPr>
      <w:r>
        <w:rPr>
          <w:rFonts w:hint="eastAsia" w:ascii="宋体" w:hAnsi="宋体" w:cs="宋体"/>
        </w:rPr>
        <w:t xml:space="preserve">2.项目名称：</w:t>
      </w:r>
      <w:bookmarkEnd w:id="5"/>
      <w:r>
        <w:rPr>
          <w:rFonts w:ascii="宋体" w:hAnsi="宋体" w:cs="宋体"/>
        </w:rPr>
        <w:t xml:space="preserve">雨花台区多校课</w:t>
      </w:r>
      <w:r>
        <w:rPr>
          <w:rFonts w:ascii="宋体" w:hAnsi="宋体" w:cs="宋体"/>
        </w:rPr>
        <w:t xml:space="preserve">桌椅设备项目</w:t>
      </w:r>
      <w:r/>
    </w:p>
    <w:p>
      <w:pPr>
        <w:ind w:firstLine="420"/>
        <w:spacing w:line="288" w:lineRule="auto"/>
        <w:rPr>
          <w:rFonts w:hint="eastAsia" w:ascii="宋体" w:hAnsi="宋体" w:cs="宋体"/>
        </w:rPr>
      </w:pPr>
      <w:r>
        <w:rPr>
          <w:rFonts w:hint="eastAsia" w:ascii="宋体" w:hAnsi="宋体" w:cs="宋体"/>
        </w:rPr>
        <w:t xml:space="preserve">3.预算金额：290万元</w:t>
      </w:r>
      <w:r/>
    </w:p>
    <w:p>
      <w:pPr>
        <w:ind w:firstLine="420"/>
        <w:spacing w:line="288" w:lineRule="auto"/>
        <w:rPr>
          <w:rFonts w:hint="eastAsia" w:ascii="宋体" w:hAnsi="宋体" w:cs="宋体"/>
        </w:rPr>
      </w:pPr>
      <w:r>
        <w:rPr>
          <w:rFonts w:hint="eastAsia" w:ascii="宋体" w:hAnsi="宋体" w:cs="宋体"/>
        </w:rPr>
        <w:t xml:space="preserve">4.最高限价：2</w:t>
      </w:r>
      <w:r>
        <w:rPr>
          <w:rFonts w:hint="eastAsia" w:ascii="宋体" w:hAnsi="宋体" w:cs="宋体"/>
        </w:rPr>
        <w:t xml:space="preserve">89.98</w:t>
      </w:r>
      <w:r>
        <w:rPr>
          <w:rFonts w:hint="eastAsia" w:ascii="宋体" w:hAnsi="宋体" w:cs="宋体"/>
        </w:rPr>
        <w:t xml:space="preserve">万元（超出最高限价的报价，将作无效报价处理）</w:t>
      </w:r>
      <w:r/>
    </w:p>
    <w:p>
      <w:pPr>
        <w:ind w:firstLine="420"/>
        <w:spacing w:line="288" w:lineRule="auto"/>
        <w:rPr>
          <w:rFonts w:hint="eastAsia" w:ascii="宋体" w:hAnsi="宋体" w:cs="宋体"/>
        </w:rPr>
      </w:pPr>
      <w:r>
        <w:rPr>
          <w:rFonts w:hint="eastAsia" w:ascii="宋体" w:hAnsi="宋体" w:cs="宋体"/>
        </w:rPr>
        <w:t xml:space="preserve">5.采购需求：本项目为</w:t>
      </w:r>
      <w:r>
        <w:rPr>
          <w:rFonts w:ascii="宋体" w:hAnsi="宋体" w:cs="宋体"/>
        </w:rPr>
        <w:t xml:space="preserve">雨花台区多校课</w:t>
      </w:r>
      <w:r>
        <w:rPr>
          <w:rFonts w:ascii="宋体" w:hAnsi="宋体" w:cs="宋体"/>
        </w:rPr>
        <w:t xml:space="preserve">桌椅设备项目</w:t>
      </w:r>
      <w:r>
        <w:rPr>
          <w:rFonts w:hint="eastAsia" w:ascii="宋体" w:hAnsi="宋体" w:cs="宋体"/>
        </w:rPr>
        <w:t xml:space="preserve">，具体内容详见招标文件。</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706"/>
        <w:spacing w:before="0" w:after="0" w:line="288" w:lineRule="auto"/>
        <w:rPr>
          <w:rFonts w:hint="eastAsia" w:cs="宋体"/>
          <w:szCs w:val="21"/>
        </w:rPr>
      </w:pPr>
      <w:r/>
      <w:bookmarkStart w:id="7" w:name="_Toc28359003"/>
      <w:r/>
      <w:bookmarkStart w:id="8" w:name="_Toc35393791"/>
      <w:r/>
      <w:bookmarkStart w:id="9" w:name="_Toc35393622"/>
      <w:r/>
      <w:bookmarkStart w:id="10" w:name="_Toc28359080"/>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提供参加本次采购活动前上一年度财务审计报告或企业年度财务报表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（6）法律、行政法规规定的其他条件：无</w:t>
      </w:r>
      <w:r>
        <w:rPr>
          <w:rFonts w:hint="eastAsia" w:ascii="宋体" w:hAnsi="宋体" w:cs="宋体"/>
        </w:rPr>
        <w:t xml:space="preserve">。</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firstLine="422"/>
        <w:jc w:val="left"/>
        <w:spacing w:line="288" w:lineRule="auto"/>
        <w:widowControl/>
        <w:rPr>
          <w:rFonts w:hint="eastAsia" w:ascii="宋体" w:hAnsi="宋体" w:cs="宋体"/>
          <w:b/>
        </w:rPr>
      </w:pPr>
      <w:r>
        <w:rPr>
          <w:rFonts w:hint="eastAsia" w:ascii="宋体" w:hAnsi="宋体" w:cs="宋体"/>
          <w:b/>
        </w:rPr>
        <w:t xml:space="preserve">（三）本项目的特定资格要求：</w:t>
      </w:r>
      <w:r>
        <w:rPr>
          <w:rFonts w:ascii="宋体" w:hAnsi="宋体" w:cs="宋体"/>
        </w:rPr>
        <w:t xml:space="preserve">未被“信用中国”网站（www.creditchina.gov.cn）列入失信被执行人、重大税收违法案件当事人名单、政府采购严重失信行为记录名单</w:t>
      </w:r>
      <w:r>
        <w:rPr>
          <w:rFonts w:hint="eastAsia" w:ascii="宋体" w:hAnsi="宋体" w:cs="宋体"/>
        </w:rPr>
        <w:t xml:space="preserve">。</w:t>
      </w:r>
      <w:r>
        <w:rPr>
          <w:rFonts w:hint="eastAsia" w:ascii="宋体" w:hAnsi="宋体" w:cs="宋体"/>
        </w:rPr>
        <w:t xml:space="preserve">（提供网站截屏</w:t>
      </w:r>
      <w:r>
        <w:rPr>
          <w:rFonts w:hint="eastAsia" w:ascii="宋体" w:hAnsi="宋体" w:cs="宋体"/>
        </w:rPr>
        <w:t xml:space="preserve">）</w:t>
      </w:r>
      <w:r>
        <w:rPr>
          <w:rFonts w:hint="eastAsia" w:ascii="宋体" w:hAnsi="宋体" w:cs="宋体"/>
        </w:rPr>
      </w: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bookmarkStart w:id="17" w:name="OLE_LINK32"/>
      <w:r>
        <w:rPr>
          <w:rFonts w:hint="eastAsia" w:ascii="宋体" w:hAnsi="宋体" w:cs="宋体"/>
        </w:rPr>
        <w:t xml:space="preserve">；</w:t>
      </w:r>
      <w:bookmarkStart w:id="18" w:name="OLE_LINK13"/>
      <w:r>
        <w:rPr>
          <w:rFonts w:hint="eastAsia" w:ascii="宋体" w:hAnsi="宋体" w:cs="宋体"/>
        </w:rPr>
        <w:t xml:space="preserve">提供承诺书，格式自拟。</w:t>
      </w:r>
      <w:bookmarkEnd w:id="17"/>
      <w:r/>
      <w:bookmarkEnd w:id="18"/>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（2）凡为采购项目提供整体设计、规范编制或者项目管理、监理、检测等服务的供应商，不得再参加本项目的采购活动；提供承诺书，格式自拟。</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（3）凡列入市政府文件规定的国有资本退出领域(设计、施工、监理、养护、环卫、园林、审图、咨询)的企业，不得参加本项目的采购活动；提供承诺书，格式自拟。</w:t>
      </w:r>
      <w:r/>
    </w:p>
    <w:p>
      <w:pPr>
        <w:pStyle w:val="706"/>
        <w:spacing w:before="0" w:after="0" w:line="288" w:lineRule="auto"/>
        <w:rPr>
          <w:rFonts w:hint="eastAsia" w:cs="宋体"/>
          <w:szCs w:val="21"/>
        </w:rPr>
      </w:pPr>
      <w:r/>
      <w:bookmarkStart w:id="19" w:name="_Toc35393623"/>
      <w:r/>
      <w:bookmarkStart w:id="20" w:name="_Toc35393792"/>
      <w:r>
        <w:rPr>
          <w:rFonts w:hint="eastAsia" w:cs="宋体"/>
          <w:szCs w:val="21"/>
        </w:rPr>
        <w:t xml:space="preserve">三、获取招标文件</w:t>
      </w:r>
      <w:bookmarkEnd w:id="15"/>
      <w:r/>
      <w:bookmarkEnd w:id="16"/>
      <w:r/>
      <w:bookmarkEnd w:id="19"/>
      <w:r/>
      <w:bookmarkEnd w:id="20"/>
      <w:r/>
      <w:r/>
    </w:p>
    <w:p>
      <w:pPr>
        <w:ind w:firstLine="420"/>
        <w:spacing w:line="288" w:lineRule="auto"/>
        <w:rPr>
          <w:rFonts w:hint="eastAsia" w:ascii="宋体" w:hAnsi="宋体" w:cs="宋体"/>
        </w:rPr>
      </w:pPr>
      <w:r/>
      <w:bookmarkStart w:id="21" w:name="_Toc28359005"/>
      <w:r/>
      <w:bookmarkStart w:id="22" w:name="_Toc35393793"/>
      <w:r/>
      <w:bookmarkStart w:id="23" w:name="_Toc28359082"/>
      <w:r/>
      <w:bookmarkStart w:id="24"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u w:val="single"/>
        </w:rPr>
      </w:pPr>
      <w:r>
        <w:rPr>
          <w:rFonts w:hint="eastAsia" w:ascii="宋体" w:hAnsi="宋体" w:cs="宋体"/>
          <w:color w:val="000000"/>
        </w:rPr>
        <w:t xml:space="preserve">地点：</w:t>
      </w:r>
      <w:r>
        <w:rPr>
          <w:rFonts w:hint="eastAsia" w:ascii="宋体" w:hAnsi="宋体" w:cs="宋体"/>
        </w:rPr>
        <w:t xml:space="preserve">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06"/>
        <w:spacing w:before="0" w:after="0" w:line="288" w:lineRule="auto"/>
        <w:rPr>
          <w:rFonts w:hint="eastAsia" w:cs="宋体"/>
          <w:szCs w:val="21"/>
        </w:rPr>
      </w:pPr>
      <w:r/>
      <w:bookmarkStart w:id="25" w:name="_Toc35393633"/>
      <w:r/>
      <w:bookmarkStart w:id="26" w:name="_Toc28359016"/>
      <w:r/>
      <w:bookmarkStart w:id="27" w:name="_Toc35393802"/>
      <w:r/>
      <w:bookmarkStart w:id="28" w:name="_Toc28359093"/>
      <w:r/>
      <w:bookmarkEnd w:id="21"/>
      <w:r/>
      <w:bookmarkEnd w:id="22"/>
      <w:r/>
      <w:bookmarkEnd w:id="23"/>
      <w:r/>
      <w:bookmarkEnd w:id="24"/>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w:t>
      </w:r>
      <w:r>
        <w:rPr>
          <w:rFonts w:hint="eastAsia" w:ascii="宋体" w:hAnsi="宋体" w:cs="宋体"/>
        </w:rPr>
        <w:t xml:space="preserve">时间：</w:t>
      </w:r>
      <w:r>
        <w:rPr>
          <w:rFonts w:hint="eastAsia" w:ascii="宋体" w:hAnsi="宋体" w:cs="宋体"/>
        </w:rPr>
        <w:t xml:space="preserve">2026年9月1日14：30</w:t>
      </w:r>
      <w:r>
        <w:rPr>
          <w:rFonts w:hint="eastAsia" w:ascii="宋体" w:hAnsi="宋体" w:cs="宋体"/>
        </w:rPr>
        <w:t xml:space="preserve">（北京时间）</w:t>
      </w:r>
      <w:r/>
    </w:p>
    <w:p>
      <w:pPr>
        <w:ind w:firstLine="420"/>
        <w:spacing w:line="288" w:lineRule="auto"/>
        <w:rPr>
          <w:rFonts w:hint="eastAsia" w:ascii="宋体" w:hAnsi="宋体" w:cs="宋体"/>
        </w:rPr>
      </w:pPr>
      <w:r>
        <w:rPr>
          <w:rFonts w:hint="eastAsia" w:ascii="宋体" w:hAnsi="宋体" w:cs="宋体"/>
        </w:rPr>
        <w:t xml:space="preserve">开标时间：</w:t>
      </w:r>
      <w:r>
        <w:rPr>
          <w:rFonts w:hint="eastAsia" w:ascii="宋体" w:hAnsi="宋体" w:cs="宋体"/>
        </w:rPr>
        <w:t xml:space="preserve">2026年9月1日14：30</w:t>
      </w:r>
      <w:r>
        <w:rPr>
          <w:rFonts w:hint="eastAsia" w:ascii="宋体" w:hAnsi="宋体" w:cs="宋体"/>
        </w:rPr>
        <w:t xml:space="preserve">（北京时间）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w:t>
      </w:r>
      <w:r>
        <w:rPr>
          <w:rFonts w:hint="eastAsia" w:ascii="宋体" w:hAnsi="宋体" w:cs="宋体"/>
        </w:rPr>
        <w:t xml:space="preserve">采云</w:t>
      </w:r>
      <w:r>
        <w:rPr>
          <w:rFonts w:hint="eastAsia" w:ascii="宋体" w:hAnsi="宋体" w:cs="宋体"/>
        </w:rPr>
        <w:t xml:space="preserve">”系统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pStyle w:val="706"/>
        <w:spacing w:before="0" w:after="0" w:line="288" w:lineRule="auto"/>
        <w:rPr>
          <w:rFonts w:hint="eastAsia" w:cs="宋体"/>
          <w:szCs w:val="21"/>
        </w:rPr>
      </w:pPr>
      <w:r/>
      <w:bookmarkStart w:id="29" w:name="_Toc35393634"/>
      <w:r/>
      <w:bookmarkStart w:id="30" w:name="_Toc28359017"/>
      <w:r/>
      <w:bookmarkStart w:id="31" w:name="_Toc28359094"/>
      <w:r/>
      <w:bookmarkStart w:id="32" w:name="_Toc35393803"/>
      <w:r/>
      <w:bookmarkEnd w:id="25"/>
      <w:r/>
      <w:bookmarkEnd w:id="26"/>
      <w:r/>
      <w:bookmarkEnd w:id="27"/>
      <w:r/>
      <w:bookmarkEnd w:id="28"/>
      <w:r>
        <w:rPr>
          <w:rFonts w:hint="eastAsia" w:cs="宋体"/>
          <w:szCs w:val="21"/>
        </w:rPr>
        <w:t xml:space="preserve">五、公告期限</w:t>
      </w:r>
      <w:bookmarkEnd w:id="29"/>
      <w:r/>
      <w:bookmarkEnd w:id="30"/>
      <w:r/>
      <w:bookmarkEnd w:id="31"/>
      <w:r/>
      <w:bookmarkEnd w:id="32"/>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06"/>
        <w:spacing w:before="0" w:after="0" w:line="288" w:lineRule="auto"/>
        <w:rPr>
          <w:rFonts w:hint="eastAsia" w:cs="宋体"/>
          <w:szCs w:val="21"/>
        </w:rPr>
      </w:pPr>
      <w:r/>
      <w:bookmarkStart w:id="33" w:name="_Toc35393635"/>
      <w:r/>
      <w:bookmarkStart w:id="34" w:name="_Toc35393804"/>
      <w:r>
        <w:rPr>
          <w:rFonts w:hint="eastAsia" w:cs="宋体"/>
          <w:szCs w:val="21"/>
        </w:rPr>
        <w:t xml:space="preserve">六、其他补充事宜</w:t>
      </w:r>
      <w:bookmarkEnd w:id="33"/>
      <w:r/>
      <w:bookmarkEnd w:id="34"/>
      <w:r/>
      <w:r/>
    </w:p>
    <w:p>
      <w:pPr>
        <w:ind w:firstLine="480"/>
        <w:spacing w:line="288" w:lineRule="auto"/>
        <w:tabs>
          <w:tab w:val="left" w:pos="900" w:leader="none"/>
        </w:tabs>
        <w:rPr>
          <w:rFonts w:hint="eastAsia" w:ascii="宋体" w:hAnsi="宋体" w:cs="宋体"/>
          <w:bCs/>
          <w:color w:val="000000"/>
          <w:szCs w:val="21"/>
        </w:rPr>
      </w:pPr>
      <w:r/>
      <w:bookmarkStart w:id="35" w:name="_Toc35393796"/>
      <w:r/>
      <w:bookmarkStart w:id="36" w:name="_Toc35393627"/>
      <w:r/>
      <w:bookmarkStart w:id="37" w:name="_Toc28359008"/>
      <w:r/>
      <w:bookmarkStart w:id="38"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w:t>
      </w:r>
      <w:r>
        <w:rPr>
          <w:rFonts w:hint="eastAsia" w:ascii="宋体" w:hAnsi="宋体" w:cs="宋体"/>
          <w:color w:val="000000"/>
          <w:szCs w:val="21"/>
        </w:rPr>
        <w:t xml:space="preserve">采云</w:t>
      </w:r>
      <w:r>
        <w:rPr>
          <w:rFonts w:hint="eastAsia" w:ascii="宋体" w:hAnsi="宋体" w:cs="宋体"/>
          <w:color w:val="000000"/>
          <w:szCs w:val="21"/>
        </w:rPr>
        <w:t xml:space="preserve">系统参与政府采购项目，需要办理江苏省政府采购数字证书及电子签章，具体详见苏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系统登录页“新CA办理指南”。供应商按《苏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系统供应商操作手册》（以下简称“操作手册”）进行注册，并制作上传电子投标文件。《操作手册》</w:t>
      </w:r>
      <w:hyperlink r:id="rId12" w:tooltip="http://www.ccgp-jiangsu.gov.cn/jiangsu/zlxz/ee/ee3a4bc5a3454aa2b0d9312230633ce9.html" w:history="1">
        <w:r>
          <w:rPr>
            <w:rStyle w:val="975"/>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w:t>
      </w:r>
      <w:r>
        <w:rPr>
          <w:rFonts w:hint="eastAsia" w:ascii="宋体" w:hAnsi="宋体" w:cs="宋体"/>
          <w:bCs/>
          <w:color w:val="000000"/>
          <w:szCs w:val="21"/>
        </w:rPr>
        <w:t xml:space="preserve">宁财购通</w:t>
      </w:r>
      <w:r>
        <w:rPr>
          <w:rFonts w:hint="eastAsia" w:ascii="宋体" w:hAnsi="宋体" w:cs="宋体"/>
          <w:bCs/>
          <w:color w:val="000000"/>
          <w:szCs w:val="21"/>
        </w:rPr>
        <w:t xml:space="preserve">〔2021〕5号规定，参加南京地区政府采购活动的供应商，应以书面形式向采购人或政府采购代理机构</w:t>
      </w:r>
      <w:r>
        <w:rPr>
          <w:rFonts w:hint="eastAsia" w:ascii="宋体" w:hAnsi="宋体" w:cs="宋体"/>
          <w:bCs/>
          <w:color w:val="000000"/>
          <w:szCs w:val="21"/>
        </w:rPr>
        <w:t xml:space="preserve">作出</w:t>
      </w:r>
      <w:r>
        <w:rPr>
          <w:rFonts w:hint="eastAsia" w:ascii="宋体" w:hAnsi="宋体" w:cs="宋体"/>
          <w:bCs/>
          <w:color w:val="000000"/>
          <w:szCs w:val="21"/>
        </w:rPr>
        <w:t xml:space="preserve">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w:t>
      </w:r>
      <w:r>
        <w:rPr>
          <w:rFonts w:hint="eastAsia" w:ascii="宋体" w:hAnsi="宋体" w:cs="宋体"/>
          <w:bCs/>
          <w:color w:val="000000"/>
          <w:szCs w:val="21"/>
        </w:rPr>
        <w:t xml:space="preserve">商涉及</w:t>
      </w:r>
      <w:r>
        <w:rPr>
          <w:rFonts w:hint="eastAsia" w:ascii="宋体" w:hAnsi="宋体" w:cs="宋体"/>
          <w:bCs/>
          <w:color w:val="000000"/>
          <w:szCs w:val="21"/>
        </w:rPr>
        <w:t xml:space="preserve">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w:t>
      </w:r>
      <w:r>
        <w:rPr>
          <w:rFonts w:hint="eastAsia" w:ascii="宋体" w:hAnsi="宋体" w:cs="宋体"/>
          <w:bCs/>
          <w:color w:val="000000"/>
          <w:szCs w:val="21"/>
        </w:rPr>
        <w:t xml:space="preserve">作出</w:t>
      </w:r>
      <w:r>
        <w:rPr>
          <w:rFonts w:hint="eastAsia" w:ascii="宋体" w:hAnsi="宋体" w:cs="宋体"/>
          <w:bCs/>
          <w:color w:val="000000"/>
          <w:szCs w:val="21"/>
        </w:rPr>
        <w:t xml:space="preserve">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w:t>
      </w:r>
      <w:r>
        <w:rPr>
          <w:rFonts w:hint="eastAsia" w:ascii="宋体" w:hAnsi="宋体" w:cs="宋体"/>
          <w:bCs/>
          <w:color w:val="000000"/>
          <w:szCs w:val="21"/>
        </w:rPr>
        <w:t xml:space="preserve">作出</w:t>
      </w:r>
      <w:r>
        <w:rPr>
          <w:rFonts w:hint="eastAsia" w:ascii="宋体" w:hAnsi="宋体" w:cs="宋体"/>
          <w:bCs/>
          <w:color w:val="000000"/>
          <w:szCs w:val="21"/>
        </w:rPr>
        <w:t xml:space="preserve">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06"/>
        <w:spacing w:before="0" w:after="0" w:line="288" w:lineRule="auto"/>
        <w:rPr>
          <w:rFonts w:hint="eastAsia" w:cs="宋体"/>
          <w:szCs w:val="21"/>
        </w:rPr>
      </w:pPr>
      <w:r>
        <w:rPr>
          <w:rFonts w:hint="eastAsia" w:cs="宋体"/>
          <w:szCs w:val="21"/>
        </w:rPr>
        <w:t xml:space="preserve">七、对本次招标提出询问，请按以下方式联系。</w:t>
      </w:r>
      <w:bookmarkEnd w:id="35"/>
      <w:r/>
      <w:bookmarkEnd w:id="36"/>
      <w:r/>
      <w:bookmarkEnd w:id="37"/>
      <w:r/>
      <w:bookmarkEnd w:id="38"/>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9" w:name="OLE_LINK14"/>
      <w:r>
        <w:rPr>
          <w:rFonts w:hint="eastAsia" w:ascii="宋体" w:hAnsi="宋体" w:cs="宋体"/>
          <w:u w:val="single"/>
        </w:rPr>
        <w:t xml:space="preserve">南京市雨花台区教育局</w:t>
      </w:r>
      <w:bookmarkEnd w:id="39"/>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40" w:name="_Toc28359086"/>
      <w:r/>
      <w:bookmarkStart w:id="41"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40"/>
      <w:r/>
      <w:bookmarkEnd w:id="41"/>
      <w:r/>
      <w:r/>
    </w:p>
    <w:p>
      <w:pPr>
        <w:ind w:left="1042" w:hanging="263"/>
        <w:jc w:val="left"/>
        <w:spacing w:line="288" w:lineRule="auto"/>
        <w:rPr>
          <w:rFonts w:hint="eastAsia" w:ascii="宋体" w:hAnsi="宋体" w:cs="宋体"/>
        </w:rPr>
      </w:pPr>
      <w:r/>
      <w:bookmarkStart w:id="42" w:name="_Toc28359087"/>
      <w:r/>
      <w:bookmarkStart w:id="43" w:name="_Toc28359010"/>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w:t>
      </w:r>
      <w:r>
        <w:rPr>
          <w:rFonts w:hint="eastAsia" w:ascii="宋体" w:hAnsi="宋体" w:cs="宋体"/>
          <w:u w:val="single"/>
        </w:rPr>
        <w:t xml:space="preserve">鼓楼区南财科技</w:t>
      </w:r>
      <w:r>
        <w:rPr>
          <w:rFonts w:hint="eastAsia" w:ascii="宋体" w:hAnsi="宋体" w:cs="宋体"/>
          <w:u w:val="single"/>
        </w:rPr>
        <w:t xml:space="preserve">园B座</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2"/>
      <w:r/>
      <w:bookmarkEnd w:id="43"/>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王工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政府采购活动，联合体各方均为中小企业的，联合体视同中小企业。其中，联合体各方均为小</w:t>
      </w:r>
      <w:r>
        <w:rPr>
          <w:rFonts w:hint="eastAsia" w:ascii="宋体" w:hAnsi="宋体" w:cs="宋体"/>
          <w:szCs w:val="21"/>
        </w:rPr>
        <w:t xml:space="preserve">微企业</w:t>
      </w:r>
      <w:r>
        <w:rPr>
          <w:rFonts w:hint="eastAsia" w:ascii="宋体" w:hAnsi="宋体" w:cs="宋体"/>
          <w:szCs w:val="21"/>
        </w:rPr>
        <w:t xml:space="preserve">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szCs w:val="21"/>
        </w:rPr>
        <w:t xml:space="preserve">且依据</w:t>
      </w:r>
      <w:r>
        <w:rPr>
          <w:rFonts w:hint="eastAsia" w:ascii="宋体" w:hAnsi="宋体" w:cs="宋体"/>
          <w:szCs w:val="21"/>
        </w:rPr>
        <w:t xml:space="preserve">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w:t>
      </w:r>
      <w:r>
        <w:rPr>
          <w:rFonts w:hint="eastAsia" w:ascii="宋体" w:hAnsi="宋体" w:cs="宋体"/>
          <w:szCs w:val="21"/>
        </w:rPr>
        <w:t xml:space="preserve">苏财购〔2023〕</w:t>
      </w:r>
      <w:r>
        <w:rPr>
          <w:rFonts w:hint="eastAsia" w:ascii="宋体" w:hAnsi="宋体" w:cs="宋体"/>
          <w:szCs w:val="21"/>
        </w:rPr>
        <w:t xml:space="preserve">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w:t>
      </w:r>
      <w:r>
        <w:rPr>
          <w:rFonts w:hint="eastAsia" w:ascii="宋体" w:hAnsi="宋体" w:cs="宋体"/>
          <w:szCs w:val="21"/>
          <w:lang w:val="zh-CN"/>
        </w:rPr>
        <w:t xml:space="preserve">缺漏请</w:t>
      </w:r>
      <w:r>
        <w:rPr>
          <w:rFonts w:hint="eastAsia" w:ascii="宋体" w:hAnsi="宋体" w:cs="宋体"/>
          <w:szCs w:val="21"/>
          <w:lang w:val="zh-CN"/>
        </w:rPr>
        <w:t xml:space="preserve">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Cs w:val="21"/>
          <w:lang w:val="zh-CN"/>
        </w:rPr>
        <w:t xml:space="preserve">作出</w:t>
      </w:r>
      <w:r>
        <w:rPr>
          <w:rFonts w:hint="eastAsia" w:ascii="宋体" w:hAnsi="宋体" w:cs="宋体"/>
          <w:szCs w:val="21"/>
          <w:lang w:val="zh-CN"/>
        </w:rPr>
        <w:t xml:space="preserve">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两个</w:t>
      </w:r>
      <w:r>
        <w:rPr>
          <w:rFonts w:hint="eastAsia" w:ascii="宋体" w:hAnsi="宋体" w:cs="宋体"/>
          <w:bCs/>
          <w:szCs w:val="21"/>
        </w:rPr>
        <w:t xml:space="preserve">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7.3以联合体形</w:t>
      </w:r>
      <w:r>
        <w:rPr>
          <w:rFonts w:hint="eastAsia" w:ascii="宋体" w:hAnsi="宋体" w:cs="宋体"/>
          <w:bCs/>
          <w:szCs w:val="21"/>
        </w:rPr>
        <w:t xml:space="preserve">式参加</w:t>
      </w:r>
      <w:r>
        <w:rPr>
          <w:rFonts w:hint="eastAsia" w:ascii="宋体" w:hAnsi="宋体" w:cs="宋体"/>
          <w:bCs/>
          <w:szCs w:val="21"/>
        </w:rPr>
        <w:t xml:space="preserve">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r>
        <w:rPr>
          <w:rFonts w:hint="eastAsia" w:ascii="宋体" w:hAnsi="宋体" w:cs="宋体"/>
          <w:bCs/>
          <w:szCs w:val="21"/>
        </w:rPr>
        <w:t xml:space="preserve">商按照</w:t>
      </w:r>
      <w:r>
        <w:rPr>
          <w:rFonts w:hint="eastAsia" w:ascii="宋体" w:hAnsi="宋体" w:cs="宋体"/>
          <w:bCs/>
          <w:szCs w:val="21"/>
        </w:rPr>
        <w:t xml:space="preserve">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8.1 本项目的采购代理服务费由中标人承担。采购代理费</w:t>
      </w:r>
      <w:r>
        <w:rPr>
          <w:rFonts w:hint="eastAsia" w:ascii="宋体" w:hAnsi="宋体" w:cs="宋体"/>
          <w:bCs/>
          <w:szCs w:val="21"/>
        </w:rPr>
        <w:t xml:space="preserve">用按照</w:t>
      </w:r>
      <w:r>
        <w:rPr>
          <w:rFonts w:hint="eastAsia" w:ascii="宋体" w:hAnsi="宋体" w:cs="宋体"/>
          <w:bCs/>
          <w:szCs w:val="21"/>
        </w:rPr>
        <w:t xml:space="preserve">《招标代理服务收费管理暂行办法》[计价格(2002)1980号</w:t>
      </w:r>
      <w:r>
        <w:rPr>
          <w:rFonts w:hint="eastAsia" w:ascii="宋体" w:hAnsi="宋体" w:cs="宋体"/>
          <w:bCs/>
          <w:szCs w:val="21"/>
        </w:rPr>
        <w:t xml:space="preserve">】</w:t>
      </w:r>
      <w:r>
        <w:rPr>
          <w:rFonts w:hint="eastAsia" w:ascii="宋体" w:hAnsi="宋体" w:cs="宋体"/>
          <w:bCs/>
          <w:szCs w:val="21"/>
        </w:rPr>
        <w:t xml:space="preserve">文件收费标准的80%计取。不足3000元的，按3000元收取。以上费用并不单独列项，请在投标报价中综合考虑。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w:t>
      </w:r>
      <w:r>
        <w:rPr>
          <w:rFonts w:hint="eastAsia" w:ascii="宋体" w:hAnsi="宋体" w:cs="宋体"/>
          <w:szCs w:val="21"/>
        </w:rPr>
        <w:t xml:space="preserve">作出</w:t>
      </w:r>
      <w:r>
        <w:rPr>
          <w:rFonts w:hint="eastAsia" w:ascii="宋体" w:hAnsi="宋体" w:cs="宋体"/>
          <w:szCs w:val="21"/>
        </w:rPr>
        <w:t xml:space="preserve">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）服务承诺（如有）；</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w:t>
      </w:r>
      <w:r>
        <w:rPr>
          <w:rFonts w:hint="eastAsia" w:ascii="宋体" w:hAnsi="宋体" w:cs="宋体"/>
          <w:szCs w:val="21"/>
          <w:lang w:val="zh-CN"/>
        </w:rPr>
        <w:t xml:space="preserve">总价以及分项报价。</w:t>
      </w:r>
      <w:r>
        <w:rPr>
          <w:rFonts w:hint="eastAsia" w:ascii="宋体" w:hAnsi="宋体" w:cs="宋体"/>
          <w:szCs w:val="21"/>
          <w:lang w:val="zh-CN"/>
        </w:rPr>
        <w:t xml:space="preserve">供应商系小</w:t>
      </w:r>
      <w:r>
        <w:rPr>
          <w:rFonts w:hint="eastAsia" w:ascii="宋体" w:hAnsi="宋体" w:cs="宋体"/>
          <w:szCs w:val="21"/>
          <w:lang w:val="zh-CN"/>
        </w:rPr>
        <w:t xml:space="preserve">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w:t>
      </w:r>
      <w:r>
        <w:rPr>
          <w:rFonts w:hint="eastAsia" w:ascii="宋体" w:hAnsi="宋体" w:cs="宋体"/>
          <w:szCs w:val="21"/>
          <w:lang w:val="zh-CN"/>
        </w:rPr>
        <w:t xml:space="preserve">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w:t>
      </w:r>
      <w:r>
        <w:rPr>
          <w:rFonts w:hint="eastAsia" w:ascii="宋体" w:hAnsi="宋体" w:cs="宋体"/>
          <w:szCs w:val="21"/>
        </w:rPr>
        <w:t xml:space="preserve">采云</w:t>
      </w:r>
      <w:r>
        <w:rPr>
          <w:rFonts w:hint="eastAsia" w:ascii="宋体" w:hAnsi="宋体" w:cs="宋体"/>
          <w:szCs w:val="21"/>
        </w:rPr>
        <w:t xml:space="preserve">系统规定的时间内对投标文件进行解密。苏</w:t>
      </w:r>
      <w:r>
        <w:rPr>
          <w:rFonts w:hint="eastAsia" w:ascii="宋体" w:hAnsi="宋体" w:cs="宋体"/>
          <w:szCs w:val="21"/>
        </w:rPr>
        <w:t xml:space="preserve">采云</w:t>
      </w:r>
      <w:r>
        <w:rPr>
          <w:rFonts w:hint="eastAsia" w:ascii="宋体" w:hAnsi="宋体" w:cs="宋体"/>
          <w:szCs w:val="21"/>
        </w:rPr>
        <w:t xml:space="preserve">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w:t>
      </w:r>
      <w:r>
        <w:rPr>
          <w:rFonts w:hint="eastAsia" w:ascii="宋体" w:hAnsi="宋体" w:cs="宋体"/>
          <w:szCs w:val="21"/>
        </w:rPr>
        <w:t xml:space="preserve">采云</w:t>
      </w:r>
      <w:r>
        <w:rPr>
          <w:rFonts w:hint="eastAsia" w:ascii="宋体" w:hAnsi="宋体" w:cs="宋体"/>
          <w:szCs w:val="21"/>
        </w:rPr>
        <w:t xml:space="preserve">系统中《开标一览表》公布后5分钟内未提出的，视同认可开标结果。</w:t>
      </w:r>
      <w:bookmarkStart w:id="44" w:name="_Hlk44576482"/>
      <w:r/>
      <w:bookmarkEnd w:id="4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w:t>
      </w:r>
      <w:r>
        <w:rPr>
          <w:rFonts w:hint="eastAsia" w:ascii="宋体" w:hAnsi="宋体" w:cs="宋体"/>
          <w:bCs/>
          <w:szCs w:val="21"/>
        </w:rPr>
        <w:t xml:space="preserve">作出</w:t>
      </w:r>
      <w:r>
        <w:rPr>
          <w:rFonts w:hint="eastAsia" w:ascii="宋体" w:hAnsi="宋体" w:cs="宋体"/>
          <w:bCs/>
          <w:szCs w:val="21"/>
        </w:rPr>
        <w:t xml:space="preserve">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5" w:name="_Hlk81573923"/>
      <w:r/>
      <w:bookmarkStart w:id="46" w:name="_Hlk84583325"/>
      <w:r>
        <w:rPr>
          <w:rFonts w:hint="eastAsia" w:ascii="宋体" w:hAnsi="宋体" w:cs="宋体"/>
          <w:szCs w:val="21"/>
        </w:rPr>
        <w:t xml:space="preserve">资格审查：依据法律法规和招标文件规定，由</w:t>
      </w:r>
      <w:bookmarkStart w:id="47" w:name="OLE_LINK6"/>
      <w:r>
        <w:rPr>
          <w:rFonts w:hint="eastAsia" w:ascii="宋体" w:hAnsi="宋体" w:cs="宋体"/>
          <w:szCs w:val="21"/>
        </w:rPr>
        <w:t xml:space="preserve">采购人或采购代理机构</w:t>
      </w:r>
      <w:bookmarkEnd w:id="47"/>
      <w:r>
        <w:rPr>
          <w:rFonts w:hint="eastAsia" w:ascii="宋体" w:hAnsi="宋体" w:cs="宋体"/>
          <w:szCs w:val="21"/>
        </w:rPr>
        <w:t xml:space="preserve">对投标文件中的资格证明文件进行审查，并向评标委员会反馈审查结论。</w:t>
      </w:r>
      <w:bookmarkEnd w:id="45"/>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8" w:name="_Hlk81314966"/>
      <w:r/>
      <w:bookmarkStart w:id="49"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50" w:name="_Hlk77845984"/>
      <w:r/>
      <w:bookmarkEnd w:id="48"/>
      <w:r>
        <w:rPr>
          <w:rFonts w:hint="eastAsia" w:ascii="宋体" w:hAnsi="宋体" w:cs="宋体"/>
          <w:szCs w:val="21"/>
        </w:rPr>
        <w:t xml:space="preserve">（2）未提供《南京市政府采购供应商信用记录表暨信用承诺书》。</w:t>
      </w:r>
      <w:bookmarkEnd w:id="46"/>
      <w:r/>
      <w:bookmarkEnd w:id="49"/>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51" w:name="_Hlk176530503"/>
      <w:r>
        <w:rPr>
          <w:rFonts w:hint="eastAsia" w:ascii="宋体" w:hAnsi="宋体" w:cs="宋体"/>
          <w:b/>
          <w:bCs/>
          <w:szCs w:val="21"/>
        </w:rPr>
        <w:t xml:space="preserve">实质性要求是指本</w:t>
      </w:r>
      <w:bookmarkStart w:id="52" w:name="OLE_LINK36"/>
      <w:r>
        <w:rPr>
          <w:rFonts w:hint="eastAsia" w:ascii="宋体" w:hAnsi="宋体" w:cs="宋体"/>
          <w:b/>
          <w:bCs/>
          <w:szCs w:val="21"/>
        </w:rPr>
        <w:t xml:space="preserve">招标文件</w:t>
      </w:r>
      <w:bookmarkStart w:id="53" w:name="OLE_LINK9"/>
      <w:r>
        <w:rPr>
          <w:rFonts w:hint="eastAsia" w:ascii="宋体" w:hAnsi="宋体" w:cs="宋体"/>
          <w:b/>
          <w:bCs/>
          <w:szCs w:val="21"/>
        </w:rPr>
        <w:t xml:space="preserve">中斜体且有下划线部分，或者打</w:t>
      </w:r>
      <w:bookmarkStart w:id="54" w:name="OLE_LINK17"/>
      <w:r>
        <w:rPr>
          <w:rFonts w:hint="eastAsia" w:ascii="宋体" w:hAnsi="宋体" w:cs="宋体"/>
          <w:b/>
          <w:bCs/>
          <w:szCs w:val="21"/>
        </w:rPr>
        <w:t xml:space="preserve">“★”“*”</w:t>
      </w:r>
      <w:bookmarkEnd w:id="53"/>
      <w:r/>
      <w:bookmarkEnd w:id="54"/>
      <w:r>
        <w:rPr>
          <w:rFonts w:hint="eastAsia" w:ascii="宋体" w:hAnsi="宋体" w:cs="宋体"/>
          <w:b/>
          <w:bCs/>
          <w:szCs w:val="21"/>
        </w:rPr>
        <w:t xml:space="preserve">等其他文字说明的商务和技术要求。</w:t>
      </w:r>
      <w:bookmarkEnd w:id="51"/>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2"/>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5" w:name="_Hlk176185278"/>
      <w:r>
        <w:rPr>
          <w:rFonts w:hint="eastAsia" w:ascii="宋体" w:hAnsi="宋体" w:cs="宋体"/>
          <w:szCs w:val="21"/>
        </w:rPr>
        <w:t xml:space="preserve">或者联系人员为同一人</w:t>
      </w:r>
      <w:bookmarkEnd w:id="55"/>
      <w:r>
        <w:rPr>
          <w:rFonts w:hint="eastAsia" w:ascii="宋体" w:hAnsi="宋体" w:cs="宋体"/>
          <w:szCs w:val="21"/>
        </w:rPr>
        <w:t xml:space="preserve">；</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w:t>
      </w:r>
      <w:r>
        <w:rPr>
          <w:rFonts w:hint="eastAsia" w:ascii="宋体" w:hAnsi="宋体" w:cs="宋体"/>
          <w:szCs w:val="21"/>
        </w:rPr>
        <w:t xml:space="preserve">采云</w:t>
      </w:r>
      <w:r>
        <w:rPr>
          <w:rFonts w:hint="eastAsia" w:ascii="宋体" w:hAnsi="宋体" w:cs="宋体"/>
          <w:szCs w:val="21"/>
        </w:rPr>
        <w:t xml:space="preserve">系统要求其在合理的时间内提供说明，必要时提交相关证明材料。投标人不能证明其报价合理性的，评标委员会应当将其作为无效投标处理；</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48"/>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w:t>
      </w:r>
      <w:r>
        <w:rPr>
          <w:rFonts w:hint="eastAsia" w:ascii="宋体" w:hAnsi="宋体" w:cs="宋体"/>
          <w:szCs w:val="21"/>
        </w:rPr>
        <w:t xml:space="preserve">采云</w:t>
      </w:r>
      <w:r>
        <w:rPr>
          <w:rFonts w:hint="eastAsia" w:ascii="宋体" w:hAnsi="宋体" w:cs="宋体"/>
          <w:szCs w:val="21"/>
        </w:rPr>
        <w:t xml:space="preserve">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w:t>
      </w:r>
      <w:r>
        <w:rPr>
          <w:rFonts w:hint="eastAsia" w:ascii="宋体" w:hAnsi="宋体" w:cs="宋体"/>
          <w:szCs w:val="21"/>
        </w:rPr>
        <w:t xml:space="preserve">采云</w:t>
      </w:r>
      <w:r>
        <w:rPr>
          <w:rFonts w:hint="eastAsia" w:ascii="宋体" w:hAnsi="宋体" w:cs="宋体"/>
          <w:szCs w:val="21"/>
        </w:rPr>
        <w:t xml:space="preserve">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w:t>
      </w:r>
      <w:r>
        <w:rPr>
          <w:rFonts w:hint="eastAsia" w:ascii="宋体" w:hAnsi="宋体" w:cs="宋体"/>
          <w:szCs w:val="21"/>
        </w:rPr>
        <w:t xml:space="preserve">作出</w:t>
      </w:r>
      <w:r>
        <w:rPr>
          <w:rFonts w:hint="eastAsia" w:ascii="宋体" w:hAnsi="宋体" w:cs="宋体"/>
          <w:szCs w:val="21"/>
        </w:rPr>
        <w:t xml:space="preserve">实质性响应的投标人不足三家的情况，按政府采购相关规定执行；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20.2.6不满足招标文件中“★”或“*”项的。</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ind w:firstLine="420"/>
        <w:jc w:val="left"/>
        <w:spacing w:line="288" w:lineRule="auto"/>
        <w:shd w:val="clear" w:color="auto" w:fill="ffffff"/>
        <w:widowControl/>
        <w:rPr>
          <w:rFonts w:hint="eastAsia" w:ascii="宋体" w:hAnsi="宋体" w:cs="宋体"/>
          <w:szCs w:val="21"/>
        </w:rPr>
      </w:pPr>
      <w:r/>
      <w:bookmarkStart w:id="56" w:name="OLE_LINK4"/>
      <w:r>
        <w:rPr>
          <w:rFonts w:hint="eastAsia" w:ascii="宋体" w:hAnsi="宋体" w:cs="宋体"/>
          <w:szCs w:val="21"/>
        </w:rPr>
        <w:t xml:space="preserve">投标人的澄清、说明或者补正不得超出投标文件的范围或者改变投标文件的实质性内容</w:t>
      </w:r>
      <w:bookmarkEnd w:id="56"/>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w:t>
      </w:r>
      <w:r>
        <w:rPr>
          <w:rFonts w:hint="eastAsia" w:ascii="宋体" w:hAnsi="宋体" w:cs="宋体"/>
          <w:szCs w:val="21"/>
        </w:rPr>
        <w:t xml:space="preserve">采云</w:t>
      </w:r>
      <w:r>
        <w:rPr>
          <w:rFonts w:hint="eastAsia" w:ascii="宋体" w:hAnsi="宋体" w:cs="宋体"/>
          <w:szCs w:val="21"/>
        </w:rPr>
        <w:t xml:space="preserve">系统向投标人发出《澄清要求函》，接到《澄清要求函》的投标人应当按照要求在苏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w:t>
      </w:r>
      <w:r>
        <w:rPr>
          <w:rFonts w:hint="eastAsia" w:ascii="宋体" w:hAnsi="宋体" w:cs="宋体"/>
          <w:szCs w:val="21"/>
        </w:rPr>
        <w:t xml:space="preserve">作出</w:t>
      </w:r>
      <w:r>
        <w:rPr>
          <w:rFonts w:hint="eastAsia" w:ascii="宋体" w:hAnsi="宋体" w:cs="宋体"/>
          <w:szCs w:val="21"/>
        </w:rPr>
        <w:t xml:space="preserve">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7" w:name="_Hlk176184375"/>
      <w:r>
        <w:rPr>
          <w:rFonts w:hint="eastAsia" w:ascii="宋体" w:hAnsi="宋体" w:cs="宋体"/>
          <w:szCs w:val="21"/>
        </w:rPr>
        <w:t xml:space="preserve">评标委员会将按上述修正错误的方法调整投标文件中的投标报价，并通过苏</w:t>
      </w:r>
      <w:r>
        <w:rPr>
          <w:rFonts w:hint="eastAsia" w:ascii="宋体" w:hAnsi="宋体" w:cs="宋体"/>
          <w:szCs w:val="21"/>
        </w:rPr>
        <w:t xml:space="preserve">采云</w:t>
      </w:r>
      <w:r>
        <w:rPr>
          <w:rFonts w:hint="eastAsia" w:ascii="宋体" w:hAnsi="宋体" w:cs="宋体"/>
          <w:szCs w:val="21"/>
        </w:rPr>
        <w:t xml:space="preserve">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8" w:name="OLE_LINK25"/>
      <w:r>
        <w:rPr>
          <w:rFonts w:hint="eastAsia" w:ascii="宋体" w:hAnsi="宋体" w:cs="宋体"/>
          <w:b/>
          <w:bCs/>
          <w:szCs w:val="21"/>
        </w:rPr>
        <w:t xml:space="preserve">及时登录苏</w:t>
      </w:r>
      <w:r>
        <w:rPr>
          <w:rFonts w:hint="eastAsia" w:ascii="宋体" w:hAnsi="宋体" w:cs="宋体"/>
          <w:b/>
          <w:bCs/>
          <w:szCs w:val="21"/>
        </w:rPr>
        <w:t xml:space="preserve">采云</w:t>
      </w:r>
      <w:r>
        <w:rPr>
          <w:rFonts w:hint="eastAsia" w:ascii="宋体" w:hAnsi="宋体" w:cs="宋体"/>
          <w:b/>
          <w:bCs/>
          <w:szCs w:val="21"/>
        </w:rPr>
        <w:t xml:space="preserve">系统查阅</w:t>
      </w:r>
      <w:bookmarkEnd w:id="58"/>
      <w:r>
        <w:rPr>
          <w:rFonts w:hint="eastAsia" w:ascii="宋体" w:hAnsi="宋体" w:cs="宋体"/>
          <w:b/>
          <w:bCs/>
          <w:szCs w:val="21"/>
        </w:rPr>
        <w:t xml:space="preserve">、答复相关信息，并安排专人与采购代理机构及评标委员会联系。</w:t>
      </w:r>
      <w:bookmarkEnd w:id="57"/>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20.5异常低价审查</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20.5.1现下列情形之一的，评委会应当启动异常低价审查程序：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（1）投标报价低于全部通过符合性审查投标人投标报价平均值65%的，即投标报价&lt;全部通过符合性审查投标人投标报价平均值×65%；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（2）投标报价低于通过符合性审查的次低报价投标人投标报价65%的，即投标报价&lt;通过符合性审查的次低报价投标人投标报价×65%；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（3）投标报价低于采购项目最高限价65%的，即投标报价&lt;采购项目最高限价×65%；</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（4）评委会基于专业判断，认为投标报价过低，有可能影响产品质量或者不能诚信履约的其他情形。</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20.5.2评委会启动异常低价审查后，属于前述第（1）项至第（4）项情形的，应当要求相关投标人在评审现场合理的时间内对投标价格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9" w:name="_Hlk44576646"/>
      <w:r>
        <w:rPr>
          <w:rFonts w:hint="eastAsia" w:ascii="宋体" w:hAnsi="宋体" w:cs="宋体"/>
          <w:color w:val="000000" w:themeColor="text1"/>
          <w:szCs w:val="21"/>
        </w:rPr>
        <w:t xml:space="preserve">投标文件满足招标文件全部实质性要求，</w:t>
      </w:r>
      <w:bookmarkStart w:id="60" w:name="_Hlk128053036"/>
      <w:r>
        <w:rPr>
          <w:rFonts w:hint="eastAsia" w:ascii="宋体" w:hAnsi="宋体" w:cs="宋体"/>
          <w:color w:val="000000" w:themeColor="text1"/>
          <w:szCs w:val="21"/>
        </w:rPr>
        <w:t xml:space="preserve">且按照</w:t>
      </w:r>
      <w:r>
        <w:rPr>
          <w:rFonts w:hint="eastAsia" w:ascii="宋体" w:hAnsi="宋体" w:cs="宋体"/>
          <w:color w:val="000000" w:themeColor="text1"/>
          <w:szCs w:val="21"/>
        </w:rPr>
        <w:t xml:space="preserve">评审因素的量化指标评审得分由高到低顺序推荐3名</w:t>
      </w:r>
      <w:bookmarkEnd w:id="59"/>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60"/>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61" w:name="_Hlk128053131"/>
      <w:r>
        <w:rPr>
          <w:rFonts w:hint="eastAsia" w:ascii="宋体" w:hAnsi="宋体" w:cs="宋体"/>
          <w:szCs w:val="21"/>
        </w:rPr>
        <w:t xml:space="preserve">25.3</w:t>
      </w:r>
      <w:bookmarkStart w:id="62"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61"/>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3" w:name="_Hlk176352307"/>
      <w:r>
        <w:rPr>
          <w:rFonts w:hint="eastAsia" w:ascii="宋体" w:hAnsi="宋体" w:cs="宋体"/>
          <w:szCs w:val="21"/>
        </w:rPr>
        <w:t xml:space="preserve">服务（包含与服务相关的货物）</w:t>
      </w:r>
      <w:bookmarkEnd w:id="63"/>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4" w:name="_Hlk135041925"/>
      <w:r>
        <w:rPr>
          <w:rFonts w:hint="eastAsia" w:ascii="宋体" w:hAnsi="宋体" w:cs="宋体"/>
          <w:szCs w:val="21"/>
        </w:rPr>
        <w:t xml:space="preserve">26.1投标人对采购活动事项有疑问的，可以向采购代理机构提出询问，采购代理机构将依法</w:t>
      </w:r>
      <w:r>
        <w:rPr>
          <w:rFonts w:hint="eastAsia" w:ascii="宋体" w:hAnsi="宋体" w:cs="宋体"/>
          <w:szCs w:val="21"/>
        </w:rPr>
        <w:t xml:space="preserve">作出</w:t>
      </w:r>
      <w:r>
        <w:rPr>
          <w:rFonts w:hint="eastAsia" w:ascii="宋体" w:hAnsi="宋体" w:cs="宋体"/>
          <w:szCs w:val="21"/>
        </w:rPr>
        <w:t xml:space="preserve">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t xml:space="preserve">函应当</w:t>
      </w:r>
      <w:r>
        <w:rPr>
          <w:rFonts w:hint="eastAsia" w:ascii="宋体" w:hAnsi="宋体" w:cs="宋体"/>
          <w:szCs w:val="21"/>
        </w:rPr>
        <w:t xml:space="preserve">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w:t>
      </w:r>
      <w:r>
        <w:rPr>
          <w:rFonts w:hint="eastAsia" w:ascii="宋体" w:hAnsi="宋体" w:cs="宋体"/>
          <w:szCs w:val="21"/>
        </w:rPr>
        <w:t xml:space="preserve">函应当</w:t>
      </w:r>
      <w:r>
        <w:rPr>
          <w:rFonts w:hint="eastAsia" w:ascii="宋体" w:hAnsi="宋体" w:cs="宋体"/>
          <w:szCs w:val="21"/>
        </w:rPr>
        <w:t xml:space="preserve">现场提交至采购代理机构联系人处，提交时应出示有效身份证明及授权人近三个月（2026年</w:t>
      </w:r>
      <w:r>
        <w:rPr>
          <w:rFonts w:hint="eastAsia" w:ascii="宋体" w:hAnsi="宋体" w:cs="宋体"/>
          <w:szCs w:val="21"/>
        </w:rPr>
        <w:t xml:space="preserve">5</w:t>
      </w:r>
      <w:r>
        <w:rPr>
          <w:rFonts w:hint="eastAsia" w:ascii="宋体" w:hAnsi="宋体" w:cs="宋体"/>
          <w:szCs w:val="21"/>
        </w:rPr>
        <w:t xml:space="preserve">月-2026年</w:t>
      </w:r>
      <w:r>
        <w:rPr>
          <w:rFonts w:hint="eastAsia" w:ascii="宋体" w:hAnsi="宋体" w:cs="宋体"/>
          <w:szCs w:val="21"/>
        </w:rPr>
        <w:t xml:space="preserve">7</w:t>
      </w:r>
      <w:r>
        <w:rPr>
          <w:rFonts w:hint="eastAsia" w:ascii="宋体" w:hAnsi="宋体" w:cs="宋体"/>
          <w:szCs w:val="21"/>
        </w:rPr>
        <w:t xml:space="preserve">月）中任意一个月</w:t>
      </w:r>
      <w:r>
        <w:rPr>
          <w:rFonts w:hint="eastAsia" w:ascii="宋体" w:hAnsi="宋体" w:cs="宋体"/>
          <w:szCs w:val="21"/>
        </w:rPr>
        <w:t xml:space="preserve">社保证明</w:t>
      </w:r>
      <w:r>
        <w:rPr>
          <w:rFonts w:hint="eastAsia" w:ascii="宋体" w:hAnsi="宋体" w:cs="宋体"/>
          <w:szCs w:val="21"/>
        </w:rPr>
        <w:t xml:space="preserve">。未按上述要求提交质疑函的，质疑不予受理。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联系人：王梓源</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地址：南京市鼓楼区南京财经大学科技园B座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联系电话：18851010233</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w:t>
      </w:r>
      <w:r>
        <w:rPr>
          <w:rFonts w:hint="eastAsia" w:ascii="宋体" w:hAnsi="宋体" w:cs="宋体"/>
          <w:szCs w:val="21"/>
        </w:rPr>
        <w:t xml:space="preserve">答复，并以书面或在网站公告形式通知质疑投标人和其他有关投标人，答复的内容不涉及商业秘密。</w:t>
      </w:r>
      <w:bookmarkEnd w:id="64"/>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w:t>
      </w:r>
      <w:r>
        <w:rPr>
          <w:rFonts w:hint="eastAsia" w:ascii="宋体" w:hAnsi="宋体" w:cs="宋体"/>
          <w:szCs w:val="21"/>
        </w:rPr>
        <w:t xml:space="preserve">作出</w:t>
      </w:r>
      <w:r>
        <w:rPr>
          <w:rFonts w:hint="eastAsia" w:ascii="宋体" w:hAnsi="宋体" w:cs="宋体"/>
          <w:szCs w:val="21"/>
        </w:rPr>
        <w:t xml:space="preserve">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W w:w="93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0"/>
        <w:gridCol w:w="1025"/>
        <w:gridCol w:w="6813"/>
        <w:gridCol w:w="704"/>
      </w:tblGrid>
      <w:tr>
        <w:trPr>
          <w:jc w:val="center"/>
          <w:trHeight w:val="45"/>
          <w:tblHeader/>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分值</w:t>
            </w:r>
            <w:r/>
          </w:p>
        </w:tc>
      </w:tr>
      <w:tr>
        <w:trPr>
          <w:jc w:val="center"/>
          <w:trHeight w:val="134"/>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1.价格</w:t>
            </w:r>
            <w:r/>
          </w:p>
        </w:tc>
      </w:tr>
      <w:tr>
        <w:trPr>
          <w:jc w:val="center"/>
          <w:trHeight w:val="10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价格分</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采用低价优先法计算，即满足招标文件要求且投标价格最低的投标报价为评标基准价，其价格分为满分。其他投标人的价格</w:t>
            </w:r>
            <w:r>
              <w:rPr>
                <w:rFonts w:hint="eastAsia" w:ascii="宋体" w:hAnsi="宋体" w:cs="宋体"/>
                <w:sz w:val="24"/>
              </w:rPr>
              <w:t xml:space="preserve">分统一</w:t>
            </w:r>
            <w:r>
              <w:rPr>
                <w:rFonts w:hint="eastAsia" w:ascii="宋体" w:hAnsi="宋体" w:cs="宋体"/>
                <w:sz w:val="24"/>
              </w:rPr>
              <w:t xml:space="preserve">按照下列公式计算：投标报价得分=(评标基准价/投标报价)×价格分值（小数点保留两位）</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30</w:t>
            </w:r>
            <w:r/>
          </w:p>
        </w:tc>
      </w:tr>
      <w:tr>
        <w:trPr>
          <w:jc w:val="center"/>
          <w:trHeight w:val="45"/>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2.技术</w:t>
            </w:r>
            <w:r/>
          </w:p>
        </w:tc>
      </w:tr>
      <w:tr>
        <w:trPr>
          <w:jc w:val="center"/>
          <w:trHeight w:val="38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产品技术参数全部满足招标要求的得满分，有1项负偏离扣2分，扣完为止。</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r>
      <w:tr>
        <w:trPr>
          <w:jc w:val="center"/>
          <w:trHeight w:val="492"/>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原材料检测报告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投标人提供具有CMA或CNAS标识的第三方委托</w:t>
            </w:r>
            <w:bookmarkStart w:id="65" w:name="OLE_LINK37"/>
            <w:r>
              <w:rPr>
                <w:rFonts w:hint="eastAsia" w:ascii="宋体" w:hAnsi="宋体" w:cs="宋体"/>
                <w:sz w:val="24"/>
              </w:rPr>
              <w:t xml:space="preserve">检测报告</w:t>
            </w:r>
            <w:bookmarkEnd w:id="65"/>
            <w:r>
              <w:rPr>
                <w:rFonts w:hint="eastAsia" w:ascii="宋体" w:hAnsi="宋体" w:cs="宋体"/>
                <w:sz w:val="24"/>
              </w:rPr>
              <w:t xml:space="preserve">：</w:t>
            </w:r>
            <w:r/>
          </w:p>
          <w:p>
            <w:pPr>
              <w:jc w:val="left"/>
              <w:spacing w:line="288" w:lineRule="auto"/>
              <w:rPr>
                <w:rFonts w:hint="eastAsia" w:ascii="宋体" w:hAnsi="宋体" w:cs="宋体"/>
                <w:sz w:val="24"/>
              </w:rPr>
            </w:pPr>
            <w:r>
              <w:rPr>
                <w:rFonts w:hint="eastAsia" w:ascii="宋体" w:hAnsi="宋体" w:cs="宋体"/>
                <w:sz w:val="24"/>
              </w:rPr>
              <w:t xml:space="preserve">（1）ABS检验：①GB 18584-2024邻苯二甲酸酯、家具中可迁移有害元素限量8项、苯并[a]</w:t>
            </w:r>
            <w:r>
              <w:rPr>
                <w:rFonts w:hint="eastAsia" w:ascii="宋体" w:hAnsi="宋体" w:cs="宋体"/>
                <w:sz w:val="24"/>
              </w:rPr>
              <w:t xml:space="preserve">芘</w:t>
            </w:r>
            <w:r>
              <w:rPr>
                <w:rFonts w:hint="eastAsia" w:ascii="宋体" w:hAnsi="宋体" w:cs="宋体"/>
                <w:sz w:val="24"/>
              </w:rPr>
              <w:t xml:space="preserve">、18种多环芳烃（PAH）总量均未检出；②GB/T 32487-2016：塑料件外观：应无裂纹、明显变形、缩水、针孔；应无凹陷、飞边、折皱、疙瘩；应无气泡、杂质、伤痕、白印；塑料件：耐冷热循环应无裂纹、鼓泡、变色、起皱；硬度；③GB/T2408-2021：燃烧性能：水平燃烧试验达到HB@4.0mm等级。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rPr>
                <w:rFonts w:hint="eastAsia" w:ascii="宋体" w:hAnsi="宋体" w:cs="宋体"/>
                <w:sz w:val="24"/>
              </w:rPr>
              <w:t xml:space="preserve">（2）PP检验：①GB 18584-2024：邻苯二甲酸酯、家具中可迁移有害元素限量8项、苯并[a]</w:t>
            </w:r>
            <w:r>
              <w:rPr>
                <w:rFonts w:hint="eastAsia" w:ascii="宋体" w:hAnsi="宋体" w:cs="宋体"/>
                <w:sz w:val="24"/>
              </w:rPr>
              <w:t xml:space="preserve">芘</w:t>
            </w:r>
            <w:r>
              <w:rPr>
                <w:rFonts w:hint="eastAsia" w:ascii="宋体" w:hAnsi="宋体" w:cs="宋体"/>
                <w:sz w:val="24"/>
              </w:rPr>
              <w:t xml:space="preserve">、18种多环芳烃（PAH）总量均未检出；②GB/T 32487-2016：塑料件外观：应无裂纹、明显变形、缩水、针孔；应无凹陷、飞边、折皱、疙瘩；应无气泡、杂质、伤痕、白印；塑料件：耐冷热循环应无裂纹、鼓泡、变色、起皱；硬度。全部满足要求得</w:t>
            </w:r>
            <w:r>
              <w:rPr>
                <w:rFonts w:ascii="宋体" w:hAnsi="宋体" w:cs="宋体"/>
                <w:sz w:val="24"/>
              </w:rPr>
              <w:t xml:space="preserve">1</w:t>
            </w:r>
            <w:r>
              <w:rPr>
                <w:rFonts w:hint="eastAsia" w:ascii="宋体" w:hAnsi="宋体" w:cs="宋体"/>
                <w:sz w:val="24"/>
              </w:rPr>
              <w:t xml:space="preserve">分，检测内容不全或未提供的不得分。</w:t>
            </w:r>
            <w:r/>
          </w:p>
          <w:p>
            <w:pPr>
              <w:jc w:val="left"/>
              <w:spacing w:line="288" w:lineRule="auto"/>
              <w:rPr>
                <w:rFonts w:hint="eastAsia" w:ascii="宋体" w:hAnsi="宋体" w:cs="宋体"/>
                <w:sz w:val="24"/>
              </w:rPr>
            </w:pPr>
            <w:r/>
            <w:bookmarkStart w:id="66" w:name="OLE_LINK35"/>
            <w:r>
              <w:rPr>
                <w:rFonts w:hint="eastAsia" w:ascii="宋体" w:hAnsi="宋体" w:cs="宋体"/>
                <w:sz w:val="24"/>
              </w:rPr>
              <w:t xml:space="preserve">（3）钢管（喷涂钢管）</w:t>
            </w:r>
            <w:bookmarkEnd w:id="66"/>
            <w:r>
              <w:rPr>
                <w:rFonts w:ascii="宋体" w:hAnsi="宋体" w:cs="宋体"/>
                <w:sz w:val="24"/>
              </w:rPr>
              <w:t xml:space="preserve">按 GB/T 4336</w:t>
            </w:r>
            <w:r>
              <w:rPr>
                <w:rFonts w:ascii="宋体" w:hAnsi="宋体" w:cs="宋体"/>
                <w:sz w:val="24"/>
              </w:rPr>
              <w:noBreakHyphen/>
              <w:t xml:space="preserve">2016 进行元素分析，测试前去除喷涂涂层；化学成分限值：C≤0.22%、Si≤0.35%、Mn≤1.40%、P≤0.035%、S≤0.035%，全部指标满</w:t>
            </w:r>
            <w:r>
              <w:rPr>
                <w:rFonts w:ascii="宋体" w:hAnsi="宋体" w:cs="宋体"/>
                <w:sz w:val="24"/>
              </w:rPr>
              <w:t xml:space="preserve">足为合格。</w:t>
            </w:r>
            <w:r/>
          </w:p>
          <w:p>
            <w:pPr>
              <w:jc w:val="left"/>
              <w:spacing w:line="288" w:lineRule="auto"/>
              <w:rPr>
                <w:rFonts w:hint="eastAsia" w:ascii="宋体" w:hAnsi="宋体" w:cs="宋体"/>
                <w:sz w:val="24"/>
              </w:rPr>
            </w:pPr>
            <w:r>
              <w:rPr>
                <w:rFonts w:hint="eastAsia" w:ascii="宋体" w:hAnsi="宋体" w:cs="宋体"/>
                <w:sz w:val="24"/>
              </w:rPr>
              <w:t xml:space="preserve">本项满分3分，每缺少一项扣一分；须提供检测报告扫描件。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889"/>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成品检测报告</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投标人提供具有CMA或CNAS标识的第三方检测报告：</w:t>
            </w:r>
            <w:r/>
          </w:p>
          <w:p>
            <w:pPr>
              <w:jc w:val="left"/>
              <w:spacing w:line="288" w:lineRule="auto"/>
              <w:rPr>
                <w:rFonts w:hint="eastAsia" w:ascii="宋体" w:hAnsi="宋体" w:cs="宋体"/>
                <w:sz w:val="24"/>
              </w:rPr>
            </w:pPr>
            <w:r/>
            <w:bookmarkStart w:id="67" w:name="OLE_LINK38"/>
            <w:r>
              <w:rPr>
                <w:rFonts w:hint="eastAsia" w:ascii="宋体" w:hAnsi="宋体" w:cs="宋体"/>
                <w:sz w:val="24"/>
              </w:rPr>
              <w:t xml:space="preserve">塑钢课桌椅检验：（1）LY/T 1926-2020：抗菌性能（大肠杆菌</w:t>
            </w:r>
            <w:r>
              <w:rPr>
                <w:rFonts w:hint="eastAsia" w:ascii="宋体" w:hAnsi="宋体" w:cs="宋体"/>
                <w:sz w:val="24"/>
              </w:rPr>
              <w:t xml:space="preserve">抗菌率</w:t>
            </w:r>
            <w:r>
              <w:rPr>
                <w:rFonts w:hint="eastAsia" w:ascii="宋体" w:hAnsi="宋体" w:cs="宋体"/>
                <w:sz w:val="24"/>
              </w:rPr>
              <w:t xml:space="preserve">≥99%，金黄色葡萄球菌</w:t>
            </w:r>
            <w:r>
              <w:rPr>
                <w:rFonts w:hint="eastAsia" w:ascii="宋体" w:hAnsi="宋体" w:cs="宋体"/>
                <w:sz w:val="24"/>
              </w:rPr>
              <w:t xml:space="preserve">抗菌率</w:t>
            </w:r>
            <w:r>
              <w:rPr>
                <w:rFonts w:hint="eastAsia" w:ascii="宋体" w:hAnsi="宋体" w:cs="宋体"/>
                <w:sz w:val="24"/>
              </w:rPr>
              <w:t xml:space="preserve">≥99%，白色念珠</w:t>
            </w:r>
            <w:r>
              <w:rPr>
                <w:rFonts w:hint="eastAsia" w:ascii="宋体" w:hAnsi="宋体" w:cs="宋体"/>
                <w:sz w:val="24"/>
              </w:rPr>
              <w:t xml:space="preserve">菌抗菌率</w:t>
            </w:r>
            <w:r>
              <w:rPr>
                <w:rFonts w:hint="eastAsia" w:ascii="宋体" w:hAnsi="宋体" w:cs="宋体"/>
                <w:sz w:val="24"/>
              </w:rPr>
              <w:t xml:space="preserve">≥99%，课桌椅对肺炎克雷伯氏菌</w:t>
            </w:r>
            <w:r>
              <w:rPr>
                <w:rFonts w:hint="eastAsia" w:ascii="宋体" w:hAnsi="宋体" w:cs="宋体"/>
                <w:sz w:val="24"/>
              </w:rPr>
              <w:t xml:space="preserve">抗菌率</w:t>
            </w:r>
            <w:r>
              <w:rPr>
                <w:rFonts w:hint="eastAsia" w:ascii="宋体" w:hAnsi="宋体" w:cs="宋体"/>
                <w:sz w:val="24"/>
              </w:rPr>
              <w:t xml:space="preserve">≥99%）；（2）QB/T 4071-2021安全性要求（所有零部件应无破损、金属件应无端部未封口的管件，</w:t>
            </w:r>
            <w:r>
              <w:rPr>
                <w:rFonts w:hint="eastAsia" w:ascii="宋体" w:hAnsi="宋体" w:cs="宋体"/>
                <w:sz w:val="24"/>
              </w:rPr>
              <w:t xml:space="preserve">闷盖应不易</w:t>
            </w:r>
            <w:r>
              <w:rPr>
                <w:rFonts w:hint="eastAsia" w:ascii="宋体" w:hAnsi="宋体" w:cs="宋体"/>
                <w:sz w:val="24"/>
              </w:rPr>
              <w:t xml:space="preserve">脱落，与人体接触的部位、存放物品的部位不应有毛刺、</w:t>
            </w:r>
            <w:r>
              <w:rPr>
                <w:rFonts w:hint="eastAsia" w:ascii="宋体" w:hAnsi="宋体" w:cs="宋体"/>
                <w:sz w:val="24"/>
              </w:rPr>
              <w:t xml:space="preserve">刃</w:t>
            </w:r>
            <w:r>
              <w:rPr>
                <w:rFonts w:hint="eastAsia" w:ascii="宋体" w:hAnsi="宋体" w:cs="宋体"/>
                <w:sz w:val="24"/>
              </w:rPr>
              <w:t xml:space="preserve">角、锐棱、</w:t>
            </w:r>
            <w:r>
              <w:rPr>
                <w:rFonts w:hint="eastAsia" w:ascii="宋体" w:hAnsi="宋体" w:cs="宋体"/>
                <w:sz w:val="24"/>
              </w:rPr>
              <w:t xml:space="preserve">透钉及其</w:t>
            </w:r>
            <w:r>
              <w:rPr>
                <w:rFonts w:hint="eastAsia" w:ascii="宋体" w:hAnsi="宋体" w:cs="宋体"/>
                <w:sz w:val="24"/>
              </w:rPr>
              <w:t xml:space="preserve">他尖锐物，与人体接触的座面、椅背和扶手等边缘倒圆角的半径至少应为2mm，某些可能造成伤害的部位应不可能被接触到、除非使用专门的拆卸工具，课桌椅应不可能被随意拆卸、除非使用专门的拆卸工具）；（3）QB/T 4071-2021：力学性能（课桌-桌面垂直静载荷、桌面垂直耐久性、桌面垂直冲击、桌腿跌落、桌面水平静载荷；课椅-椅子向后倾翻、座面、椅背联合静载荷、座面侧向静载荷、座面冲击、椅子侧向倾翻（无扶手））；（4）GB 18584-2024：有害物质限量检测合格（检测内容至少包含甲醛与重金属含量指标）。</w:t>
            </w:r>
            <w:bookmarkEnd w:id="67"/>
            <w:r/>
            <w:r/>
          </w:p>
          <w:p>
            <w:pPr>
              <w:jc w:val="left"/>
              <w:spacing w:line="288" w:lineRule="auto"/>
              <w:rPr>
                <w:rFonts w:hint="eastAsia" w:ascii="宋体" w:hAnsi="宋体" w:cs="宋体"/>
                <w:sz w:val="24"/>
              </w:rPr>
            </w:pPr>
            <w:r>
              <w:rPr>
                <w:rFonts w:hint="eastAsia" w:ascii="宋体" w:hAnsi="宋体" w:cs="宋体"/>
                <w:sz w:val="24"/>
              </w:rPr>
              <w:t xml:space="preserve">本项满分2分，每缺少一项扣0.5分；须提供检测报告扫描件。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133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产品视频演示</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评委根据投标人提供的单人塑钢调节课桌视频演示内容评分（每位投标人演示时间不超过3分钟）：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（1）表面处理规范、安全性高，桌斗插口与Y型支架连接、腿部升降</w:t>
            </w:r>
            <w:r>
              <w:rPr>
                <w:rFonts w:hint="eastAsia" w:ascii="宋体" w:hAnsi="宋体" w:cs="宋体"/>
                <w:sz w:val="24"/>
              </w:rPr>
              <w:t xml:space="preserve">均配合</w:t>
            </w:r>
            <w:r>
              <w:rPr>
                <w:rFonts w:hint="eastAsia" w:ascii="宋体" w:hAnsi="宋体" w:cs="宋体"/>
                <w:sz w:val="24"/>
              </w:rPr>
              <w:t xml:space="preserve">紧密、稳定性承重性高，得2分；表面处理基本规范、安全，桌斗插口与Y型支架连接、腿部升降配合基本紧密、稳定、能承重的，得1分；其他不得分。</w:t>
            </w:r>
            <w:r/>
          </w:p>
          <w:p>
            <w:pPr>
              <w:jc w:val="left"/>
              <w:spacing w:line="288" w:lineRule="auto"/>
              <w:rPr>
                <w:rFonts w:hint="eastAsia" w:ascii="宋体" w:hAnsi="宋体" w:cs="宋体"/>
                <w:sz w:val="24"/>
              </w:rPr>
            </w:pPr>
            <w:r>
              <w:rPr>
                <w:rFonts w:hint="eastAsia" w:ascii="宋体" w:hAnsi="宋体" w:cs="宋体"/>
                <w:sz w:val="24"/>
              </w:rPr>
              <w:t xml:space="preserve">（2）部件材质、尺寸完全符合要求，调节螺丝耐用性高、配合紧密、调节顺滑，型号标识适用性高的，得2分；部件材质、尺寸基本符合要求，调节螺丝基本耐用、配合基本紧密，调节基本顺滑，型号标识基本可用的得1分，其他不得分。</w:t>
            </w:r>
            <w:r/>
          </w:p>
          <w:p>
            <w:pPr>
              <w:jc w:val="left"/>
              <w:spacing w:line="288" w:lineRule="auto"/>
              <w:rPr>
                <w:rFonts w:hint="eastAsia" w:ascii="宋体" w:hAnsi="宋体" w:cs="宋体"/>
                <w:sz w:val="24"/>
              </w:rPr>
            </w:pPr>
            <w:r>
              <w:rPr>
                <w:rFonts w:hint="eastAsia" w:ascii="宋体" w:hAnsi="宋体" w:cs="宋体"/>
                <w:sz w:val="24"/>
              </w:rPr>
              <w:t xml:space="preserve">本项最多4分，未提供视频文件或因投标人自身原因视频文件无法打开或视频画面不清晰无法辨认的不得分。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176"/>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3.服务</w:t>
            </w:r>
            <w:r/>
          </w:p>
        </w:tc>
      </w:tr>
      <w:tr>
        <w:trPr>
          <w:jc w:val="center"/>
          <w:trHeight w:val="668"/>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实施方案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投标人提供的本项目实施方案，包含（每项内容逐条阐述）：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1.供货进度保证措施；2.供货质量保证措施；3.协调配合措</w:t>
            </w:r>
            <w:r>
              <w:rPr>
                <w:rFonts w:hint="eastAsia" w:ascii="宋体" w:hAnsi="宋体" w:cs="宋体"/>
                <w:b/>
                <w:bCs/>
                <w:sz w:val="24"/>
              </w:rPr>
              <w:t xml:space="preserve">施；4.应急措施。</w:t>
            </w:r>
            <w:r/>
          </w:p>
          <w:p>
            <w:pPr>
              <w:jc w:val="left"/>
              <w:spacing w:line="288" w:lineRule="auto"/>
              <w:rPr>
                <w:rFonts w:hint="eastAsia" w:ascii="宋体" w:hAnsi="宋体" w:cs="宋体"/>
                <w:sz w:val="24"/>
              </w:rPr>
            </w:pPr>
            <w:r>
              <w:rPr>
                <w:rFonts w:hint="eastAsia" w:ascii="宋体" w:hAnsi="宋体" w:cs="宋体"/>
                <w:sz w:val="24"/>
              </w:rPr>
              <w:t xml:space="preserve">（1）上述每项实施方案完整深刻，针对性强，紧贴采购需求实际，得2分；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（2）上述每项实施方案基本完整，有一定针对性，基本符合采购需求实际，得1分；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（3）上述实施方案不完整，缺乏针对性，脱离采购需求实际或者未提供方案的，不得分。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投标人提供的本项目售后服务保障方案，包含（每项内容逐条阐述）：</w:t>
            </w:r>
            <w:r/>
          </w:p>
          <w:p>
            <w:pPr>
              <w:jc w:val="left"/>
              <w:spacing w:line="288" w:lineRule="auto"/>
              <w:rPr>
                <w:rFonts w:hint="eastAsia" w:ascii="宋体" w:hAnsi="宋体" w:cs="宋体"/>
                <w:b/>
                <w:bCs/>
                <w:sz w:val="24"/>
              </w:rPr>
            </w:pPr>
            <w:r>
              <w:rPr>
                <w:rFonts w:hint="eastAsia" w:ascii="宋体" w:hAnsi="宋体" w:cs="宋体"/>
                <w:b/>
                <w:bCs/>
                <w:sz w:val="24"/>
              </w:rPr>
              <w:t xml:space="preserve">1.服务内容；2.故障解决方案；3.响应时间；4.技术人员保障及服务电话</w:t>
            </w:r>
            <w:r/>
          </w:p>
          <w:p>
            <w:pPr>
              <w:jc w:val="left"/>
              <w:spacing w:line="288" w:lineRule="auto"/>
              <w:rPr>
                <w:rFonts w:hint="eastAsia" w:ascii="宋体" w:hAnsi="宋体" w:cs="宋体"/>
                <w:sz w:val="24"/>
              </w:rPr>
            </w:pPr>
            <w:r>
              <w:rPr>
                <w:rFonts w:hint="eastAsia" w:ascii="宋体" w:hAnsi="宋体" w:cs="宋体"/>
                <w:sz w:val="24"/>
              </w:rPr>
              <w:t xml:space="preserve">（1）上述每项内容完整深刻，针对性强，紧贴采购需求实际，得2分；</w:t>
            </w:r>
            <w:r/>
          </w:p>
          <w:p>
            <w:pPr>
              <w:jc w:val="left"/>
              <w:spacing w:line="288" w:lineRule="auto"/>
              <w:rPr>
                <w:rFonts w:hint="eastAsia" w:ascii="宋体" w:hAnsi="宋体" w:cs="宋体"/>
                <w:sz w:val="24"/>
              </w:rPr>
            </w:pPr>
            <w:r>
              <w:rPr>
                <w:rFonts w:hint="eastAsia" w:ascii="宋体" w:hAnsi="宋体" w:cs="宋体"/>
                <w:sz w:val="24"/>
              </w:rPr>
              <w:t xml:space="preserve">（2）上述每项内容基本完整，有一定针对性，基本符合采购需求实际，得1分；</w:t>
            </w:r>
            <w:r/>
          </w:p>
          <w:p>
            <w:pPr>
              <w:jc w:val="left"/>
              <w:spacing w:line="288" w:lineRule="auto"/>
              <w:rPr>
                <w:rFonts w:hint="eastAsia" w:ascii="宋体" w:hAnsi="宋体" w:cs="宋体"/>
                <w:sz w:val="24"/>
              </w:rPr>
            </w:pPr>
            <w:r>
              <w:rPr>
                <w:rFonts w:hint="eastAsia" w:ascii="宋体" w:hAnsi="宋体" w:cs="宋体"/>
                <w:sz w:val="24"/>
              </w:rPr>
              <w:t xml:space="preserve">（3）上述每项内容不完整，缺乏针对性，脱离采购需求实际或者未提供方案的，不得分。</w:t>
            </w:r>
            <w:r/>
          </w:p>
          <w:p>
            <w:pPr>
              <w:jc w:val="left"/>
              <w:spacing w:line="288" w:lineRule="auto"/>
              <w:rPr>
                <w:rFonts w:hint="eastAsia" w:ascii="宋体" w:hAnsi="宋体" w:cs="宋体"/>
                <w:sz w:val="24"/>
              </w:rPr>
            </w:pPr>
            <w:r>
              <w:rPr>
                <w:rFonts w:hint="eastAsia" w:ascii="宋体" w:hAnsi="宋体" w:cs="宋体"/>
                <w:sz w:val="24"/>
              </w:rPr>
              <w:t xml:space="preserve">本项最高得</w:t>
            </w:r>
            <w:r>
              <w:rPr>
                <w:rFonts w:ascii="宋体" w:hAnsi="宋体" w:cs="宋体"/>
                <w:sz w:val="24"/>
              </w:rPr>
              <w:t xml:space="preserve">8</w:t>
            </w:r>
            <w:r>
              <w:rPr>
                <w:rFonts w:hint="eastAsia" w:ascii="宋体" w:hAnsi="宋体" w:cs="宋体"/>
                <w:sz w:val="24"/>
              </w:rPr>
              <w:t xml:space="preserve">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8</w:t>
            </w:r>
            <w:r/>
          </w:p>
        </w:tc>
      </w:tr>
      <w:tr>
        <w:trPr>
          <w:jc w:val="center"/>
          <w:trHeight w:val="13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质保期</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投标人承诺本项目所有产品质保8年的基础上，每增加1年得1.5分，最高得3分。（提供承诺书，格式自拟）</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3</w:t>
            </w:r>
            <w:r/>
          </w:p>
        </w:tc>
      </w:tr>
      <w:tr>
        <w:trPr>
          <w:jc w:val="center"/>
          <w:trHeight w:val="455"/>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4.业绩</w:t>
            </w:r>
            <w:r/>
          </w:p>
        </w:tc>
      </w:tr>
      <w:tr>
        <w:trPr>
          <w:jc w:val="center"/>
          <w:trHeight w:val="513"/>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投标人业绩</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投标人提供2021年01月01日（以合同时间为准）以来，具有与本次采购相关（至少包含与本项目采购需求类似的塑钢课桌椅）的类似项目业绩，每提供1个得2分，最多得6分（提供合同及验收单，</w:t>
            </w:r>
            <w:r>
              <w:rPr>
                <w:rFonts w:hint="eastAsia" w:ascii="宋体" w:hAnsi="宋体" w:cs="宋体"/>
                <w:sz w:val="24"/>
              </w:rPr>
              <w:t xml:space="preserve">合同页须清晰</w:t>
            </w:r>
            <w:r>
              <w:rPr>
                <w:rFonts w:hint="eastAsia" w:ascii="宋体" w:hAnsi="宋体" w:cs="宋体"/>
                <w:sz w:val="24"/>
              </w:rPr>
              <w:t xml:space="preserve">可见相应内容，合同内无法体现主要产品相关信息的不得分）。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w:t>
            </w:r>
            <w:r/>
          </w:p>
        </w:tc>
      </w:tr>
      <w:tr>
        <w:trPr>
          <w:jc w:val="center"/>
          <w:trHeight w:val="269"/>
        </w:trPr>
        <w:tc>
          <w:tcPr>
            <w:gridSpan w:val="4"/>
            <w:tcBorders>
              <w:top w:val="single" w:color="000000" w:sz="6" w:space="0"/>
              <w:left w:val="single" w:color="000000" w:sz="6" w:space="0"/>
              <w:bottom w:val="single" w:color="000000" w:sz="6" w:space="0"/>
              <w:right w:val="single" w:color="000000" w:sz="6" w:space="0"/>
            </w:tcBorders>
            <w:tcW w:w="9352" w:type="dxa"/>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5.履约能力</w:t>
            </w:r>
            <w:r/>
          </w:p>
        </w:tc>
      </w:tr>
      <w:tr>
        <w:trPr>
          <w:jc w:val="center"/>
          <w:trHeight w:val="387"/>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履约能力1</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评委根据投标人提供的车间单人塑钢调节课桌生产流程的完整视频演示综合评分（每位投标人演示时间不超过3分钟）：</w:t>
            </w:r>
            <w:r/>
          </w:p>
          <w:p>
            <w:pPr>
              <w:jc w:val="left"/>
              <w:spacing w:line="288" w:lineRule="auto"/>
              <w:rPr>
                <w:rFonts w:hint="eastAsia" w:ascii="宋体" w:hAnsi="宋体" w:cs="宋体"/>
                <w:sz w:val="24"/>
              </w:rPr>
            </w:pPr>
            <w:r>
              <w:rPr>
                <w:rFonts w:hint="eastAsia" w:ascii="宋体" w:hAnsi="宋体" w:cs="宋体"/>
                <w:sz w:val="24"/>
              </w:rPr>
              <w:t xml:space="preserve">（1）视频演示步骤包含</w:t>
            </w:r>
            <w:r>
              <w:rPr>
                <w:rFonts w:hint="eastAsia" w:ascii="宋体" w:hAnsi="宋体" w:cs="宋体"/>
                <w:sz w:val="24"/>
              </w:rPr>
              <w:t xml:space="preserve">桌面及桌斗</w:t>
            </w:r>
            <w:r>
              <w:rPr>
                <w:rFonts w:hint="eastAsia" w:ascii="宋体" w:hAnsi="宋体" w:cs="宋体"/>
                <w:sz w:val="24"/>
              </w:rPr>
              <w:t xml:space="preserve">注塑、管材激光切割下料、机器人焊接、酸洗磷化、喷塑、组装；步骤完整齐全、画面条理清晰的，得2分；步骤基本齐全、画面条理基本清晰的，得1分；其他不得分。</w:t>
            </w:r>
            <w:r/>
          </w:p>
          <w:p>
            <w:pPr>
              <w:jc w:val="left"/>
              <w:spacing w:line="288" w:lineRule="auto"/>
              <w:rPr>
                <w:rFonts w:hint="eastAsia" w:ascii="宋体" w:hAnsi="宋体" w:cs="宋体"/>
                <w:sz w:val="24"/>
              </w:rPr>
            </w:pPr>
            <w:r>
              <w:rPr>
                <w:rFonts w:hint="eastAsia" w:ascii="宋体" w:hAnsi="宋体" w:cs="宋体"/>
                <w:sz w:val="24"/>
              </w:rPr>
              <w:t xml:space="preserve">（2）视频演示有特写镜头，能明确显示出投标人自有厂房车间、注塑机、</w:t>
            </w:r>
            <w:r>
              <w:rPr>
                <w:rFonts w:hint="eastAsia" w:ascii="宋体" w:hAnsi="宋体" w:cs="宋体"/>
                <w:sz w:val="24"/>
              </w:rPr>
              <w:t xml:space="preserve">激光切管机</w:t>
            </w:r>
            <w:r>
              <w:rPr>
                <w:rFonts w:hint="eastAsia" w:ascii="宋体" w:hAnsi="宋体" w:cs="宋体"/>
                <w:sz w:val="24"/>
              </w:rPr>
              <w:t xml:space="preserve">、数控</w:t>
            </w:r>
            <w:r>
              <w:rPr>
                <w:rFonts w:hint="eastAsia" w:ascii="宋体" w:hAnsi="宋体" w:cs="宋体"/>
                <w:sz w:val="24"/>
              </w:rPr>
              <w:t xml:space="preserve">三维液</w:t>
            </w:r>
            <w:r>
              <w:rPr>
                <w:rFonts w:hint="eastAsia" w:ascii="宋体" w:hAnsi="宋体" w:cs="宋体"/>
                <w:sz w:val="24"/>
              </w:rPr>
              <w:t xml:space="preserve">压弯管机、焊接机器人、喷涂流水线画面，需附生产设备铭牌、购置发票特写镜头。特写镜头完整齐全、画面清晰的，得2分；特写镜头基本齐全、画面基本清晰的，得1分；其他不得分。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4</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5.2</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履约能力2</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投标人所投产品获得“中国环保产品认证证书（CQC）”，认证范围至少包含：课桌椅（课桌、课椅）。满分2分；须提供证书扫描件。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5.3</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履约能力3</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投标人所投产品获得“家具产品认证证书”，认证范围至少包含：课桌椅（课桌、课椅）。满分2分；须提供证书扫描件。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5.4</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履约能力4</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r>
            <w:r>
              <w:rPr>
                <w:rFonts w:hint="eastAsia" w:ascii="宋体" w:hAnsi="宋体" w:cs="宋体"/>
                <w:sz w:val="24"/>
              </w:rPr>
              <w:t xml:space="preserve">投标人所投产品获得“家具产品总挥发性有机化合物限量产品认证证书”，认证范围至少包含：课桌椅（课桌、课椅）。满分2分；须提供证书扫描件。</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5.5</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履约能力5</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投标人具有有效期内的“人类工效学产品认证证书”，认证范围至少包含：课桌椅（课桌、课椅）。满分2分；须提供证书扫描件。</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433"/>
        </w:trPr>
        <w:tc>
          <w:tcPr>
            <w:gridSpan w:val="4"/>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6.环保</w:t>
            </w:r>
            <w:r/>
          </w:p>
        </w:tc>
      </w:tr>
      <w:tr>
        <w:trPr>
          <w:jc w:val="center"/>
          <w:trHeight w:val="676"/>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6.1</w:t>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环境标志产品认证</w:t>
            </w:r>
            <w:r/>
          </w:p>
        </w:tc>
        <w:tc>
          <w:tcPr>
            <w:tcBorders>
              <w:top w:val="single" w:color="000000" w:sz="6" w:space="0"/>
              <w:left w:val="single" w:color="000000" w:sz="6" w:space="0"/>
              <w:bottom w:val="single" w:color="000000" w:sz="6" w:space="0"/>
              <w:right w:val="single" w:color="000000" w:sz="6" w:space="0"/>
            </w:tcBorders>
            <w:tcW w:w="6813"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投标产品属于财政部、生态环境部公布的“环境标志产品品目清单”范围内的，投标人提供国家确定的认证机构出具的、处于有效期内且证书包含本次投标的</w:t>
            </w:r>
            <w:r>
              <w:rPr>
                <w:rFonts w:hint="eastAsia" w:ascii="宋体" w:hAnsi="宋体" w:cs="宋体"/>
                <w:sz w:val="24"/>
              </w:rPr>
              <w:t xml:space="preserve">的</w:t>
            </w:r>
            <w:r>
              <w:rPr>
                <w:rFonts w:hint="eastAsia" w:ascii="宋体" w:hAnsi="宋体" w:cs="宋体"/>
                <w:sz w:val="24"/>
              </w:rPr>
              <w:t xml:space="preserve">单人塑钢可调节课桌椅的环境标志产品认证证书的，有1个得1分，最多得2分</w:t>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2</w:t>
            </w:r>
            <w:r/>
          </w:p>
        </w:tc>
      </w:tr>
      <w:tr>
        <w:trPr>
          <w:jc w:val="center"/>
          <w:trHeight w:val="70"/>
        </w:trPr>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合计</w:t>
            </w:r>
            <w:r/>
          </w:p>
        </w:tc>
        <w:tc>
          <w:tcPr>
            <w:gridSpan w:val="2"/>
            <w:tcBorders>
              <w:top w:val="single" w:color="000000" w:sz="6" w:space="0"/>
              <w:left w:val="single" w:color="000000" w:sz="6" w:space="0"/>
              <w:bottom w:val="single" w:color="000000" w:sz="6" w:space="0"/>
              <w:right w:val="single" w:color="000000" w:sz="6" w:space="0"/>
            </w:tcBorders>
            <w:tcW w:w="7838"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left"/>
              <w:spacing w:line="288" w:lineRule="auto"/>
              <w:rPr>
                <w:rFonts w:hint="eastAsia" w:ascii="宋体" w:hAnsi="宋体" w:cs="宋体"/>
                <w:sz w:val="24"/>
              </w:rPr>
            </w:pPr>
            <w:r>
              <w:rPr>
                <w:rFonts w:hint="eastAsia" w:ascii="宋体" w:hAnsi="宋体" w:cs="宋体"/>
                <w:sz w:val="24"/>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w:t>
      </w:r>
      <w:r>
        <w:rPr>
          <w:rFonts w:hint="eastAsia" w:ascii="宋体" w:hAnsi="宋体" w:cs="宋体"/>
          <w:sz w:val="24"/>
        </w:rPr>
        <w:t xml:space="preserve">微企业</w:t>
      </w:r>
      <w:r>
        <w:rPr>
          <w:rFonts w:hint="eastAsia" w:ascii="宋体" w:hAnsi="宋体" w:cs="宋体"/>
          <w:sz w:val="24"/>
        </w:rPr>
        <w:t xml:space="preserve">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w:t>
      </w:r>
      <w:r>
        <w:rPr>
          <w:rFonts w:hint="eastAsia" w:ascii="宋体" w:hAnsi="宋体" w:cs="宋体"/>
          <w:sz w:val="24"/>
        </w:rPr>
        <w:t xml:space="preserve">微企业</w:t>
      </w:r>
      <w:r>
        <w:rPr>
          <w:rFonts w:hint="eastAsia" w:ascii="宋体" w:hAnsi="宋体" w:cs="宋体"/>
          <w:sz w:val="24"/>
        </w:rPr>
        <w:t xml:space="preserve">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w:t>
      </w:r>
      <w:r>
        <w:rPr>
          <w:rFonts w:hint="eastAsia" w:ascii="宋体" w:hAnsi="宋体"/>
          <w:sz w:val="24"/>
        </w:rPr>
        <w:t xml:space="preserve">微企业</w:t>
      </w:r>
      <w:r>
        <w:rPr>
          <w:rFonts w:hint="eastAsia" w:ascii="宋体" w:hAnsi="宋体"/>
          <w:sz w:val="24"/>
        </w:rPr>
        <w:t xml:space="preserve">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w:t>
      </w:r>
      <w:r>
        <w:rPr>
          <w:rFonts w:hint="eastAsia" w:ascii="宋体" w:hAnsi="宋体" w:cs="宋体"/>
          <w:sz w:val="24"/>
        </w:rPr>
        <w:t xml:space="preserve">不</w:t>
      </w:r>
      <w:r>
        <w:rPr>
          <w:rFonts w:hint="eastAsia" w:ascii="宋体" w:hAnsi="宋体" w:cs="宋体"/>
          <w:sz w:val="24"/>
        </w:rPr>
        <w:t xml:space="preserve">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w:t>
      </w:r>
      <w:r>
        <w:rPr>
          <w:rFonts w:hint="eastAsia" w:ascii="宋体" w:hAnsi="宋体" w:cs="宋体"/>
          <w:sz w:val="24"/>
        </w:rPr>
        <w:t xml:space="preserve">且依据</w:t>
      </w:r>
      <w:r>
        <w:rPr>
          <w:rFonts w:hint="eastAsia" w:ascii="宋体" w:hAnsi="宋体" w:cs="宋体"/>
          <w:sz w:val="24"/>
        </w:rPr>
        <w:t xml:space="preserve">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firstLine="422"/>
        <w:spacing w:line="288" w:lineRule="auto"/>
        <w:rPr>
          <w:rFonts w:hint="eastAsia" w:ascii="宋体" w:hAnsi="宋体" w:cs="宋体"/>
          <w:sz w:val="24"/>
        </w:rPr>
      </w:pPr>
      <w:r>
        <w:rPr>
          <w:rFonts w:hint="eastAsia" w:ascii="宋体" w:hAnsi="宋体" w:cs="宋体"/>
          <w:sz w:val="24"/>
        </w:rPr>
        <w:t xml:space="preserve">7、本国产品的价格扣除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（1）本项目如同时含本国与非本国产品时，对本国产品给予20%的价格扣除，用扣除后的价格参与评审。全部货物为本国产品的不扣除。</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w:t>
      </w:r>
      <w:r>
        <w:rPr>
          <w:rFonts w:ascii="宋体" w:hAnsi="宋体" w:cs="宋体"/>
          <w:sz w:val="24"/>
        </w:rPr>
        <w:t xml:space="preserve">关于符合本国产品标准的声明函</w:t>
      </w:r>
      <w:r>
        <w:rPr>
          <w:rFonts w:hint="eastAsia" w:ascii="宋体" w:hAnsi="宋体" w:cs="宋体"/>
          <w:sz w:val="24"/>
        </w:rPr>
        <w:t xml:space="preserve">》。</w:t>
      </w:r>
      <w:r/>
    </w:p>
    <w:p>
      <w:pPr>
        <w:ind w:firstLine="422"/>
        <w:spacing w:line="288" w:lineRule="auto"/>
        <w:rPr>
          <w:rFonts w:hint="eastAsia" w:ascii="宋体" w:hAnsi="宋体" w:cs="宋体"/>
          <w:sz w:val="24"/>
        </w:rPr>
      </w:pPr>
      <w:r>
        <w:rPr>
          <w:rFonts w:hint="eastAsia" w:ascii="宋体" w:hAnsi="宋体" w:cs="宋体"/>
          <w:sz w:val="24"/>
        </w:rPr>
        <w:t xml:space="preserve">（3）企业标准请参照《国务院办公厅关于在政府采购中实施本国产品标准及相关政策的通知》（国办发〔2025〕34号）文件规定自行填写。</w:t>
      </w:r>
      <w:r/>
    </w:p>
    <w:p>
      <w:pPr>
        <w:jc w:val="left"/>
        <w:widowControl/>
        <w:rPr>
          <w:rFonts w:hint="eastAsia" w:ascii="宋体" w:hAnsi="宋体" w:cs="宋体"/>
          <w:sz w:val="24"/>
        </w:rPr>
      </w:pPr>
      <w:r/>
      <w:bookmarkStart w:id="68" w:name="_Toc513799377"/>
      <w:r>
        <w:rPr>
          <w:rFonts w:hint="eastAsia" w:ascii="宋体" w:hAnsi="宋体" w:cs="宋体"/>
          <w:sz w:val="24"/>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第四章 采购</w:t>
      </w:r>
      <w:bookmarkEnd w:id="68"/>
      <w:r>
        <w:rPr>
          <w:rFonts w:hint="eastAsia" w:ascii="宋体" w:hAnsi="宋体" w:cs="宋体"/>
          <w:color w:val="000000"/>
          <w:sz w:val="36"/>
          <w:szCs w:val="36"/>
          <w:lang w:val="zh-CN"/>
        </w:rPr>
        <w:t xml:space="preserve">需求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一、项目属性：</w:t>
      </w:r>
      <w:r/>
    </w:p>
    <w:p>
      <w:pPr>
        <w:ind w:firstLine="480"/>
        <w:spacing w:line="264" w:lineRule="auto"/>
        <w:rPr>
          <w:rFonts w:hint="eastAsia" w:ascii="黑体" w:hAnsi="黑体" w:eastAsia="黑体" w:cs="黑体"/>
          <w:color w:val="000000"/>
          <w:sz w:val="24"/>
        </w:rPr>
      </w:pPr>
      <w:r>
        <w:rPr>
          <w:rFonts w:hint="eastAsia" w:ascii="宋体" w:hAnsi="宋体" w:cs="宋体"/>
          <w:color w:val="000000"/>
          <w:sz w:val="24"/>
        </w:rPr>
        <w:t xml:space="preserve">货物类项目。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根据学校需求配置单人塑钢可调节课桌椅</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遵循国家、行业及地方现行的规范和标准。</w:t>
      </w:r>
      <w:r>
        <w:rPr>
          <w:rFonts w:hint="eastAsia" w:ascii="宋体" w:hAnsi="宋体" w:cs="宋体"/>
          <w:color w:val="000000"/>
          <w:sz w:val="24"/>
        </w:rPr>
        <w:t xml:space="preserve">招标文件涉及标准中未标年号的一律采用最新的标准；随着标准的修订，以修订后的最新标准为依据。</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三、项目清单</w:t>
      </w:r>
      <w:r/>
    </w:p>
    <w:tbl>
      <w:tblPr>
        <w:tblW w:w="5012" w:type="pct"/>
        <w:tblInd w:w="1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598"/>
        <w:gridCol w:w="1389"/>
        <w:gridCol w:w="1278"/>
        <w:gridCol w:w="586"/>
        <w:gridCol w:w="1793"/>
        <w:gridCol w:w="1009"/>
        <w:gridCol w:w="1198"/>
        <w:gridCol w:w="831"/>
        <w:gridCol w:w="1077"/>
      </w:tblGrid>
      <w:tr>
        <w:trPr>
          <w:trHeight w:val="470"/>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序号</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分项名称</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数量</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单位</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单价上限</w:t>
            </w:r>
            <w:r/>
          </w:p>
          <w:p>
            <w:pPr>
              <w:spacing w:line="288" w:lineRule="auto"/>
              <w:rPr>
                <w:rFonts w:hint="eastAsia" w:ascii="宋体" w:hAnsi="宋体" w:cs="宋体"/>
                <w:bCs/>
                <w:color w:val="000000"/>
                <w:sz w:val="24"/>
              </w:rPr>
            </w:pPr>
            <w:r>
              <w:rPr>
                <w:rFonts w:hint="eastAsia" w:ascii="宋体" w:hAnsi="宋体" w:cs="宋体"/>
                <w:bCs/>
                <w:color w:val="000000"/>
                <w:sz w:val="24"/>
              </w:rPr>
              <w:t xml:space="preserve">（元）</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产品类型</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所属行业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属性</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政府强制采购节能产品</w:t>
            </w:r>
            <w:r/>
          </w:p>
        </w:tc>
      </w:tr>
      <w:tr>
        <w:trPr>
          <w:trHeight w:val="414"/>
        </w:trPr>
        <w:tc>
          <w:tcPr>
            <w:tcBorders>
              <w:top w:val="single" w:color="000000" w:sz="2" w:space="0"/>
              <w:left w:val="single" w:color="000000" w:sz="6" w:space="0"/>
              <w:bottom w:val="single" w:color="000000" w:sz="2" w:space="0"/>
              <w:right w:val="single" w:color="000000" w:sz="2" w:space="0"/>
            </w:tcBorders>
            <w:tcW w:w="59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w:t>
            </w:r>
            <w:r/>
          </w:p>
        </w:tc>
        <w:tc>
          <w:tcPr>
            <w:tcBorders>
              <w:top w:val="single" w:color="000000" w:sz="2" w:space="0"/>
              <w:left w:val="single" w:color="000000" w:sz="2" w:space="0"/>
              <w:bottom w:val="single" w:color="000000" w:sz="2" w:space="0"/>
              <w:right w:val="single" w:color="000000" w:sz="2" w:space="0"/>
            </w:tcBorders>
            <w:tcW w:w="138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bCs/>
              </w:rPr>
              <w:t xml:space="preserve">单人塑钢可调节课桌椅</w:t>
            </w:r>
            <w:r/>
          </w:p>
        </w:tc>
        <w:tc>
          <w:tcPr>
            <w:tcBorders>
              <w:top w:val="single" w:color="000000" w:sz="2" w:space="0"/>
              <w:left w:val="single" w:color="000000" w:sz="2" w:space="0"/>
              <w:bottom w:val="single" w:color="000000" w:sz="2" w:space="0"/>
              <w:right w:val="single" w:color="000000" w:sz="2" w:space="0"/>
            </w:tcBorders>
            <w:tcW w:w="1278"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t xml:space="preserve">740</w:t>
            </w:r>
            <w:r/>
          </w:p>
        </w:tc>
        <w:tc>
          <w:tcPr>
            <w:tcBorders>
              <w:top w:val="single" w:color="000000" w:sz="2" w:space="0"/>
              <w:left w:val="single" w:color="000000" w:sz="2" w:space="0"/>
              <w:bottom w:val="single" w:color="000000" w:sz="2" w:space="0"/>
              <w:right w:val="single" w:color="000000" w:sz="2" w:space="0"/>
            </w:tcBorders>
            <w:tcW w:w="586"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套</w:t>
            </w:r>
            <w:r/>
          </w:p>
        </w:tc>
        <w:tc>
          <w:tcPr>
            <w:tcBorders>
              <w:top w:val="single" w:color="000000" w:sz="2" w:space="0"/>
              <w:left w:val="single" w:color="000000" w:sz="2" w:space="0"/>
              <w:bottom w:val="single" w:color="000000" w:sz="2" w:space="0"/>
              <w:right w:val="single" w:color="000000" w:sz="2" w:space="0"/>
            </w:tcBorders>
            <w:tcW w:w="1793"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7</w:t>
            </w:r>
            <w:r>
              <w:rPr>
                <w:rFonts w:hint="eastAsia" w:ascii="宋体" w:hAnsi="宋体" w:cs="宋体"/>
                <w:bCs/>
                <w:color w:val="000000"/>
                <w:sz w:val="24"/>
              </w:rPr>
              <w:t xml:space="preserve">0.00</w:t>
            </w:r>
            <w:r/>
          </w:p>
        </w:tc>
        <w:tc>
          <w:tcPr>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
                <w:color w:val="000000"/>
                <w:sz w:val="24"/>
              </w:rPr>
              <w:t xml:space="preserve">核心产品</w:t>
            </w:r>
            <w:r/>
          </w:p>
        </w:tc>
        <w:tc>
          <w:tcPr>
            <w:tcBorders>
              <w:top w:val="single" w:color="000000" w:sz="2" w:space="0"/>
              <w:left w:val="single" w:color="000000" w:sz="2" w:space="0"/>
              <w:bottom w:val="single" w:color="000000" w:sz="2" w:space="0"/>
              <w:right w:val="single" w:color="000000" w:sz="2" w:space="0"/>
            </w:tcBorders>
            <w:tcW w:w="1198"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t xml:space="preserve">工业</w:t>
            </w:r>
            <w:r/>
          </w:p>
        </w:tc>
        <w:tc>
          <w:tcPr>
            <w:tcBorders>
              <w:top w:val="single" w:color="000000" w:sz="2" w:space="0"/>
              <w:left w:val="single" w:color="000000" w:sz="2" w:space="0"/>
              <w:bottom w:val="single" w:color="000000" w:sz="2" w:space="0"/>
              <w:right w:val="single" w:color="000000" w:sz="2" w:space="0"/>
            </w:tcBorders>
            <w:tcW w:w="831" w:type="dxa"/>
            <w:vAlign w:val="center"/>
            <w:textDirection w:val="lrTb"/>
            <w:noWrap w:val="false"/>
          </w:tcPr>
          <w:p>
            <w:pPr>
              <w:spacing w:line="288" w:lineRule="auto"/>
              <w:rPr>
                <w:rFonts w:hint="eastAsia" w:ascii="宋体" w:hAnsi="宋体" w:cs="宋体"/>
                <w:bCs/>
                <w:color w:val="000000"/>
                <w:sz w:val="24"/>
              </w:rPr>
            </w:pPr>
            <w:r>
              <w:rPr>
                <w:rFonts w:hint="eastAsia" w:ascii="宋体" w:hAnsi="宋体" w:cs="宋体"/>
                <w:bCs/>
                <w:color w:val="000000"/>
                <w:sz w:val="24"/>
              </w:rPr>
              <w:t xml:space="preserve">货物</w:t>
            </w:r>
            <w:r/>
          </w:p>
        </w:tc>
        <w:tc>
          <w:tcPr>
            <w:tcBorders>
              <w:top w:val="single" w:color="000000" w:sz="2" w:space="0"/>
              <w:left w:val="single" w:color="000000" w:sz="2" w:space="0"/>
              <w:bottom w:val="single" w:color="000000" w:sz="2" w:space="0"/>
              <w:right w:val="single" w:color="000000" w:sz="6" w:space="0"/>
            </w:tcBorders>
            <w:tcW w:w="1077" w:type="dxa"/>
            <w:vAlign w:val="center"/>
            <w:textDirection w:val="lrTb"/>
            <w:noWrap w:val="false"/>
          </w:tcPr>
          <w:p>
            <w:pPr>
              <w:ind w:firstLine="480"/>
              <w:spacing w:line="288" w:lineRule="auto"/>
              <w:rPr>
                <w:rFonts w:hint="eastAsia" w:ascii="宋体" w:hAnsi="宋体" w:cs="宋体"/>
                <w:bCs/>
                <w:color w:val="000000"/>
                <w:sz w:val="24"/>
              </w:rPr>
            </w:pPr>
            <w:r>
              <w:rPr>
                <w:rFonts w:hint="eastAsia" w:ascii="宋体" w:hAnsi="宋体" w:cs="宋体"/>
                <w:bCs/>
                <w:color w:val="000000"/>
                <w:sz w:val="24"/>
              </w:rPr>
            </w:r>
            <w:r/>
          </w:p>
        </w:tc>
      </w:tr>
    </w:tbl>
    <w:p>
      <w:pPr>
        <w:ind w:firstLine="480"/>
        <w:spacing w:line="288" w:lineRule="auto"/>
        <w:rPr>
          <w:rFonts w:hint="eastAsia" w:ascii="宋体" w:hAnsi="宋体" w:cs="宋体"/>
          <w:color w:val="000000"/>
          <w:sz w:val="24"/>
        </w:rPr>
      </w:pPr>
      <w:r>
        <w:rPr>
          <w:rFonts w:hint="eastAsia" w:ascii="宋体" w:hAnsi="宋体" w:cs="宋体"/>
          <w:color w:val="000000"/>
          <w:sz w:val="24"/>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四、拟采购标的需要满足的技术、商务要求</w:t>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（一）技术要求</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2"/>
        <w:gridCol w:w="1528"/>
        <w:gridCol w:w="6410"/>
      </w:tblGrid>
      <w:tr>
        <w:trPr>
          <w:jc w:val="center"/>
          <w:trHeight w:val="23"/>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rPr>
                <w:rFonts w:hint="eastAsia" w:ascii="宋体" w:hAnsi="宋体"/>
                <w:bCs/>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bCs/>
              </w:rPr>
            </w:pPr>
            <w:r>
              <w:rPr>
                <w:rFonts w:hint="eastAsia" w:ascii="宋体" w:hAnsi="宋体"/>
                <w:bCs/>
              </w:rPr>
              <w:t xml:space="preserve">产品名称</w:t>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center"/>
              <w:rPr>
                <w:rFonts w:hint="eastAsia" w:ascii="宋体" w:hAnsi="宋体"/>
                <w:bCs/>
              </w:rPr>
            </w:pPr>
            <w:r>
              <w:rPr>
                <w:rFonts w:hint="eastAsia" w:ascii="宋体" w:hAnsi="宋体"/>
                <w:bCs/>
              </w:rPr>
              <w:t xml:space="preserve">功能、性能、配置不低于以下要求</w:t>
            </w:r>
            <w:r/>
          </w:p>
        </w:tc>
      </w:tr>
      <w:tr>
        <w:trPr>
          <w:jc w:val="center"/>
          <w:trHeight w:val="23"/>
        </w:trPr>
        <w:tc>
          <w:tcPr>
            <w:tcBorders>
              <w:top w:val="single" w:color="000000" w:sz="4" w:space="0"/>
              <w:left w:val="single" w:color="000000" w:sz="4" w:space="0"/>
              <w:bottom w:val="single" w:color="auto" w:sz="4" w:space="0"/>
              <w:right w:val="single" w:color="000000" w:sz="4" w:space="0"/>
            </w:tcBorders>
            <w:tcW w:w="562" w:type="dxa"/>
            <w:vAlign w:val="center"/>
            <w:textDirection w:val="lrTb"/>
            <w:noWrap w:val="false"/>
          </w:tcPr>
          <w:p>
            <w:pPr>
              <w:jc w:val="center"/>
              <w:rPr>
                <w:rFonts w:hint="eastAsia" w:ascii="宋体" w:hAnsi="宋体"/>
              </w:rPr>
            </w:pPr>
            <w:r>
              <w:rPr>
                <w:rFonts w:hint="eastAsia" w:ascii="宋体" w:hAnsi="宋体"/>
                <w:bCs/>
              </w:rPr>
              <w:t xml:space="preserve">1</w:t>
            </w:r>
            <w:r/>
          </w:p>
        </w:tc>
        <w:tc>
          <w:tcPr>
            <w:tcBorders>
              <w:top w:val="single" w:color="000000" w:sz="4" w:space="0"/>
              <w:left w:val="single" w:color="000000" w:sz="4" w:space="0"/>
              <w:bottom w:val="single" w:color="auto" w:sz="4" w:space="0"/>
              <w:right w:val="single" w:color="000000" w:sz="4" w:space="0"/>
            </w:tcBorders>
            <w:tcW w:w="1528" w:type="dxa"/>
            <w:vAlign w:val="center"/>
            <w:textDirection w:val="lrTb"/>
            <w:noWrap w:val="false"/>
          </w:tcPr>
          <w:p>
            <w:pPr>
              <w:rPr>
                <w:rFonts w:hint="eastAsia" w:ascii="宋体" w:hAnsi="宋体"/>
              </w:rPr>
            </w:pPr>
            <w:r/>
            <w:bookmarkStart w:id="69" w:name="OLE_LINK34"/>
            <w:r>
              <w:rPr>
                <w:rFonts w:hint="eastAsia" w:ascii="宋体" w:hAnsi="宋体"/>
                <w:bCs/>
              </w:rPr>
              <w:t xml:space="preserve">单人塑钢可调节课桌椅</w:t>
            </w:r>
            <w:bookmarkEnd w:id="69"/>
            <w:r/>
            <w:r/>
          </w:p>
        </w:tc>
        <w:tc>
          <w:tcPr>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rPr>
                <w:rFonts w:hint="eastAsia" w:ascii="宋体" w:hAnsi="宋体"/>
                <w:bCs/>
                <w:szCs w:val="21"/>
              </w:rPr>
            </w:pPr>
            <w:r>
              <w:rPr>
                <w:rFonts w:hint="eastAsia" w:ascii="宋体" w:hAnsi="宋体"/>
                <w:bCs/>
                <w:szCs w:val="21"/>
              </w:rPr>
              <w:t xml:space="preserve">1、规格：桌长（600-650mm）×宽（400-450mm）×H（高度）mm，椅长（400-430mm）×宽（365-380mm）×H（高度）mm。</w:t>
            </w:r>
            <w:r/>
          </w:p>
          <w:p>
            <w:pPr>
              <w:rPr>
                <w:rFonts w:hint="eastAsia" w:ascii="宋体" w:hAnsi="宋体"/>
                <w:bCs/>
                <w:szCs w:val="21"/>
              </w:rPr>
            </w:pPr>
            <w:r>
              <w:rPr>
                <w:rFonts w:hint="eastAsia" w:ascii="宋体" w:hAnsi="宋体"/>
                <w:bCs/>
                <w:szCs w:val="21"/>
              </w:rPr>
              <w:t xml:space="preserve">2、桌面板：采用环保ABS塑料加工制作，桌面厚度</w:t>
            </w:r>
            <w:r>
              <w:rPr>
                <w:rFonts w:hint="eastAsia" w:ascii="宋体" w:hAnsi="宋体"/>
                <w:szCs w:val="21"/>
              </w:rPr>
              <w:t xml:space="preserve">25</w:t>
            </w:r>
            <w:r>
              <w:rPr>
                <w:rFonts w:hint="eastAsia" w:ascii="宋体" w:hAnsi="宋体"/>
                <w:bCs/>
                <w:szCs w:val="21"/>
              </w:rPr>
              <w:t xml:space="preserve">（±2）mm。桌面底部设有不少于3根承重钢管，规格25mm×12mm×壁厚1.2mm并与桌面底部平齐，由</w:t>
            </w:r>
            <w:r>
              <w:rPr>
                <w:rFonts w:hint="eastAsia" w:ascii="宋体" w:hAnsi="宋体"/>
                <w:bCs/>
                <w:szCs w:val="21"/>
              </w:rPr>
              <w:t xml:space="preserve">螺丝锁付于</w:t>
            </w:r>
            <w:r>
              <w:rPr>
                <w:rFonts w:hint="eastAsia" w:ascii="宋体" w:hAnsi="宋体"/>
                <w:bCs/>
                <w:szCs w:val="21"/>
              </w:rPr>
              <w:t xml:space="preserve">面板底部。桌面板前端设置</w:t>
            </w:r>
            <w:r>
              <w:rPr>
                <w:rFonts w:hint="eastAsia" w:ascii="宋体" w:hAnsi="宋体"/>
                <w:bCs/>
                <w:szCs w:val="21"/>
              </w:rPr>
              <w:t xml:space="preserve">一冂</w:t>
            </w:r>
            <w:r>
              <w:rPr>
                <w:rFonts w:hint="eastAsia" w:ascii="宋体" w:hAnsi="宋体"/>
                <w:bCs/>
                <w:szCs w:val="21"/>
              </w:rPr>
              <w:t xml:space="preserve">字型防滑落</w:t>
            </w:r>
            <w:r>
              <w:rPr>
                <w:rFonts w:hint="eastAsia" w:ascii="宋体" w:hAnsi="宋体"/>
                <w:bCs/>
                <w:szCs w:val="21"/>
              </w:rPr>
              <w:t xml:space="preserve">凸</w:t>
            </w:r>
            <w:r>
              <w:rPr>
                <w:rFonts w:hint="eastAsia" w:ascii="宋体" w:hAnsi="宋体"/>
                <w:bCs/>
                <w:szCs w:val="21"/>
              </w:rPr>
              <w:t xml:space="preserve">条，四周无毛刺，靠胸前处为内弧造型。</w:t>
            </w:r>
            <w:r/>
          </w:p>
          <w:p>
            <w:pPr>
              <w:rPr>
                <w:rFonts w:hint="eastAsia" w:ascii="宋体" w:hAnsi="宋体"/>
                <w:bCs/>
                <w:szCs w:val="21"/>
              </w:rPr>
            </w:pPr>
            <w:r>
              <w:rPr>
                <w:rFonts w:hint="eastAsia" w:ascii="宋体" w:hAnsi="宋体"/>
                <w:bCs/>
                <w:szCs w:val="21"/>
              </w:rPr>
              <w:t xml:space="preserve">3、课桌为单斗结构。</w:t>
            </w:r>
            <w:r>
              <w:rPr>
                <w:rFonts w:hint="eastAsia" w:ascii="宋体" w:hAnsi="宋体"/>
                <w:szCs w:val="21"/>
              </w:rPr>
              <w:t xml:space="preserve">桌斗下沿距桌面高度不大于130mm。</w:t>
            </w:r>
            <w:r>
              <w:rPr>
                <w:rFonts w:hint="eastAsia" w:ascii="宋体" w:hAnsi="宋体"/>
                <w:bCs/>
                <w:szCs w:val="21"/>
              </w:rPr>
              <w:t xml:space="preserve">桌</w:t>
            </w:r>
            <w:r>
              <w:rPr>
                <w:rFonts w:hint="eastAsia" w:ascii="宋体" w:hAnsi="宋体"/>
                <w:bCs/>
                <w:szCs w:val="21"/>
              </w:rPr>
              <w:t xml:space="preserve">斗采用</w:t>
            </w:r>
            <w:r>
              <w:rPr>
                <w:rFonts w:hint="eastAsia" w:ascii="宋体" w:hAnsi="宋体"/>
                <w:bCs/>
                <w:szCs w:val="21"/>
              </w:rPr>
              <w:t xml:space="preserve">环保PP塑料加工制作。桌斗外径尺寸：550（±5）mm×360（±5）mm，内径尺寸：445（±5）mm×335（±5）mm。功能：桌斗底部有排水槽缝设计，桌斗前端的下方设置有一笔槽，笔槽有排水勾缝设计。</w:t>
            </w:r>
            <w:r/>
          </w:p>
          <w:p>
            <w:pPr>
              <w:rPr>
                <w:rFonts w:hint="eastAsia" w:ascii="宋体" w:hAnsi="宋体"/>
                <w:bCs/>
                <w:szCs w:val="21"/>
              </w:rPr>
            </w:pPr>
            <w:r>
              <w:rPr>
                <w:rFonts w:hint="eastAsia" w:ascii="宋体" w:hAnsi="宋体"/>
                <w:szCs w:val="21"/>
              </w:rPr>
              <w:t xml:space="preserve">4、桌体钢架：采用椭圆形冷轧钢管、方管亮光钢管组合焊接而成，管材壁厚不小于1.2mm，管材焊接采用二氧化碳保护焊，并采用满焊工艺，桌腿之间采用椭圆形钢管加</w:t>
            </w:r>
            <w:r>
              <w:rPr>
                <w:rFonts w:hint="eastAsia" w:ascii="宋体" w:hAnsi="宋体"/>
                <w:szCs w:val="21"/>
              </w:rPr>
              <w:t xml:space="preserve">焊横档成</w:t>
            </w:r>
            <w:r>
              <w:rPr>
                <w:rFonts w:hint="eastAsia" w:ascii="宋体" w:hAnsi="宋体"/>
                <w:szCs w:val="21"/>
              </w:rPr>
              <w:t xml:space="preserve">外弧形，以保证其横向稳定。桌钢架：</w:t>
            </w:r>
            <w:r>
              <w:rPr>
                <w:rFonts w:hint="eastAsia" w:ascii="宋体" w:hAnsi="宋体"/>
                <w:szCs w:val="21"/>
              </w:rPr>
              <w:t xml:space="preserve">着地管</w:t>
            </w:r>
            <w:r>
              <w:rPr>
                <w:rFonts w:hint="eastAsia" w:ascii="宋体" w:hAnsi="宋体"/>
                <w:szCs w:val="21"/>
              </w:rPr>
              <w:t xml:space="preserve">30mm×60mm×壁厚1.2mm椭圆管、立管30mm×60mm× 壁厚1.2mm椭圆管、Y型支架20mm×40mm×壁厚1.5mm椭圆管、横拉管为20mm×40mm×壁厚1.2mm椭圆管，横拉管焊接工艺制作。调节管为25mm×50mm×壁厚1.2mm椭圆管。</w:t>
            </w:r>
            <w:r>
              <w:rPr>
                <w:rFonts w:hint="eastAsia" w:ascii="宋体" w:hAnsi="宋体"/>
                <w:szCs w:val="21"/>
              </w:rPr>
              <w:t xml:space="preserve">椅体钢架</w:t>
            </w:r>
            <w:r>
              <w:rPr>
                <w:rFonts w:hint="eastAsia" w:ascii="宋体" w:hAnsi="宋体"/>
                <w:szCs w:val="21"/>
              </w:rPr>
              <w:t xml:space="preserve">：采用椭圆形冷轧钢管、方管亮光钢管组合焊接而成，管材壁厚不小于1.2mm，管材焊接采用二氧化碳保护焊，并采用满焊工艺，椅钢架</w:t>
            </w:r>
            <w:r>
              <w:rPr>
                <w:rFonts w:hint="eastAsia" w:ascii="宋体" w:hAnsi="宋体"/>
                <w:szCs w:val="21"/>
              </w:rPr>
              <w:t xml:space="preserve">着地管</w:t>
            </w:r>
            <w:r>
              <w:rPr>
                <w:rFonts w:hint="eastAsia" w:ascii="宋体" w:hAnsi="宋体"/>
                <w:szCs w:val="21"/>
              </w:rPr>
              <w:t xml:space="preserve">30mm×60mm×壁厚1.2mm椭圆管，立管30mm×60mm×壁厚1.2mm椭圆管，横拉管为20mm×40mm×壁厚1.2mm椭圆管，横拉管采用焊接工艺制作。调节管25mm×50mm×壁厚1.2mm椭圆管；座板下加焊两根16mm×32mm×壁厚1.5mm椭圆承重管，椅背管为20mm×40mm×壁厚1.5mm椭圆管。桌子下需设有书包网，规格480mm×170mm×130mm，上</w:t>
            </w:r>
            <w:r>
              <w:rPr>
                <w:rFonts w:hint="eastAsia" w:ascii="宋体" w:hAnsi="宋体"/>
                <w:szCs w:val="21"/>
              </w:rPr>
              <w:t xml:space="preserve">筐采用</w:t>
            </w:r>
            <w:r>
              <w:rPr>
                <w:rFonts w:hint="eastAsia" w:ascii="宋体" w:hAnsi="宋体"/>
                <w:szCs w:val="21"/>
              </w:rPr>
              <w:t xml:space="preserve">≥φ13mm壁厚1.2圆管，其余采用≥φ4.5mm钢筋焊接而成，横档≥2根，</w:t>
            </w:r>
            <w:r>
              <w:rPr>
                <w:rFonts w:hint="eastAsia" w:ascii="宋体" w:hAnsi="宋体"/>
                <w:szCs w:val="21"/>
              </w:rPr>
              <w:t xml:space="preserve">竖档</w:t>
            </w:r>
            <w:r>
              <w:rPr>
                <w:rFonts w:hint="eastAsia" w:ascii="宋体" w:hAnsi="宋体"/>
                <w:szCs w:val="21"/>
              </w:rPr>
              <w:t xml:space="preserve">≥10根。</w:t>
            </w:r>
            <w:r/>
          </w:p>
          <w:p>
            <w:pPr>
              <w:rPr>
                <w:rFonts w:hint="eastAsia" w:ascii="宋体" w:hAnsi="宋体"/>
                <w:szCs w:val="21"/>
              </w:rPr>
            </w:pPr>
            <w:r>
              <w:rPr>
                <w:rFonts w:hint="eastAsia" w:ascii="宋体" w:hAnsi="宋体"/>
                <w:szCs w:val="21"/>
              </w:rPr>
              <w:t xml:space="preserve">5、可调节课桌椅高度要求：</w:t>
            </w:r>
            <w:r>
              <w:rPr>
                <w:rFonts w:hint="eastAsia" w:ascii="宋体" w:hAnsi="宋体"/>
                <w:szCs w:val="21"/>
              </w:rPr>
              <w:t xml:space="preserve">桌高规格</w:t>
            </w:r>
            <w:r>
              <w:rPr>
                <w:rFonts w:hint="eastAsia" w:ascii="宋体" w:hAnsi="宋体"/>
                <w:szCs w:val="21"/>
              </w:rPr>
              <w:t xml:space="preserve">共5个档位，每档30mm；</w:t>
            </w:r>
            <w:r>
              <w:rPr>
                <w:rFonts w:hint="eastAsia" w:ascii="宋体" w:hAnsi="宋体"/>
                <w:szCs w:val="21"/>
              </w:rPr>
              <w:t xml:space="preserve">椅高规格</w:t>
            </w:r>
            <w:r>
              <w:rPr>
                <w:rFonts w:hint="eastAsia" w:ascii="宋体" w:hAnsi="宋体"/>
                <w:szCs w:val="21"/>
              </w:rPr>
              <w:t xml:space="preserve">：共5个档位，每档20mm，升降方式采用不锈钢螺杆+塑料缓震立柱升降，升降管外侧根据实际高度附有永久性刻度标识，可实时观测升降高度情况。</w:t>
            </w:r>
            <w:r/>
          </w:p>
          <w:p>
            <w:pPr>
              <w:rPr>
                <w:rFonts w:hint="eastAsia" w:ascii="宋体" w:hAnsi="宋体"/>
                <w:bCs/>
                <w:szCs w:val="21"/>
              </w:rPr>
            </w:pPr>
            <w:r>
              <w:rPr>
                <w:rFonts w:hint="eastAsia" w:ascii="宋体" w:hAnsi="宋体"/>
                <w:bCs/>
                <w:szCs w:val="21"/>
              </w:rPr>
              <w:t xml:space="preserve">6、椅面板后倾0-2度，靠背点以上应向后倾斜，与垂直面之间呈6-12度。椅面、靠背均采用</w:t>
            </w:r>
            <w:r>
              <w:rPr>
                <w:rFonts w:hint="eastAsia" w:ascii="宋体" w:hAnsi="宋体"/>
                <w:szCs w:val="21"/>
              </w:rPr>
              <w:t xml:space="preserve">全新料</w:t>
            </w:r>
            <w:r>
              <w:rPr>
                <w:rFonts w:hint="eastAsia" w:ascii="宋体" w:hAnsi="宋体"/>
                <w:bCs/>
                <w:szCs w:val="21"/>
              </w:rPr>
              <w:t xml:space="preserve">环保PP塑料加工制作。</w:t>
            </w:r>
            <w:r>
              <w:rPr>
                <w:rFonts w:hint="eastAsia" w:ascii="宋体" w:hAnsi="宋体"/>
                <w:szCs w:val="21"/>
              </w:rPr>
              <w:t xml:space="preserve">靠背设计有曲线弧度，能很服帖的包覆支撑着正在成长中学生的背部脊椎，使其免于侧弯。坐垫中间有20MM的内凹漩涡设计，能让学生整个臀部坐在内凹处，借此可分散上半身的所有重量，使学生在学习时更舒服，更健康的成</w:t>
            </w:r>
            <w:r>
              <w:rPr>
                <w:rFonts w:hint="eastAsia" w:ascii="宋体" w:hAnsi="宋体"/>
                <w:szCs w:val="21"/>
              </w:rPr>
              <w:t xml:space="preserve">长，此将可</w:t>
            </w:r>
            <w:r>
              <w:rPr>
                <w:rFonts w:hint="eastAsia" w:ascii="宋体" w:hAnsi="宋体"/>
                <w:szCs w:val="21"/>
              </w:rPr>
              <w:t xml:space="preserve">大大的舒缓双脚的受力及不自主的摇晃。</w:t>
            </w:r>
            <w:r/>
          </w:p>
          <w:p>
            <w:pPr>
              <w:rPr>
                <w:rFonts w:hint="eastAsia" w:ascii="宋体" w:hAnsi="宋体"/>
                <w:bCs/>
                <w:szCs w:val="21"/>
              </w:rPr>
            </w:pPr>
            <w:r>
              <w:rPr>
                <w:rFonts w:hint="eastAsia" w:ascii="宋体" w:hAnsi="宋体"/>
                <w:bCs/>
                <w:szCs w:val="21"/>
              </w:rPr>
              <w:t xml:space="preserve">7、金属桌椅腿的脚</w:t>
            </w:r>
            <w:r>
              <w:rPr>
                <w:rFonts w:hint="eastAsia" w:ascii="宋体" w:hAnsi="宋体"/>
                <w:bCs/>
                <w:szCs w:val="21"/>
              </w:rPr>
              <w:t xml:space="preserve">套使用</w:t>
            </w:r>
            <w:r>
              <w:rPr>
                <w:rFonts w:hint="eastAsia" w:ascii="宋体" w:hAnsi="宋体"/>
                <w:bCs/>
                <w:szCs w:val="21"/>
              </w:rPr>
              <w:t xml:space="preserve">环保PP塑料注塑成形，厚度不小于3mm。桌椅</w:t>
            </w:r>
            <w:r>
              <w:rPr>
                <w:rFonts w:hint="eastAsia" w:ascii="宋体" w:hAnsi="宋体"/>
                <w:bCs/>
                <w:szCs w:val="21"/>
              </w:rPr>
              <w:t xml:space="preserve">腿脚套需打孔</w:t>
            </w:r>
            <w:r>
              <w:rPr>
                <w:rFonts w:hint="eastAsia" w:ascii="宋体" w:hAnsi="宋体"/>
                <w:bCs/>
                <w:szCs w:val="21"/>
              </w:rPr>
              <w:t xml:space="preserve">+铆钉固定</w:t>
            </w:r>
            <w:r>
              <w:rPr>
                <w:rFonts w:hint="eastAsia" w:ascii="宋体" w:hAnsi="宋体"/>
                <w:bCs/>
                <w:szCs w:val="21"/>
              </w:rPr>
              <w:t xml:space="preserve">或自攻螺丝</w:t>
            </w:r>
            <w:r>
              <w:rPr>
                <w:rFonts w:hint="eastAsia" w:ascii="宋体" w:hAnsi="宋体"/>
                <w:bCs/>
                <w:szCs w:val="21"/>
              </w:rPr>
              <w:t xml:space="preserve">加固，防止脱落；落地处有螺旋调节脚垫。</w:t>
            </w:r>
            <w:r/>
          </w:p>
          <w:p>
            <w:pPr>
              <w:rPr>
                <w:rFonts w:hint="eastAsia" w:ascii="宋体" w:hAnsi="宋体"/>
                <w:bCs/>
                <w:szCs w:val="21"/>
              </w:rPr>
            </w:pPr>
            <w:r>
              <w:rPr>
                <w:rFonts w:hint="eastAsia" w:ascii="宋体" w:hAnsi="宋体"/>
                <w:bCs/>
                <w:szCs w:val="21"/>
              </w:rPr>
              <w:t xml:space="preserve">8、左右两侧各配有与桌斗同色的挂钩，</w:t>
            </w:r>
            <w:r>
              <w:rPr>
                <w:rFonts w:hint="eastAsia" w:ascii="宋体" w:hAnsi="宋体"/>
                <w:szCs w:val="21"/>
              </w:rPr>
              <w:t xml:space="preserve">不许用螺丝锁附</w:t>
            </w:r>
            <w:r>
              <w:rPr>
                <w:rFonts w:hint="eastAsia" w:ascii="宋体" w:hAnsi="宋体"/>
                <w:bCs/>
                <w:szCs w:val="21"/>
              </w:rPr>
              <w:t xml:space="preserve">，挂钩挂重物的垂直静承载力不小于500N，钩端不超过桌侧缘之外。</w:t>
            </w:r>
            <w:r/>
          </w:p>
          <w:p>
            <w:pPr>
              <w:rPr>
                <w:rFonts w:hint="eastAsia" w:ascii="宋体" w:hAnsi="宋体"/>
                <w:bCs/>
                <w:szCs w:val="21"/>
              </w:rPr>
            </w:pPr>
            <w:r>
              <w:rPr>
                <w:rFonts w:hint="eastAsia" w:ascii="宋体" w:hAnsi="宋体"/>
                <w:bCs/>
                <w:szCs w:val="21"/>
              </w:rPr>
              <w:t xml:space="preserve">9、桌椅的所有结构不得留有棱角和锋利边缝；金属表面静电喷涂塑粉。</w:t>
            </w:r>
            <w:r/>
          </w:p>
          <w:p>
            <w:pPr>
              <w:rPr>
                <w:rFonts w:hint="eastAsia" w:ascii="宋体" w:hAnsi="宋体"/>
                <w:bCs/>
                <w:szCs w:val="21"/>
              </w:rPr>
            </w:pPr>
            <w:r>
              <w:rPr>
                <w:rFonts w:hint="eastAsia" w:ascii="宋体" w:hAnsi="宋体"/>
                <w:bCs/>
                <w:szCs w:val="21"/>
              </w:rPr>
              <w:t xml:space="preserve">10、产品涉及的各类辅材和配件均是合格正品。</w:t>
            </w:r>
            <w:r/>
          </w:p>
          <w:p>
            <w:pPr>
              <w:rPr>
                <w:rFonts w:hint="eastAsia" w:ascii="宋体" w:hAnsi="宋体"/>
                <w:bCs/>
                <w:szCs w:val="21"/>
              </w:rPr>
            </w:pPr>
            <w:r>
              <w:rPr>
                <w:rFonts w:hint="eastAsia" w:ascii="宋体" w:hAnsi="宋体"/>
                <w:bCs/>
                <w:szCs w:val="21"/>
              </w:rPr>
              <w:t xml:space="preserve">11、安装要求：桌面、椅靠背、椅面等隐形安装，表面不得有铆钉</w:t>
            </w:r>
            <w:r>
              <w:rPr>
                <w:rFonts w:hint="eastAsia" w:ascii="宋体" w:hAnsi="宋体"/>
                <w:bCs/>
                <w:szCs w:val="21"/>
              </w:rPr>
              <w:t xml:space="preserve">或自攻螺丝</w:t>
            </w:r>
            <w:r>
              <w:rPr>
                <w:rFonts w:hint="eastAsia" w:ascii="宋体" w:hAnsi="宋体"/>
                <w:bCs/>
                <w:szCs w:val="21"/>
              </w:rPr>
              <w:t xml:space="preserve">等。</w:t>
            </w:r>
            <w:r/>
          </w:p>
          <w:p>
            <w:pPr>
              <w:rPr>
                <w:rFonts w:hint="eastAsia" w:ascii="宋体" w:hAnsi="宋体"/>
              </w:rPr>
            </w:pPr>
            <w:r>
              <w:rPr>
                <w:rFonts w:hint="eastAsia" w:ascii="宋体" w:hAnsi="宋体"/>
                <w:szCs w:val="21"/>
              </w:rPr>
              <w:t xml:space="preserve">12、为便于学校日常管理，需在课桌、课椅的腿上激光打印课桌椅生产日期及厂家简称</w:t>
            </w:r>
            <w:r>
              <w:rPr>
                <w:rFonts w:hint="eastAsia" w:ascii="宋体" w:hAnsi="宋体"/>
                <w:b/>
                <w:bCs/>
                <w:szCs w:val="21"/>
              </w:rPr>
              <w:t xml:space="preserve">。</w:t>
            </w:r>
            <w:r/>
          </w:p>
        </w:tc>
      </w:tr>
    </w:tbl>
    <w:p>
      <w:pPr>
        <w:pStyle w:val="717"/>
      </w:pPr>
      <w:r/>
      <w:r/>
    </w:p>
    <w:p>
      <w:pPr>
        <w:ind w:firstLine="420"/>
        <w:spacing w:line="288" w:lineRule="auto"/>
        <w:rPr>
          <w:rFonts w:hint="eastAsia" w:ascii="宋体" w:hAnsi="宋体" w:cs="宋体"/>
          <w:b/>
          <w:bCs/>
          <w:szCs w:val="21"/>
        </w:rPr>
        <w:outlineLvl w:val="1"/>
      </w:pPr>
      <w:r>
        <w:rPr>
          <w:rFonts w:hint="eastAsia" w:ascii="宋体" w:hAnsi="宋体" w:cs="宋体"/>
          <w:b/>
          <w:bCs/>
          <w:szCs w:val="21"/>
        </w:rPr>
        <w:t xml:space="preserve">★（二）商务要求</w:t>
      </w:r>
      <w:r/>
    </w:p>
    <w:p>
      <w:pPr>
        <w:pStyle w:val="717"/>
        <w:rPr>
          <w:rFonts w:ascii="宋体" w:hAnsi="宋体"/>
          <w:sz w:val="24"/>
          <w:szCs w:val="24"/>
        </w:rPr>
      </w:pPr>
      <w:r>
        <w:rPr>
          <w:rFonts w:hint="eastAsia" w:ascii="宋体" w:hAnsi="宋体"/>
          <w:sz w:val="24"/>
          <w:szCs w:val="24"/>
        </w:rPr>
        <w:t xml:space="preserve">1.报价要求</w:t>
      </w:r>
      <w:r/>
    </w:p>
    <w:p>
      <w:pPr>
        <w:pStyle w:val="717"/>
        <w:rPr>
          <w:rFonts w:ascii="宋体" w:hAnsi="宋体"/>
          <w:sz w:val="24"/>
          <w:szCs w:val="24"/>
        </w:rPr>
      </w:pPr>
      <w:r>
        <w:rPr>
          <w:rFonts w:hint="eastAsia" w:ascii="宋体" w:hAnsi="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717"/>
        <w:rPr>
          <w:rFonts w:ascii="宋体" w:hAnsi="宋体"/>
          <w:sz w:val="24"/>
          <w:szCs w:val="24"/>
        </w:rPr>
      </w:pPr>
      <w:r>
        <w:rPr>
          <w:rFonts w:hint="eastAsia" w:ascii="宋体" w:hAnsi="宋体"/>
          <w:sz w:val="24"/>
          <w:szCs w:val="24"/>
        </w:rPr>
        <w:t xml:space="preserve">（2）供应商的任何错漏、优惠、竞争性报价不得作为减轻责任、减少服务、增加收费、降低服务质量的理由。</w:t>
      </w:r>
      <w:r/>
    </w:p>
    <w:p>
      <w:pPr>
        <w:pStyle w:val="717"/>
        <w:rPr>
          <w:rFonts w:ascii="宋体" w:hAnsi="宋体"/>
          <w:sz w:val="24"/>
          <w:szCs w:val="24"/>
        </w:rPr>
      </w:pPr>
      <w:r>
        <w:rPr>
          <w:rFonts w:hint="eastAsia" w:ascii="宋体" w:hAnsi="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717"/>
        <w:rPr>
          <w:rFonts w:ascii="宋体" w:hAnsi="宋体"/>
          <w:sz w:val="24"/>
          <w:szCs w:val="24"/>
        </w:rPr>
      </w:pPr>
      <w:r>
        <w:rPr>
          <w:rFonts w:hint="eastAsia" w:ascii="宋体" w:hAnsi="宋体"/>
          <w:sz w:val="24"/>
          <w:szCs w:val="24"/>
        </w:rPr>
        <w:t xml:space="preserve">2.实施要求</w:t>
      </w:r>
      <w:r/>
    </w:p>
    <w:p>
      <w:pPr>
        <w:pStyle w:val="717"/>
        <w:rPr>
          <w:rFonts w:ascii="宋体" w:hAnsi="宋体"/>
          <w:sz w:val="24"/>
          <w:szCs w:val="24"/>
        </w:rPr>
      </w:pPr>
      <w:r>
        <w:rPr>
          <w:rFonts w:hint="eastAsia" w:ascii="宋体" w:hAnsi="宋体"/>
          <w:sz w:val="24"/>
          <w:szCs w:val="24"/>
        </w:rPr>
        <w:t xml:space="preserve">（1）质量要求</w:t>
      </w:r>
      <w:r/>
    </w:p>
    <w:p>
      <w:pPr>
        <w:pStyle w:val="717"/>
        <w:rPr>
          <w:rFonts w:ascii="宋体" w:hAnsi="宋体"/>
          <w:sz w:val="24"/>
          <w:szCs w:val="24"/>
        </w:rPr>
      </w:pPr>
      <w:r>
        <w:rPr>
          <w:rFonts w:hint="eastAsia" w:ascii="宋体" w:hAnsi="宋体"/>
          <w:sz w:val="24"/>
          <w:szCs w:val="24"/>
        </w:rPr>
        <w:t xml:space="preserve">①供应商所供产品须为正品行货、原厂封装未使用过的产品。本项目验收</w:t>
      </w:r>
      <w:r>
        <w:rPr>
          <w:rFonts w:hint="eastAsia" w:ascii="宋体" w:hAnsi="宋体"/>
          <w:sz w:val="24"/>
          <w:szCs w:val="24"/>
        </w:rPr>
        <w:t xml:space="preserve">前供应</w:t>
      </w:r>
      <w:r>
        <w:rPr>
          <w:rFonts w:hint="eastAsia" w:ascii="宋体" w:hAnsi="宋体"/>
          <w:sz w:val="24"/>
          <w:szCs w:val="24"/>
        </w:rPr>
        <w:t xml:space="preserve">商承担所有货物的保管责任。供应商安装、调试、培训完成，由采购人组织验收，检验不合格或不符合质量要求，供应商除无条件退货、返工外，还应承担交付时间违约责任。</w:t>
      </w:r>
      <w:r/>
    </w:p>
    <w:p>
      <w:pPr>
        <w:pStyle w:val="717"/>
        <w:rPr>
          <w:rFonts w:ascii="宋体" w:hAnsi="宋体"/>
          <w:sz w:val="24"/>
          <w:szCs w:val="24"/>
        </w:rPr>
      </w:pPr>
      <w:r>
        <w:rPr>
          <w:rFonts w:hint="eastAsia" w:ascii="宋体" w:hAnsi="宋体"/>
          <w:sz w:val="24"/>
          <w:szCs w:val="24"/>
        </w:rPr>
        <w:t xml:space="preserve">②供应</w:t>
      </w:r>
      <w:r>
        <w:rPr>
          <w:rFonts w:hint="eastAsia" w:ascii="宋体" w:hAnsi="宋体"/>
          <w:sz w:val="24"/>
          <w:szCs w:val="24"/>
        </w:rPr>
        <w:t xml:space="preserve">商按照</w:t>
      </w:r>
      <w:r>
        <w:rPr>
          <w:rFonts w:hint="eastAsia" w:ascii="宋体" w:hAnsi="宋体"/>
          <w:sz w:val="24"/>
          <w:szCs w:val="24"/>
        </w:rPr>
        <w:t xml:space="preserve">投标文件响应内容提供的服务承诺及实施方案等是真实的，一旦由专家或者采购人或者产品到货后或者使用中发现技术指标、产品资料、服务承诺等与投标文件不符，采购人有权对不满足要求的供应商视为虚假应标，按无效投标处理。</w:t>
      </w:r>
      <w:r/>
    </w:p>
    <w:p>
      <w:pPr>
        <w:pStyle w:val="717"/>
        <w:rPr>
          <w:rFonts w:ascii="宋体" w:hAnsi="宋体"/>
          <w:sz w:val="24"/>
          <w:szCs w:val="24"/>
        </w:rPr>
      </w:pPr>
      <w:r>
        <w:rPr>
          <w:rFonts w:hint="eastAsia" w:ascii="宋体" w:hAnsi="宋体"/>
          <w:sz w:val="24"/>
          <w:szCs w:val="24"/>
        </w:rPr>
        <w:t xml:space="preserve">③供应商提供的货物未达到投标文件响应要求或工期延误，对采购人造成损失的，由供应商承担一切责任，并依据合同条款赔偿所造成的损失。</w:t>
      </w:r>
      <w:r/>
    </w:p>
    <w:p>
      <w:pPr>
        <w:pStyle w:val="717"/>
        <w:rPr>
          <w:rFonts w:ascii="宋体" w:hAnsi="宋体"/>
          <w:sz w:val="24"/>
          <w:szCs w:val="24"/>
        </w:rPr>
      </w:pPr>
      <w:r>
        <w:rPr>
          <w:rFonts w:hint="eastAsia" w:ascii="宋体" w:hAnsi="宋体"/>
          <w:sz w:val="24"/>
          <w:szCs w:val="24"/>
        </w:rPr>
        <w:t xml:space="preserve">（2）验收要求</w:t>
      </w:r>
      <w:r/>
    </w:p>
    <w:p>
      <w:pPr>
        <w:pStyle w:val="717"/>
        <w:rPr>
          <w:rFonts w:ascii="宋体" w:hAnsi="宋体"/>
          <w:sz w:val="24"/>
          <w:szCs w:val="24"/>
        </w:rPr>
      </w:pPr>
      <w:r>
        <w:rPr>
          <w:rFonts w:hint="eastAsia" w:ascii="宋体" w:hAnsi="宋体"/>
          <w:sz w:val="24"/>
          <w:szCs w:val="24"/>
        </w:rPr>
        <w:t xml:space="preserve">①项目实施完成，供应商应完成文档整理，竣工文档是验收的必要条件。</w:t>
      </w:r>
      <w:r/>
    </w:p>
    <w:p>
      <w:pPr>
        <w:pStyle w:val="717"/>
        <w:rPr>
          <w:rFonts w:ascii="宋体" w:hAnsi="宋体"/>
          <w:sz w:val="24"/>
          <w:szCs w:val="24"/>
        </w:rPr>
      </w:pPr>
      <w:r>
        <w:rPr>
          <w:rFonts w:hint="eastAsia" w:ascii="宋体" w:hAnsi="宋体"/>
          <w:sz w:val="24"/>
          <w:szCs w:val="24"/>
        </w:rPr>
        <w:t xml:space="preserve">②所供货物必须是全新的，原装正品，完全符合国家规定的质量标准。因产品质量或安装不当导致验收不合格，应及时处理直至验收合格，期间产生的一切费用由供应商承担。</w:t>
      </w:r>
      <w:r/>
    </w:p>
    <w:p>
      <w:pPr>
        <w:pStyle w:val="717"/>
        <w:rPr>
          <w:rFonts w:ascii="宋体" w:hAnsi="宋体"/>
          <w:sz w:val="24"/>
          <w:szCs w:val="24"/>
        </w:rPr>
      </w:pPr>
      <w:r>
        <w:rPr>
          <w:rFonts w:hint="eastAsia" w:ascii="宋体" w:hAnsi="宋体"/>
          <w:sz w:val="24"/>
          <w:szCs w:val="24"/>
        </w:rPr>
        <w:t xml:space="preserve">（3）质保（维保）及售后要求</w:t>
      </w:r>
      <w:r/>
    </w:p>
    <w:p>
      <w:pPr>
        <w:pStyle w:val="717"/>
        <w:rPr>
          <w:rFonts w:ascii="宋体" w:hAnsi="宋体"/>
          <w:sz w:val="24"/>
          <w:szCs w:val="24"/>
        </w:rPr>
      </w:pPr>
      <w:r>
        <w:rPr>
          <w:rFonts w:hint="eastAsia" w:ascii="宋体" w:hAnsi="宋体"/>
          <w:sz w:val="24"/>
          <w:szCs w:val="24"/>
        </w:rPr>
        <w:t xml:space="preserve">①供应商提供项目整体质保；质保期自验收报告签字确认日起为准。（质</w:t>
      </w:r>
      <w:r>
        <w:rPr>
          <w:rFonts w:hint="eastAsia" w:ascii="宋体" w:hAnsi="宋体"/>
          <w:sz w:val="24"/>
          <w:szCs w:val="24"/>
        </w:rPr>
        <w:t xml:space="preserve">保承诺</w:t>
      </w:r>
      <w:r>
        <w:rPr>
          <w:rFonts w:hint="eastAsia" w:ascii="宋体" w:hAnsi="宋体"/>
          <w:sz w:val="24"/>
          <w:szCs w:val="24"/>
        </w:rPr>
        <w:t xml:space="preserve">时间以供应商投标文件中质</w:t>
      </w:r>
      <w:r>
        <w:rPr>
          <w:rFonts w:hint="eastAsia" w:ascii="宋体" w:hAnsi="宋体"/>
          <w:sz w:val="24"/>
          <w:szCs w:val="24"/>
        </w:rPr>
        <w:t xml:space="preserve">保承诺</w:t>
      </w:r>
      <w:r>
        <w:rPr>
          <w:rFonts w:hint="eastAsia" w:ascii="宋体" w:hAnsi="宋体"/>
          <w:sz w:val="24"/>
          <w:szCs w:val="24"/>
        </w:rPr>
        <w:t xml:space="preserve">书年限为准。）</w:t>
      </w:r>
      <w:r/>
    </w:p>
    <w:p>
      <w:pPr>
        <w:pStyle w:val="717"/>
        <w:rPr>
          <w:rFonts w:ascii="宋体" w:hAnsi="宋体"/>
          <w:sz w:val="24"/>
          <w:szCs w:val="24"/>
        </w:rPr>
      </w:pPr>
      <w:r>
        <w:rPr>
          <w:rFonts w:hint="eastAsia" w:ascii="宋体" w:hAnsi="宋体"/>
          <w:sz w:val="24"/>
          <w:szCs w:val="24"/>
        </w:rPr>
        <w:t xml:space="preserve">②当设备发生故障时，供应商在保修期内应向采购人提供所有设备、材料和劳工维修处理，报修时4小时内到达现场、24小时内无法修复须提供备件。 </w:t>
      </w:r>
      <w:r/>
    </w:p>
    <w:p>
      <w:pPr>
        <w:pStyle w:val="717"/>
        <w:rPr>
          <w:rFonts w:ascii="宋体" w:hAnsi="宋体"/>
          <w:sz w:val="24"/>
          <w:szCs w:val="24"/>
        </w:rPr>
      </w:pPr>
      <w:r>
        <w:rPr>
          <w:rFonts w:hint="eastAsia" w:ascii="宋体" w:hAnsi="宋体"/>
          <w:sz w:val="24"/>
          <w:szCs w:val="24"/>
        </w:rPr>
        <w:t xml:space="preserve">3.付款条件</w:t>
      </w:r>
      <w:r/>
    </w:p>
    <w:p>
      <w:pPr>
        <w:pStyle w:val="717"/>
        <w:rPr>
          <w:rFonts w:ascii="宋体" w:hAnsi="宋体"/>
          <w:sz w:val="24"/>
          <w:szCs w:val="24"/>
        </w:rPr>
      </w:pPr>
      <w:r>
        <w:rPr>
          <w:rFonts w:hint="eastAsia" w:ascii="宋体" w:hAnsi="宋体"/>
          <w:sz w:val="24"/>
          <w:szCs w:val="24"/>
        </w:rPr>
        <w:t xml:space="preserve">以第五章合同文本内容为准。</w:t>
      </w:r>
      <w:r/>
    </w:p>
    <w:p>
      <w:pPr>
        <w:ind w:firstLine="240"/>
        <w:rPr>
          <w:rFonts w:ascii="宋体" w:hAnsi="宋体"/>
          <w:sz w:val="24"/>
        </w:rPr>
      </w:pPr>
      <w:r>
        <w:rPr>
          <w:rFonts w:hint="eastAsia" w:ascii="宋体" w:hAnsi="宋体"/>
          <w:sz w:val="24"/>
        </w:rPr>
        <w:t xml:space="preserve">4.交付时间及地点</w:t>
      </w:r>
      <w:r/>
    </w:p>
    <w:p>
      <w:pPr>
        <w:pStyle w:val="717"/>
        <w:rPr>
          <w:rFonts w:ascii="宋体" w:hAnsi="宋体"/>
          <w:sz w:val="24"/>
          <w:szCs w:val="24"/>
        </w:rPr>
      </w:pPr>
      <w:r>
        <w:rPr>
          <w:rFonts w:hint="eastAsia" w:ascii="宋体" w:hAnsi="宋体"/>
          <w:sz w:val="24"/>
          <w:szCs w:val="24"/>
        </w:rPr>
        <w:t xml:space="preserve">（1）交付时间：合同签订之日起30日内完成所有设备供货、安装、调试、深化设计、培训并通过验收。</w:t>
      </w:r>
      <w:r/>
    </w:p>
    <w:p>
      <w:pPr>
        <w:pStyle w:val="717"/>
        <w:rPr>
          <w:rFonts w:ascii="宋体" w:hAnsi="宋体"/>
          <w:sz w:val="24"/>
          <w:szCs w:val="24"/>
        </w:rPr>
      </w:pPr>
      <w:r>
        <w:rPr>
          <w:rFonts w:hint="eastAsia" w:ascii="宋体" w:hAnsi="宋体"/>
          <w:sz w:val="24"/>
          <w:szCs w:val="24"/>
        </w:rPr>
        <w:t xml:space="preserve">（2）交付地点：采购人指定地点。</w:t>
      </w:r>
      <w:r/>
    </w:p>
    <w:p>
      <w:pPr>
        <w:pStyle w:val="717"/>
        <w:rPr>
          <w:rFonts w:ascii="宋体" w:hAnsi="宋体"/>
          <w:sz w:val="24"/>
          <w:szCs w:val="24"/>
        </w:rPr>
      </w:pPr>
      <w:r>
        <w:rPr>
          <w:rFonts w:hint="eastAsia" w:ascii="宋体" w:hAnsi="宋体"/>
          <w:sz w:val="24"/>
          <w:szCs w:val="24"/>
        </w:rPr>
        <w:t xml:space="preserve">5.</w:t>
      </w:r>
      <w:r>
        <w:rPr>
          <w:rFonts w:hint="eastAsia" w:ascii="宋体" w:hAnsi="宋体" w:cs="宋体"/>
          <w:bCs/>
          <w:color w:val="000000"/>
          <w:sz w:val="24"/>
          <w:szCs w:val="24"/>
        </w:rPr>
        <w:t xml:space="preserve"> </w:t>
      </w:r>
      <w:r>
        <w:rPr>
          <w:rFonts w:hint="eastAsia" w:ascii="宋体" w:hAnsi="宋体"/>
          <w:bCs/>
          <w:sz w:val="24"/>
          <w:szCs w:val="24"/>
        </w:rPr>
        <w:t xml:space="preserve">其他要求（提供承诺书，格式自拟）</w:t>
      </w:r>
      <w:r/>
    </w:p>
    <w:p>
      <w:pPr>
        <w:pStyle w:val="717"/>
        <w:rPr>
          <w:rFonts w:ascii="宋体" w:hAnsi="宋体"/>
          <w:sz w:val="24"/>
          <w:szCs w:val="24"/>
        </w:rPr>
      </w:pPr>
      <w:r>
        <w:rPr>
          <w:rFonts w:hint="eastAsia" w:ascii="宋体" w:hAnsi="宋体"/>
          <w:sz w:val="24"/>
          <w:szCs w:val="24"/>
        </w:rPr>
        <w:t xml:space="preserve">招标文件中要求提供证明材料的，签订合同</w:t>
      </w:r>
      <w:r>
        <w:rPr>
          <w:rFonts w:hint="eastAsia" w:ascii="宋体" w:hAnsi="宋体"/>
          <w:sz w:val="24"/>
          <w:szCs w:val="24"/>
        </w:rPr>
        <w:t xml:space="preserve">时供应</w:t>
      </w:r>
      <w:r>
        <w:rPr>
          <w:rFonts w:hint="eastAsia" w:ascii="宋体" w:hAnsi="宋体"/>
          <w:sz w:val="24"/>
          <w:szCs w:val="24"/>
        </w:rPr>
        <w:t xml:space="preserve">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17"/>
      </w:pPr>
      <w:r>
        <w:rPr>
          <w:rFonts w:hint="eastAsia" w:ascii="宋体" w:hAnsi="宋体"/>
          <w:sz w:val="24"/>
          <w:szCs w:val="24"/>
        </w:rPr>
        <w:t xml:space="preserve">招标文件评标方法与评标标准中涉及的相关证明材料，应在投标文件中提</w:t>
      </w:r>
      <w:r>
        <w:rPr>
          <w:rFonts w:hint="eastAsia"/>
          <w:highlight w:val="yellow"/>
        </w:rPr>
        <w:t xml:space="preserve">供，由评审委员会在评审现场予以确认，否则无法得到相应分值。签订合同</w:t>
      </w:r>
      <w:r>
        <w:rPr>
          <w:rFonts w:hint="eastAsia"/>
          <w:highlight w:val="yellow"/>
        </w:rPr>
        <w:t xml:space="preserve">时供应</w:t>
      </w:r>
      <w:r>
        <w:rPr>
          <w:rFonts w:hint="eastAsia"/>
          <w:highlight w:val="yellow"/>
        </w:rPr>
        <w:t xml:space="preserve">商应按采购人要求提供上述证明材料原件供采购人核验。</w:t>
      </w:r>
      <w:r/>
    </w:p>
    <w:p>
      <w:pPr>
        <w:pStyle w:val="717"/>
      </w:pPr>
      <w:r/>
      <w:r/>
    </w:p>
    <w:p>
      <w:r/>
      <w:r/>
    </w:p>
    <w:p>
      <w:pPr>
        <w:pStyle w:val="725"/>
        <w:jc w:val="both"/>
        <w:rPr>
          <w:rFonts w:hint="eastAsia" w:ascii="宋体" w:hAnsi="宋体" w:eastAsia="宋体" w:cs="黑体"/>
          <w:b w:val="0"/>
          <w:bCs w:val="0"/>
          <w:sz w:val="24"/>
        </w:rPr>
        <w:sectPr>
          <w:footerReference w:type="default" r:id="rId9"/>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eastAsia="宋体" w:cs="黑体"/>
          <w:b w:val="0"/>
          <w:bCs w:val="0"/>
          <w:sz w:val="24"/>
        </w:rPr>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49"/>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57"/>
        <w:tblW w:w="0" w:type="auto"/>
        <w:tblLook w:val="04A0" w:firstRow="1" w:lastRow="0" w:firstColumn="1" w:lastColumn="0" w:noHBand="0" w:noVBand="1"/>
      </w:tblPr>
      <w:tblGrid>
        <w:gridCol w:w="981"/>
        <w:gridCol w:w="6521"/>
        <w:gridCol w:w="1151"/>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w:t>
      </w:r>
      <w:r>
        <w:rPr>
          <w:rFonts w:hint="eastAsia" w:ascii="宋体" w:hAnsi="宋体" w:cs="宋体"/>
          <w:sz w:val="24"/>
          <w:lang w:bidi="ar"/>
        </w:rPr>
        <w:t xml:space="preserve">个</w:t>
      </w:r>
      <w:r>
        <w:rPr>
          <w:rFonts w:hint="eastAsia" w:ascii="宋体" w:hAnsi="宋体" w:cs="宋体"/>
          <w:sz w:val="24"/>
          <w:lang w:bidi="ar"/>
        </w:rPr>
        <w:t xml:space="preserve">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highlight w:val="yellow"/>
        </w:rPr>
      </w:pPr>
      <w:r>
        <w:rPr>
          <w:rFonts w:hint="eastAsia" w:ascii="宋体" w:hAnsi="宋体" w:cs="宋体"/>
          <w:highlight w:val="yellow"/>
        </w:rPr>
        <w:t xml:space="preserve">（1）</w:t>
      </w:r>
      <w:r>
        <w:rPr>
          <w:rFonts w:hint="eastAsia" w:ascii="宋体" w:hAnsi="宋体"/>
          <w:sz w:val="24"/>
          <w:highlight w:val="yellow"/>
        </w:rPr>
        <w:t xml:space="preserve">本项目款项由雨花台区财政给付，自签订合同后1</w:t>
      </w:r>
      <w:r>
        <w:rPr>
          <w:rFonts w:ascii="宋体" w:hAnsi="宋体"/>
          <w:sz w:val="24"/>
          <w:highlight w:val="yellow"/>
        </w:rPr>
        <w:t xml:space="preserve">5</w:t>
      </w:r>
      <w:r>
        <w:rPr>
          <w:rFonts w:hint="eastAsia" w:ascii="宋体" w:hAnsi="宋体"/>
          <w:sz w:val="24"/>
          <w:highlight w:val="yellow"/>
        </w:rPr>
        <w:t xml:space="preserve">日内支付合同总额的</w:t>
      </w:r>
      <w:r>
        <w:rPr>
          <w:rFonts w:ascii="宋体" w:hAnsi="宋体"/>
          <w:sz w:val="24"/>
          <w:highlight w:val="yellow"/>
        </w:rPr>
        <w:t xml:space="preserve">30</w:t>
      </w:r>
      <w:r>
        <w:rPr>
          <w:rFonts w:hint="eastAsia" w:ascii="宋体" w:hAnsi="宋体"/>
          <w:sz w:val="24"/>
          <w:highlight w:val="yellow"/>
        </w:rPr>
        <w:t xml:space="preserve">%预付款；</w:t>
      </w:r>
      <w:r/>
    </w:p>
    <w:p>
      <w:pPr>
        <w:rPr>
          <w:rFonts w:hint="eastAsia" w:ascii="宋体" w:hAnsi="宋体"/>
          <w:sz w:val="24"/>
        </w:rPr>
      </w:pPr>
      <w:r>
        <w:rPr>
          <w:rFonts w:hint="eastAsia" w:ascii="宋体" w:hAnsi="宋体"/>
          <w:sz w:val="24"/>
          <w:highlight w:val="yellow"/>
        </w:rPr>
        <w:t xml:space="preserve">（2）</w:t>
      </w:r>
      <w:r>
        <w:rPr>
          <w:rFonts w:ascii="宋体" w:hAnsi="宋体"/>
          <w:sz w:val="24"/>
          <w:highlight w:val="yellow"/>
        </w:rPr>
        <w:t xml:space="preserve">供货、施工、铺设完毕后，由采购人进行验收并邀请第三方机构进行检测，验收合格</w:t>
      </w:r>
      <w:r>
        <w:rPr>
          <w:rFonts w:ascii="宋体" w:hAnsi="宋体" w:cs="宋体"/>
          <w:color w:val="000000"/>
          <w:highlight w:val="yellow"/>
        </w:rPr>
        <w:t xml:space="preserve">后</w:t>
      </w:r>
      <w:r>
        <w:rPr>
          <w:rFonts w:hint="eastAsia" w:ascii="宋体" w:hAnsi="宋体"/>
          <w:sz w:val="24"/>
          <w:highlight w:val="yellow"/>
        </w:rPr>
        <w:t xml:space="preserve">按财政拨款进度支付项目款项；如当年财政拨款无法支付剩余款项，余款第二年付清</w:t>
      </w:r>
      <w:r>
        <w:rPr>
          <w:rFonts w:hint="eastAsia" w:ascii="宋体" w:hAnsi="宋体"/>
          <w:sz w:val="24"/>
        </w:rPr>
        <w:t xml:space="preserve">。</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w:t>
      </w:r>
      <w:r>
        <w:rPr>
          <w:rFonts w:hint="eastAsia" w:ascii="宋体" w:hAnsi="宋体" w:cs="宋体"/>
          <w:sz w:val="24"/>
          <w:lang w:bidi="ar"/>
        </w:rPr>
        <w:t xml:space="preserve">采取第</w:t>
      </w:r>
      <w:r>
        <w:rPr>
          <w:rFonts w:hint="eastAsia" w:ascii="宋体" w:hAnsi="宋体" w:cs="宋体"/>
          <w:sz w:val="24"/>
          <w:lang w:bidi="ar"/>
        </w:rPr>
        <w:t xml:space="preserve">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25"/>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25"/>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w:t>
      </w:r>
      <w:r>
        <w:rPr>
          <w:rFonts w:hint="eastAsia" w:ascii="宋体" w:hAnsi="宋体" w:eastAsia="宋体" w:cs="宋体"/>
          <w:color w:val="000000"/>
          <w:sz w:val="24"/>
        </w:rPr>
        <w:t xml:space="preserve">可友好</w:t>
      </w:r>
      <w:r>
        <w:rPr>
          <w:rFonts w:hint="eastAsia" w:ascii="宋体" w:hAnsi="宋体" w:eastAsia="宋体" w:cs="宋体"/>
          <w:color w:val="000000"/>
          <w:sz w:val="24"/>
        </w:rPr>
        <w:t xml:space="preserve">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70"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70"/>
      <w:r>
        <w:rPr>
          <w:rFonts w:hint="eastAsia" w:ascii="宋体" w:hAnsi="宋体" w:cs="宋体"/>
          <w:color w:val="000000"/>
          <w:sz w:val="36"/>
          <w:szCs w:val="36"/>
        </w:rPr>
        <w:t xml:space="preserve">格式</w:t>
      </w:r>
      <w:r/>
    </w:p>
    <w:p>
      <w:pPr>
        <w:pStyle w:val="946"/>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46"/>
        <w:spacing w:line="288" w:lineRule="auto"/>
        <w:rPr>
          <w:rFonts w:hint="eastAsia" w:ascii="宋体" w:hAnsi="宋体" w:eastAsia="宋体" w:cs="宋体"/>
          <w:b/>
          <w:color w:val="auto"/>
          <w:sz w:val="24"/>
          <w:szCs w:val="24"/>
        </w:rPr>
        <w:outlineLvl w:val="1"/>
      </w:pPr>
      <w:r/>
      <w:bookmarkStart w:id="71" w:name="_Toc513799383"/>
      <w:r>
        <w:rPr>
          <w:rFonts w:hint="eastAsia" w:ascii="宋体" w:hAnsi="宋体" w:eastAsia="宋体" w:cs="宋体"/>
          <w:b/>
          <w:color w:val="auto"/>
          <w:sz w:val="24"/>
          <w:szCs w:val="24"/>
        </w:rPr>
        <w:t xml:space="preserve">附件一、投标申请及申明</w:t>
      </w:r>
      <w:bookmarkEnd w:id="71"/>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w:t>
      </w:r>
      <w:r>
        <w:rPr>
          <w:rFonts w:hint="eastAsia" w:ascii="宋体" w:hAnsi="宋体" w:cs="宋体"/>
          <w:sz w:val="24"/>
          <w:lang w:val="zh-CN"/>
        </w:rPr>
        <w:t xml:space="preserve">人兹宣布</w:t>
      </w:r>
      <w:r>
        <w:rPr>
          <w:rFonts w:hint="eastAsia" w:ascii="宋体" w:hAnsi="宋体" w:cs="宋体"/>
          <w:sz w:val="24"/>
          <w:lang w:val="zh-CN"/>
        </w:rPr>
        <w:t xml:space="preserve">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72" w:name="OLE_LINK10"/>
      <w:r>
        <w:rPr>
          <w:rFonts w:hint="eastAsia" w:ascii="宋体" w:hAnsi="宋体" w:cs="宋体"/>
          <w:sz w:val="24"/>
          <w:u w:val="single"/>
        </w:rPr>
        <w:t xml:space="preserve">      </w:t>
      </w:r>
      <w:bookmarkEnd w:id="72"/>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71"/>
        <w:spacing w:before="0" w:after="0" w:line="288" w:lineRule="auto"/>
        <w:rPr>
          <w:rFonts w:hint="eastAsia" w:ascii="宋体" w:hAnsi="宋体" w:cs="宋体"/>
          <w:color w:val="000000"/>
        </w:rPr>
      </w:pPr>
      <w:r>
        <w:rPr>
          <w:rFonts w:hint="eastAsia" w:ascii="宋体" w:hAnsi="宋体" w:cs="宋体"/>
          <w:color w:val="000000"/>
        </w:rPr>
        <w:t xml:space="preserve">邮</w:t>
      </w:r>
      <w:r>
        <w:rPr>
          <w:rFonts w:hint="eastAsia" w:ascii="宋体" w:hAnsi="宋体" w:cs="宋体"/>
          <w:color w:val="000000"/>
        </w:rPr>
        <w:t xml:space="preserve">  编：</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71"/>
        <w:spacing w:before="0" w:after="0" w:line="288" w:lineRule="auto"/>
        <w:rPr>
          <w:rFonts w:hint="eastAsia" w:ascii="宋体" w:hAnsi="宋体" w:cs="宋体"/>
          <w:color w:val="000000"/>
          <w:u w:val="single"/>
        </w:rPr>
      </w:pPr>
      <w:r>
        <w:rPr>
          <w:rFonts w:hint="eastAsia" w:ascii="宋体" w:hAnsi="宋体" w:cs="宋体"/>
          <w:color w:val="000000"/>
        </w:rPr>
        <w:t xml:space="preserve">账</w:t>
      </w:r>
      <w:r>
        <w:rPr>
          <w:rFonts w:hint="eastAsia" w:ascii="宋体" w:hAnsi="宋体" w:cs="宋体"/>
          <w:color w:val="000000"/>
        </w:rPr>
        <w:t xml:space="preserve">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73"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72"/>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72"/>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72"/>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4" w:name="_格式3__银行出具的资信证明"/>
      <w:r/>
      <w:bookmarkStart w:id="75" w:name="_Hlt26955070"/>
      <w:r/>
      <w:bookmarkStart w:id="76" w:name="_Hlt26671380"/>
      <w:r/>
      <w:bookmarkEnd w:id="74"/>
      <w:r/>
      <w:bookmarkEnd w:id="75"/>
      <w:r/>
      <w:bookmarkEnd w:id="76"/>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附：1、法定代表人、</w:t>
      </w:r>
      <w:bookmarkStart w:id="77" w:name="OLE_LINK11"/>
      <w:r>
        <w:rPr>
          <w:rFonts w:hint="eastAsia" w:ascii="宋体" w:hAnsi="宋体" w:cs="宋体"/>
          <w:b/>
          <w:bCs/>
          <w:color w:val="000000"/>
          <w:sz w:val="24"/>
          <w:lang w:bidi="ar"/>
        </w:rPr>
        <w:t xml:space="preserve">授权委托人</w:t>
      </w:r>
      <w:bookmarkEnd w:id="77"/>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2、授权委托人须为本单位在职员工，提供近一个月（2026年5月-7月任意一个月）</w:t>
      </w:r>
      <w:r>
        <w:rPr>
          <w:rFonts w:hint="eastAsia" w:ascii="宋体" w:hAnsi="宋体" w:cs="宋体"/>
          <w:b/>
          <w:bCs/>
          <w:color w:val="000000"/>
          <w:sz w:val="24"/>
          <w:lang w:bidi="ar"/>
        </w:rPr>
        <w:t xml:space="preserve">社保证明</w:t>
      </w:r>
      <w:r>
        <w:rPr>
          <w:rFonts w:hint="eastAsia" w:ascii="宋体" w:hAnsi="宋体" w:cs="宋体"/>
          <w:b/>
          <w:bCs/>
          <w:color w:val="000000"/>
          <w:sz w:val="24"/>
          <w:lang w:bidi="ar"/>
        </w:rPr>
        <w:t xml:space="preserve">。</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78" w:name="_Toc513799384"/>
      <w:r>
        <w:rPr>
          <w:rFonts w:hint="eastAsia" w:ascii="宋体" w:hAnsi="宋体" w:cs="宋体"/>
          <w:szCs w:val="21"/>
        </w:rPr>
        <w:br w:type="page" w:clear="all"/>
      </w:r>
      <w:bookmarkEnd w:id="73"/>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78"/>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42"/>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71"/>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notePr/>
          <w:endnotePr/>
          <w:type w:val="nextPage"/>
          <w:pgSz w:w="11906" w:h="16838" w:orient="portrait"/>
          <w:pgMar w:top="1440" w:right="1077" w:bottom="1440" w:left="1077" w:header="850" w:footer="992" w:gutter="0"/>
          <w:cols w:num="1" w:sep="0" w:space="1701" w:equalWidth="1"/>
          <w:docGrid w:linePitch="360"/>
        </w:sectPr>
      </w:pPr>
      <w:r>
        <w:rPr>
          <w:rFonts w:hint="eastAsia" w:ascii="宋体" w:hAnsi="宋体" w:cs="宋体"/>
          <w:sz w:val="24"/>
        </w:rPr>
      </w:r>
      <w:r/>
    </w:p>
    <w:p>
      <w:pPr>
        <w:pStyle w:val="946"/>
        <w:spacing w:line="288" w:lineRule="auto"/>
        <w:rPr>
          <w:rFonts w:hint="eastAsia" w:ascii="宋体" w:hAnsi="宋体" w:eastAsia="宋体" w:cs="宋体"/>
          <w:b/>
          <w:color w:val="auto"/>
          <w:sz w:val="24"/>
          <w:szCs w:val="24"/>
        </w:rPr>
        <w:outlineLvl w:val="1"/>
      </w:pPr>
      <w:r/>
      <w:bookmarkStart w:id="79" w:name="_Toc513799385"/>
      <w:r/>
      <w:bookmarkStart w:id="80" w:name="OLE_LINK26"/>
      <w:r>
        <w:rPr>
          <w:rFonts w:hint="eastAsia" w:ascii="宋体" w:hAnsi="宋体" w:eastAsia="宋体" w:cs="宋体"/>
          <w:b/>
          <w:color w:val="auto"/>
          <w:sz w:val="24"/>
          <w:szCs w:val="24"/>
        </w:rPr>
        <w:t xml:space="preserve">附件四、分项报价表</w:t>
      </w:r>
      <w:bookmarkEnd w:id="79"/>
      <w:r/>
      <w:r/>
    </w:p>
    <w:p>
      <w:pPr>
        <w:ind w:firstLine="420"/>
        <w:jc w:val="center"/>
        <w:spacing w:line="288" w:lineRule="auto"/>
        <w:rPr>
          <w:rFonts w:hint="eastAsia" w:ascii="宋体" w:hAnsi="宋体" w:cs="宋体"/>
          <w:sz w:val="32"/>
          <w:szCs w:val="32"/>
          <w:lang w:val="zh-CN"/>
        </w:rPr>
      </w:pPr>
      <w:r/>
      <w:bookmarkStart w:id="81"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3"/>
        <w:gridCol w:w="934"/>
        <w:gridCol w:w="1069"/>
        <w:gridCol w:w="898"/>
        <w:gridCol w:w="843"/>
        <w:gridCol w:w="1041"/>
        <w:gridCol w:w="1171"/>
        <w:gridCol w:w="1714"/>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46"/>
        <w:spacing w:line="288" w:lineRule="auto"/>
        <w:rPr>
          <w:rFonts w:hint="eastAsia" w:ascii="宋体" w:hAnsi="宋体" w:eastAsia="宋体" w:cs="宋体"/>
          <w:b/>
          <w:color w:val="auto"/>
          <w:sz w:val="24"/>
          <w:szCs w:val="24"/>
        </w:rPr>
        <w:outlineLvl w:val="1"/>
      </w:pPr>
      <w:r/>
      <w:bookmarkStart w:id="82" w:name="_Toc513799387"/>
      <w:r/>
      <w:bookmarkEnd w:id="80"/>
      <w:r/>
      <w:bookmarkEnd w:id="81"/>
      <w:r>
        <w:rPr>
          <w:rFonts w:hint="eastAsia" w:ascii="宋体" w:hAnsi="宋体" w:eastAsia="宋体" w:cs="宋体"/>
          <w:b/>
          <w:color w:val="auto"/>
          <w:sz w:val="24"/>
          <w:szCs w:val="24"/>
        </w:rPr>
        <w:t xml:space="preserve">附件五、资格证明文件</w:t>
      </w:r>
      <w:r/>
    </w:p>
    <w:p>
      <w:pPr>
        <w:pStyle w:val="1066"/>
        <w:rPr>
          <w:rStyle w:val="947"/>
        </w:rPr>
      </w:pPr>
      <w:r>
        <w:rPr>
          <w:rStyle w:val="947"/>
          <w:rFonts w:hint="eastAsia"/>
        </w:rPr>
        <w:t xml:space="preserve">格式自拟</w:t>
      </w:r>
      <w:r/>
    </w:p>
    <w:p>
      <w:r/>
      <w:r/>
    </w:p>
    <w:p>
      <w:pPr>
        <w:sectPr>
          <w:footerReference w:type="default" r:id="rId10"/>
          <w:footnotePr/>
          <w:endnotePr/>
          <w:type w:val="nextPage"/>
          <w:pgSz w:w="11906" w:h="16838" w:orient="portrait"/>
          <w:pgMar w:top="1440" w:right="1077" w:bottom="1440" w:left="1077" w:header="851" w:footer="992" w:gutter="0"/>
          <w:cols w:num="1" w:sep="0" w:space="720" w:equalWidth="1"/>
          <w:docGrid w:linePitch="360"/>
        </w:sectPr>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8"/>
        <w:gridCol w:w="2741"/>
        <w:gridCol w:w="3417"/>
        <w:gridCol w:w="2492"/>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46"/>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83" w:name="OLE_LINK28"/>
      <w:r>
        <w:rPr>
          <w:rFonts w:hint="eastAsia" w:ascii="宋体" w:hAnsi="宋体" w:eastAsia="宋体" w:cs="宋体"/>
          <w:b/>
          <w:color w:val="auto"/>
          <w:sz w:val="24"/>
          <w:szCs w:val="24"/>
        </w:rPr>
        <w:t xml:space="preserve">附件七、技术规格偏离表</w:t>
      </w:r>
      <w:bookmarkEnd w:id="82"/>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3"/>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4" w:name="OLE_LINK15"/>
      <w:r>
        <w:rPr>
          <w:rFonts w:hint="eastAsia" w:ascii="宋体" w:hAnsi="宋体" w:cs="宋体"/>
          <w:color w:val="000000"/>
          <w:sz w:val="24"/>
        </w:rPr>
        <w:t xml:space="preserve">★</w:t>
      </w:r>
      <w:bookmarkEnd w:id="84"/>
      <w:r>
        <w:rPr>
          <w:rFonts w:hint="eastAsia" w:ascii="宋体" w:hAnsi="宋体" w:cs="宋体"/>
          <w:color w:val="000000"/>
          <w:sz w:val="24"/>
        </w:rPr>
        <w:t xml:space="preserve">”号内容）</w:t>
      </w:r>
      <w:r>
        <w:rPr>
          <w:rFonts w:hint="eastAsia" w:ascii="宋体" w:hAnsi="宋体" w:cs="宋体"/>
          <w:color w:val="000000"/>
          <w:sz w:val="24"/>
        </w:rPr>
        <w:t xml:space="preserve">作出</w:t>
      </w:r>
      <w:r>
        <w:rPr>
          <w:rFonts w:hint="eastAsia" w:ascii="宋体" w:hAnsi="宋体" w:cs="宋体"/>
          <w:color w:val="000000"/>
          <w:sz w:val="24"/>
        </w:rPr>
        <w:t xml:space="preserve">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号技术</w:t>
      </w:r>
      <w:r>
        <w:rPr>
          <w:rFonts w:hint="eastAsia" w:ascii="宋体" w:hAnsi="宋体" w:cs="宋体"/>
          <w:color w:val="000000"/>
          <w:sz w:val="24"/>
        </w:rPr>
        <w:t xml:space="preserve">要求，招标文件要求提供证明材料的，供应商应按要求</w:t>
      </w:r>
      <w:r>
        <w:rPr>
          <w:rFonts w:hint="eastAsia" w:ascii="宋体" w:hAnsi="宋体" w:cs="宋体"/>
          <w:color w:val="000000"/>
          <w:sz w:val="24"/>
        </w:rPr>
        <w:t xml:space="preserve">在此表</w:t>
      </w:r>
      <w:r>
        <w:rPr>
          <w:rFonts w:hint="eastAsia" w:ascii="宋体" w:hAnsi="宋体" w:cs="宋体"/>
          <w:color w:val="000000"/>
          <w:sz w:val="24"/>
        </w:rPr>
        <w:t xml:space="preserve">下方提供；招标文件未要求提供证明材料的，签订合同</w:t>
      </w:r>
      <w:r>
        <w:rPr>
          <w:rFonts w:hint="eastAsia" w:ascii="宋体" w:hAnsi="宋体" w:cs="宋体"/>
          <w:color w:val="000000"/>
          <w:sz w:val="24"/>
        </w:rPr>
        <w:t xml:space="preserve">时供应</w:t>
      </w:r>
      <w:r>
        <w:rPr>
          <w:rFonts w:hint="eastAsia" w:ascii="宋体" w:hAnsi="宋体" w:cs="宋体"/>
          <w:color w:val="000000"/>
          <w:sz w:val="24"/>
        </w:rPr>
        <w:t xml:space="preserve">商应按采购人要求提供相关证明材料核验（如：白皮书、彩页、手册、网站截图、具有CMA标识的检测报告等）。</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明确响应的，或未按招标文件要求提供证明材料的，作无效响应处理。</w:t>
      </w:r>
      <w:r/>
    </w:p>
    <w:p>
      <w:pPr>
        <w:pStyle w:val="973"/>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3"/>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bookmarkStart w:id="85" w:name="_Toc513799388"/>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5"/>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bookmarkStart w:id="86" w:name="_Toc513799389"/>
      <w:r>
        <w:rPr>
          <w:rFonts w:hint="eastAsia"/>
          <w:color w:val="000000"/>
        </w:rPr>
        <w:t xml:space="preserve">备注： </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46"/>
        <w:spacing w:line="288" w:lineRule="auto"/>
        <w:rPr>
          <w:rFonts w:hint="eastAsia" w:ascii="宋体" w:hAnsi="宋体" w:eastAsia="宋体" w:cs="宋体"/>
          <w:b/>
          <w:color w:val="auto"/>
          <w:sz w:val="24"/>
          <w:szCs w:val="24"/>
        </w:rPr>
        <w:outlineLvl w:val="1"/>
      </w:pPr>
      <w:r/>
      <w:bookmarkStart w:id="87" w:name="_Toc43917779"/>
      <w:r/>
      <w:bookmarkStart w:id="88" w:name="_Toc66375432"/>
      <w:r/>
      <w:bookmarkStart w:id="89" w:name="_Toc513799390"/>
      <w:r/>
      <w:bookmarkEnd w:id="86"/>
      <w:r>
        <w:rPr>
          <w:rFonts w:hint="eastAsia" w:ascii="宋体" w:hAnsi="宋体" w:eastAsia="宋体" w:cs="宋体"/>
          <w:b/>
          <w:color w:val="auto"/>
          <w:sz w:val="24"/>
          <w:szCs w:val="24"/>
        </w:rPr>
        <w:t xml:space="preserve">附件九、投标人类似业绩情况表</w:t>
      </w:r>
      <w:bookmarkEnd w:id="87"/>
      <w:r/>
      <w:bookmarkEnd w:id="88"/>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4"/>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90" w:name="_Hlk66378132"/>
      <w:r>
        <w:rPr>
          <w:rFonts w:hint="eastAsia"/>
          <w:color w:val="000000"/>
        </w:rPr>
        <w:t xml:space="preserve">并根据招标文件要求</w:t>
      </w:r>
      <w:r>
        <w:rPr>
          <w:rFonts w:hint="eastAsia"/>
          <w:color w:val="000000"/>
        </w:rPr>
        <w:t xml:space="preserve">附业绩</w:t>
      </w:r>
      <w:r>
        <w:rPr>
          <w:rFonts w:hint="eastAsia"/>
          <w:color w:val="000000"/>
        </w:rPr>
        <w:t xml:space="preserve">证明材料。</w:t>
      </w:r>
      <w:bookmarkEnd w:id="90"/>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46"/>
        <w:spacing w:line="288" w:lineRule="auto"/>
        <w:rPr>
          <w:rFonts w:hint="eastAsia" w:ascii="宋体" w:hAnsi="宋体" w:eastAsia="宋体" w:cs="宋体"/>
          <w:b/>
          <w:color w:val="auto"/>
          <w:sz w:val="24"/>
          <w:szCs w:val="24"/>
        </w:rPr>
        <w:sectPr>
          <w:footnotePr/>
          <w:endnotePr/>
          <w:type w:val="nextPage"/>
          <w:pgSz w:w="11906" w:h="16838" w:orient="portrait"/>
          <w:pgMar w:top="1440" w:right="1077" w:bottom="1440" w:left="1077"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6"/>
        <w:spacing w:line="288" w:lineRule="auto"/>
        <w:rPr>
          <w:rFonts w:hint="eastAsia" w:ascii="宋体" w:hAnsi="宋体" w:eastAsia="宋体" w:cs="宋体"/>
          <w:b/>
          <w:color w:val="auto"/>
          <w:sz w:val="24"/>
          <w:szCs w:val="24"/>
        </w:rPr>
        <w:outlineLvl w:val="1"/>
      </w:pPr>
      <w:r/>
      <w:bookmarkStart w:id="91" w:name="OLE_LINK24"/>
      <w:r>
        <w:rPr>
          <w:rFonts w:hint="eastAsia" w:ascii="宋体" w:hAnsi="宋体" w:eastAsia="宋体" w:cs="宋体"/>
          <w:b/>
          <w:color w:val="auto"/>
          <w:sz w:val="24"/>
          <w:szCs w:val="24"/>
        </w:rPr>
        <w:t xml:space="preserve">附件十、</w:t>
      </w:r>
      <w:bookmarkEnd w:id="89"/>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37"/>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w:t>
      </w:r>
      <w:r>
        <w:rPr>
          <w:rFonts w:hint="eastAsia" w:ascii="宋体" w:hAnsi="宋体" w:cs="宋体"/>
          <w:b/>
          <w:bCs/>
          <w:sz w:val="24"/>
        </w:rPr>
        <w:t xml:space="preserve">函内容</w:t>
      </w:r>
      <w:r>
        <w:rPr>
          <w:rFonts w:hint="eastAsia" w:ascii="宋体" w:hAnsi="宋体" w:cs="宋体"/>
          <w:b/>
          <w:bCs/>
          <w:sz w:val="24"/>
        </w:rPr>
        <w:t xml:space="preserve">将每项产品生产企业的情况如实填写完整。如有遗漏的，则所遗漏项的生产企业将被视为非小微企业，投标人不再享受小</w:t>
      </w:r>
      <w:r>
        <w:rPr>
          <w:rFonts w:hint="eastAsia" w:ascii="宋体" w:hAnsi="宋体" w:cs="宋体"/>
          <w:b/>
          <w:bCs/>
          <w:sz w:val="24"/>
        </w:rPr>
        <w:t xml:space="preserve">微企业</w:t>
      </w:r>
      <w:r>
        <w:rPr>
          <w:rFonts w:hint="eastAsia" w:ascii="宋体" w:hAnsi="宋体" w:cs="宋体"/>
          <w:b/>
          <w:bCs/>
          <w:sz w:val="24"/>
        </w:rPr>
        <w:t xml:space="preserve">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92" w:name="_Toc513799392"/>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3" w:name="OLE_LINK27"/>
      <w:r/>
      <w:bookmarkEnd w:id="91"/>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3"/>
      <w:r>
        <w:rPr>
          <w:rFonts w:hint="eastAsia" w:ascii="宋体" w:hAnsi="宋体" w:cs="宋体"/>
          <w:sz w:val="24"/>
        </w:rPr>
        <w:br w:type="page" w:clear="all"/>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92"/>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w:t>
      </w:r>
      <w:r>
        <w:rPr>
          <w:rFonts w:hint="eastAsia" w:ascii="宋体" w:hAnsi="宋体" w:cs="宋体"/>
          <w:sz w:val="24"/>
        </w:rPr>
        <w:t xml:space="preserve">称重大</w:t>
      </w:r>
      <w:r>
        <w:rPr>
          <w:rFonts w:hint="eastAsia" w:ascii="宋体" w:hAnsi="宋体" w:cs="宋体"/>
          <w:sz w:val="24"/>
        </w:rPr>
        <w:t xml:space="preserve">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46"/>
        <w:spacing w:line="288" w:lineRule="auto"/>
        <w:rPr>
          <w:rFonts w:hint="eastAsia" w:ascii="宋体" w:hAnsi="宋体" w:eastAsia="宋体" w:cs="宋体"/>
          <w:b/>
          <w:color w:val="auto"/>
          <w:sz w:val="24"/>
          <w:szCs w:val="24"/>
        </w:rPr>
        <w:outlineLvl w:val="1"/>
      </w:pPr>
      <w:r/>
      <w:bookmarkStart w:id="94"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46"/>
        <w:spacing w:line="288" w:lineRule="auto"/>
        <w:rPr>
          <w:rFonts w:hint="eastAsia" w:ascii="宋体" w:hAnsi="宋体" w:eastAsia="宋体" w:cs="宋体"/>
          <w:b/>
          <w:color w:val="auto"/>
          <w:sz w:val="24"/>
          <w:szCs w:val="24"/>
        </w:rPr>
        <w:outlineLvl w:val="1"/>
      </w:pPr>
      <w:r/>
      <w:bookmarkStart w:id="95" w:name="OLE_LINK29"/>
      <w:r/>
      <w:bookmarkEnd w:id="94"/>
      <w:r>
        <w:rPr>
          <w:rFonts w:hint="eastAsia" w:ascii="宋体" w:hAnsi="宋体" w:eastAsia="宋体" w:cs="宋体"/>
          <w:b/>
          <w:color w:val="auto"/>
          <w:sz w:val="24"/>
          <w:szCs w:val="24"/>
        </w:rPr>
        <w:t xml:space="preserve">附件十五：南京市政府采购供应商信用</w:t>
      </w:r>
      <w:r>
        <w:rPr>
          <w:rFonts w:hint="eastAsia" w:ascii="宋体" w:hAnsi="宋体" w:eastAsia="宋体" w:cs="宋体"/>
          <w:b/>
          <w:color w:val="auto"/>
          <w:sz w:val="24"/>
          <w:szCs w:val="24"/>
        </w:rPr>
        <w:t xml:space="preserve">记录表暨信用</w:t>
      </w:r>
      <w:r>
        <w:rPr>
          <w:rFonts w:hint="eastAsia" w:ascii="宋体" w:hAnsi="宋体" w:eastAsia="宋体" w:cs="宋体"/>
          <w:b/>
          <w:color w:val="auto"/>
          <w:sz w:val="24"/>
          <w:szCs w:val="24"/>
        </w:rPr>
        <w:t xml:space="preserve">承诺书（须网上打印盖章签字）</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5"/>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pPr>
      <w:r>
        <w:rPr>
          <w:rFonts w:hint="eastAsia" w:ascii="宋体" w:hAnsi="宋体" w:cs="宋体"/>
          <w:bCs/>
          <w:color w:val="000000"/>
        </w:rPr>
      </w:r>
      <w:r/>
    </w:p>
    <w:p>
      <w:pPr>
        <w:pStyle w:val="726"/>
        <w:spacing w:line="288" w:lineRule="auto"/>
        <w:rPr>
          <w:rFonts w:hint="eastAsia" w:ascii="宋体" w:hAnsi="宋体" w:cs="宋体"/>
          <w:bCs/>
          <w:color w:val="000000"/>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cs="宋体"/>
          <w:bCs/>
          <w:color w:val="000000"/>
        </w:r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附件十六、其他（格式自拟）</w:t>
      </w:r>
      <w:r/>
    </w:p>
    <w:p>
      <w:pPr>
        <w:pStyle w:val="726"/>
        <w:ind w:left="0"/>
        <w:spacing w:line="288" w:lineRule="auto"/>
        <w:rPr>
          <w:rFonts w:hint="eastAsia" w:ascii="宋体" w:hAnsi="宋体" w:cs="宋体"/>
          <w:bCs/>
          <w:color w:val="000000"/>
        </w:rPr>
      </w:pPr>
      <w:r>
        <w:rPr>
          <w:rFonts w:hint="eastAsia" w:ascii="宋体" w:hAnsi="宋体" w:cs="宋体"/>
          <w:bCs/>
          <w:color w:val="000000"/>
        </w:rPr>
      </w:r>
      <w:r/>
    </w:p>
    <w:p>
      <w:pPr>
        <w:pStyle w:val="727"/>
      </w:pPr>
      <w:r/>
      <w:r/>
    </w:p>
    <w:p>
      <w:pPr>
        <w:pStyle w:val="946"/>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附件十七</w:t>
      </w:r>
      <w:bookmarkStart w:id="96" w:name="OLE_LINK22"/>
      <w:r>
        <w:rPr>
          <w:rFonts w:hint="eastAsia" w:ascii="宋体" w:hAnsi="宋体" w:eastAsia="宋体" w:cs="宋体"/>
          <w:b/>
          <w:color w:val="auto"/>
          <w:sz w:val="24"/>
          <w:szCs w:val="24"/>
        </w:rPr>
        <w:t xml:space="preserve">关于符合本国产品标准的声明函</w:t>
      </w:r>
      <w:bookmarkEnd w:id="96"/>
      <w:r/>
      <w:r/>
    </w:p>
    <w:p>
      <w:pPr>
        <w:pStyle w:val="727"/>
        <w:ind w:firstLine="2891"/>
        <w:rPr>
          <w:rFonts w:hint="eastAsia" w:ascii="宋体" w:hAnsi="宋体"/>
          <w:sz w:val="24"/>
        </w:rPr>
      </w:pPr>
      <w:r>
        <w:rPr>
          <w:rFonts w:hint="eastAsia" w:ascii="宋体" w:hAnsi="宋体"/>
          <w:b/>
          <w:bCs/>
          <w:sz w:val="24"/>
        </w:rPr>
        <w:t xml:space="preserve">关于符合本国产品标准的声明函</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vertAlign w:val="superscript"/>
        </w:rPr>
        <w:t xml:space="preserve">5</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的中国境内生产的组件成本占比≥</w:t>
      </w:r>
      <w:r>
        <w:rPr>
          <w:rFonts w:hint="eastAsia" w:ascii="宋体" w:hAnsi="宋体"/>
          <w:sz w:val="24"/>
          <w:u w:val="single"/>
        </w:rPr>
        <w:t xml:space="preserve">  /  </w:t>
      </w:r>
      <w:r>
        <w:rPr>
          <w:rFonts w:hint="eastAsia" w:ascii="宋体" w:hAnsi="宋体"/>
          <w:sz w:val="24"/>
        </w:rPr>
        <w:t xml:space="preserve">。</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在中国境内生产。</w:t>
      </w:r>
      <w:r>
        <w:rPr>
          <w:rFonts w:hint="eastAsia" w:ascii="宋体" w:hAnsi="宋体"/>
          <w:sz w:val="24"/>
          <w:u w:val="single"/>
        </w:rPr>
        <w:t xml:space="preserve">  /  </w:t>
      </w:r>
      <w:r>
        <w:rPr>
          <w:rFonts w:hint="eastAsia" w:ascii="宋体" w:hAnsi="宋体"/>
          <w:sz w:val="24"/>
        </w:rPr>
        <w:t xml:space="preserve">的</w:t>
      </w:r>
      <w:r>
        <w:rPr>
          <w:rFonts w:hint="eastAsia" w:ascii="宋体" w:hAnsi="宋体"/>
          <w:sz w:val="24"/>
          <w:u w:val="single"/>
        </w:rPr>
        <w:t xml:space="preserve">  /  </w:t>
      </w:r>
      <w:r>
        <w:rPr>
          <w:rFonts w:hint="eastAsia" w:ascii="宋体" w:hAnsi="宋体"/>
          <w:sz w:val="24"/>
        </w:rPr>
        <w:t xml:space="preserve">在中国境内完成。</w:t>
      </w:r>
      <w:r/>
    </w:p>
    <w:p>
      <w:pPr>
        <w:pStyle w:val="727"/>
        <w:rPr>
          <w:rFonts w:hint="eastAsia" w:ascii="宋体" w:hAnsi="宋体"/>
          <w:sz w:val="24"/>
        </w:rPr>
      </w:pPr>
      <w:r>
        <w:rPr>
          <w:rFonts w:hint="eastAsia" w:ascii="宋体" w:hAnsi="宋体"/>
          <w:sz w:val="24"/>
        </w:rPr>
        <w:t xml:space="preserve">……</w:t>
      </w:r>
      <w:r/>
    </w:p>
    <w:p>
      <w:pPr>
        <w:pStyle w:val="727"/>
        <w:rPr>
          <w:rFonts w:hint="eastAsia" w:ascii="宋体" w:hAnsi="宋体"/>
          <w:sz w:val="24"/>
        </w:rPr>
      </w:pPr>
      <w:r>
        <w:rPr>
          <w:rFonts w:hint="eastAsia" w:ascii="宋体" w:hAnsi="宋体"/>
          <w:sz w:val="24"/>
        </w:rPr>
        <w:t xml:space="preserve">本公司（单位）对上述声明内容的真实性负责。如有虚假，愿承担相应法律责任。</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   公司（单位）名称（加盖CA电子公章）：         </w:t>
      </w:r>
      <w:r/>
    </w:p>
    <w:p>
      <w:pPr>
        <w:pStyle w:val="727"/>
        <w:rPr>
          <w:rFonts w:hint="eastAsia" w:ascii="宋体" w:hAnsi="宋体"/>
          <w:sz w:val="24"/>
        </w:rPr>
      </w:pPr>
      <w:r>
        <w:rPr>
          <w:rFonts w:hint="eastAsia" w:ascii="宋体" w:hAnsi="宋体"/>
          <w:sz w:val="24"/>
        </w:rPr>
        <w:t xml:space="preserve">           日期：      年   月   日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t xml:space="preserve">_________________</w:t>
      </w:r>
      <w:r/>
    </w:p>
    <w:p>
      <w:pPr>
        <w:pStyle w:val="727"/>
        <w:rPr>
          <w:rFonts w:hint="eastAsia" w:ascii="宋体" w:hAnsi="宋体"/>
          <w:sz w:val="24"/>
        </w:rPr>
      </w:pPr>
      <w:r>
        <w:rPr>
          <w:rFonts w:hint="eastAsia" w:ascii="宋体" w:hAnsi="宋体"/>
          <w:sz w:val="24"/>
        </w:rPr>
        <w:t xml:space="preserve">1.产品如有型号，请在“产品名称”栏一并填写。</w:t>
      </w:r>
      <w:r/>
    </w:p>
    <w:p>
      <w:pPr>
        <w:pStyle w:val="727"/>
        <w:rPr>
          <w:rFonts w:hint="eastAsia" w:ascii="宋体" w:hAnsi="宋体"/>
          <w:sz w:val="24"/>
        </w:rPr>
      </w:pPr>
      <w:r>
        <w:rPr>
          <w:rFonts w:hint="eastAsia" w:ascii="宋体" w:hAnsi="宋体"/>
          <w:sz w:val="24"/>
        </w:rPr>
        <w:t xml:space="preserve">2.生产厂名与厂址应与生产厂营业执照载明的相关信息保持一致。</w:t>
      </w:r>
      <w:r/>
    </w:p>
    <w:p>
      <w:pPr>
        <w:pStyle w:val="727"/>
        <w:rPr>
          <w:rFonts w:hint="eastAsia" w:ascii="宋体" w:hAnsi="宋体"/>
          <w:sz w:val="24"/>
        </w:rPr>
      </w:pPr>
      <w:r>
        <w:rPr>
          <w:rFonts w:hint="eastAsia" w:ascii="宋体" w:hAnsi="宋体"/>
          <w:sz w:val="24"/>
        </w:rPr>
        <w:t xml:space="preserve">3.该产品的中国境内生产的组件成本占比相关要求实施前，“规定比例”栏可不填，下同。</w:t>
      </w:r>
      <w:r/>
    </w:p>
    <w:p>
      <w:pPr>
        <w:pStyle w:val="727"/>
        <w:rPr>
          <w:rFonts w:hint="eastAsia" w:ascii="宋体" w:hAnsi="宋体"/>
          <w:sz w:val="24"/>
        </w:rPr>
      </w:pPr>
      <w:r>
        <w:rPr>
          <w:rFonts w:hint="eastAsia" w:ascii="宋体" w:hAnsi="宋体"/>
          <w:sz w:val="24"/>
        </w:rPr>
        <w:t xml:space="preserve">4.该产品的关键组件要求实施前，“关键组件”栏可不填，下同。</w:t>
      </w:r>
      <w:r/>
    </w:p>
    <w:p>
      <w:pPr>
        <w:pStyle w:val="727"/>
        <w:rPr>
          <w:rFonts w:hint="eastAsia" w:ascii="宋体" w:hAnsi="宋体"/>
          <w:sz w:val="24"/>
        </w:rPr>
      </w:pPr>
      <w:r>
        <w:rPr>
          <w:rFonts w:hint="eastAsia" w:ascii="宋体" w:hAnsi="宋体"/>
          <w:sz w:val="24"/>
        </w:rPr>
        <w:t xml:space="preserve">5.该产品的关键工序要求实施前，“关键工序”栏可不填，下同。</w:t>
      </w:r>
      <w:r/>
    </w:p>
    <w:p>
      <w:pPr>
        <w:pStyle w:val="727"/>
        <w:rPr>
          <w:rFonts w:hint="eastAsia" w:ascii="宋体" w:hAnsi="宋体"/>
          <w:sz w:val="24"/>
        </w:rPr>
      </w:pPr>
      <w:r>
        <w:rPr>
          <w:rFonts w:hint="eastAsia" w:ascii="宋体" w:hAnsi="宋体"/>
          <w:sz w:val="24"/>
        </w:rPr>
        <w:t xml:space="preserve">6.《声明函》中标注“</w:t>
      </w:r>
      <w:r>
        <w:rPr>
          <w:rFonts w:hint="eastAsia" w:ascii="宋体" w:hAnsi="宋体"/>
          <w:sz w:val="24"/>
          <w:u w:val="single"/>
        </w:rPr>
        <w:t xml:space="preserve">  /  </w:t>
      </w:r>
      <w:r>
        <w:rPr>
          <w:rFonts w:hint="eastAsia" w:ascii="宋体" w:hAnsi="宋体"/>
          <w:sz w:val="24"/>
        </w:rPr>
        <w:t xml:space="preserve">”的地方无需填写。</w:t>
      </w:r>
      <w:r/>
    </w:p>
    <w:p>
      <w:pPr>
        <w:pStyle w:val="727"/>
        <w:rPr>
          <w:rFonts w:hint="eastAsia" w:ascii="宋体" w:hAnsi="宋体"/>
          <w:sz w:val="24"/>
        </w:rPr>
      </w:pPr>
      <w:r>
        <w:rPr>
          <w:rFonts w:ascii="宋体" w:hAnsi="宋体"/>
          <w:sz w:val="24"/>
        </w:rPr>
        <w:t xml:space="preserve"> </w:t>
      </w:r>
      <w:r/>
    </w:p>
    <w:p>
      <w:pPr>
        <w:pStyle w:val="727"/>
        <w:rPr>
          <w:rFonts w:hint="eastAsia" w:ascii="宋体" w:hAnsi="宋体"/>
          <w:sz w:val="24"/>
        </w:rPr>
      </w:pPr>
      <w:r>
        <w:rPr>
          <w:rFonts w:hint="eastAsia" w:ascii="宋体" w:hAnsi="宋体"/>
          <w:sz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626282"/>
      <w:docPartObj>
        <w:docPartGallery w:val="AutoText"/>
      </w:docPartObj>
      <w:rPr/>
    </w:sdtPr>
    <w:sdtContent>
      <w:p>
        <w:pPr>
          <w:pStyle w:val="7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10"/>
      <w:isLgl w:val="false"/>
      <w:suff w:val="tab"/>
      <w:lvlText w:val="§"/>
      <w:lvlJc w:val="left"/>
      <w:pPr>
        <w:ind w:left="4320" w:hanging="360"/>
      </w:pPr>
      <w:rPr>
        <w:rFonts w:hint="default" w:ascii="Wingdings" w:hAnsi="Wingdings" w:eastAsia="Wingdings" w:cs="Wingdings"/>
      </w:rPr>
    </w:lvl>
    <w:lvl w:ilvl="6">
      <w:start w:val="1"/>
      <w:numFmt w:val="bullet"/>
      <w:pStyle w:val="711"/>
      <w:isLgl w:val="false"/>
      <w:suff w:val="tab"/>
      <w:lvlText w:val="·"/>
      <w:lvlJc w:val="left"/>
      <w:pPr>
        <w:ind w:left="5040" w:hanging="360"/>
      </w:pPr>
      <w:rPr>
        <w:rFonts w:hint="default" w:ascii="Symbol" w:hAnsi="Symbol" w:eastAsia="Symbol" w:cs="Symbol"/>
      </w:rPr>
    </w:lvl>
    <w:lvl w:ilvl="7">
      <w:start w:val="1"/>
      <w:numFmt w:val="bullet"/>
      <w:pStyle w:val="712"/>
      <w:isLgl w:val="false"/>
      <w:suff w:val="tab"/>
      <w:lvlText w:val="o"/>
      <w:lvlJc w:val="left"/>
      <w:pPr>
        <w:ind w:left="5760" w:hanging="360"/>
      </w:pPr>
      <w:rPr>
        <w:rFonts w:hint="default" w:ascii="Courier New" w:hAnsi="Courier New" w:eastAsia="Courier New" w:cs="Courier New"/>
      </w:rPr>
    </w:lvl>
    <w:lvl w:ilvl="8">
      <w:start w:val="1"/>
      <w:numFmt w:val="bullet"/>
      <w:pStyle w:val="713"/>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pStyle w:val="1017"/>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qFormat/>
    <w:pPr>
      <w:jc w:val="both"/>
      <w:widowControl w:val="off"/>
    </w:pPr>
    <w:rPr>
      <w:sz w:val="21"/>
      <w:szCs w:val="24"/>
    </w:rPr>
  </w:style>
  <w:style w:type="paragraph" w:styleId="705">
    <w:name w:val="Heading 1"/>
    <w:basedOn w:val="704"/>
    <w:next w:val="704"/>
    <w:link w:val="980"/>
    <w:uiPriority w:val="9"/>
    <w:qFormat/>
    <w:pPr>
      <w:jc w:val="center"/>
      <w:keepNext/>
      <w:outlineLvl w:val="0"/>
    </w:pPr>
    <w:rPr>
      <w:rFonts w:ascii="楷体_GB2312" w:eastAsia="楷体_GB2312"/>
      <w:sz w:val="28"/>
      <w:szCs w:val="28"/>
    </w:rPr>
  </w:style>
  <w:style w:type="paragraph" w:styleId="706">
    <w:name w:val="Heading 2"/>
    <w:basedOn w:val="704"/>
    <w:next w:val="704"/>
    <w:link w:val="952"/>
    <w:uiPriority w:val="9"/>
    <w:qFormat/>
    <w:pPr>
      <w:jc w:val="left"/>
      <w:keepLines/>
      <w:keepNext/>
      <w:spacing w:before="120" w:after="120"/>
      <w:outlineLvl w:val="1"/>
    </w:pPr>
    <w:rPr>
      <w:rFonts w:ascii="宋体" w:hAnsi="宋体"/>
      <w:b/>
    </w:rPr>
  </w:style>
  <w:style w:type="paragraph" w:styleId="707">
    <w:name w:val="Heading 3"/>
    <w:basedOn w:val="704"/>
    <w:next w:val="717"/>
    <w:link w:val="981"/>
    <w:uiPriority w:val="9"/>
    <w:qFormat/>
    <w:pPr>
      <w:keepLines/>
      <w:keepNext/>
      <w:spacing w:before="260" w:after="260" w:line="416" w:lineRule="auto"/>
      <w:outlineLvl w:val="2"/>
    </w:pPr>
    <w:rPr>
      <w:b/>
      <w:bCs/>
      <w:sz w:val="32"/>
      <w:szCs w:val="32"/>
    </w:rPr>
  </w:style>
  <w:style w:type="paragraph" w:styleId="708">
    <w:name w:val="Heading 4"/>
    <w:basedOn w:val="704"/>
    <w:next w:val="718"/>
    <w:link w:val="98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9">
    <w:name w:val="Heading 5"/>
    <w:basedOn w:val="704"/>
    <w:next w:val="717"/>
    <w:link w:val="982"/>
    <w:uiPriority w:val="9"/>
    <w:qFormat/>
    <w:pPr>
      <w:keepNext/>
      <w:outlineLvl w:val="4"/>
    </w:pPr>
    <w:rPr>
      <w:rFonts w:ascii="宋体"/>
      <w:color w:val="000000"/>
      <w:sz w:val="28"/>
      <w:szCs w:val="28"/>
    </w:rPr>
  </w:style>
  <w:style w:type="paragraph" w:styleId="710">
    <w:name w:val="Heading 6"/>
    <w:basedOn w:val="704"/>
    <w:next w:val="704"/>
    <w:link w:val="983"/>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11">
    <w:name w:val="Heading 7"/>
    <w:basedOn w:val="704"/>
    <w:next w:val="704"/>
    <w:link w:val="984"/>
    <w:uiPriority w:val="9"/>
    <w:qFormat/>
    <w:pPr>
      <w:numPr>
        <w:ilvl w:val="6"/>
        <w:numId w:val="1"/>
      </w:numPr>
      <w:keepLines/>
      <w:keepNext/>
      <w:spacing w:before="240" w:after="64" w:line="320" w:lineRule="auto"/>
      <w:outlineLvl w:val="6"/>
    </w:pPr>
    <w:rPr>
      <w:b/>
      <w:bCs/>
      <w:sz w:val="24"/>
    </w:rPr>
  </w:style>
  <w:style w:type="paragraph" w:styleId="712">
    <w:name w:val="Heading 8"/>
    <w:basedOn w:val="704"/>
    <w:next w:val="704"/>
    <w:link w:val="985"/>
    <w:uiPriority w:val="9"/>
    <w:qFormat/>
    <w:pPr>
      <w:numPr>
        <w:ilvl w:val="7"/>
        <w:numId w:val="1"/>
      </w:numPr>
      <w:keepLines/>
      <w:keepNext/>
      <w:spacing w:before="240" w:after="64" w:line="320" w:lineRule="auto"/>
      <w:outlineLvl w:val="7"/>
    </w:pPr>
    <w:rPr>
      <w:rFonts w:ascii="Arial" w:hAnsi="Arial" w:eastAsia="黑体"/>
      <w:sz w:val="24"/>
    </w:rPr>
  </w:style>
  <w:style w:type="paragraph" w:styleId="713">
    <w:name w:val="Heading 9"/>
    <w:basedOn w:val="704"/>
    <w:next w:val="704"/>
    <w:link w:val="986"/>
    <w:uiPriority w:val="9"/>
    <w:qFormat/>
    <w:pPr>
      <w:numPr>
        <w:ilvl w:val="8"/>
        <w:numId w:val="1"/>
      </w:numPr>
      <w:keepLines/>
      <w:keepNext/>
      <w:spacing w:before="240" w:after="64" w:line="320" w:lineRule="auto"/>
      <w:outlineLvl w:val="8"/>
    </w:pPr>
    <w:rPr>
      <w:rFonts w:ascii="Arial" w:hAnsi="Arial" w:eastAsia="黑体"/>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Normal Indent"/>
    <w:basedOn w:val="704"/>
    <w:next w:val="704"/>
    <w:link w:val="987"/>
    <w:qFormat/>
    <w:pPr>
      <w:ind w:firstLine="420"/>
    </w:pPr>
    <w:rPr>
      <w:szCs w:val="20"/>
    </w:rPr>
  </w:style>
  <w:style w:type="paragraph" w:styleId="718" w:customStyle="1">
    <w:name w:val="正文首缩两字"/>
    <w:basedOn w:val="704"/>
    <w:qFormat/>
    <w:pPr>
      <w:ind w:left="210" w:right="210" w:firstLine="480"/>
      <w:jc w:val="left"/>
      <w:spacing w:line="360" w:lineRule="auto"/>
    </w:pPr>
    <w:rPr>
      <w:rFonts w:ascii="宋体" w:hAnsi="宋体" w:eastAsia="仿宋_GB2312"/>
      <w:sz w:val="24"/>
    </w:rPr>
  </w:style>
  <w:style w:type="paragraph" w:styleId="719">
    <w:name w:val="List 3"/>
    <w:basedOn w:val="704"/>
    <w:pPr>
      <w:ind w:left="100" w:hanging="200"/>
    </w:pPr>
    <w:rPr>
      <w:szCs w:val="21"/>
    </w:rPr>
  </w:style>
  <w:style w:type="paragraph" w:styleId="720">
    <w:name w:val="toc 7"/>
    <w:basedOn w:val="704"/>
    <w:next w:val="704"/>
    <w:semiHidden/>
    <w:pPr>
      <w:ind w:left="1260"/>
      <w:jc w:val="left"/>
    </w:pPr>
    <w:rPr>
      <w:szCs w:val="21"/>
    </w:rPr>
  </w:style>
  <w:style w:type="paragraph" w:styleId="721">
    <w:name w:val="Caption"/>
    <w:basedOn w:val="704"/>
    <w:next w:val="704"/>
    <w:uiPriority w:val="35"/>
    <w:semiHidden/>
    <w:unhideWhenUsed/>
    <w:qFormat/>
    <w:pPr>
      <w:spacing w:line="276" w:lineRule="auto"/>
    </w:pPr>
    <w:rPr>
      <w:b/>
      <w:bCs/>
      <w:color w:val="4f81bd" w:themeColor="accent1"/>
      <w:sz w:val="18"/>
      <w:szCs w:val="18"/>
    </w:rPr>
  </w:style>
  <w:style w:type="paragraph" w:styleId="722">
    <w:name w:val="Document Map"/>
    <w:basedOn w:val="704"/>
    <w:link w:val="959"/>
    <w:semiHidden/>
    <w:unhideWhenUsed/>
    <w:qFormat/>
    <w:rPr>
      <w:rFonts w:ascii="宋体"/>
      <w:sz w:val="18"/>
      <w:szCs w:val="18"/>
    </w:rPr>
  </w:style>
  <w:style w:type="paragraph" w:styleId="723">
    <w:name w:val="annotation text"/>
    <w:basedOn w:val="704"/>
    <w:link w:val="998"/>
    <w:qFormat/>
    <w:pPr>
      <w:jc w:val="left"/>
    </w:pPr>
  </w:style>
  <w:style w:type="paragraph" w:styleId="724">
    <w:name w:val="Body Text 3"/>
    <w:basedOn w:val="704"/>
    <w:link w:val="990"/>
    <w:rPr>
      <w:rFonts w:ascii="仿宋_GB2312" w:hAnsi="Arial" w:eastAsia="仿宋_GB2312"/>
      <w:sz w:val="32"/>
      <w:szCs w:val="32"/>
    </w:rPr>
  </w:style>
  <w:style w:type="paragraph" w:styleId="725">
    <w:name w:val="Body Text"/>
    <w:basedOn w:val="704"/>
    <w:link w:val="1000"/>
    <w:qFormat/>
    <w:pPr>
      <w:jc w:val="center"/>
    </w:pPr>
    <w:rPr>
      <w:rFonts w:eastAsia="幼圆"/>
      <w:b/>
      <w:bCs/>
      <w:sz w:val="44"/>
    </w:rPr>
  </w:style>
  <w:style w:type="paragraph" w:styleId="726">
    <w:name w:val="Body Text Indent"/>
    <w:basedOn w:val="704"/>
    <w:next w:val="727"/>
    <w:link w:val="992"/>
    <w:unhideWhenUsed/>
    <w:qFormat/>
    <w:pPr>
      <w:ind w:left="420"/>
      <w:spacing w:after="120"/>
    </w:pPr>
  </w:style>
  <w:style w:type="paragraph" w:styleId="727">
    <w:name w:val="envelope return"/>
    <w:basedOn w:val="704"/>
    <w:qFormat/>
    <w:rPr>
      <w:rFonts w:ascii="Arial" w:hAnsi="Arial" w:cs="宋体"/>
    </w:rPr>
  </w:style>
  <w:style w:type="paragraph" w:styleId="728">
    <w:name w:val="List 2"/>
    <w:basedOn w:val="704"/>
    <w:pPr>
      <w:ind w:left="100" w:hanging="200"/>
    </w:pPr>
    <w:rPr>
      <w:szCs w:val="21"/>
    </w:rPr>
  </w:style>
  <w:style w:type="paragraph" w:styleId="729">
    <w:name w:val="index 4"/>
    <w:basedOn w:val="704"/>
    <w:next w:val="704"/>
    <w:unhideWhenUsed/>
    <w:qFormat/>
    <w:pPr>
      <w:ind w:left="600"/>
    </w:pPr>
    <w:rPr>
      <w:rFonts w:ascii="Verdana" w:hAnsi="Verdana"/>
      <w:szCs w:val="20"/>
    </w:rPr>
  </w:style>
  <w:style w:type="paragraph" w:styleId="730">
    <w:name w:val="toc 5"/>
    <w:basedOn w:val="704"/>
    <w:next w:val="704"/>
    <w:semiHidden/>
    <w:pPr>
      <w:ind w:left="840"/>
      <w:jc w:val="left"/>
    </w:pPr>
    <w:rPr>
      <w:szCs w:val="21"/>
    </w:rPr>
  </w:style>
  <w:style w:type="paragraph" w:styleId="731">
    <w:name w:val="toc 3"/>
    <w:basedOn w:val="704"/>
    <w:next w:val="704"/>
    <w:semiHidden/>
    <w:pPr>
      <w:ind w:left="420"/>
      <w:jc w:val="left"/>
    </w:pPr>
    <w:rPr>
      <w:i/>
      <w:iCs/>
    </w:rPr>
  </w:style>
  <w:style w:type="paragraph" w:styleId="732">
    <w:name w:val="Plain Text"/>
    <w:basedOn w:val="704"/>
    <w:link w:val="943"/>
    <w:qFormat/>
    <w:rPr>
      <w:rFonts w:ascii="宋体" w:hAnsi="Courier New"/>
      <w:szCs w:val="21"/>
    </w:rPr>
  </w:style>
  <w:style w:type="paragraph" w:styleId="733">
    <w:name w:val="toc 8"/>
    <w:basedOn w:val="704"/>
    <w:next w:val="704"/>
    <w:semiHidden/>
    <w:pPr>
      <w:ind w:left="1470"/>
      <w:jc w:val="left"/>
    </w:pPr>
    <w:rPr>
      <w:szCs w:val="21"/>
    </w:rPr>
  </w:style>
  <w:style w:type="paragraph" w:styleId="734">
    <w:name w:val="Date"/>
    <w:basedOn w:val="704"/>
    <w:next w:val="704"/>
    <w:link w:val="993"/>
    <w:rPr>
      <w:sz w:val="24"/>
    </w:rPr>
  </w:style>
  <w:style w:type="paragraph" w:styleId="735">
    <w:name w:val="Body Text Indent 2"/>
    <w:basedOn w:val="704"/>
    <w:link w:val="994"/>
    <w:pPr>
      <w:ind w:left="630" w:firstLine="645"/>
    </w:pPr>
    <w:rPr>
      <w:rFonts w:ascii="Arial" w:hAnsi="Arial" w:eastAsia="仿宋_GB2312" w:cs="Arial"/>
      <w:sz w:val="32"/>
      <w:szCs w:val="32"/>
    </w:rPr>
  </w:style>
  <w:style w:type="paragraph" w:styleId="736">
    <w:name w:val="endnote text"/>
    <w:basedOn w:val="704"/>
    <w:link w:val="935"/>
    <w:uiPriority w:val="99"/>
    <w:semiHidden/>
    <w:unhideWhenUsed/>
    <w:rPr>
      <w:sz w:val="20"/>
    </w:rPr>
  </w:style>
  <w:style w:type="paragraph" w:styleId="737">
    <w:name w:val="Balloon Text"/>
    <w:basedOn w:val="704"/>
    <w:link w:val="995"/>
    <w:semiHidden/>
    <w:rPr>
      <w:sz w:val="18"/>
      <w:szCs w:val="18"/>
    </w:rPr>
  </w:style>
  <w:style w:type="paragraph" w:styleId="738">
    <w:name w:val="Footer"/>
    <w:basedOn w:val="704"/>
    <w:link w:val="958"/>
    <w:uiPriority w:val="99"/>
    <w:unhideWhenUsed/>
    <w:qFormat/>
    <w:pPr>
      <w:jc w:val="left"/>
      <w:tabs>
        <w:tab w:val="center" w:pos="4153" w:leader="none"/>
        <w:tab w:val="right" w:pos="8306" w:leader="none"/>
      </w:tabs>
    </w:pPr>
    <w:rPr>
      <w:sz w:val="18"/>
      <w:szCs w:val="18"/>
    </w:rPr>
  </w:style>
  <w:style w:type="paragraph" w:styleId="739">
    <w:name w:val="Header"/>
    <w:basedOn w:val="704"/>
    <w:link w:val="9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4"/>
    <w:next w:val="704"/>
    <w:semiHidden/>
    <w:pPr>
      <w:jc w:val="left"/>
      <w:spacing w:before="120" w:after="120" w:line="400" w:lineRule="exact"/>
      <w:tabs>
        <w:tab w:val="right" w:pos="8720" w:leader="dot"/>
      </w:tabs>
    </w:pPr>
    <w:rPr>
      <w:rFonts w:ascii="宋体" w:hAnsi="宋体"/>
      <w:caps/>
      <w:sz w:val="24"/>
    </w:rPr>
  </w:style>
  <w:style w:type="paragraph" w:styleId="741">
    <w:name w:val="toc 4"/>
    <w:basedOn w:val="704"/>
    <w:next w:val="704"/>
    <w:semiHidden/>
    <w:pPr>
      <w:ind w:left="630"/>
      <w:jc w:val="left"/>
    </w:pPr>
    <w:rPr>
      <w:szCs w:val="21"/>
    </w:rPr>
  </w:style>
  <w:style w:type="paragraph" w:styleId="742">
    <w:name w:val="Subtitle"/>
    <w:basedOn w:val="704"/>
    <w:next w:val="704"/>
    <w:link w:val="801"/>
    <w:uiPriority w:val="11"/>
    <w:qFormat/>
    <w:pPr>
      <w:spacing w:before="200" w:after="200"/>
    </w:pPr>
    <w:rPr>
      <w:sz w:val="24"/>
    </w:rPr>
  </w:style>
  <w:style w:type="paragraph" w:styleId="743">
    <w:name w:val="List"/>
    <w:basedOn w:val="704"/>
    <w:qFormat/>
    <w:pPr>
      <w:ind w:left="200" w:hanging="200"/>
    </w:pPr>
    <w:rPr>
      <w:szCs w:val="21"/>
    </w:rPr>
  </w:style>
  <w:style w:type="paragraph" w:styleId="744">
    <w:name w:val="footnote text"/>
    <w:basedOn w:val="704"/>
    <w:link w:val="934"/>
    <w:uiPriority w:val="99"/>
    <w:semiHidden/>
    <w:unhideWhenUsed/>
    <w:pPr>
      <w:spacing w:after="40"/>
    </w:pPr>
    <w:rPr>
      <w:sz w:val="18"/>
    </w:rPr>
  </w:style>
  <w:style w:type="paragraph" w:styleId="745">
    <w:name w:val="toc 6"/>
    <w:basedOn w:val="704"/>
    <w:next w:val="704"/>
    <w:semiHidden/>
    <w:pPr>
      <w:ind w:left="1050"/>
      <w:jc w:val="left"/>
    </w:pPr>
    <w:rPr>
      <w:szCs w:val="21"/>
    </w:rPr>
  </w:style>
  <w:style w:type="paragraph" w:styleId="746">
    <w:name w:val="Body Text Indent 3"/>
    <w:basedOn w:val="704"/>
    <w:link w:val="996"/>
    <w:pPr>
      <w:ind w:left="645" w:firstLine="645"/>
    </w:pPr>
    <w:rPr>
      <w:rFonts w:ascii="Arial" w:hAnsi="Arial" w:eastAsia="仿宋_GB2312" w:cs="Arial"/>
      <w:color w:val="ffff00"/>
      <w:sz w:val="32"/>
      <w:szCs w:val="32"/>
    </w:rPr>
  </w:style>
  <w:style w:type="paragraph" w:styleId="747">
    <w:name w:val="table of figures"/>
    <w:basedOn w:val="704"/>
    <w:next w:val="704"/>
    <w:semiHidden/>
    <w:pPr>
      <w:ind w:left="840" w:hanging="420"/>
    </w:pPr>
    <w:rPr>
      <w:szCs w:val="21"/>
    </w:rPr>
  </w:style>
  <w:style w:type="paragraph" w:styleId="748">
    <w:name w:val="toc 2"/>
    <w:basedOn w:val="704"/>
    <w:next w:val="704"/>
    <w:semiHidden/>
    <w:pPr>
      <w:ind w:left="210"/>
      <w:jc w:val="left"/>
    </w:pPr>
    <w:rPr>
      <w:smallCaps/>
    </w:rPr>
  </w:style>
  <w:style w:type="paragraph" w:styleId="749">
    <w:name w:val="toc 9"/>
    <w:basedOn w:val="704"/>
    <w:next w:val="704"/>
    <w:semiHidden/>
    <w:pPr>
      <w:ind w:left="1680"/>
      <w:jc w:val="left"/>
    </w:pPr>
    <w:rPr>
      <w:szCs w:val="21"/>
    </w:rPr>
  </w:style>
  <w:style w:type="paragraph" w:styleId="750">
    <w:name w:val="Body Text 2"/>
    <w:basedOn w:val="704"/>
    <w:link w:val="997"/>
    <w:pPr>
      <w:jc w:val="center"/>
      <w:widowControl/>
    </w:pPr>
    <w:rPr>
      <w:rFonts w:ascii="楷体_GB2312" w:eastAsia="楷体_GB2312"/>
      <w:sz w:val="28"/>
      <w:szCs w:val="28"/>
    </w:rPr>
  </w:style>
  <w:style w:type="paragraph" w:styleId="751">
    <w:name w:val="Normal (Web)"/>
    <w:basedOn w:val="704"/>
    <w:uiPriority w:val="99"/>
    <w:qFormat/>
    <w:pPr>
      <w:jc w:val="left"/>
      <w:spacing w:before="100" w:beforeAutospacing="1" w:after="100" w:afterAutospacing="1"/>
      <w:widowControl/>
    </w:pPr>
    <w:rPr>
      <w:rFonts w:ascii="宋体" w:hAnsi="宋体" w:cs="宋体"/>
      <w:sz w:val="24"/>
    </w:rPr>
  </w:style>
  <w:style w:type="paragraph" w:styleId="752">
    <w:name w:val="index 1"/>
    <w:basedOn w:val="704"/>
    <w:next w:val="704"/>
    <w:semiHidden/>
    <w:pPr>
      <w:spacing w:line="240" w:lineRule="atLeast"/>
    </w:pPr>
    <w:rPr>
      <w:b/>
      <w:bCs/>
      <w:szCs w:val="21"/>
    </w:rPr>
  </w:style>
  <w:style w:type="paragraph" w:styleId="753">
    <w:name w:val="Title"/>
    <w:basedOn w:val="704"/>
    <w:next w:val="704"/>
    <w:link w:val="800"/>
    <w:uiPriority w:val="10"/>
    <w:qFormat/>
    <w:pPr>
      <w:jc w:val="center"/>
      <w:spacing w:before="240" w:after="60"/>
      <w:outlineLvl w:val="0"/>
    </w:pPr>
    <w:rPr>
      <w:rFonts w:ascii="等线 Light" w:hAnsi="等线 Light" w:eastAsia="等线 Light"/>
      <w:b/>
      <w:bCs/>
      <w:sz w:val="32"/>
      <w:szCs w:val="32"/>
    </w:rPr>
  </w:style>
  <w:style w:type="paragraph" w:styleId="754">
    <w:name w:val="annotation subject"/>
    <w:basedOn w:val="723"/>
    <w:next w:val="723"/>
    <w:link w:val="999"/>
    <w:semiHidden/>
    <w:rPr>
      <w:b/>
      <w:bCs/>
      <w:szCs w:val="21"/>
    </w:rPr>
  </w:style>
  <w:style w:type="paragraph" w:styleId="755">
    <w:name w:val="Body Text First Indent"/>
    <w:basedOn w:val="704"/>
    <w:link w:val="1001"/>
    <w:pPr>
      <w:ind w:firstLine="200"/>
      <w:spacing w:line="360" w:lineRule="auto"/>
    </w:pPr>
    <w:rPr>
      <w:rFonts w:ascii="仿宋_GB2312" w:eastAsia="仿宋_GB2312"/>
      <w:sz w:val="30"/>
      <w:szCs w:val="30"/>
    </w:rPr>
  </w:style>
  <w:style w:type="paragraph" w:styleId="756">
    <w:name w:val="Body Text First Indent 2"/>
    <w:basedOn w:val="726"/>
    <w:next w:val="704"/>
    <w:link w:val="1002"/>
    <w:qFormat/>
    <w:pPr>
      <w:ind w:left="0" w:firstLine="420"/>
      <w:spacing w:after="0" w:line="360" w:lineRule="auto"/>
    </w:pPr>
    <w:rPr>
      <w:rFonts w:ascii="宋体" w:hAnsi="宋体"/>
      <w:szCs w:val="20"/>
    </w:rPr>
  </w:style>
  <w:style w:type="table" w:styleId="757">
    <w:name w:val="Table Grid"/>
    <w:basedOn w:val="7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qFormat/>
    <w:rPr>
      <w:b/>
      <w:bCs/>
    </w:rPr>
  </w:style>
  <w:style w:type="character" w:styleId="759">
    <w:name w:val="endnote reference"/>
    <w:basedOn w:val="714"/>
    <w:uiPriority w:val="99"/>
    <w:semiHidden/>
    <w:unhideWhenUsed/>
    <w:rPr>
      <w:vertAlign w:val="superscript"/>
    </w:rPr>
  </w:style>
  <w:style w:type="character" w:styleId="760">
    <w:name w:val="page number"/>
  </w:style>
  <w:style w:type="character" w:styleId="761">
    <w:name w:val="FollowedHyperlink"/>
    <w:uiPriority w:val="99"/>
    <w:rPr>
      <w:color w:val="800080"/>
      <w:u w:val="single"/>
    </w:rPr>
  </w:style>
  <w:style w:type="character" w:styleId="762">
    <w:name w:val="Hyperlink"/>
    <w:uiPriority w:val="99"/>
    <w:qFormat/>
    <w:rPr>
      <w:color w:val="0000ff"/>
      <w:u w:val="single"/>
    </w:rPr>
  </w:style>
  <w:style w:type="character" w:styleId="763">
    <w:name w:val="annotation reference"/>
    <w:semiHidden/>
    <w:rPr>
      <w:sz w:val="21"/>
      <w:szCs w:val="21"/>
    </w:rPr>
  </w:style>
  <w:style w:type="character" w:styleId="764">
    <w:name w:val="footnote reference"/>
    <w:basedOn w:val="714"/>
    <w:uiPriority w:val="99"/>
    <w:unhideWhenUsed/>
    <w:rPr>
      <w:vertAlign w:val="superscript"/>
    </w:rPr>
  </w:style>
  <w:style w:type="character" w:styleId="765" w:customStyle="1">
    <w:name w:val="Title Char"/>
    <w:basedOn w:val="714"/>
    <w:uiPriority w:val="10"/>
    <w:rPr>
      <w:sz w:val="48"/>
      <w:szCs w:val="48"/>
    </w:rPr>
  </w:style>
  <w:style w:type="character" w:styleId="766" w:customStyle="1">
    <w:name w:val="Subtitle Char"/>
    <w:basedOn w:val="714"/>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table" w:styleId="769" w:customStyle="1">
    <w:name w:val="无格式表格 1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1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1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0" w:customStyle="1">
    <w:name w:val="网格表 7 彩色1"/>
    <w:basedOn w:val="71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1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1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3" w:customStyle="1">
    <w:name w:val="清单表 3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1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6" w:customStyle="1">
    <w:name w:val="清单表 6 彩色1"/>
    <w:basedOn w:val="71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7" w:customStyle="1">
    <w:name w:val="清单表 7 彩色1"/>
    <w:basedOn w:val="71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rPr>
      <w:sz w:val="18"/>
    </w:rPr>
  </w:style>
  <w:style w:type="character" w:styleId="789" w:customStyle="1">
    <w:name w:val="Endnote Text Char"/>
    <w:uiPriority w:val="99"/>
    <w:rPr>
      <w:sz w:val="20"/>
    </w:rPr>
  </w:style>
  <w:style w:type="paragraph" w:styleId="790" w:customStyle="1">
    <w:name w:val="TOC 标题1"/>
    <w:uiPriority w:val="39"/>
    <w:unhideWhenUsed/>
  </w:style>
  <w:style w:type="character" w:styleId="791" w:customStyle="1">
    <w:name w:val="Heading 1 Char"/>
    <w:basedOn w:val="714"/>
    <w:uiPriority w:val="9"/>
    <w:rPr>
      <w:rFonts w:ascii="Arial" w:hAnsi="Arial" w:eastAsia="Arial" w:cs="Arial"/>
      <w:sz w:val="40"/>
      <w:szCs w:val="40"/>
    </w:rPr>
  </w:style>
  <w:style w:type="character" w:styleId="792" w:customStyle="1">
    <w:name w:val="Heading 2 Char"/>
    <w:basedOn w:val="714"/>
    <w:uiPriority w:val="9"/>
    <w:rPr>
      <w:rFonts w:ascii="Arial" w:hAnsi="Arial" w:eastAsia="Arial" w:cs="Arial"/>
      <w:sz w:val="34"/>
    </w:rPr>
  </w:style>
  <w:style w:type="character" w:styleId="793" w:customStyle="1">
    <w:name w:val="Heading 3 Char"/>
    <w:basedOn w:val="714"/>
    <w:uiPriority w:val="9"/>
    <w:rPr>
      <w:rFonts w:ascii="Arial" w:hAnsi="Arial" w:eastAsia="Arial" w:cs="Arial"/>
      <w:sz w:val="30"/>
      <w:szCs w:val="30"/>
    </w:rPr>
  </w:style>
  <w:style w:type="character" w:styleId="794" w:customStyle="1">
    <w:name w:val="Heading 4 Char"/>
    <w:basedOn w:val="714"/>
    <w:uiPriority w:val="9"/>
    <w:rPr>
      <w:rFonts w:ascii="Arial" w:hAnsi="Arial" w:eastAsia="Arial" w:cs="Arial"/>
      <w:b/>
      <w:bCs/>
      <w:sz w:val="26"/>
      <w:szCs w:val="26"/>
    </w:rPr>
  </w:style>
  <w:style w:type="character" w:styleId="795" w:customStyle="1">
    <w:name w:val="Heading 5 Char"/>
    <w:basedOn w:val="714"/>
    <w:uiPriority w:val="9"/>
    <w:rPr>
      <w:rFonts w:ascii="Arial" w:hAnsi="Arial" w:eastAsia="Arial" w:cs="Arial"/>
      <w:b/>
      <w:bCs/>
      <w:sz w:val="24"/>
      <w:szCs w:val="24"/>
    </w:rPr>
  </w:style>
  <w:style w:type="character" w:styleId="796" w:customStyle="1">
    <w:name w:val="Heading 6 Char"/>
    <w:basedOn w:val="714"/>
    <w:uiPriority w:val="9"/>
    <w:rPr>
      <w:rFonts w:ascii="Arial" w:hAnsi="Arial" w:eastAsia="Arial" w:cs="Arial"/>
      <w:b/>
      <w:bCs/>
      <w:sz w:val="22"/>
      <w:szCs w:val="22"/>
    </w:rPr>
  </w:style>
  <w:style w:type="character" w:styleId="797" w:customStyle="1">
    <w:name w:val="Heading 7 Char"/>
    <w:basedOn w:val="714"/>
    <w:uiPriority w:val="9"/>
    <w:rPr>
      <w:rFonts w:ascii="Arial" w:hAnsi="Arial" w:eastAsia="Arial" w:cs="Arial"/>
      <w:b/>
      <w:bCs/>
      <w:i/>
      <w:iCs/>
      <w:sz w:val="22"/>
      <w:szCs w:val="22"/>
    </w:rPr>
  </w:style>
  <w:style w:type="character" w:styleId="798" w:customStyle="1">
    <w:name w:val="Heading 8 Char"/>
    <w:basedOn w:val="714"/>
    <w:uiPriority w:val="9"/>
    <w:rPr>
      <w:rFonts w:ascii="Arial" w:hAnsi="Arial" w:eastAsia="Arial" w:cs="Arial"/>
      <w:i/>
      <w:iCs/>
      <w:sz w:val="22"/>
      <w:szCs w:val="22"/>
    </w:rPr>
  </w:style>
  <w:style w:type="character" w:styleId="799" w:customStyle="1">
    <w:name w:val="Heading 9 Char"/>
    <w:basedOn w:val="714"/>
    <w:uiPriority w:val="9"/>
    <w:rPr>
      <w:rFonts w:ascii="Arial" w:hAnsi="Arial" w:eastAsia="Arial" w:cs="Arial"/>
      <w:i/>
      <w:iCs/>
      <w:sz w:val="21"/>
      <w:szCs w:val="21"/>
    </w:rPr>
  </w:style>
  <w:style w:type="character" w:styleId="800" w:customStyle="1">
    <w:name w:val="标题 字符"/>
    <w:basedOn w:val="714"/>
    <w:link w:val="753"/>
    <w:uiPriority w:val="10"/>
    <w:qFormat/>
    <w:rPr>
      <w:sz w:val="48"/>
      <w:szCs w:val="48"/>
    </w:rPr>
  </w:style>
  <w:style w:type="character" w:styleId="801" w:customStyle="1">
    <w:name w:val="副标题 字符"/>
    <w:basedOn w:val="714"/>
    <w:link w:val="742"/>
    <w:uiPriority w:val="11"/>
    <w:qFormat/>
    <w:rPr>
      <w:sz w:val="24"/>
      <w:szCs w:val="24"/>
    </w:rPr>
  </w:style>
  <w:style w:type="paragraph" w:styleId="802">
    <w:name w:val="Quote"/>
    <w:basedOn w:val="704"/>
    <w:next w:val="704"/>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04"/>
    <w:next w:val="704"/>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
    <w:basedOn w:val="714"/>
    <w:uiPriority w:val="99"/>
    <w:qFormat/>
  </w:style>
  <w:style w:type="character" w:styleId="807" w:customStyle="1">
    <w:name w:val="Footer Char"/>
    <w:basedOn w:val="714"/>
    <w:uiPriority w:val="99"/>
  </w:style>
  <w:style w:type="character" w:styleId="808" w:customStyle="1">
    <w:name w:val="Caption Char"/>
    <w:uiPriority w:val="99"/>
  </w:style>
  <w:style w:type="table" w:styleId="809" w:customStyle="1">
    <w:name w:val="Table Grid Light"/>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0" w:customStyle="1">
    <w:name w:val="无格式表格 1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1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1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1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1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1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1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1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1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basedOn w:val="71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1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1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1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1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1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basedOn w:val="71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basedOn w:val="71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basedOn w:val="71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1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1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basedOn w:val="71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Grid Table 6 Colorful - Accent 1"/>
    <w:basedOn w:val="7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2" w:customStyle="1">
    <w:name w:val="Grid Table 6 Colorful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3" w:customStyle="1">
    <w:name w:val="Grid Table 6 Colorful - Accent 3"/>
    <w:basedOn w:val="71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4"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5" w:customStyle="1">
    <w:name w:val="Grid Table 6 Colorful - Accent 5"/>
    <w:basedOn w:val="71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网格表 7 彩色1"/>
    <w:basedOn w:val="71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1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1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1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basedOn w:val="71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basedOn w:val="71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1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basedOn w:val="71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1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1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1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1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1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1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1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1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1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1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1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1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1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1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1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basedOn w:val="71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basedOn w:val="71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basedOn w:val="71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basedOn w:val="71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basedOn w:val="71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basedOn w:val="71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basedOn w:val="71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basedOn w:val="71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basedOn w:val="71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basedOn w:val="71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basedOn w:val="71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basedOn w:val="71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basedOn w:val="71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basedOn w:val="71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basedOn w:val="71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1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1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1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1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1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1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1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basedOn w:val="715"/>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basedOn w:val="715"/>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basedOn w:val="71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basedOn w:val="71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1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1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1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basedOn w:val="71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1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1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44"/>
    <w:uiPriority w:val="99"/>
    <w:rPr>
      <w:sz w:val="18"/>
    </w:rPr>
  </w:style>
  <w:style w:type="character" w:styleId="935" w:customStyle="1">
    <w:name w:val="尾注文本 字符"/>
    <w:link w:val="736"/>
    <w:uiPriority w:val="99"/>
    <w:rPr>
      <w:sz w:val="20"/>
    </w:rPr>
  </w:style>
  <w:style w:type="paragraph" w:styleId="936" w:customStyle="1">
    <w:name w:val="TOC 标题1"/>
    <w:uiPriority w:val="39"/>
    <w:unhideWhenUsed/>
  </w:style>
  <w:style w:type="paragraph" w:styleId="937" w:customStyle="1">
    <w:name w:val="索引 41"/>
    <w:basedOn w:val="704"/>
    <w:next w:val="704"/>
    <w:semiHidden/>
    <w:qFormat/>
    <w:pPr>
      <w:ind w:left="1260"/>
    </w:pPr>
    <w:rPr>
      <w:rFonts w:ascii="Calibri" w:hAnsi="Calibri" w:eastAsia="Calibri" w:cs="宋体"/>
      <w:sz w:val="20"/>
      <w:lang w:val="zh-CN"/>
    </w:rPr>
  </w:style>
  <w:style w:type="paragraph" w:styleId="938" w:customStyle="1">
    <w:name w:val="一级条标题"/>
    <w:basedOn w:val="939"/>
    <w:next w:val="9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basedOn w:val="704"/>
    <w:next w:val="704"/>
    <w:qFormat/>
    <w:pPr>
      <w:jc w:val="center"/>
      <w:spacing w:before="158" w:after="153" w:line="1292" w:lineRule="atLeast"/>
      <w:widowControl/>
    </w:pPr>
    <w:rPr>
      <w:rFonts w:ascii="Arial" w:hAnsi="Calibri" w:eastAsia="黑体" w:cs="黑体"/>
      <w:sz w:val="31"/>
      <w:szCs w:val="22"/>
      <w:lang w:eastAsia="en-US" w:bidi="en-US"/>
    </w:rPr>
  </w:style>
  <w:style w:type="paragraph" w:styleId="940" w:customStyle="1">
    <w:name w:val="段"/>
    <w:basedOn w:val="704"/>
    <w:next w:val="704"/>
    <w:qFormat/>
    <w:pPr>
      <w:ind w:firstLine="200"/>
      <w:widowControl/>
    </w:pPr>
    <w:rPr>
      <w:rFonts w:hint="eastAsia" w:ascii="宋体"/>
      <w:szCs w:val="20"/>
    </w:rPr>
  </w:style>
  <w:style w:type="paragraph" w:styleId="941" w:customStyle="1">
    <w:name w:val="正文1"/>
    <w:basedOn w:val="704"/>
    <w:next w:val="704"/>
    <w:qFormat/>
    <w:pPr>
      <w:ind w:firstLine="510"/>
      <w:spacing w:before="156" w:line="360" w:lineRule="auto"/>
    </w:pPr>
    <w:rPr>
      <w:sz w:val="24"/>
      <w:szCs w:val="20"/>
    </w:rPr>
  </w:style>
  <w:style w:type="paragraph" w:styleId="942" w:customStyle="1">
    <w:name w:val="首行缩进"/>
    <w:basedOn w:val="704"/>
    <w:qFormat/>
    <w:pPr>
      <w:ind w:firstLine="200"/>
      <w:jc w:val="left"/>
      <w:spacing w:line="360" w:lineRule="auto"/>
    </w:pPr>
    <w:rPr>
      <w:rFonts w:ascii="宋体"/>
      <w:sz w:val="24"/>
    </w:rPr>
  </w:style>
  <w:style w:type="character" w:styleId="943" w:customStyle="1">
    <w:name w:val="纯文本 字符"/>
    <w:basedOn w:val="714"/>
    <w:link w:val="732"/>
    <w:qFormat/>
    <w:rPr>
      <w:rFonts w:ascii="宋体" w:hAnsi="Courier New" w:eastAsia="宋体" w:cs="Times New Roman"/>
      <w:szCs w:val="21"/>
    </w:rPr>
  </w:style>
  <w:style w:type="paragraph" w:styleId="944" w:customStyle="1">
    <w:name w:val="[Normal]"/>
    <w:qFormat/>
    <w:rPr>
      <w:rFonts w:ascii="宋体" w:hAnsi="宋体"/>
      <w:sz w:val="24"/>
      <w:szCs w:val="22"/>
      <w:lang w:val="zh-CN"/>
    </w:rPr>
  </w:style>
  <w:style w:type="character" w:styleId="945" w:customStyle="1">
    <w:name w:val="1级标题 Char"/>
    <w:link w:val="946"/>
    <w:qFormat/>
    <w:rPr>
      <w:rFonts w:ascii="Calibri" w:hAnsi="Calibri" w:eastAsia="黑体"/>
      <w:color w:val="000000"/>
      <w:sz w:val="32"/>
      <w:lang w:val="en-US" w:eastAsia="zh-CN"/>
    </w:rPr>
  </w:style>
  <w:style w:type="paragraph" w:styleId="946" w:customStyle="1">
    <w:name w:val="1级标题"/>
    <w:basedOn w:val="704"/>
    <w:link w:val="945"/>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47" w:customStyle="1">
    <w:name w:val="22 C"/>
    <w:qFormat/>
    <w:rPr>
      <w:rFonts w:ascii="Arial" w:hAnsi="Arial" w:eastAsia="黑体"/>
      <w:b/>
      <w:color w:val="000000"/>
      <w:sz w:val="30"/>
      <w:lang w:val="en-US" w:eastAsia="zh-CN"/>
    </w:rPr>
  </w:style>
  <w:style w:type="paragraph" w:styleId="948">
    <w:name w:val="List Paragraph"/>
    <w:basedOn w:val="704"/>
    <w:uiPriority w:val="34"/>
    <w:qFormat/>
    <w:pPr>
      <w:ind w:firstLine="420"/>
    </w:pPr>
  </w:style>
  <w:style w:type="paragraph" w:styleId="949" w:customStyle="1">
    <w:name w:val="正文 A"/>
    <w:next w:val="950"/>
    <w:qFormat/>
    <w:pPr>
      <w:jc w:val="both"/>
      <w:widowControl w:val="off"/>
      <w:framePr w:wrap="around" w:hAnchor="text" w:yAlign="top"/>
    </w:pPr>
    <w:rPr>
      <w:rFonts w:eastAsia="Arial Unicode MS" w:cs="Arial Unicode MS"/>
      <w:color w:val="000000"/>
      <w:sz w:val="21"/>
      <w:szCs w:val="21"/>
    </w:rPr>
  </w:style>
  <w:style w:type="paragraph" w:styleId="950"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51" w:customStyle="1">
    <w:name w:val="style4"/>
    <w:qFormat/>
  </w:style>
  <w:style w:type="character" w:styleId="952" w:customStyle="1">
    <w:name w:val="标题 2 字符"/>
    <w:basedOn w:val="714"/>
    <w:link w:val="706"/>
    <w:uiPriority w:val="9"/>
    <w:qFormat/>
    <w:rPr>
      <w:rFonts w:ascii="宋体" w:hAnsi="宋体" w:eastAsia="宋体" w:cs="Times New Roman"/>
      <w:b/>
      <w:szCs w:val="24"/>
    </w:rPr>
  </w:style>
  <w:style w:type="character" w:styleId="953" w:customStyle="1">
    <w:name w:val="列出段落 Char"/>
    <w:link w:val="954"/>
    <w:qFormat/>
    <w:rPr>
      <w:rFonts w:ascii="Arial" w:hAnsi="Arial" w:eastAsia="黑体"/>
      <w:sz w:val="24"/>
      <w:szCs w:val="24"/>
      <w:lang w:eastAsia="en-US"/>
    </w:rPr>
  </w:style>
  <w:style w:type="paragraph" w:styleId="954" w:customStyle="1">
    <w:name w:val="列出段落1"/>
    <w:basedOn w:val="704"/>
    <w:link w:val="953"/>
    <w:qFormat/>
    <w:pPr>
      <w:contextualSpacing/>
      <w:ind w:left="720"/>
      <w:jc w:val="left"/>
      <w:widowControl/>
    </w:pPr>
    <w:rPr>
      <w:rFonts w:ascii="Arial" w:hAnsi="Arial" w:eastAsia="黑体" w:cstheme="minorBidi"/>
      <w:sz w:val="24"/>
      <w:lang w:eastAsia="en-US"/>
    </w:rPr>
  </w:style>
  <w:style w:type="paragraph" w:styleId="955" w:customStyle="1">
    <w:name w:val="列出段落2"/>
    <w:basedOn w:val="704"/>
    <w:uiPriority w:val="34"/>
    <w:qFormat/>
    <w:pPr>
      <w:ind w:firstLine="420"/>
    </w:pPr>
  </w:style>
  <w:style w:type="paragraph" w:styleId="956" w:customStyle="1">
    <w:name w:val="xl36"/>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57" w:customStyle="1">
    <w:name w:val="页眉 字符"/>
    <w:basedOn w:val="714"/>
    <w:link w:val="739"/>
    <w:uiPriority w:val="99"/>
    <w:qFormat/>
    <w:rPr>
      <w:rFonts w:ascii="Times New Roman" w:hAnsi="Times New Roman" w:eastAsia="宋体" w:cs="Times New Roman"/>
      <w:sz w:val="18"/>
      <w:szCs w:val="18"/>
    </w:rPr>
  </w:style>
  <w:style w:type="character" w:styleId="958" w:customStyle="1">
    <w:name w:val="页脚 字符"/>
    <w:basedOn w:val="714"/>
    <w:link w:val="738"/>
    <w:uiPriority w:val="99"/>
    <w:qFormat/>
    <w:rPr>
      <w:rFonts w:ascii="Times New Roman" w:hAnsi="Times New Roman" w:eastAsia="宋体" w:cs="Times New Roman"/>
      <w:sz w:val="18"/>
      <w:szCs w:val="18"/>
    </w:rPr>
  </w:style>
  <w:style w:type="character" w:styleId="959" w:customStyle="1">
    <w:name w:val="文档结构图 字符"/>
    <w:basedOn w:val="714"/>
    <w:link w:val="722"/>
    <w:semiHidden/>
    <w:qFormat/>
    <w:rPr>
      <w:rFonts w:ascii="宋体" w:hAnsi="Times New Roman" w:eastAsia="宋体" w:cs="Times New Roman"/>
      <w:sz w:val="18"/>
      <w:szCs w:val="18"/>
    </w:rPr>
  </w:style>
  <w:style w:type="paragraph" w:styleId="960" w:customStyle="1">
    <w:name w:val="标题（小）"/>
    <w:basedOn w:val="704"/>
    <w:qFormat/>
    <w:pPr>
      <w:ind w:firstLine="402"/>
      <w:jc w:val="left"/>
      <w:spacing w:line="460" w:lineRule="exact"/>
      <w:outlineLvl w:val="1"/>
    </w:pPr>
    <w:rPr>
      <w:rFonts w:ascii="宋体" w:hAnsi="宋体" w:cs="宋体"/>
      <w:b/>
      <w:bCs/>
      <w:sz w:val="20"/>
      <w:szCs w:val="20"/>
    </w:rPr>
  </w:style>
  <w:style w:type="paragraph" w:styleId="961" w:customStyle="1">
    <w:name w:val="正文首行缩进 21"/>
    <w:basedOn w:val="962"/>
    <w:unhideWhenUsed/>
    <w:qFormat/>
    <w:pPr>
      <w:ind w:firstLine="420"/>
    </w:pPr>
  </w:style>
  <w:style w:type="paragraph" w:styleId="962" w:customStyle="1">
    <w:name w:val="正文文本缩进1"/>
    <w:basedOn w:val="704"/>
    <w:next w:val="961"/>
    <w:qFormat/>
    <w:pPr>
      <w:ind w:firstLine="645"/>
    </w:pPr>
    <w:rPr>
      <w:sz w:val="20"/>
    </w:rPr>
  </w:style>
  <w:style w:type="character" w:styleId="963" w:customStyle="1">
    <w:name w:val="NormalCharacter"/>
    <w:semiHidden/>
    <w:qFormat/>
  </w:style>
  <w:style w:type="character" w:styleId="964" w:customStyle="1">
    <w:name w:val="无"/>
    <w:qFormat/>
  </w:style>
  <w:style w:type="character" w:styleId="965" w:customStyle="1">
    <w:name w:val="font101"/>
    <w:basedOn w:val="714"/>
    <w:qFormat/>
    <w:rPr>
      <w:rFonts w:hint="eastAsia" w:ascii="宋体" w:hAnsi="宋体" w:eastAsia="宋体" w:cs="宋体"/>
      <w:color w:val="000000"/>
      <w:sz w:val="20"/>
      <w:szCs w:val="20"/>
      <w:u w:val="none"/>
    </w:rPr>
  </w:style>
  <w:style w:type="character" w:styleId="966" w:customStyle="1">
    <w:name w:val="font251"/>
    <w:basedOn w:val="714"/>
    <w:qFormat/>
    <w:rPr>
      <w:rFonts w:ascii="Arial Unicode MS" w:hAnsi="Arial Unicode MS" w:eastAsia="Arial Unicode MS" w:cs="Arial Unicode MS"/>
      <w:color w:val="000000"/>
      <w:sz w:val="20"/>
      <w:szCs w:val="20"/>
      <w:u w:val="none"/>
    </w:rPr>
  </w:style>
  <w:style w:type="character" w:styleId="967" w:customStyle="1">
    <w:name w:val="font22"/>
    <w:basedOn w:val="714"/>
    <w:qFormat/>
    <w:rPr>
      <w:rFonts w:hint="eastAsia" w:ascii="宋体" w:hAnsi="宋体" w:eastAsia="宋体" w:cs="宋体"/>
      <w:color w:val="000000"/>
      <w:sz w:val="20"/>
      <w:szCs w:val="20"/>
      <w:u w:val="none"/>
    </w:rPr>
  </w:style>
  <w:style w:type="character" w:styleId="968" w:customStyle="1">
    <w:name w:val="font261"/>
    <w:basedOn w:val="714"/>
    <w:qFormat/>
    <w:rPr>
      <w:rFonts w:hint="eastAsia" w:ascii="Arial Unicode MS" w:hAnsi="Arial Unicode MS" w:eastAsia="Arial Unicode MS" w:cs="Arial Unicode MS"/>
      <w:color w:val="000000"/>
      <w:sz w:val="20"/>
      <w:szCs w:val="20"/>
      <w:u w:val="none"/>
    </w:rPr>
  </w:style>
  <w:style w:type="paragraph" w:styleId="969" w:customStyle="1">
    <w:name w:val="正文缩进111"/>
    <w:basedOn w:val="704"/>
    <w:qFormat/>
    <w:pPr>
      <w:ind w:firstLine="420"/>
    </w:pPr>
  </w:style>
  <w:style w:type="paragraph" w:styleId="970" w:customStyle="1">
    <w:name w:val="标题 211"/>
    <w:basedOn w:val="704"/>
    <w:next w:val="704"/>
    <w:qFormat/>
    <w:pPr>
      <w:jc w:val="left"/>
      <w:keepLines/>
      <w:keepNext/>
      <w:spacing w:before="120" w:after="120"/>
      <w:outlineLvl w:val="1"/>
    </w:pPr>
    <w:rPr>
      <w:rFonts w:ascii="宋体" w:hAnsi="宋体"/>
      <w:b/>
    </w:rPr>
  </w:style>
  <w:style w:type="paragraph" w:styleId="971" w:customStyle="1">
    <w:name w:val="普通正文"/>
    <w:basedOn w:val="704"/>
    <w:qFormat/>
    <w:pPr>
      <w:ind w:firstLine="480"/>
      <w:jc w:val="left"/>
      <w:spacing w:before="120" w:after="120" w:line="360" w:lineRule="auto"/>
    </w:pPr>
    <w:rPr>
      <w:rFonts w:ascii="Arial" w:hAnsi="Arial"/>
      <w:sz w:val="24"/>
    </w:rPr>
  </w:style>
  <w:style w:type="paragraph" w:styleId="972" w:customStyle="1">
    <w:name w:val="Char"/>
    <w:basedOn w:val="704"/>
    <w:qFormat/>
    <w:pPr>
      <w:ind w:firstLine="200"/>
      <w:tabs>
        <w:tab w:val="left" w:pos="360" w:leader="none"/>
      </w:tabs>
    </w:pPr>
    <w:rPr>
      <w:sz w:val="28"/>
      <w:szCs w:val="30"/>
    </w:rPr>
  </w:style>
  <w:style w:type="paragraph" w:styleId="973" w:customStyle="1">
    <w:name w:val="普通(网站)111"/>
    <w:basedOn w:val="704"/>
    <w:qFormat/>
    <w:pPr>
      <w:jc w:val="left"/>
      <w:spacing w:before="100" w:beforeAutospacing="1" w:after="100" w:afterAutospacing="1"/>
      <w:widowControl/>
    </w:pPr>
    <w:rPr>
      <w:rFonts w:ascii="Arial" w:hAnsi="Arial" w:eastAsia="Arial Unicode MS"/>
      <w:sz w:val="24"/>
    </w:rPr>
  </w:style>
  <w:style w:type="paragraph" w:styleId="974" w:customStyle="1">
    <w:name w:val="普通(网站)1"/>
    <w:basedOn w:val="704"/>
    <w:uiPriority w:val="99"/>
    <w:qFormat/>
    <w:pPr>
      <w:jc w:val="left"/>
      <w:spacing w:before="100" w:beforeAutospacing="1" w:after="100" w:afterAutospacing="1"/>
      <w:widowControl/>
    </w:pPr>
    <w:rPr>
      <w:rFonts w:ascii="宋体" w:hAnsi="宋体" w:cs="宋体"/>
      <w:sz w:val="24"/>
    </w:rPr>
  </w:style>
  <w:style w:type="character" w:styleId="975" w:customStyle="1">
    <w:name w:val="已访问的超链接1"/>
    <w:qFormat/>
    <w:rPr>
      <w:rFonts w:ascii="Times New Roman" w:hAnsi="Times New Roman" w:eastAsia="宋体" w:cs="Times New Roman"/>
      <w:sz w:val="21"/>
      <w:szCs w:val="24"/>
      <w:lang w:val="en-US" w:eastAsia="zh-CN" w:bidi="ar-SA"/>
    </w:rPr>
  </w:style>
  <w:style w:type="paragraph" w:styleId="976" w:customStyle="1">
    <w:name w:val="标题 41"/>
    <w:basedOn w:val="704"/>
    <w:next w:val="704"/>
    <w:uiPriority w:val="9"/>
    <w:qFormat/>
    <w:pPr>
      <w:keepLines/>
      <w:keepNext/>
      <w:spacing w:before="280" w:after="290" w:line="376" w:lineRule="auto"/>
      <w:outlineLvl w:val="3"/>
    </w:pPr>
    <w:rPr>
      <w:rFonts w:ascii="Arial" w:hAnsi="Arial" w:eastAsia="黑体" w:cs="Arial"/>
      <w:b/>
      <w:bCs/>
      <w:sz w:val="28"/>
      <w:szCs w:val="28"/>
    </w:rPr>
  </w:style>
  <w:style w:type="table" w:styleId="977" w:customStyle="1">
    <w:name w:val="Table Normal"/>
    <w:qFormat/>
    <w:tblPr>
      <w:tblCellMar>
        <w:left w:w="0" w:type="dxa"/>
        <w:top w:w="0" w:type="dxa"/>
        <w:right w:w="0" w:type="dxa"/>
        <w:bottom w:w="0" w:type="dxa"/>
      </w:tblCellMar>
    </w:tblPr>
  </w:style>
  <w:style w:type="paragraph" w:styleId="978" w:customStyle="1">
    <w:name w:val="Table Paragraph"/>
    <w:basedOn w:val="704"/>
    <w:uiPriority w:val="1"/>
    <w:qFormat/>
    <w:pPr>
      <w:jc w:val="left"/>
    </w:pPr>
    <w:rPr>
      <w:rFonts w:ascii="宋体" w:hAnsi="宋体" w:cs="宋体"/>
      <w:sz w:val="22"/>
      <w:szCs w:val="22"/>
      <w:lang w:val="zh-CN" w:bidi="zh-CN"/>
    </w:rPr>
  </w:style>
  <w:style w:type="paragraph" w:styleId="979" w:customStyle="1">
    <w:name w:val="索引 411"/>
    <w:basedOn w:val="704"/>
    <w:next w:val="704"/>
    <w:uiPriority w:val="99"/>
    <w:qFormat/>
    <w:pPr>
      <w:ind w:left="600"/>
    </w:pPr>
  </w:style>
  <w:style w:type="character" w:styleId="980" w:customStyle="1">
    <w:name w:val="标题 1 字符"/>
    <w:basedOn w:val="714"/>
    <w:link w:val="705"/>
    <w:uiPriority w:val="9"/>
    <w:qFormat/>
    <w:rPr>
      <w:rFonts w:ascii="楷体_GB2312" w:eastAsia="楷体_GB2312"/>
      <w:sz w:val="28"/>
      <w:szCs w:val="28"/>
    </w:rPr>
  </w:style>
  <w:style w:type="character" w:styleId="981" w:customStyle="1">
    <w:name w:val="标题 3 字符"/>
    <w:basedOn w:val="714"/>
    <w:link w:val="707"/>
    <w:uiPriority w:val="9"/>
    <w:qFormat/>
    <w:rPr>
      <w:b/>
      <w:bCs/>
      <w:sz w:val="32"/>
      <w:szCs w:val="32"/>
    </w:rPr>
  </w:style>
  <w:style w:type="character" w:styleId="982" w:customStyle="1">
    <w:name w:val="标题 5 字符"/>
    <w:basedOn w:val="714"/>
    <w:link w:val="709"/>
    <w:uiPriority w:val="9"/>
    <w:qFormat/>
    <w:rPr>
      <w:rFonts w:ascii="宋体"/>
      <w:color w:val="000000"/>
      <w:sz w:val="28"/>
      <w:szCs w:val="28"/>
    </w:rPr>
  </w:style>
  <w:style w:type="character" w:styleId="983" w:customStyle="1">
    <w:name w:val="标题 6 字符"/>
    <w:basedOn w:val="714"/>
    <w:link w:val="710"/>
    <w:uiPriority w:val="9"/>
    <w:qFormat/>
    <w:rPr>
      <w:rFonts w:ascii="Arial" w:hAnsi="Arial" w:eastAsia="黑体"/>
      <w:b/>
      <w:bCs/>
      <w:sz w:val="24"/>
      <w:szCs w:val="24"/>
    </w:rPr>
  </w:style>
  <w:style w:type="character" w:styleId="984" w:customStyle="1">
    <w:name w:val="标题 7 字符"/>
    <w:basedOn w:val="714"/>
    <w:link w:val="711"/>
    <w:uiPriority w:val="9"/>
    <w:qFormat/>
    <w:rPr>
      <w:b/>
      <w:bCs/>
      <w:sz w:val="24"/>
      <w:szCs w:val="24"/>
    </w:rPr>
  </w:style>
  <w:style w:type="character" w:styleId="985" w:customStyle="1">
    <w:name w:val="标题 8 字符"/>
    <w:basedOn w:val="714"/>
    <w:link w:val="712"/>
    <w:uiPriority w:val="9"/>
    <w:qFormat/>
    <w:rPr>
      <w:rFonts w:ascii="Arial" w:hAnsi="Arial" w:eastAsia="黑体"/>
      <w:sz w:val="24"/>
      <w:szCs w:val="24"/>
    </w:rPr>
  </w:style>
  <w:style w:type="character" w:styleId="986" w:customStyle="1">
    <w:name w:val="标题 9 字符"/>
    <w:basedOn w:val="714"/>
    <w:link w:val="713"/>
    <w:uiPriority w:val="9"/>
    <w:qFormat/>
    <w:rPr>
      <w:rFonts w:ascii="Arial" w:hAnsi="Arial" w:eastAsia="黑体"/>
      <w:sz w:val="21"/>
      <w:szCs w:val="21"/>
    </w:rPr>
  </w:style>
  <w:style w:type="character" w:styleId="987" w:customStyle="1">
    <w:name w:val="正文缩进 字符"/>
    <w:link w:val="717"/>
    <w:rPr>
      <w:sz w:val="21"/>
    </w:rPr>
  </w:style>
  <w:style w:type="character" w:styleId="988" w:customStyle="1">
    <w:name w:val="标题 4 字符"/>
    <w:link w:val="708"/>
    <w:uiPriority w:val="9"/>
    <w:qFormat/>
    <w:rPr>
      <w:rFonts w:asciiTheme="majorHAnsi" w:hAnsiTheme="majorHAnsi" w:eastAsiaTheme="majorEastAsia" w:cstheme="majorBidi"/>
      <w:b/>
      <w:bCs/>
      <w:sz w:val="28"/>
      <w:szCs w:val="28"/>
    </w:rPr>
  </w:style>
  <w:style w:type="character" w:styleId="989" w:customStyle="1">
    <w:name w:val="批注文字 字符"/>
    <w:basedOn w:val="714"/>
    <w:uiPriority w:val="99"/>
    <w:semiHidden/>
  </w:style>
  <w:style w:type="character" w:styleId="990" w:customStyle="1">
    <w:name w:val="正文文本 3 字符"/>
    <w:basedOn w:val="714"/>
    <w:link w:val="724"/>
    <w:rPr>
      <w:rFonts w:ascii="仿宋_GB2312" w:hAnsi="Arial" w:eastAsia="仿宋_GB2312"/>
      <w:sz w:val="32"/>
      <w:szCs w:val="32"/>
    </w:rPr>
  </w:style>
  <w:style w:type="character" w:styleId="991" w:customStyle="1">
    <w:name w:val="正文文本 字符"/>
    <w:rPr>
      <w:rFonts w:ascii="楷体_GB2312" w:hAnsi="Arial" w:eastAsia="楷体_GB2312" w:cs="Times New Roman"/>
      <w:sz w:val="28"/>
      <w:szCs w:val="28"/>
    </w:rPr>
  </w:style>
  <w:style w:type="character" w:styleId="992" w:customStyle="1">
    <w:name w:val="正文文本缩进 字符"/>
    <w:basedOn w:val="714"/>
    <w:link w:val="726"/>
    <w:uiPriority w:val="99"/>
    <w:rPr>
      <w:sz w:val="21"/>
      <w:szCs w:val="24"/>
    </w:rPr>
  </w:style>
  <w:style w:type="character" w:styleId="993" w:customStyle="1">
    <w:name w:val="日期 字符"/>
    <w:basedOn w:val="714"/>
    <w:link w:val="734"/>
    <w:rPr>
      <w:sz w:val="24"/>
      <w:szCs w:val="24"/>
    </w:rPr>
  </w:style>
  <w:style w:type="character" w:styleId="994" w:customStyle="1">
    <w:name w:val="正文文本缩进 2 字符"/>
    <w:basedOn w:val="714"/>
    <w:link w:val="735"/>
    <w:rPr>
      <w:rFonts w:ascii="Arial" w:hAnsi="Arial" w:eastAsia="仿宋_GB2312" w:cs="Arial"/>
      <w:sz w:val="32"/>
      <w:szCs w:val="32"/>
    </w:rPr>
  </w:style>
  <w:style w:type="character" w:styleId="995" w:customStyle="1">
    <w:name w:val="批注框文本 字符"/>
    <w:basedOn w:val="714"/>
    <w:link w:val="737"/>
    <w:semiHidden/>
    <w:rPr>
      <w:sz w:val="18"/>
      <w:szCs w:val="18"/>
    </w:rPr>
  </w:style>
  <w:style w:type="character" w:styleId="996" w:customStyle="1">
    <w:name w:val="正文文本缩进 3 字符"/>
    <w:basedOn w:val="714"/>
    <w:link w:val="746"/>
    <w:rPr>
      <w:rFonts w:ascii="Arial" w:hAnsi="Arial" w:eastAsia="仿宋_GB2312" w:cs="Arial"/>
      <w:color w:val="ffff00"/>
      <w:sz w:val="32"/>
      <w:szCs w:val="32"/>
    </w:rPr>
  </w:style>
  <w:style w:type="character" w:styleId="997" w:customStyle="1">
    <w:name w:val="正文文本 2 字符"/>
    <w:basedOn w:val="714"/>
    <w:link w:val="750"/>
    <w:rPr>
      <w:rFonts w:ascii="楷体_GB2312" w:eastAsia="楷体_GB2312"/>
      <w:sz w:val="28"/>
      <w:szCs w:val="28"/>
    </w:rPr>
  </w:style>
  <w:style w:type="character" w:styleId="998" w:customStyle="1">
    <w:name w:val="批注文字 字符1"/>
    <w:basedOn w:val="714"/>
    <w:link w:val="723"/>
    <w:rPr>
      <w:sz w:val="21"/>
      <w:szCs w:val="24"/>
    </w:rPr>
  </w:style>
  <w:style w:type="character" w:styleId="999" w:customStyle="1">
    <w:name w:val="批注主题 字符"/>
    <w:basedOn w:val="998"/>
    <w:link w:val="754"/>
    <w:semiHidden/>
    <w:rPr>
      <w:b/>
      <w:bCs/>
      <w:sz w:val="21"/>
      <w:szCs w:val="21"/>
    </w:rPr>
  </w:style>
  <w:style w:type="character" w:styleId="1000" w:customStyle="1">
    <w:name w:val="正文文本 字符1"/>
    <w:basedOn w:val="714"/>
    <w:link w:val="725"/>
    <w:rPr>
      <w:rFonts w:eastAsia="幼圆"/>
      <w:b/>
      <w:bCs/>
      <w:sz w:val="44"/>
      <w:szCs w:val="24"/>
    </w:rPr>
  </w:style>
  <w:style w:type="character" w:styleId="1001" w:customStyle="1">
    <w:name w:val="正文文本首行缩进 字符"/>
    <w:basedOn w:val="1000"/>
    <w:link w:val="755"/>
    <w:rPr>
      <w:rFonts w:ascii="仿宋_GB2312" w:eastAsia="仿宋_GB2312"/>
      <w:b w:val="0"/>
      <w:bCs w:val="0"/>
      <w:sz w:val="30"/>
      <w:szCs w:val="30"/>
    </w:rPr>
  </w:style>
  <w:style w:type="character" w:styleId="1002" w:customStyle="1">
    <w:name w:val="正文文本首行缩进 2 字符"/>
    <w:link w:val="756"/>
    <w:rPr>
      <w:rFonts w:ascii="宋体" w:hAnsi="宋体"/>
      <w:sz w:val="21"/>
    </w:rPr>
  </w:style>
  <w:style w:type="character" w:styleId="1003" w:customStyle="1">
    <w:name w:val="font5 Char"/>
    <w:rPr>
      <w:rFonts w:ascii="宋体" w:hAnsi="宋体" w:eastAsia="宋体"/>
      <w:sz w:val="28"/>
      <w:szCs w:val="28"/>
      <w:lang w:val="en-US" w:eastAsia="zh-CN" w:bidi="ar-SA"/>
    </w:rPr>
  </w:style>
  <w:style w:type="character" w:styleId="1004" w:customStyle="1">
    <w:name w:val="二级目录 Char"/>
    <w:link w:val="1005"/>
    <w:rPr>
      <w:b/>
      <w:sz w:val="30"/>
      <w:szCs w:val="28"/>
    </w:rPr>
  </w:style>
  <w:style w:type="paragraph" w:styleId="1005" w:customStyle="1">
    <w:name w:val="二级目录"/>
    <w:next w:val="704"/>
    <w:link w:val="1004"/>
    <w:pPr>
      <w:numPr>
        <w:numId w:val="2"/>
      </w:numPr>
      <w:ind w:left="907" w:hanging="907"/>
      <w:tabs>
        <w:tab w:val="left" w:pos="907" w:leader="none"/>
        <w:tab w:val="left" w:pos="1145" w:leader="none"/>
      </w:tabs>
      <w:outlineLvl w:val="1"/>
    </w:pPr>
    <w:rPr>
      <w:b/>
      <w:sz w:val="30"/>
      <w:szCs w:val="28"/>
    </w:rPr>
  </w:style>
  <w:style w:type="paragraph" w:styleId="1006" w:customStyle="1">
    <w:name w:val="Body Text(ch)"/>
    <w:basedOn w:val="704"/>
    <w:next w:val="725"/>
    <w:pPr>
      <w:spacing w:after="120"/>
    </w:pPr>
    <w:rPr>
      <w:rFonts w:ascii="宋体" w:hAnsi="Arial"/>
      <w:bCs/>
      <w:iCs/>
    </w:rPr>
  </w:style>
  <w:style w:type="paragraph" w:styleId="1007" w:customStyle="1">
    <w:name w:val="xl27"/>
    <w:basedOn w:val="7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8" w:customStyle="1">
    <w:name w:val="xl26"/>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9" w:customStyle="1">
    <w:name w:val="Char1"/>
    <w:basedOn w:val="722"/>
    <w:pPr>
      <w:shd w:val="clear" w:color="auto" w:fill="000080"/>
    </w:pPr>
    <w:rPr>
      <w:rFonts w:ascii="Tahoma" w:hAnsi="Tahoma"/>
      <w:sz w:val="24"/>
      <w:szCs w:val="24"/>
    </w:rPr>
  </w:style>
  <w:style w:type="paragraph" w:styleId="1010" w:customStyle="1">
    <w:name w:val="table_lines"/>
    <w:basedOn w:val="704"/>
    <w:pPr>
      <w:jc w:val="left"/>
      <w:widowControl/>
    </w:pPr>
    <w:rPr>
      <w:sz w:val="20"/>
      <w:szCs w:val="20"/>
      <w:lang w:val="de-DE" w:eastAsia="de-DE"/>
    </w:rPr>
  </w:style>
  <w:style w:type="paragraph" w:styleId="1011" w:customStyle="1">
    <w:name w:val="附录1"/>
    <w:pPr>
      <w:spacing w:before="240" w:line="600" w:lineRule="atLeast"/>
      <w:tabs>
        <w:tab w:val="left" w:pos="907" w:leader="none"/>
      </w:tabs>
    </w:pPr>
    <w:rPr>
      <w:b/>
      <w:i/>
      <w:sz w:val="28"/>
    </w:rPr>
  </w:style>
  <w:style w:type="paragraph" w:styleId="1012" w:customStyle="1">
    <w:name w:val="font7"/>
    <w:basedOn w:val="704"/>
    <w:pPr>
      <w:jc w:val="left"/>
      <w:spacing w:before="100" w:beforeAutospacing="1" w:after="100" w:afterAutospacing="1"/>
      <w:widowControl/>
    </w:pPr>
    <w:rPr>
      <w:rFonts w:hint="eastAsia" w:ascii="宋体" w:hAnsi="宋体"/>
      <w:sz w:val="18"/>
      <w:szCs w:val="18"/>
    </w:rPr>
  </w:style>
  <w:style w:type="paragraph" w:styleId="1013" w:customStyle="1">
    <w:name w:val="Char Char Char Char"/>
    <w:basedOn w:val="722"/>
    <w:pPr>
      <w:spacing w:line="360" w:lineRule="auto"/>
      <w:shd w:val="clear" w:color="auto" w:fill="000080"/>
    </w:pPr>
    <w:rPr>
      <w:rFonts w:ascii="Tahoma" w:hAnsi="Tahoma"/>
      <w:sz w:val="24"/>
      <w:szCs w:val="24"/>
    </w:rPr>
  </w:style>
  <w:style w:type="paragraph" w:styleId="1014" w:customStyle="1">
    <w:name w:val="4"/>
    <w:basedOn w:val="704"/>
    <w:next w:val="746"/>
    <w:pPr>
      <w:ind w:firstLine="420"/>
      <w:spacing w:line="360" w:lineRule="auto"/>
    </w:pPr>
    <w:rPr>
      <w:color w:val="ff0000"/>
      <w:sz w:val="24"/>
    </w:rPr>
  </w:style>
  <w:style w:type="paragraph" w:styleId="1015" w:customStyle="1">
    <w:name w:val="普通 (Web)"/>
    <w:basedOn w:val="704"/>
    <w:pPr>
      <w:jc w:val="left"/>
      <w:spacing w:before="100" w:beforeAutospacing="1" w:after="100" w:afterAutospacing="1"/>
      <w:widowControl/>
    </w:pPr>
    <w:rPr>
      <w:rFonts w:ascii="宋体" w:hAnsi="宋体"/>
      <w:sz w:val="24"/>
    </w:rPr>
  </w:style>
  <w:style w:type="paragraph" w:styleId="1016" w:customStyle="1">
    <w:name w:val="Char Char Char Char Char Char Char Char Char Char"/>
    <w:basedOn w:val="704"/>
    <w:pPr>
      <w:spacing w:line="360" w:lineRule="auto"/>
    </w:pPr>
    <w:rPr>
      <w:sz w:val="24"/>
      <w:szCs w:val="20"/>
    </w:rPr>
  </w:style>
  <w:style w:type="paragraph" w:styleId="1017" w:customStyle="1">
    <w:name w:val="样式1"/>
    <w:basedOn w:val="704"/>
    <w:pPr>
      <w:numPr>
        <w:numId w:val="3"/>
      </w:numPr>
      <w:ind w:left="709" w:hanging="709"/>
      <w:tabs>
        <w:tab w:val="left" w:pos="709" w:leader="none"/>
      </w:tabs>
    </w:pPr>
    <w:rPr>
      <w:rFonts w:ascii="宋体" w:hAnsi="宋体"/>
      <w:szCs w:val="21"/>
    </w:rPr>
  </w:style>
  <w:style w:type="paragraph" w:styleId="1018" w:customStyle="1">
    <w:name w:val="font6"/>
    <w:basedOn w:val="704"/>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704"/>
    <w:pPr>
      <w:jc w:val="center"/>
      <w:spacing w:before="100" w:beforeAutospacing="1" w:after="100" w:afterAutospacing="1"/>
      <w:widowControl/>
    </w:pPr>
    <w:rPr>
      <w:rFonts w:ascii="Arial Unicode MS" w:hAnsi="Arial Unicode MS" w:eastAsia="Arial Unicode MS" w:cs="Arial Unicode MS"/>
      <w:sz w:val="24"/>
    </w:rPr>
  </w:style>
  <w:style w:type="paragraph" w:styleId="1020" w:customStyle="1">
    <w:name w:val="图标"/>
    <w:basedOn w:val="704"/>
    <w:next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704"/>
    <w:next w:val="704"/>
    <w:pPr>
      <w:ind w:firstLine="624"/>
      <w:spacing w:line="590" w:lineRule="atLeast"/>
    </w:pPr>
    <w:rPr>
      <w:rFonts w:ascii="方正黑体_GBK" w:eastAsia="方正黑体_GBK"/>
      <w:sz w:val="32"/>
      <w:szCs w:val="32"/>
    </w:rPr>
  </w:style>
  <w:style w:type="paragraph" w:styleId="1022" w:customStyle="1">
    <w:name w:val="xl24"/>
    <w:basedOn w:val="7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3" w:customStyle="1">
    <w:name w:val="xl29"/>
    <w:basedOn w:val="704"/>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4"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1025" w:customStyle="1">
    <w:name w:val="xl28"/>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26" w:customStyle="1">
    <w:name w:val="Char Char Char Char Char Char Char Char1"/>
    <w:basedOn w:val="704"/>
    <w:pPr>
      <w:jc w:val="left"/>
      <w:spacing w:after="160" w:line="240" w:lineRule="exact"/>
      <w:widowControl/>
    </w:pPr>
    <w:rPr>
      <w:rFonts w:ascii="Verdana" w:hAnsi="Verdana"/>
      <w:sz w:val="20"/>
      <w:szCs w:val="20"/>
      <w:lang w:eastAsia="en-US"/>
    </w:rPr>
  </w:style>
  <w:style w:type="paragraph" w:styleId="1027" w:customStyle="1">
    <w:name w:val="xl30"/>
    <w:basedOn w:val="704"/>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722"/>
    <w:pPr>
      <w:spacing w:line="360" w:lineRule="auto"/>
      <w:shd w:val="clear" w:color="auto" w:fill="000080"/>
    </w:pPr>
    <w:rPr>
      <w:rFonts w:ascii="Tahoma" w:hAnsi="Tahoma"/>
      <w:sz w:val="24"/>
      <w:szCs w:val="24"/>
    </w:rPr>
  </w:style>
  <w:style w:type="paragraph" w:styleId="1029" w:customStyle="1">
    <w:name w:val="table_1stline"/>
    <w:basedOn w:val="704"/>
    <w:pPr>
      <w:jc w:val="left"/>
      <w:spacing w:before="120"/>
      <w:widowControl/>
    </w:pPr>
    <w:rPr>
      <w:bCs/>
      <w:sz w:val="20"/>
      <w:szCs w:val="20"/>
      <w:lang w:val="de-DE" w:eastAsia="de-DE"/>
    </w:rPr>
  </w:style>
  <w:style w:type="paragraph" w:styleId="1030" w:customStyle="1">
    <w:name w:val="font5"/>
    <w:basedOn w:val="704"/>
    <w:pPr>
      <w:jc w:val="left"/>
      <w:spacing w:before="100" w:beforeAutospacing="1" w:after="100" w:afterAutospacing="1"/>
      <w:widowControl/>
    </w:pPr>
    <w:rPr>
      <w:rFonts w:hint="eastAsia" w:ascii="宋体" w:hAnsi="宋体"/>
      <w:sz w:val="28"/>
      <w:szCs w:val="28"/>
    </w:rPr>
  </w:style>
  <w:style w:type="paragraph" w:styleId="1031" w:customStyle="1">
    <w:name w:val="标题1"/>
    <w:basedOn w:val="704"/>
    <w:next w:val="70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修订1"/>
    <w:uiPriority w:val="99"/>
    <w:semiHidden/>
    <w:rPr>
      <w:sz w:val="21"/>
      <w:szCs w:val="21"/>
    </w:rPr>
  </w:style>
  <w:style w:type="paragraph" w:styleId="1033">
    <w:name w:val="No Spacing"/>
    <w:uiPriority w:val="99"/>
    <w:qFormat/>
    <w:pPr>
      <w:jc w:val="both"/>
      <w:widowControl w:val="off"/>
    </w:pPr>
    <w:rPr>
      <w:sz w:val="21"/>
      <w:szCs w:val="21"/>
    </w:rPr>
  </w:style>
  <w:style w:type="paragraph" w:styleId="1034" w:customStyle="1">
    <w:name w:val="正文文本12"/>
    <w:basedOn w:val="704"/>
    <w:uiPriority w:val="1"/>
    <w:qFormat/>
    <w:pPr>
      <w:ind w:left="120"/>
    </w:pPr>
    <w:rPr>
      <w:rFonts w:ascii="宋体" w:hAnsi="宋体" w:cs="宋体"/>
      <w:szCs w:val="21"/>
      <w:lang w:val="zh-CN" w:bidi="zh-CN"/>
    </w:rPr>
  </w:style>
  <w:style w:type="paragraph" w:styleId="1035" w:customStyle="1">
    <w:name w:val="正文文本 211"/>
    <w:basedOn w:val="704"/>
    <w:uiPriority w:val="99"/>
    <w:qFormat/>
    <w:pPr>
      <w:jc w:val="center"/>
    </w:pPr>
    <w:rPr>
      <w:b/>
      <w:bCs/>
      <w:sz w:val="20"/>
      <w:szCs w:val="20"/>
    </w:rPr>
  </w:style>
  <w:style w:type="paragraph" w:styleId="1036" w:customStyle="1">
    <w:name w:val="正文文本1"/>
    <w:basedOn w:val="704"/>
    <w:next w:val="704"/>
    <w:semiHidden/>
    <w:qFormat/>
    <w:rPr>
      <w:rFonts w:ascii="Arial" w:hAnsi="Arial" w:eastAsia="Arial" w:cs="Arial"/>
      <w:szCs w:val="21"/>
      <w:lang w:eastAsia="en-US"/>
    </w:rPr>
  </w:style>
  <w:style w:type="table" w:styleId="1037" w:customStyle="1">
    <w:name w:val="网格型1"/>
    <w:basedOn w:val="1038"/>
    <w:qFormat/>
    <w:pPr>
      <w:jc w:val="both"/>
      <w:widowControl w:val="off"/>
    </w:pPr>
    <w:tblPr/>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未处理的提及1"/>
    <w:basedOn w:val="714"/>
    <w:uiPriority w:val="99"/>
    <w:semiHidden/>
    <w:unhideWhenUsed/>
    <w:rPr>
      <w:color w:val="605e5c"/>
      <w:shd w:val="clear" w:color="auto" w:fill="e1dfdd"/>
    </w:rPr>
  </w:style>
  <w:style w:type="paragraph" w:styleId="1040" w:customStyle="1">
    <w:name w:val="Char2"/>
    <w:basedOn w:val="722"/>
    <w:pPr>
      <w:shd w:val="clear" w:color="auto" w:fill="000080"/>
    </w:pPr>
    <w:rPr>
      <w:rFonts w:ascii="Tahoma" w:hAnsi="Tahoma"/>
      <w:sz w:val="24"/>
      <w:szCs w:val="24"/>
    </w:rPr>
  </w:style>
  <w:style w:type="paragraph" w:styleId="1041" w:customStyle="1">
    <w:name w:val="Char Char Char Char2"/>
    <w:basedOn w:val="722"/>
    <w:pPr>
      <w:spacing w:line="360" w:lineRule="auto"/>
      <w:shd w:val="clear" w:color="auto" w:fill="000080"/>
    </w:pPr>
    <w:rPr>
      <w:rFonts w:ascii="Tahoma" w:hAnsi="Tahoma"/>
      <w:sz w:val="24"/>
      <w:szCs w:val="24"/>
    </w:rPr>
  </w:style>
  <w:style w:type="paragraph" w:styleId="1042" w:customStyle="1">
    <w:name w:val="Char Char Char Char Char Char Char Char Char Char1"/>
    <w:basedOn w:val="704"/>
    <w:pPr>
      <w:spacing w:line="360" w:lineRule="auto"/>
    </w:pPr>
    <w:rPr>
      <w:sz w:val="24"/>
      <w:szCs w:val="20"/>
    </w:rPr>
  </w:style>
  <w:style w:type="paragraph" w:styleId="1043" w:customStyle="1">
    <w:name w:val="Char Char Char Char Char Char Char Char2"/>
    <w:basedOn w:val="704"/>
    <w:pPr>
      <w:jc w:val="left"/>
      <w:spacing w:after="160" w:line="240" w:lineRule="exact"/>
      <w:widowControl/>
    </w:pPr>
    <w:rPr>
      <w:rFonts w:ascii="Verdana" w:hAnsi="Verdana"/>
      <w:sz w:val="20"/>
      <w:szCs w:val="20"/>
      <w:lang w:eastAsia="en-US"/>
    </w:rPr>
  </w:style>
  <w:style w:type="paragraph" w:styleId="1044" w:customStyle="1">
    <w:name w:val="Table Text"/>
    <w:basedOn w:val="704"/>
    <w:semiHidden/>
    <w:qFormat/>
    <w:rPr>
      <w:rFonts w:ascii="Arial" w:hAnsi="Arial" w:eastAsia="Arial" w:cs="Arial"/>
      <w:szCs w:val="21"/>
      <w:lang w:eastAsia="en-US"/>
    </w:rPr>
  </w:style>
  <w:style w:type="character" w:styleId="1045" w:customStyle="1">
    <w:name w:val="font51"/>
    <w:qFormat/>
    <w:rPr>
      <w:rFonts w:hint="eastAsia" w:ascii="宋体" w:hAnsi="宋体" w:eastAsia="宋体" w:cs="宋体"/>
      <w:color w:val="000000"/>
      <w:sz w:val="20"/>
      <w:szCs w:val="20"/>
      <w:u w:val="none"/>
    </w:rPr>
  </w:style>
  <w:style w:type="character" w:styleId="1046" w:customStyle="1">
    <w:name w:val="font181"/>
    <w:qFormat/>
    <w:rPr>
      <w:rFonts w:hint="default" w:ascii="Times New Roman" w:hAnsi="Times New Roman" w:cs="Times New Roman"/>
      <w:color w:val="000000"/>
      <w:sz w:val="20"/>
      <w:szCs w:val="20"/>
      <w:u w:val="none"/>
    </w:rPr>
  </w:style>
  <w:style w:type="character" w:styleId="1047" w:customStyle="1">
    <w:name w:val="font191"/>
    <w:qFormat/>
    <w:rPr>
      <w:rFonts w:hint="eastAsia" w:ascii="宋体" w:hAnsi="宋体" w:eastAsia="宋体" w:cs="宋体"/>
      <w:color w:val="ff0000"/>
      <w:sz w:val="20"/>
      <w:szCs w:val="20"/>
      <w:u w:val="none"/>
    </w:rPr>
  </w:style>
  <w:style w:type="character" w:styleId="1048" w:customStyle="1">
    <w:name w:val="font91"/>
    <w:rPr>
      <w:rFonts w:hint="default" w:ascii="Times New Roman" w:hAnsi="Times New Roman" w:cs="Times New Roman"/>
      <w:color w:val="000000"/>
      <w:sz w:val="20"/>
      <w:szCs w:val="20"/>
      <w:u w:val="none"/>
    </w:rPr>
  </w:style>
  <w:style w:type="character" w:styleId="1049" w:customStyle="1">
    <w:name w:val="font11"/>
    <w:rPr>
      <w:rFonts w:hint="eastAsia" w:ascii="宋体" w:hAnsi="宋体" w:eastAsia="宋体" w:cs="宋体"/>
      <w:color w:val="000000"/>
      <w:sz w:val="20"/>
      <w:szCs w:val="20"/>
      <w:u w:val="none"/>
    </w:rPr>
  </w:style>
  <w:style w:type="character" w:styleId="1050" w:customStyle="1">
    <w:name w:val="font41"/>
    <w:rPr>
      <w:rFonts w:hint="eastAsia" w:ascii="微软雅黑" w:hAnsi="微软雅黑" w:eastAsia="微软雅黑" w:cs="微软雅黑"/>
      <w:color w:val="000000"/>
      <w:sz w:val="22"/>
      <w:szCs w:val="22"/>
      <w:u w:val="none"/>
    </w:rPr>
  </w:style>
  <w:style w:type="paragraph" w:styleId="1051" w:customStyle="1">
    <w:name w:val="Char3"/>
    <w:basedOn w:val="722"/>
    <w:pPr>
      <w:shd w:val="clear" w:color="auto" w:fill="000080"/>
    </w:pPr>
    <w:rPr>
      <w:rFonts w:ascii="Tahoma" w:hAnsi="Tahoma"/>
      <w:sz w:val="24"/>
      <w:szCs w:val="24"/>
    </w:rPr>
  </w:style>
  <w:style w:type="paragraph" w:styleId="1052" w:customStyle="1">
    <w:name w:val="Char Char Char Char3"/>
    <w:basedOn w:val="722"/>
    <w:pPr>
      <w:spacing w:line="360" w:lineRule="auto"/>
      <w:shd w:val="clear" w:color="auto" w:fill="000080"/>
    </w:pPr>
    <w:rPr>
      <w:rFonts w:ascii="Tahoma" w:hAnsi="Tahoma"/>
      <w:sz w:val="24"/>
      <w:szCs w:val="24"/>
    </w:rPr>
  </w:style>
  <w:style w:type="paragraph" w:styleId="1053" w:customStyle="1">
    <w:name w:val="Char Char Char Char Char Char Char Char Char Char2"/>
    <w:basedOn w:val="704"/>
    <w:pPr>
      <w:spacing w:line="360" w:lineRule="auto"/>
    </w:pPr>
    <w:rPr>
      <w:sz w:val="24"/>
      <w:szCs w:val="20"/>
    </w:rPr>
  </w:style>
  <w:style w:type="paragraph" w:styleId="1054" w:customStyle="1">
    <w:name w:val="Char Char Char Char Char Char Char Char3"/>
    <w:basedOn w:val="704"/>
    <w:pPr>
      <w:jc w:val="left"/>
      <w:spacing w:after="160" w:line="240" w:lineRule="exact"/>
      <w:widowControl/>
    </w:pPr>
    <w:rPr>
      <w:rFonts w:ascii="Verdana" w:hAnsi="Verdana"/>
      <w:sz w:val="20"/>
      <w:szCs w:val="20"/>
      <w:lang w:eastAsia="en-US"/>
    </w:rPr>
  </w:style>
  <w:style w:type="paragraph" w:styleId="1055" w:customStyle="1">
    <w:name w:val="修订2"/>
    <w:uiPriority w:val="99"/>
    <w:semiHidden/>
    <w:rPr>
      <w:sz w:val="21"/>
      <w:szCs w:val="21"/>
    </w:rPr>
  </w:style>
  <w:style w:type="character" w:styleId="1056" w:customStyle="1">
    <w:name w:val="font291"/>
    <w:rPr>
      <w:rFonts w:hint="eastAsia" w:ascii="宋体" w:hAnsi="宋体" w:eastAsia="宋体" w:cs="宋体"/>
      <w:b/>
      <w:bCs/>
      <w:color w:val="000000"/>
      <w:sz w:val="20"/>
      <w:szCs w:val="20"/>
      <w:u w:val="none"/>
    </w:rPr>
  </w:style>
  <w:style w:type="character" w:styleId="1057" w:customStyle="1">
    <w:name w:val="font71"/>
    <w:rPr>
      <w:rFonts w:hint="eastAsia" w:ascii="宋体" w:hAnsi="宋体" w:eastAsia="宋体" w:cs="宋体"/>
      <w:color w:val="000000"/>
      <w:sz w:val="20"/>
      <w:szCs w:val="20"/>
      <w:u w:val="none"/>
    </w:rPr>
  </w:style>
  <w:style w:type="character" w:styleId="1058" w:customStyle="1">
    <w:name w:val="font301"/>
    <w:rPr>
      <w:rFonts w:hint="eastAsia" w:ascii="宋体" w:hAnsi="宋体" w:eastAsia="宋体" w:cs="宋体"/>
      <w:b/>
      <w:bCs/>
      <w:color w:val="000000"/>
      <w:sz w:val="20"/>
      <w:szCs w:val="20"/>
      <w:u w:val="none"/>
    </w:rPr>
  </w:style>
  <w:style w:type="character" w:styleId="1059" w:customStyle="1">
    <w:name w:val="font312"/>
    <w:rPr>
      <w:rFonts w:hint="eastAsia" w:ascii="宋体" w:hAnsi="宋体" w:eastAsia="宋体" w:cs="宋体"/>
      <w:b/>
      <w:bCs/>
      <w:color w:val="000000"/>
      <w:sz w:val="18"/>
      <w:szCs w:val="18"/>
      <w:u w:val="none"/>
    </w:rPr>
  </w:style>
  <w:style w:type="character" w:styleId="1060" w:customStyle="1">
    <w:name w:val="font321"/>
    <w:rPr>
      <w:rFonts w:hint="eastAsia" w:ascii="宋体" w:hAnsi="宋体" w:eastAsia="宋体" w:cs="宋体"/>
      <w:b/>
      <w:bCs/>
      <w:color w:val="ff0000"/>
      <w:sz w:val="20"/>
      <w:szCs w:val="20"/>
      <w:u w:val="none"/>
    </w:rPr>
  </w:style>
  <w:style w:type="character" w:styleId="1061" w:customStyle="1">
    <w:name w:val="font171"/>
    <w:rPr>
      <w:rFonts w:hint="eastAsia" w:ascii="宋体" w:hAnsi="宋体" w:eastAsia="宋体" w:cs="宋体"/>
      <w:color w:val="000000"/>
      <w:sz w:val="20"/>
      <w:szCs w:val="20"/>
      <w:u w:val="none"/>
    </w:rPr>
  </w:style>
  <w:style w:type="character" w:styleId="1062" w:customStyle="1">
    <w:name w:val="font331"/>
    <w:rPr>
      <w:rFonts w:ascii="Wingdings 2" w:hAnsi="Wingdings 2" w:eastAsia="Wingdings 2" w:cs="Wingdings 2"/>
      <w:color w:val="000000"/>
      <w:sz w:val="20"/>
      <w:szCs w:val="20"/>
      <w:u w:val="none"/>
    </w:rPr>
  </w:style>
  <w:style w:type="character" w:styleId="1063" w:customStyle="1">
    <w:name w:val="font21"/>
    <w:qFormat/>
    <w:rPr>
      <w:rFonts w:hint="eastAsia" w:ascii="宋体" w:hAnsi="宋体" w:eastAsia="宋体" w:cs="宋体"/>
      <w:color w:val="000000"/>
      <w:sz w:val="20"/>
      <w:szCs w:val="20"/>
      <w:u w:val="none"/>
    </w:rPr>
  </w:style>
  <w:style w:type="character" w:styleId="1064" w:customStyle="1">
    <w:name w:val="明显强调1"/>
    <w:basedOn w:val="714"/>
    <w:uiPriority w:val="21"/>
    <w:qFormat/>
    <w:rPr>
      <w:i/>
      <w:iCs/>
      <w:color w:val="365f91" w:themeColor="accent1" w:themeShade="BF"/>
    </w:rPr>
  </w:style>
  <w:style w:type="character" w:styleId="1065" w:customStyle="1">
    <w:name w:val="明显参考1"/>
    <w:basedOn w:val="714"/>
    <w:uiPriority w:val="32"/>
    <w:qFormat/>
    <w:rPr>
      <w:b/>
      <w:bCs/>
      <w:smallCaps/>
      <w:color w:val="365f91" w:themeColor="accent1" w:themeShade="BF"/>
      <w:spacing w:val="5"/>
    </w:rPr>
  </w:style>
  <w:style w:type="paragraph" w:styleId="1066" w:customStyle="1">
    <w:name w:val="Default"/>
    <w:qFormat/>
    <w:pPr>
      <w:widowControl w:val="off"/>
    </w:pPr>
    <w:rPr>
      <w:rFonts w:ascii="宋体" w:hAnsi="Calibri" w:cs="宋体"/>
      <w:color w:val="000000"/>
      <w:sz w:val="24"/>
      <w:szCs w:val="24"/>
    </w:rPr>
  </w:style>
  <w:style w:type="paragraph" w:styleId="1067" w:customStyle="1">
    <w:name w:val="msonormal"/>
    <w:basedOn w:val="704"/>
    <w:pPr>
      <w:jc w:val="left"/>
      <w:spacing w:before="100" w:beforeAutospacing="1" w:after="100" w:afterAutospacing="1"/>
      <w:widowControl/>
    </w:pPr>
    <w:rPr>
      <w:rFonts w:ascii="宋体" w:hAnsi="宋体" w:cs="宋体"/>
      <w:sz w:val="24"/>
    </w:rPr>
  </w:style>
  <w:style w:type="paragraph" w:styleId="1068" w:customStyle="1">
    <w:name w:val="xl78"/>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79"/>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xl80"/>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81"/>
    <w:basedOn w:val="704"/>
    <w:pPr>
      <w:jc w:val="left"/>
      <w:spacing w:before="100" w:beforeAutospacing="1" w:after="100" w:afterAutospacing="1"/>
      <w:widowControl/>
    </w:pPr>
    <w:rPr>
      <w:rFonts w:ascii="宋体" w:hAnsi="宋体" w:cs="宋体"/>
      <w:sz w:val="20"/>
      <w:szCs w:val="20"/>
    </w:rPr>
  </w:style>
  <w:style w:type="paragraph" w:styleId="1072" w:customStyle="1">
    <w:name w:val="xl82"/>
    <w:basedOn w:val="704"/>
    <w:pPr>
      <w:jc w:val="left"/>
      <w:spacing w:before="100" w:beforeAutospacing="1" w:after="100" w:afterAutospacing="1"/>
      <w:widowControl/>
    </w:pPr>
    <w:rPr>
      <w:rFonts w:ascii="微软雅黑" w:hAnsi="微软雅黑" w:eastAsia="微软雅黑" w:cs="宋体"/>
      <w:b/>
      <w:bCs/>
      <w:sz w:val="24"/>
    </w:rPr>
  </w:style>
  <w:style w:type="paragraph" w:styleId="1073" w:customStyle="1">
    <w:name w:val="xl83"/>
    <w:basedOn w:val="704"/>
    <w:pPr>
      <w:jc w:val="center"/>
      <w:spacing w:before="100" w:beforeAutospacing="1" w:after="100" w:afterAutospacing="1"/>
      <w:widowControl/>
    </w:pPr>
    <w:rPr>
      <w:rFonts w:ascii="宋体" w:hAnsi="宋体" w:cs="宋体"/>
      <w:sz w:val="20"/>
      <w:szCs w:val="20"/>
    </w:rPr>
  </w:style>
  <w:style w:type="paragraph" w:styleId="1074" w:customStyle="1">
    <w:name w:val="xl84"/>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85"/>
    <w:basedOn w:val="7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86"/>
    <w:basedOn w:val="7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87"/>
    <w:basedOn w:val="70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78" w:customStyle="1">
    <w:name w:val="xl88"/>
    <w:basedOn w:val="704"/>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79" w:customStyle="1">
    <w:name w:val="xl89"/>
    <w:basedOn w:val="70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xl90"/>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1" w:customStyle="1">
    <w:name w:val="xl91"/>
    <w:basedOn w:val="70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2" w:customStyle="1">
    <w:name w:val="xl92"/>
    <w:basedOn w:val="70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xl93"/>
    <w:basedOn w:val="704"/>
    <w:pPr>
      <w:jc w:val="center"/>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sz w:val="24"/>
    </w:rPr>
  </w:style>
  <w:style w:type="paragraph" w:styleId="1084" w:customStyle="1">
    <w:name w:val="xl94"/>
    <w:basedOn w:val="704"/>
    <w:pPr>
      <w:jc w:val="center"/>
      <w:spacing w:before="100" w:beforeAutospacing="1" w:after="100" w:afterAutospacing="1"/>
      <w:widowControl/>
      <w:pBdr>
        <w:top w:val="single" w:color="auto" w:sz="4" w:space="0"/>
        <w:bottom w:val="single" w:color="auto" w:sz="4" w:space="0"/>
      </w:pBdr>
    </w:pPr>
    <w:rPr>
      <w:rFonts w:ascii="微软雅黑" w:hAnsi="微软雅黑" w:eastAsia="微软雅黑" w:cs="宋体"/>
      <w:b/>
      <w:bCs/>
      <w:sz w:val="24"/>
    </w:rPr>
  </w:style>
  <w:style w:type="paragraph" w:styleId="1085" w:customStyle="1">
    <w:name w:val="xl95"/>
    <w:basedOn w:val="704"/>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sz w:val="24"/>
    </w:rPr>
  </w:style>
  <w:style w:type="paragraph" w:styleId="1086" w:customStyle="1">
    <w:name w:val="xl96"/>
    <w:basedOn w:val="70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87" w:customStyle="1">
    <w:name w:val="xl97"/>
    <w:basedOn w:val="704"/>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088" w:customStyle="1">
    <w:name w:val="xl98"/>
    <w:basedOn w:val="704"/>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character" w:styleId="1089" w:customStyle="1">
    <w:name w:val="font31"/>
    <w:basedOn w:val="714"/>
    <w:qFormat/>
    <w:rPr>
      <w:rFonts w:hint="eastAsia" w:ascii="宋体" w:hAnsi="宋体" w:eastAsia="宋体"/>
      <w:color w:val="000000"/>
      <w:sz w:val="32"/>
      <w:szCs w:val="32"/>
      <w:u w:val="none"/>
    </w:rPr>
  </w:style>
  <w:style w:type="character" w:styleId="1090" w:customStyle="1">
    <w:name w:val="font81"/>
    <w:basedOn w:val="714"/>
    <w:qFormat/>
    <w:rPr>
      <w:rFonts w:hint="default" w:ascii="Calibri" w:hAnsi="Calibri" w:cs="Calibri"/>
      <w:color w:val="000000"/>
      <w:sz w:val="32"/>
      <w:szCs w:val="3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237</cp:revision>
  <dcterms:created xsi:type="dcterms:W3CDTF">2021-05-07T01:44:00Z</dcterms:created>
  <dcterms:modified xsi:type="dcterms:W3CDTF">2026-08-14T05:15:45Z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5C16C4351D5C4951A49127EADEF30CFC_13</vt:lpwstr>
  </property>
  <property fmtid="{D5CDD505-2E9C-101B-9397-08002B2CF9AE}" pid="4" name="KSOTemplateDocerSaveRecord">
    <vt:lpwstr>eyJoZGlkIjoiNTg2NmMxYzgwZjBhNzIxOTgxNzBhMWNhNDUyZTg1NzYiLCJ1c2VySWQiOiIxNjU5MjQwODA0In0=</vt:lpwstr>
  </property>
</Properties>
</file>