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93751">
      <w:pPr>
        <w:jc w:val="center"/>
        <w:rPr>
          <w:rFonts w:hint="eastAsia" w:ascii="黑体" w:hAnsi="黑体" w:eastAsia="黑体"/>
          <w:b/>
          <w:bCs/>
          <w:sz w:val="36"/>
          <w:szCs w:val="36"/>
          <w:lang w:eastAsia="zh-CN"/>
        </w:rPr>
      </w:pPr>
      <w:r>
        <w:rPr>
          <w:rFonts w:hint="eastAsia" w:ascii="黑体" w:hAnsi="黑体" w:eastAsia="黑体"/>
          <w:b/>
          <w:bCs/>
          <w:sz w:val="36"/>
          <w:szCs w:val="36"/>
          <w:lang w:eastAsia="zh-CN"/>
        </w:rPr>
        <w:t>藻水分离站、控藻井电气设备养护及电气预防性试验、藻水分离站维修项目</w:t>
      </w:r>
    </w:p>
    <w:p w14:paraId="4EC48D9D">
      <w:pPr>
        <w:jc w:val="center"/>
      </w:pPr>
      <w:r>
        <w:rPr>
          <w:rFonts w:hint="eastAsia" w:ascii="黑体" w:hAnsi="黑体" w:eastAsia="黑体"/>
          <w:b/>
          <w:bCs/>
          <w:sz w:val="36"/>
          <w:szCs w:val="36"/>
        </w:rPr>
        <w:t>工程量清单编制说明</w:t>
      </w:r>
    </w:p>
    <w:p w14:paraId="34FADB54">
      <w:pPr>
        <w:spacing w:line="360" w:lineRule="auto"/>
        <w:rPr>
          <w:rFonts w:ascii="宋体" w:hAnsi="宋体"/>
          <w:b/>
        </w:rPr>
      </w:pPr>
      <w:r>
        <w:rPr>
          <w:rFonts w:hint="eastAsia" w:ascii="宋体" w:hAnsi="宋体"/>
          <w:b/>
        </w:rPr>
        <w:t>一、工程概况</w:t>
      </w:r>
    </w:p>
    <w:p w14:paraId="6A980A70">
      <w:pPr>
        <w:spacing w:line="360" w:lineRule="auto"/>
        <w:ind w:firstLine="420" w:firstLineChars="200"/>
        <w:rPr>
          <w:rFonts w:ascii="宋体" w:hAnsi="宋体"/>
        </w:rPr>
      </w:pPr>
      <w:r>
        <w:rPr>
          <w:rFonts w:hint="eastAsia" w:ascii="宋体" w:hAnsi="宋体"/>
        </w:rPr>
        <w:t>1、工程简介：</w:t>
      </w:r>
    </w:p>
    <w:p w14:paraId="01FFFEB0">
      <w:pPr>
        <w:spacing w:line="360" w:lineRule="auto"/>
        <w:ind w:firstLine="420" w:firstLineChars="200"/>
        <w:rPr>
          <w:rFonts w:ascii="宋体" w:hAnsi="宋体"/>
        </w:rPr>
      </w:pPr>
      <w:r>
        <w:rPr>
          <w:rFonts w:hint="eastAsia" w:ascii="宋体" w:hAnsi="宋体"/>
          <w:lang w:eastAsia="zh-CN"/>
        </w:rPr>
        <w:t>藻水分离站、控藻井电气设备养护及电气预防性试验、藻水分离站维修项目</w:t>
      </w:r>
      <w:r>
        <w:rPr>
          <w:rFonts w:hint="eastAsia" w:ascii="宋体" w:hAnsi="宋体"/>
        </w:rPr>
        <w:t>（以下简称“本工程”），主要建设内容：</w:t>
      </w:r>
      <w:r>
        <w:rPr>
          <w:rFonts w:hint="eastAsia" w:ascii="宋体" w:hAnsi="宋体"/>
          <w:lang w:val="en-US" w:eastAsia="zh-CN"/>
        </w:rPr>
        <w:t>水池除锈</w:t>
      </w:r>
      <w:r>
        <w:rPr>
          <w:rFonts w:hint="eastAsia" w:ascii="宋体" w:hAnsi="宋体"/>
        </w:rPr>
        <w:t>、管道</w:t>
      </w:r>
      <w:r>
        <w:rPr>
          <w:rFonts w:hint="eastAsia" w:ascii="宋体" w:hAnsi="宋体"/>
          <w:lang w:val="en-US" w:eastAsia="zh-CN"/>
        </w:rPr>
        <w:t>及阀门更换</w:t>
      </w:r>
      <w:r>
        <w:rPr>
          <w:rFonts w:hint="eastAsia" w:ascii="宋体" w:hAnsi="宋体"/>
        </w:rPr>
        <w:t>、水泵更换、空调</w:t>
      </w:r>
      <w:r>
        <w:rPr>
          <w:rFonts w:hint="eastAsia" w:ascii="宋体" w:hAnsi="宋体"/>
          <w:lang w:val="en-US" w:eastAsia="zh-CN"/>
        </w:rPr>
        <w:t>更换</w:t>
      </w:r>
      <w:r>
        <w:rPr>
          <w:rFonts w:hint="eastAsia" w:ascii="宋体" w:hAnsi="宋体"/>
        </w:rPr>
        <w:t>、电气设备维修、</w:t>
      </w:r>
      <w:r>
        <w:rPr>
          <w:rFonts w:hint="eastAsia" w:ascii="宋体" w:hAnsi="宋体"/>
          <w:lang w:val="en-US" w:eastAsia="zh-CN"/>
        </w:rPr>
        <w:t>电气安全设施采购、箱变维修、预防性试验</w:t>
      </w:r>
      <w:r>
        <w:rPr>
          <w:rFonts w:hint="eastAsia" w:ascii="宋体" w:hAnsi="宋体"/>
        </w:rPr>
        <w:t>等。</w:t>
      </w:r>
    </w:p>
    <w:p w14:paraId="5EF31FEC">
      <w:pPr>
        <w:spacing w:line="360" w:lineRule="auto"/>
        <w:ind w:firstLine="420" w:firstLineChars="200"/>
        <w:rPr>
          <w:rFonts w:ascii="宋体" w:hAnsi="宋体"/>
        </w:rPr>
      </w:pPr>
      <w:r>
        <w:rPr>
          <w:rFonts w:hint="eastAsia" w:ascii="宋体" w:hAnsi="宋体"/>
        </w:rPr>
        <w:t>2、环境保护要求：执行无锡市环境保护规定。</w:t>
      </w:r>
    </w:p>
    <w:p w14:paraId="06A138CF">
      <w:pPr>
        <w:spacing w:line="360" w:lineRule="auto"/>
        <w:rPr>
          <w:rFonts w:ascii="宋体" w:hAnsi="宋体"/>
          <w:b/>
        </w:rPr>
      </w:pPr>
      <w:r>
        <w:rPr>
          <w:rFonts w:hint="eastAsia" w:ascii="宋体" w:hAnsi="宋体"/>
          <w:b/>
        </w:rPr>
        <w:t>二、工程招标范围</w:t>
      </w:r>
    </w:p>
    <w:p w14:paraId="7964D8CA">
      <w:pPr>
        <w:spacing w:line="360" w:lineRule="auto"/>
        <w:ind w:firstLine="420" w:firstLineChars="200"/>
        <w:rPr>
          <w:rFonts w:ascii="宋体" w:hAnsi="宋体"/>
        </w:rPr>
      </w:pPr>
      <w:r>
        <w:rPr>
          <w:rFonts w:hint="eastAsia" w:ascii="宋体" w:hAnsi="宋体"/>
        </w:rPr>
        <w:t>1、招标范围</w:t>
      </w:r>
      <w:bookmarkStart w:id="0" w:name="_Hlk89596856"/>
      <w:r>
        <w:rPr>
          <w:rFonts w:hint="eastAsia" w:ascii="宋体" w:hAnsi="宋体"/>
        </w:rPr>
        <w:t>：</w:t>
      </w:r>
      <w:r>
        <w:rPr>
          <w:rFonts w:hint="eastAsia" w:ascii="宋体" w:hAnsi="宋体"/>
          <w:lang w:eastAsia="zh-CN"/>
        </w:rPr>
        <w:t>藻水分离站、控藻井电气设备养护及电气预防性试验、藻水分离站维修项目</w:t>
      </w:r>
      <w:r>
        <w:rPr>
          <w:rFonts w:hint="eastAsia" w:ascii="宋体" w:hAnsi="宋体"/>
        </w:rPr>
        <w:t>图纸设计范围内的杨湾藻水分离站、锦园藻水分离站、黄泥田藻水分离站修缮项目</w:t>
      </w:r>
      <w:r>
        <w:rPr>
          <w:rFonts w:hint="eastAsia" w:ascii="宋体" w:hAnsi="宋体"/>
          <w:lang w:val="en-US" w:eastAsia="zh-CN"/>
        </w:rPr>
        <w:t>以及杨湾、黄泥田港、渔港等箱变维修工程、预防性试验等</w:t>
      </w:r>
      <w:r>
        <w:rPr>
          <w:rFonts w:hint="eastAsia" w:ascii="宋体" w:hAnsi="宋体"/>
        </w:rPr>
        <w:t>。</w:t>
      </w:r>
    </w:p>
    <w:bookmarkEnd w:id="0"/>
    <w:p w14:paraId="604E9E8E">
      <w:pPr>
        <w:spacing w:line="360" w:lineRule="auto"/>
        <w:rPr>
          <w:rFonts w:ascii="宋体" w:hAnsi="宋体"/>
          <w:b/>
        </w:rPr>
      </w:pPr>
      <w:r>
        <w:rPr>
          <w:rFonts w:hint="eastAsia" w:ascii="宋体" w:hAnsi="宋体"/>
          <w:b/>
        </w:rPr>
        <w:t>三、工程量清单编制依据</w:t>
      </w:r>
    </w:p>
    <w:p w14:paraId="475A1CD4">
      <w:pPr>
        <w:spacing w:line="360" w:lineRule="auto"/>
        <w:ind w:firstLine="480" w:firstLineChars="200"/>
        <w:rPr>
          <w:rFonts w:ascii="宋体" w:hAnsi="宋体"/>
        </w:rPr>
      </w:pPr>
      <w:r>
        <w:rPr>
          <w:rFonts w:hint="eastAsia" w:ascii="宋体" w:hAnsi="宋体" w:cs="宋体"/>
          <w:sz w:val="24"/>
          <w:szCs w:val="24"/>
        </w:rPr>
        <w:t>1、</w:t>
      </w:r>
      <w:r>
        <w:rPr>
          <w:rFonts w:ascii="宋体" w:hAnsi="宋体"/>
        </w:rPr>
        <w:t>《江苏水利工程招标投标文件工程量清单格式》（苏水基（2011）21号）</w:t>
      </w:r>
      <w:r>
        <w:rPr>
          <w:rFonts w:hint="eastAsia" w:ascii="宋体" w:hAnsi="宋体"/>
        </w:rPr>
        <w:t>、《江苏省水利工程设计概（估）算编制规定（2017年版）》（苏水基〔2016〕26号）；《江苏省水利工程预算定额（2017年版）》（苏水基〔2016〕27号）；《省水利厅关于调增安全文明措施费标准的通知》（苏水基〔2015〕31号）；《关于全面推开营业税改征增值税试点的通知》（财税[2016]36号）；《水利工程营业税改增征增值税计价依据调整办法》（办水总[2016]132号）；《住房城乡建设部办公厅关于做好建筑业营改增建设工程计价依据调整准备工作的通知》（建办标[2016]4号）；省水利厅关于颁发《江苏省水利工程设计概（估）算编制规定》（2017年修订版）的通知（苏水基[2016]26号）；省水利厅关于调整《江苏省水利工程设计概（估）算编制规定（2017年修订版）》安全文明措施计费标准的通知（苏水基[2023]8号）。</w:t>
      </w:r>
    </w:p>
    <w:p w14:paraId="7C1BAAD7">
      <w:pPr>
        <w:spacing w:line="360" w:lineRule="auto"/>
        <w:ind w:firstLine="420" w:firstLineChars="200"/>
        <w:rPr>
          <w:rFonts w:ascii="宋体" w:hAnsi="宋体"/>
        </w:rPr>
      </w:pPr>
      <w:r>
        <w:rPr>
          <w:rFonts w:hint="eastAsia" w:ascii="宋体" w:hAnsi="宋体"/>
        </w:rPr>
        <w:t>4、《建设工程工程量清单计价规范》（</w:t>
      </w:r>
      <w:r>
        <w:rPr>
          <w:rFonts w:ascii="宋体" w:hAnsi="宋体"/>
        </w:rPr>
        <w:t>GB50</w:t>
      </w:r>
      <w:r>
        <w:rPr>
          <w:rFonts w:hint="eastAsia" w:ascii="宋体" w:hAnsi="宋体"/>
        </w:rPr>
        <w:t>858</w:t>
      </w:r>
      <w:r>
        <w:rPr>
          <w:rFonts w:ascii="宋体" w:hAnsi="宋体"/>
        </w:rPr>
        <w:t>-20</w:t>
      </w:r>
      <w:r>
        <w:rPr>
          <w:rFonts w:hint="eastAsia" w:ascii="宋体" w:hAnsi="宋体"/>
        </w:rPr>
        <w:t>13）、《园林绿化工程工程量计算规范》（GB50858-2013）、《江苏省仿古建筑与园林工程计价表（</w:t>
      </w:r>
      <w:r>
        <w:rPr>
          <w:rFonts w:ascii="宋体" w:hAnsi="宋体"/>
        </w:rPr>
        <w:t>2007</w:t>
      </w:r>
      <w:r>
        <w:rPr>
          <w:rFonts w:hint="eastAsia" w:ascii="宋体" w:hAnsi="宋体"/>
        </w:rPr>
        <w:t>）》、《江苏省建筑与装饰工程计价表（</w:t>
      </w:r>
      <w:r>
        <w:rPr>
          <w:rFonts w:ascii="宋体" w:hAnsi="宋体"/>
        </w:rPr>
        <w:t>20</w:t>
      </w:r>
      <w:r>
        <w:rPr>
          <w:rFonts w:hint="eastAsia" w:ascii="宋体" w:hAnsi="宋体"/>
        </w:rPr>
        <w:t>14）》、《江苏省建设工程费用定额》（</w:t>
      </w:r>
      <w:r>
        <w:rPr>
          <w:rFonts w:ascii="宋体" w:hAnsi="宋体"/>
        </w:rPr>
        <w:t>200</w:t>
      </w:r>
      <w:r>
        <w:rPr>
          <w:rFonts w:hint="eastAsia" w:ascii="宋体" w:hAnsi="宋体"/>
        </w:rPr>
        <w:t>14版）、苏建价（2016）154号文、苏建函价（20</w:t>
      </w:r>
      <w:r>
        <w:rPr>
          <w:rFonts w:hint="eastAsia" w:ascii="宋体" w:hAnsi="宋体"/>
          <w:lang w:val="en-US" w:eastAsia="zh-CN"/>
        </w:rPr>
        <w:t>26</w:t>
      </w:r>
      <w:r>
        <w:rPr>
          <w:rFonts w:hint="eastAsia" w:ascii="宋体" w:hAnsi="宋体"/>
        </w:rPr>
        <w:t>）</w:t>
      </w:r>
      <w:r>
        <w:rPr>
          <w:rFonts w:hint="eastAsia" w:ascii="宋体" w:hAnsi="宋体"/>
          <w:lang w:val="en-US" w:eastAsia="zh-CN"/>
        </w:rPr>
        <w:t>27</w:t>
      </w:r>
      <w:r>
        <w:rPr>
          <w:rFonts w:hint="eastAsia" w:ascii="宋体" w:hAnsi="宋体"/>
        </w:rPr>
        <w:t>号文</w:t>
      </w:r>
      <w:r>
        <w:rPr>
          <w:rFonts w:hint="eastAsia" w:ascii="宋体" w:hAnsi="宋体"/>
          <w:lang w:val="en-US" w:eastAsia="zh-CN"/>
        </w:rPr>
        <w:t>及</w:t>
      </w:r>
      <w:r>
        <w:rPr>
          <w:rFonts w:hint="eastAsia" w:ascii="宋体" w:hAnsi="宋体"/>
        </w:rPr>
        <w:t>其它相关文件。</w:t>
      </w:r>
    </w:p>
    <w:p w14:paraId="3B70D089">
      <w:pPr>
        <w:spacing w:line="360" w:lineRule="auto"/>
        <w:ind w:firstLine="420" w:firstLineChars="200"/>
        <w:rPr>
          <w:rFonts w:ascii="宋体" w:hAnsi="宋体"/>
        </w:rPr>
      </w:pPr>
      <w:r>
        <w:rPr>
          <w:rFonts w:ascii="宋体" w:hAnsi="宋体"/>
        </w:rPr>
        <w:t>5</w:t>
      </w:r>
      <w:r>
        <w:rPr>
          <w:rFonts w:hint="eastAsia" w:ascii="宋体" w:hAnsi="宋体"/>
        </w:rPr>
        <w:t>、本工程量清单应与招标文件、投标须知、施工图纸、工程规范、清单计价规范及相关文件等一起使用。</w:t>
      </w:r>
    </w:p>
    <w:p w14:paraId="185A5B1D">
      <w:pPr>
        <w:spacing w:line="360" w:lineRule="auto"/>
        <w:rPr>
          <w:rFonts w:ascii="宋体" w:hAnsi="宋体"/>
          <w:b/>
        </w:rPr>
      </w:pPr>
      <w:r>
        <w:rPr>
          <w:rFonts w:hint="eastAsia" w:ascii="宋体" w:hAnsi="宋体"/>
          <w:b/>
        </w:rPr>
        <w:t>四、工程类别：水利工程</w:t>
      </w:r>
    </w:p>
    <w:p w14:paraId="25F3D348">
      <w:pPr>
        <w:spacing w:line="360" w:lineRule="auto"/>
        <w:rPr>
          <w:rFonts w:ascii="宋体" w:hAnsi="宋体"/>
          <w:b/>
        </w:rPr>
      </w:pPr>
      <w:r>
        <w:rPr>
          <w:rFonts w:hint="eastAsia" w:ascii="宋体" w:hAnsi="宋体"/>
          <w:b/>
        </w:rPr>
        <w:t>五、质量要求：合格</w:t>
      </w:r>
    </w:p>
    <w:p w14:paraId="32DD898B">
      <w:pPr>
        <w:spacing w:line="360" w:lineRule="auto"/>
        <w:rPr>
          <w:rFonts w:ascii="宋体" w:hAnsi="宋体"/>
          <w:b/>
        </w:rPr>
      </w:pPr>
      <w:r>
        <w:rPr>
          <w:rFonts w:hint="eastAsia" w:ascii="宋体" w:hAnsi="宋体"/>
          <w:b/>
        </w:rPr>
        <w:t>六、工期要求：见招标文件要求。</w:t>
      </w:r>
    </w:p>
    <w:p w14:paraId="077A705A">
      <w:pPr>
        <w:spacing w:line="360" w:lineRule="auto"/>
        <w:rPr>
          <w:rFonts w:ascii="宋体" w:hAnsi="宋体"/>
          <w:b/>
        </w:rPr>
      </w:pPr>
      <w:r>
        <w:rPr>
          <w:rFonts w:hint="eastAsia" w:ascii="宋体" w:hAnsi="宋体"/>
          <w:b/>
        </w:rPr>
        <w:t>七、现场安全文明措施费、规费、税金等</w:t>
      </w:r>
      <w:r>
        <w:rPr>
          <w:rFonts w:hint="eastAsia" w:ascii="宋体" w:hAnsi="宋体"/>
          <w:b/>
          <w:color w:val="FF0000"/>
        </w:rPr>
        <w:t>不可竞争费</w:t>
      </w:r>
      <w:r>
        <w:rPr>
          <w:rFonts w:hint="eastAsia" w:ascii="宋体" w:hAnsi="宋体"/>
          <w:b/>
        </w:rPr>
        <w:t>，取费标准如下：</w:t>
      </w:r>
    </w:p>
    <w:p w14:paraId="1E6875E9">
      <w:pPr>
        <w:spacing w:line="360" w:lineRule="auto"/>
        <w:ind w:firstLine="420" w:firstLineChars="200"/>
        <w:rPr>
          <w:rFonts w:ascii="宋体" w:hAnsi="宋体"/>
          <w:color w:val="FF0000"/>
        </w:rPr>
      </w:pPr>
      <w:r>
        <w:rPr>
          <w:rFonts w:hint="eastAsia" w:ascii="宋体" w:hAnsi="宋体"/>
          <w:color w:val="FF0000"/>
        </w:rPr>
        <w:t>（1）水利工程税金为不可竞争费：税率为9%。</w:t>
      </w:r>
    </w:p>
    <w:p w14:paraId="0E6CB0C4">
      <w:pPr>
        <w:spacing w:line="360" w:lineRule="auto"/>
        <w:ind w:firstLine="420" w:firstLineChars="200"/>
        <w:rPr>
          <w:rFonts w:ascii="宋体" w:hAnsi="宋体"/>
          <w:color w:val="FF0000"/>
        </w:rPr>
      </w:pPr>
      <w:r>
        <w:rPr>
          <w:rFonts w:hint="eastAsia" w:ascii="宋体" w:hAnsi="宋体"/>
          <w:color w:val="FF0000"/>
        </w:rPr>
        <w:t>（2）安全文明措施费：投标单位应当根据招标文件，结合工程特点及自身的施工技术和管理水平，按照水利建设工程安全文明措施费分解表进行逐项、合理报价，且总价不低于招标文件确定的安全文明措施费，具体金额如下：</w:t>
      </w:r>
    </w:p>
    <w:tbl>
      <w:tblPr>
        <w:tblStyle w:val="5"/>
        <w:tblW w:w="878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5529"/>
        <w:gridCol w:w="2409"/>
      </w:tblGrid>
      <w:tr w14:paraId="3249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50" w:type="dxa"/>
            <w:vAlign w:val="center"/>
          </w:tcPr>
          <w:p w14:paraId="11A9CAE1">
            <w:pPr>
              <w:widowControl/>
              <w:spacing w:line="360" w:lineRule="auto"/>
              <w:jc w:val="center"/>
              <w:rPr>
                <w:rFonts w:ascii="宋体" w:cs="宋体"/>
                <w:bCs/>
                <w:color w:val="FF0000"/>
                <w:kern w:val="0"/>
                <w:lang w:bidi="ar"/>
              </w:rPr>
            </w:pPr>
            <w:r>
              <w:rPr>
                <w:rFonts w:hint="eastAsia" w:ascii="宋体" w:cs="宋体"/>
                <w:b/>
                <w:kern w:val="0"/>
              </w:rPr>
              <w:t>序号</w:t>
            </w:r>
          </w:p>
        </w:tc>
        <w:tc>
          <w:tcPr>
            <w:tcW w:w="5529" w:type="dxa"/>
            <w:vAlign w:val="center"/>
          </w:tcPr>
          <w:p w14:paraId="0FE34854">
            <w:pPr>
              <w:widowControl/>
              <w:spacing w:line="360" w:lineRule="auto"/>
              <w:jc w:val="center"/>
              <w:rPr>
                <w:rFonts w:ascii="宋体" w:cs="宋体"/>
                <w:bCs/>
                <w:color w:val="FF0000"/>
                <w:kern w:val="0"/>
                <w:lang w:bidi="ar"/>
              </w:rPr>
            </w:pPr>
            <w:r>
              <w:rPr>
                <w:rFonts w:hint="eastAsia" w:ascii="宋体" w:cs="宋体"/>
                <w:b/>
                <w:kern w:val="0"/>
              </w:rPr>
              <w:t>单位工程名称</w:t>
            </w:r>
          </w:p>
        </w:tc>
        <w:tc>
          <w:tcPr>
            <w:tcW w:w="2409" w:type="dxa"/>
            <w:vAlign w:val="center"/>
          </w:tcPr>
          <w:p w14:paraId="1F39B539">
            <w:pPr>
              <w:widowControl/>
              <w:spacing w:line="360" w:lineRule="auto"/>
              <w:jc w:val="center"/>
              <w:rPr>
                <w:rFonts w:ascii="宋体" w:cs="宋体"/>
                <w:bCs/>
                <w:color w:val="FF0000"/>
                <w:kern w:val="0"/>
                <w:lang w:bidi="ar"/>
              </w:rPr>
            </w:pPr>
            <w:r>
              <w:rPr>
                <w:rFonts w:hint="eastAsia" w:ascii="宋体" w:cs="宋体"/>
                <w:b/>
                <w:kern w:val="0"/>
              </w:rPr>
              <w:t>金额（元）</w:t>
            </w:r>
          </w:p>
        </w:tc>
      </w:tr>
      <w:tr w14:paraId="5864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50" w:type="dxa"/>
            <w:vAlign w:val="center"/>
          </w:tcPr>
          <w:p w14:paraId="3BE5C422">
            <w:pPr>
              <w:autoSpaceDE w:val="0"/>
              <w:autoSpaceDN w:val="0"/>
              <w:adjustRightInd w:val="0"/>
              <w:spacing w:line="360" w:lineRule="auto"/>
              <w:ind w:right="170"/>
              <w:jc w:val="center"/>
              <w:rPr>
                <w:rFonts w:ascii="宋体" w:cs="宋体"/>
                <w:bCs/>
                <w:color w:val="FF0000"/>
                <w:kern w:val="0"/>
                <w:lang w:bidi="ar"/>
              </w:rPr>
            </w:pPr>
            <w:r>
              <w:rPr>
                <w:rFonts w:hint="eastAsia" w:ascii="宋体" w:cs="宋体"/>
                <w:bCs/>
                <w:color w:val="FF0000"/>
                <w:kern w:val="0"/>
                <w:lang w:bidi="ar"/>
              </w:rPr>
              <w:t>1</w:t>
            </w:r>
          </w:p>
        </w:tc>
        <w:tc>
          <w:tcPr>
            <w:tcW w:w="5529" w:type="dxa"/>
            <w:vAlign w:val="center"/>
          </w:tcPr>
          <w:p w14:paraId="0536C8D9">
            <w:pPr>
              <w:autoSpaceDE w:val="0"/>
              <w:autoSpaceDN w:val="0"/>
              <w:adjustRightInd w:val="0"/>
              <w:ind w:right="170"/>
              <w:jc w:val="center"/>
              <w:rPr>
                <w:rFonts w:hint="eastAsia" w:ascii="宋体" w:eastAsia="宋体" w:cs="宋体"/>
                <w:color w:val="FF0000"/>
                <w:kern w:val="0"/>
                <w:sz w:val="18"/>
                <w:szCs w:val="18"/>
                <w:lang w:eastAsia="zh-CN"/>
              </w:rPr>
            </w:pPr>
            <w:r>
              <w:rPr>
                <w:rFonts w:hint="eastAsia" w:ascii="宋体" w:cs="宋体"/>
                <w:color w:val="FF0000"/>
                <w:kern w:val="0"/>
                <w:sz w:val="18"/>
                <w:szCs w:val="18"/>
                <w:lang w:eastAsia="zh-CN"/>
              </w:rPr>
              <w:t>藻水分离站、控藻井电气设备养护及电气预防性试验、藻水分离站维修项目</w:t>
            </w:r>
          </w:p>
        </w:tc>
        <w:tc>
          <w:tcPr>
            <w:tcW w:w="2409" w:type="dxa"/>
            <w:vAlign w:val="center"/>
          </w:tcPr>
          <w:p w14:paraId="51154095">
            <w:pPr>
              <w:autoSpaceDE w:val="0"/>
              <w:autoSpaceDN w:val="0"/>
              <w:adjustRightInd w:val="0"/>
              <w:spacing w:line="360" w:lineRule="auto"/>
              <w:ind w:right="170"/>
              <w:jc w:val="center"/>
              <w:rPr>
                <w:rFonts w:hint="default" w:ascii="宋体" w:eastAsia="宋体" w:cs="宋体"/>
                <w:bCs/>
                <w:color w:val="FF0000"/>
                <w:kern w:val="0"/>
                <w:lang w:val="en-US" w:eastAsia="zh-CN" w:bidi="ar"/>
              </w:rPr>
            </w:pPr>
            <w:r>
              <w:rPr>
                <w:rFonts w:hint="eastAsia" w:ascii="宋体" w:cs="宋体"/>
                <w:bCs/>
                <w:color w:val="FF0000"/>
                <w:kern w:val="0"/>
                <w:lang w:val="en-US" w:eastAsia="zh-CN" w:bidi="ar"/>
              </w:rPr>
              <w:t>26564.05</w:t>
            </w:r>
            <w:bookmarkStart w:id="1" w:name="_GoBack"/>
            <w:bookmarkEnd w:id="1"/>
          </w:p>
        </w:tc>
      </w:tr>
    </w:tbl>
    <w:p w14:paraId="25A83BBB">
      <w:pPr>
        <w:adjustRightInd w:val="0"/>
        <w:snapToGrid w:val="0"/>
        <w:spacing w:line="360" w:lineRule="auto"/>
        <w:ind w:right="25" w:rightChars="12"/>
        <w:rPr>
          <w:rFonts w:ascii="宋体" w:hAnsi="宋体"/>
          <w:b/>
        </w:rPr>
      </w:pPr>
      <w:r>
        <w:rPr>
          <w:rFonts w:hint="eastAsia" w:ascii="宋体" w:hAnsi="宋体"/>
          <w:b/>
        </w:rPr>
        <w:t>八、</w:t>
      </w:r>
      <w:r>
        <w:rPr>
          <w:rFonts w:hint="eastAsia" w:ascii="宋体" w:hAnsi="宋体"/>
          <w:b/>
          <w:sz w:val="24"/>
        </w:rPr>
        <w:t>其他相关问题的补充说明</w:t>
      </w:r>
      <w:r>
        <w:rPr>
          <w:rFonts w:hint="eastAsia" w:ascii="宋体" w:hAnsi="宋体"/>
          <w:b/>
        </w:rPr>
        <w:t>：</w:t>
      </w:r>
    </w:p>
    <w:p w14:paraId="42C20BC5">
      <w:pPr>
        <w:spacing w:line="360" w:lineRule="auto"/>
        <w:ind w:firstLine="420" w:firstLineChars="200"/>
        <w:rPr>
          <w:rFonts w:ascii="宋体" w:hAnsi="宋体"/>
        </w:rPr>
      </w:pPr>
      <w:r>
        <w:rPr>
          <w:rFonts w:hint="eastAsia" w:ascii="宋体" w:hAnsi="宋体"/>
        </w:rPr>
        <w:t>1、本工程量清单应与投标须知、招标文件、施工验收规范、施工图纸、清单计价规范等相关文件一起使用；</w:t>
      </w:r>
    </w:p>
    <w:p w14:paraId="56A8C95C">
      <w:pPr>
        <w:spacing w:line="360" w:lineRule="auto"/>
        <w:ind w:firstLine="420" w:firstLineChars="200"/>
        <w:rPr>
          <w:rFonts w:ascii="宋体" w:hAnsi="宋体"/>
        </w:rPr>
      </w:pPr>
      <w:r>
        <w:rPr>
          <w:rFonts w:hint="eastAsia" w:ascii="宋体" w:hAnsi="宋体"/>
        </w:rPr>
        <w:t>2、项目指引“工程内容”中列举了分项工程计量范围内完成本分项工程应有的工作内容，凡说明了的工作内容均应包括在报价范围中，清单中未描述到但又是完成分项工程必须有的工作内容，也应包括在报价中。工程量清单内项目特征描述与技术要求相矛盾时，以技术要求为准；</w:t>
      </w:r>
    </w:p>
    <w:p w14:paraId="3DB42863">
      <w:pPr>
        <w:spacing w:line="360" w:lineRule="auto"/>
        <w:ind w:firstLine="420" w:firstLineChars="200"/>
        <w:rPr>
          <w:rFonts w:ascii="宋体" w:hAnsi="宋体"/>
        </w:rPr>
      </w:pPr>
      <w:r>
        <w:rPr>
          <w:rFonts w:hint="eastAsia" w:ascii="宋体" w:hAnsi="宋体"/>
        </w:rPr>
        <w:t>3、投标人应充分踏勘现场的基础上报价，可根据实际情况、施工组织设计采取的方案及施工设计图相应增加施工措施项目费，纳入投标报价中；对招标人所列的措施项目，投标人可根据工程实际的施工组织设计进行增补，但不应更改招标人已列措施项目。结算时，除工程变更引起施工方案改变外，中标人不得以招标工程措施项目清单缺项为由要求新增措施项目（具体按锡建价[2014]5号文规定执行）；</w:t>
      </w:r>
    </w:p>
    <w:p w14:paraId="589D5901">
      <w:pPr>
        <w:spacing w:line="360" w:lineRule="auto"/>
        <w:ind w:firstLine="420" w:firstLineChars="200"/>
        <w:rPr>
          <w:rFonts w:ascii="宋体" w:hAnsi="宋体"/>
        </w:rPr>
      </w:pPr>
      <w:r>
        <w:rPr>
          <w:rFonts w:hint="eastAsia" w:ascii="宋体" w:hAnsi="宋体"/>
        </w:rPr>
        <w:t>4、工程量清单中有个别分部项目图纸表示不明或缺项时，请按项目特征描述及工程质量验收规范等相关规定做法报价；</w:t>
      </w:r>
    </w:p>
    <w:p w14:paraId="14FB74C4">
      <w:pPr>
        <w:spacing w:line="360" w:lineRule="auto"/>
        <w:ind w:firstLine="420" w:firstLineChars="200"/>
        <w:rPr>
          <w:rFonts w:ascii="宋体" w:hAnsi="宋体"/>
        </w:rPr>
      </w:pPr>
      <w:r>
        <w:rPr>
          <w:rFonts w:hint="eastAsia" w:ascii="宋体" w:hAnsi="宋体"/>
        </w:rPr>
        <w:t>5、投标单位报价时，除工程量清单项目特征描述的内容必须满足外，同时必须满足设计规范、设计图纸、施工规范的要求；</w:t>
      </w:r>
    </w:p>
    <w:p w14:paraId="51286AC4">
      <w:pPr>
        <w:spacing w:line="360" w:lineRule="auto"/>
        <w:ind w:firstLine="420" w:firstLineChars="200"/>
        <w:rPr>
          <w:rFonts w:ascii="宋体" w:hAnsi="宋体"/>
        </w:rPr>
      </w:pPr>
      <w:r>
        <w:rPr>
          <w:rFonts w:hint="eastAsia" w:ascii="宋体" w:hAnsi="宋体"/>
        </w:rPr>
        <w:t>6、工程量清单及其计价格式中的任何内容不得随意删改；</w:t>
      </w:r>
    </w:p>
    <w:p w14:paraId="17C485D4">
      <w:pPr>
        <w:spacing w:line="360" w:lineRule="auto"/>
        <w:ind w:firstLine="420" w:firstLineChars="200"/>
        <w:rPr>
          <w:rFonts w:ascii="宋体" w:hAnsi="宋体"/>
        </w:rPr>
      </w:pPr>
      <w:r>
        <w:rPr>
          <w:rFonts w:hint="eastAsia" w:ascii="宋体" w:hAnsi="宋体"/>
        </w:rPr>
        <w:t>7、施工工艺以图纸、清单特征描述及相关规定为准，工程量投标时以清单为准，按实结算；</w:t>
      </w:r>
    </w:p>
    <w:p w14:paraId="426FC1E8">
      <w:pPr>
        <w:spacing w:line="360" w:lineRule="auto"/>
        <w:ind w:firstLine="420" w:firstLineChars="200"/>
        <w:rPr>
          <w:rFonts w:ascii="宋体" w:hAnsi="宋体"/>
        </w:rPr>
      </w:pPr>
      <w:r>
        <w:rPr>
          <w:rFonts w:hint="eastAsia" w:ascii="宋体" w:hAnsi="宋体"/>
        </w:rPr>
        <w:t>8、施工时发生的土方、装修垃圾运输由投标单位自行考虑，施工运输路线按规定向相关部门报备，所产生费用由投标单位自理；</w:t>
      </w:r>
    </w:p>
    <w:p w14:paraId="26480851">
      <w:pPr>
        <w:spacing w:line="360" w:lineRule="auto"/>
        <w:ind w:firstLine="420" w:firstLineChars="200"/>
        <w:rPr>
          <w:rFonts w:ascii="宋体" w:hAnsi="宋体"/>
        </w:rPr>
      </w:pPr>
      <w:r>
        <w:rPr>
          <w:rFonts w:hint="eastAsia" w:ascii="宋体" w:hAnsi="宋体"/>
        </w:rPr>
        <w:t>9、在施工过程中，与物业、城管、环保等外部单位协调过程中可能发生的所有费用，均需考虑在投标报价中，以后不再另行结算；</w:t>
      </w:r>
    </w:p>
    <w:p w14:paraId="6EA6C521">
      <w:pPr>
        <w:spacing w:line="360" w:lineRule="auto"/>
        <w:ind w:firstLine="420" w:firstLineChars="200"/>
        <w:rPr>
          <w:rFonts w:ascii="宋体" w:hAnsi="宋体"/>
        </w:rPr>
      </w:pPr>
      <w:r>
        <w:rPr>
          <w:rFonts w:hint="eastAsia" w:ascii="宋体" w:hAnsi="宋体"/>
        </w:rPr>
        <w:t>10、材料检测费等所有检测费用（施工企业按规定进行建筑材料、构配件等试样的制作、封样、送达和其他为保证工程质量进行的材料检验试验工作所发生的费用），包括因为消防等需要检测的费用，需包含在投标报价中，以后不再另行结算；</w:t>
      </w:r>
    </w:p>
    <w:p w14:paraId="2AB0FB4F">
      <w:pPr>
        <w:spacing w:line="360" w:lineRule="auto"/>
        <w:ind w:firstLine="420" w:firstLineChars="200"/>
        <w:rPr>
          <w:rFonts w:ascii="宋体" w:hAnsi="宋体"/>
        </w:rPr>
      </w:pPr>
      <w:r>
        <w:rPr>
          <w:rFonts w:hint="eastAsia" w:ascii="宋体" w:hAnsi="宋体"/>
        </w:rPr>
        <w:t>11、施工所需脚手架费用，投标人统一在单体中考虑；</w:t>
      </w:r>
    </w:p>
    <w:p w14:paraId="5802511F">
      <w:pPr>
        <w:spacing w:line="360" w:lineRule="auto"/>
        <w:ind w:firstLine="420" w:firstLineChars="200"/>
        <w:rPr>
          <w:rFonts w:ascii="宋体" w:hAnsi="宋体"/>
        </w:rPr>
      </w:pPr>
      <w:r>
        <w:rPr>
          <w:rFonts w:hint="eastAsia" w:ascii="宋体" w:hAnsi="宋体"/>
        </w:rPr>
        <w:t>12、施工用水用电</w:t>
      </w:r>
      <w:r>
        <w:rPr>
          <w:rFonts w:ascii="宋体" w:hAnsi="宋体"/>
        </w:rPr>
        <w:t>由投标单位自行解决，费用考虑在报价内</w:t>
      </w:r>
      <w:r>
        <w:rPr>
          <w:rFonts w:hint="eastAsia" w:ascii="宋体" w:hAnsi="宋体"/>
        </w:rPr>
        <w:t>；</w:t>
      </w:r>
    </w:p>
    <w:p w14:paraId="11CBF157">
      <w:pPr>
        <w:spacing w:line="360" w:lineRule="auto"/>
        <w:ind w:firstLine="420" w:firstLineChars="200"/>
        <w:rPr>
          <w:rFonts w:ascii="宋体" w:hAnsi="宋体"/>
        </w:rPr>
      </w:pPr>
      <w:r>
        <w:rPr>
          <w:rFonts w:hint="eastAsia" w:ascii="宋体" w:hAnsi="宋体"/>
        </w:rPr>
        <w:t>13、保险费：投标人自行才考虑，结算凭发票（保单）结算按实报销，但不超过投标价，保险品种但不限于含工程保险费、安全生产责任保险费、建筑业工伤保险费等；</w:t>
      </w:r>
    </w:p>
    <w:p w14:paraId="13D76E4B">
      <w:pPr>
        <w:spacing w:line="360" w:lineRule="auto"/>
        <w:ind w:firstLine="420" w:firstLineChars="200"/>
        <w:rPr>
          <w:rFonts w:ascii="宋体" w:hAnsi="宋体"/>
        </w:rPr>
      </w:pPr>
      <w:r>
        <w:rPr>
          <w:rFonts w:hint="eastAsia" w:ascii="宋体" w:hAnsi="宋体"/>
        </w:rPr>
        <w:t>14、暂列金额（不含税）：0元；</w:t>
      </w:r>
    </w:p>
    <w:p w14:paraId="25F3269A">
      <w:pPr>
        <w:spacing w:line="360" w:lineRule="auto"/>
        <w:ind w:firstLine="420" w:firstLineChars="200"/>
        <w:rPr>
          <w:rFonts w:ascii="宋体" w:hAnsi="宋体"/>
        </w:rPr>
      </w:pPr>
      <w:r>
        <w:rPr>
          <w:rFonts w:hint="eastAsia" w:ascii="宋体" w:hAnsi="宋体"/>
        </w:rPr>
        <w:t>15、现场安全由投标单位自行负责，自行承担；</w:t>
      </w:r>
    </w:p>
    <w:p w14:paraId="4D613AD7">
      <w:pPr>
        <w:adjustRightInd w:val="0"/>
        <w:snapToGrid w:val="0"/>
        <w:spacing w:line="360" w:lineRule="auto"/>
        <w:ind w:right="25" w:rightChars="12"/>
        <w:rPr>
          <w:rFonts w:ascii="宋体" w:hAnsi="宋体"/>
          <w:b/>
        </w:rPr>
      </w:pPr>
      <w:r>
        <w:rPr>
          <w:rFonts w:hint="eastAsia" w:ascii="宋体" w:hAnsi="宋体"/>
          <w:b/>
        </w:rPr>
        <w:t>九、本工程各部位所用的材料如有与图纸标注不符，均以图纸为准。</w:t>
      </w:r>
    </w:p>
    <w:p w14:paraId="75B149EC">
      <w:pPr>
        <w:adjustRightInd w:val="0"/>
        <w:snapToGrid w:val="0"/>
        <w:spacing w:line="360" w:lineRule="auto"/>
        <w:ind w:right="25" w:rightChars="12"/>
        <w:rPr>
          <w:rFonts w:ascii="宋体" w:hAnsi="宋体"/>
          <w:b/>
        </w:rPr>
      </w:pPr>
      <w:r>
        <w:rPr>
          <w:rFonts w:hint="eastAsia" w:ascii="宋体" w:hAnsi="宋体"/>
          <w:b/>
        </w:rPr>
        <w:t>十、本工程量清单中如有项目特征描述不全,一律按照施工图纸及相关规范要求等考虑。</w:t>
      </w:r>
    </w:p>
    <w:p w14:paraId="52539D58">
      <w:pPr>
        <w:spacing w:line="520" w:lineRule="exact"/>
        <w:ind w:firstLine="470" w:firstLineChars="196"/>
        <w:rPr>
          <w:rFonts w:ascii="宋体" w:hAnsi="宋体" w:cs="宋体"/>
          <w:sz w:val="24"/>
          <w:szCs w:val="24"/>
        </w:rPr>
      </w:pPr>
    </w:p>
    <w:p w14:paraId="7E10A35B">
      <w:pPr>
        <w:spacing w:line="520" w:lineRule="exact"/>
        <w:ind w:firstLine="470" w:firstLineChars="196"/>
        <w:rPr>
          <w:rFonts w:ascii="宋体" w:hAnsi="宋体" w:cs="宋体"/>
          <w:sz w:val="24"/>
          <w:szCs w:val="24"/>
        </w:rPr>
      </w:pPr>
    </w:p>
    <w:p w14:paraId="442D5731">
      <w:pPr>
        <w:spacing w:line="360" w:lineRule="auto"/>
        <w:ind w:firstLine="420" w:firstLineChars="200"/>
        <w:rPr>
          <w:rFonts w:ascii="宋体" w:hAnsi="宋体"/>
        </w:rPr>
      </w:pPr>
      <w:r>
        <w:rPr>
          <w:rFonts w:hint="eastAsia" w:ascii="宋体" w:hAnsi="宋体"/>
        </w:rPr>
        <w:t>注：投标人必须按照本工程的“工程量清单编制说明”要求进行投标报价。投标人拟增加厂家或品牌的，应在招标文件规定的澄清答疑期限结束之前提出，满足招标文件中明确的技术标准和质量要求，并由招标人同意。</w:t>
      </w:r>
    </w:p>
    <w:p w14:paraId="27B8256E">
      <w:pPr>
        <w:spacing w:line="360" w:lineRule="auto"/>
        <w:rPr>
          <w:rFonts w:ascii="宋体" w:hAnsi="宋体"/>
          <w:sz w:val="24"/>
          <w:szCs w:val="24"/>
        </w:rPr>
      </w:pPr>
      <w:r>
        <w:rPr>
          <w:rFonts w:hint="eastAsia" w:ascii="宋体" w:hAnsi="宋体"/>
          <w:sz w:val="24"/>
          <w:szCs w:val="24"/>
        </w:rPr>
        <w:t xml:space="preserve">                                        </w:t>
      </w:r>
    </w:p>
    <w:p w14:paraId="2CDC4243">
      <w:pPr>
        <w:spacing w:line="360" w:lineRule="auto"/>
        <w:ind w:left="-420" w:leftChars="-200" w:firstLine="840" w:firstLineChars="350"/>
        <w:rPr>
          <w:rFonts w:ascii="宋体" w:hAnsi="宋体"/>
          <w:sz w:val="24"/>
          <w:szCs w:val="24"/>
        </w:rPr>
      </w:pPr>
      <w:r>
        <w:rPr>
          <w:rFonts w:hint="eastAsia" w:ascii="宋体" w:hAnsi="宋体"/>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ZmM3ZmEyMTY2MGZiYTZiOWQ5YzBjMjQxNjYwMzcifQ=="/>
  </w:docVars>
  <w:rsids>
    <w:rsidRoot w:val="00015B1C"/>
    <w:rsid w:val="00015B1C"/>
    <w:rsid w:val="00032455"/>
    <w:rsid w:val="00032487"/>
    <w:rsid w:val="0004128A"/>
    <w:rsid w:val="0004746B"/>
    <w:rsid w:val="0008576D"/>
    <w:rsid w:val="00087168"/>
    <w:rsid w:val="000A619F"/>
    <w:rsid w:val="000B0133"/>
    <w:rsid w:val="000F6A4A"/>
    <w:rsid w:val="001424E4"/>
    <w:rsid w:val="0015381E"/>
    <w:rsid w:val="001959CC"/>
    <w:rsid w:val="00197FCB"/>
    <w:rsid w:val="001A6B2B"/>
    <w:rsid w:val="001A7104"/>
    <w:rsid w:val="001D3A50"/>
    <w:rsid w:val="001D6147"/>
    <w:rsid w:val="002112AD"/>
    <w:rsid w:val="0024494C"/>
    <w:rsid w:val="0024796D"/>
    <w:rsid w:val="00261E1B"/>
    <w:rsid w:val="002844EB"/>
    <w:rsid w:val="002D33B4"/>
    <w:rsid w:val="003168CF"/>
    <w:rsid w:val="003305DC"/>
    <w:rsid w:val="00353881"/>
    <w:rsid w:val="003622F1"/>
    <w:rsid w:val="003A389C"/>
    <w:rsid w:val="003C3EAE"/>
    <w:rsid w:val="003F1254"/>
    <w:rsid w:val="00403DD0"/>
    <w:rsid w:val="004228E1"/>
    <w:rsid w:val="00430DA7"/>
    <w:rsid w:val="004327EE"/>
    <w:rsid w:val="00437AF1"/>
    <w:rsid w:val="00443748"/>
    <w:rsid w:val="00474C76"/>
    <w:rsid w:val="00491FBC"/>
    <w:rsid w:val="00492232"/>
    <w:rsid w:val="00492608"/>
    <w:rsid w:val="004C26DD"/>
    <w:rsid w:val="004C36AA"/>
    <w:rsid w:val="004E0863"/>
    <w:rsid w:val="004E6222"/>
    <w:rsid w:val="004E6344"/>
    <w:rsid w:val="004E7253"/>
    <w:rsid w:val="005250D1"/>
    <w:rsid w:val="00555D4A"/>
    <w:rsid w:val="0055604E"/>
    <w:rsid w:val="00564A99"/>
    <w:rsid w:val="00577EA2"/>
    <w:rsid w:val="005D0EA6"/>
    <w:rsid w:val="005E139B"/>
    <w:rsid w:val="005F5368"/>
    <w:rsid w:val="006038BA"/>
    <w:rsid w:val="006072EA"/>
    <w:rsid w:val="006207B2"/>
    <w:rsid w:val="006317C8"/>
    <w:rsid w:val="00661B3F"/>
    <w:rsid w:val="006705D1"/>
    <w:rsid w:val="00675D77"/>
    <w:rsid w:val="00691515"/>
    <w:rsid w:val="006A259A"/>
    <w:rsid w:val="006A4B42"/>
    <w:rsid w:val="006E3C84"/>
    <w:rsid w:val="006E59F2"/>
    <w:rsid w:val="006F571B"/>
    <w:rsid w:val="007016C9"/>
    <w:rsid w:val="007069AC"/>
    <w:rsid w:val="007A1930"/>
    <w:rsid w:val="007D2D78"/>
    <w:rsid w:val="00834FA8"/>
    <w:rsid w:val="008530C1"/>
    <w:rsid w:val="00856FF8"/>
    <w:rsid w:val="00873C0A"/>
    <w:rsid w:val="00875E5B"/>
    <w:rsid w:val="008A136E"/>
    <w:rsid w:val="00903E28"/>
    <w:rsid w:val="00914BB8"/>
    <w:rsid w:val="00931F75"/>
    <w:rsid w:val="00941C38"/>
    <w:rsid w:val="00951164"/>
    <w:rsid w:val="00951D2F"/>
    <w:rsid w:val="0096186B"/>
    <w:rsid w:val="00996566"/>
    <w:rsid w:val="009D3F27"/>
    <w:rsid w:val="009E132E"/>
    <w:rsid w:val="009E343B"/>
    <w:rsid w:val="00A068EB"/>
    <w:rsid w:val="00A06905"/>
    <w:rsid w:val="00A158EA"/>
    <w:rsid w:val="00A22176"/>
    <w:rsid w:val="00A43BFD"/>
    <w:rsid w:val="00A45A52"/>
    <w:rsid w:val="00A47A6A"/>
    <w:rsid w:val="00A5023F"/>
    <w:rsid w:val="00A543D8"/>
    <w:rsid w:val="00A6073B"/>
    <w:rsid w:val="00A673D3"/>
    <w:rsid w:val="00A93A39"/>
    <w:rsid w:val="00AA5FD4"/>
    <w:rsid w:val="00AB3DC7"/>
    <w:rsid w:val="00AB61DE"/>
    <w:rsid w:val="00B10100"/>
    <w:rsid w:val="00B4052F"/>
    <w:rsid w:val="00B4775F"/>
    <w:rsid w:val="00B54C8C"/>
    <w:rsid w:val="00BF2C07"/>
    <w:rsid w:val="00C02A84"/>
    <w:rsid w:val="00C22EEF"/>
    <w:rsid w:val="00C45353"/>
    <w:rsid w:val="00C54DC2"/>
    <w:rsid w:val="00C95809"/>
    <w:rsid w:val="00CA031A"/>
    <w:rsid w:val="00CE563D"/>
    <w:rsid w:val="00D25006"/>
    <w:rsid w:val="00D325EE"/>
    <w:rsid w:val="00D40D69"/>
    <w:rsid w:val="00D41327"/>
    <w:rsid w:val="00D42BEA"/>
    <w:rsid w:val="00D74B3D"/>
    <w:rsid w:val="00D769B2"/>
    <w:rsid w:val="00DC69DA"/>
    <w:rsid w:val="00DD2EFA"/>
    <w:rsid w:val="00DE4C29"/>
    <w:rsid w:val="00E50653"/>
    <w:rsid w:val="00E743DE"/>
    <w:rsid w:val="00E8435B"/>
    <w:rsid w:val="00EE6D93"/>
    <w:rsid w:val="00EF12EC"/>
    <w:rsid w:val="00F06B05"/>
    <w:rsid w:val="00F32A58"/>
    <w:rsid w:val="00F4244C"/>
    <w:rsid w:val="00F55B96"/>
    <w:rsid w:val="00F71B5F"/>
    <w:rsid w:val="00F8597B"/>
    <w:rsid w:val="00F91B77"/>
    <w:rsid w:val="00FB1D98"/>
    <w:rsid w:val="00FE1006"/>
    <w:rsid w:val="00FF0181"/>
    <w:rsid w:val="00FF1A51"/>
    <w:rsid w:val="012D1625"/>
    <w:rsid w:val="01517B1C"/>
    <w:rsid w:val="01541E88"/>
    <w:rsid w:val="01CC7C92"/>
    <w:rsid w:val="023B6BC5"/>
    <w:rsid w:val="02A9251A"/>
    <w:rsid w:val="02BA3F8E"/>
    <w:rsid w:val="02EF1E8A"/>
    <w:rsid w:val="02F70D3E"/>
    <w:rsid w:val="032629B2"/>
    <w:rsid w:val="037E7FE0"/>
    <w:rsid w:val="046248DD"/>
    <w:rsid w:val="04927C9F"/>
    <w:rsid w:val="04C44C50"/>
    <w:rsid w:val="05340028"/>
    <w:rsid w:val="055D607C"/>
    <w:rsid w:val="059A29F4"/>
    <w:rsid w:val="05E56F41"/>
    <w:rsid w:val="06675F45"/>
    <w:rsid w:val="06ED4932"/>
    <w:rsid w:val="071F2612"/>
    <w:rsid w:val="07247C28"/>
    <w:rsid w:val="077C7A64"/>
    <w:rsid w:val="07A64AE1"/>
    <w:rsid w:val="07F55CE0"/>
    <w:rsid w:val="08000695"/>
    <w:rsid w:val="081E6D6D"/>
    <w:rsid w:val="087B41C0"/>
    <w:rsid w:val="08B17BE1"/>
    <w:rsid w:val="08C571E9"/>
    <w:rsid w:val="09223DF3"/>
    <w:rsid w:val="098415EF"/>
    <w:rsid w:val="09AF2373"/>
    <w:rsid w:val="09BD5A09"/>
    <w:rsid w:val="09F558AC"/>
    <w:rsid w:val="0A255944"/>
    <w:rsid w:val="0A8F5D00"/>
    <w:rsid w:val="0ADC72AC"/>
    <w:rsid w:val="0B077F8D"/>
    <w:rsid w:val="0B5331D2"/>
    <w:rsid w:val="0B804AF0"/>
    <w:rsid w:val="0C3E373D"/>
    <w:rsid w:val="0C5C7E64"/>
    <w:rsid w:val="0C9800C2"/>
    <w:rsid w:val="0DAA5348"/>
    <w:rsid w:val="0DFF4F4B"/>
    <w:rsid w:val="0E3C619F"/>
    <w:rsid w:val="0E540DD3"/>
    <w:rsid w:val="0EA0672E"/>
    <w:rsid w:val="0EE3057E"/>
    <w:rsid w:val="0F601A19"/>
    <w:rsid w:val="0F73174D"/>
    <w:rsid w:val="0FB956F4"/>
    <w:rsid w:val="0FF90BC3"/>
    <w:rsid w:val="0FFA00C0"/>
    <w:rsid w:val="10476FD9"/>
    <w:rsid w:val="1052642D"/>
    <w:rsid w:val="10637A13"/>
    <w:rsid w:val="10A83678"/>
    <w:rsid w:val="10C734A1"/>
    <w:rsid w:val="111E393A"/>
    <w:rsid w:val="11316552"/>
    <w:rsid w:val="116C6D9B"/>
    <w:rsid w:val="11B31E0E"/>
    <w:rsid w:val="11BD4180"/>
    <w:rsid w:val="11F36B75"/>
    <w:rsid w:val="123A0C48"/>
    <w:rsid w:val="12436BA7"/>
    <w:rsid w:val="127E6D86"/>
    <w:rsid w:val="13230165"/>
    <w:rsid w:val="13497394"/>
    <w:rsid w:val="137D703E"/>
    <w:rsid w:val="13960100"/>
    <w:rsid w:val="13B709D1"/>
    <w:rsid w:val="13CD3EC7"/>
    <w:rsid w:val="13F015BE"/>
    <w:rsid w:val="14162A18"/>
    <w:rsid w:val="14524026"/>
    <w:rsid w:val="149363ED"/>
    <w:rsid w:val="15584AC8"/>
    <w:rsid w:val="156F0C08"/>
    <w:rsid w:val="159670D4"/>
    <w:rsid w:val="15E11B06"/>
    <w:rsid w:val="16534086"/>
    <w:rsid w:val="16936155"/>
    <w:rsid w:val="17704872"/>
    <w:rsid w:val="177B7D38"/>
    <w:rsid w:val="185F65DD"/>
    <w:rsid w:val="18AC5CCF"/>
    <w:rsid w:val="19301680"/>
    <w:rsid w:val="195F0D6F"/>
    <w:rsid w:val="19670574"/>
    <w:rsid w:val="19776C4E"/>
    <w:rsid w:val="19952FDA"/>
    <w:rsid w:val="19A54BF8"/>
    <w:rsid w:val="1A5D7CA4"/>
    <w:rsid w:val="1AB87621"/>
    <w:rsid w:val="1AC83294"/>
    <w:rsid w:val="1AF04599"/>
    <w:rsid w:val="1B3A75C2"/>
    <w:rsid w:val="1B732D09"/>
    <w:rsid w:val="1B9E3314"/>
    <w:rsid w:val="1C6F7740"/>
    <w:rsid w:val="1C751BC6"/>
    <w:rsid w:val="1CCC6940"/>
    <w:rsid w:val="1CE16195"/>
    <w:rsid w:val="1D3F73A2"/>
    <w:rsid w:val="1D430590"/>
    <w:rsid w:val="1D7414B2"/>
    <w:rsid w:val="1E3B3D7D"/>
    <w:rsid w:val="1E454BFC"/>
    <w:rsid w:val="1E7815F7"/>
    <w:rsid w:val="1EEE7042"/>
    <w:rsid w:val="1EF51BF7"/>
    <w:rsid w:val="1F58426F"/>
    <w:rsid w:val="1F6D61B8"/>
    <w:rsid w:val="1F8C3B95"/>
    <w:rsid w:val="1FAE5C4A"/>
    <w:rsid w:val="1FB32AC0"/>
    <w:rsid w:val="1FD46237"/>
    <w:rsid w:val="204B6C6E"/>
    <w:rsid w:val="20A0611A"/>
    <w:rsid w:val="20B322F1"/>
    <w:rsid w:val="20E6394D"/>
    <w:rsid w:val="214E5B76"/>
    <w:rsid w:val="21DB1B94"/>
    <w:rsid w:val="224A0A33"/>
    <w:rsid w:val="227C4964"/>
    <w:rsid w:val="22AC524A"/>
    <w:rsid w:val="22E569AE"/>
    <w:rsid w:val="238C6E29"/>
    <w:rsid w:val="23AB5501"/>
    <w:rsid w:val="24234425"/>
    <w:rsid w:val="242A723B"/>
    <w:rsid w:val="24AD2F90"/>
    <w:rsid w:val="24CE231E"/>
    <w:rsid w:val="24D12D46"/>
    <w:rsid w:val="259E67D5"/>
    <w:rsid w:val="25EF3DCB"/>
    <w:rsid w:val="26993D37"/>
    <w:rsid w:val="26C07516"/>
    <w:rsid w:val="26D60AE7"/>
    <w:rsid w:val="2734580E"/>
    <w:rsid w:val="275110C1"/>
    <w:rsid w:val="27C2106B"/>
    <w:rsid w:val="285C1338"/>
    <w:rsid w:val="28643ED1"/>
    <w:rsid w:val="28687E65"/>
    <w:rsid w:val="289F2E70"/>
    <w:rsid w:val="28BE7C20"/>
    <w:rsid w:val="295977AD"/>
    <w:rsid w:val="29A924E3"/>
    <w:rsid w:val="29C50CF6"/>
    <w:rsid w:val="29CE019B"/>
    <w:rsid w:val="2AF05EF0"/>
    <w:rsid w:val="2BA62564"/>
    <w:rsid w:val="2BC5737C"/>
    <w:rsid w:val="2C3342E6"/>
    <w:rsid w:val="2C372028"/>
    <w:rsid w:val="2CB90C8F"/>
    <w:rsid w:val="2CF63C91"/>
    <w:rsid w:val="2D2C76B3"/>
    <w:rsid w:val="2D4F15F3"/>
    <w:rsid w:val="2D9223C0"/>
    <w:rsid w:val="2DB947BC"/>
    <w:rsid w:val="2E00644A"/>
    <w:rsid w:val="2E9D1EEA"/>
    <w:rsid w:val="2FA554FB"/>
    <w:rsid w:val="2FAD0853"/>
    <w:rsid w:val="30676C54"/>
    <w:rsid w:val="30B359F5"/>
    <w:rsid w:val="30D2231F"/>
    <w:rsid w:val="311F308B"/>
    <w:rsid w:val="316B7457"/>
    <w:rsid w:val="32560D2E"/>
    <w:rsid w:val="329363D0"/>
    <w:rsid w:val="32B9519B"/>
    <w:rsid w:val="33596D28"/>
    <w:rsid w:val="33DB7683"/>
    <w:rsid w:val="33EC6C5A"/>
    <w:rsid w:val="341220B6"/>
    <w:rsid w:val="34CB67EC"/>
    <w:rsid w:val="351078BA"/>
    <w:rsid w:val="351F7AFD"/>
    <w:rsid w:val="354C7D56"/>
    <w:rsid w:val="355C665B"/>
    <w:rsid w:val="35A85D44"/>
    <w:rsid w:val="35C83CF1"/>
    <w:rsid w:val="35E87EEF"/>
    <w:rsid w:val="36621D30"/>
    <w:rsid w:val="36723C5D"/>
    <w:rsid w:val="36732F3F"/>
    <w:rsid w:val="36F17277"/>
    <w:rsid w:val="37492840"/>
    <w:rsid w:val="374C32AE"/>
    <w:rsid w:val="37664448"/>
    <w:rsid w:val="37A12A4B"/>
    <w:rsid w:val="381A41FD"/>
    <w:rsid w:val="381E409C"/>
    <w:rsid w:val="383C09C6"/>
    <w:rsid w:val="38F35529"/>
    <w:rsid w:val="395104A1"/>
    <w:rsid w:val="3951224F"/>
    <w:rsid w:val="39600B89"/>
    <w:rsid w:val="39B81EE2"/>
    <w:rsid w:val="39E918FB"/>
    <w:rsid w:val="3A053765"/>
    <w:rsid w:val="3A12378C"/>
    <w:rsid w:val="3A6C34FD"/>
    <w:rsid w:val="3A7D0D2C"/>
    <w:rsid w:val="3A9C399E"/>
    <w:rsid w:val="3AA778A2"/>
    <w:rsid w:val="3AC4707B"/>
    <w:rsid w:val="3ACE6E61"/>
    <w:rsid w:val="3AD1480A"/>
    <w:rsid w:val="3B162AEA"/>
    <w:rsid w:val="3B9334AF"/>
    <w:rsid w:val="3B9F72A2"/>
    <w:rsid w:val="3BDC04F6"/>
    <w:rsid w:val="3C0637C5"/>
    <w:rsid w:val="3C6D55F2"/>
    <w:rsid w:val="3CDD018E"/>
    <w:rsid w:val="3D491580"/>
    <w:rsid w:val="3D711622"/>
    <w:rsid w:val="3D793B23"/>
    <w:rsid w:val="3D89645B"/>
    <w:rsid w:val="3E4F1453"/>
    <w:rsid w:val="3E5E3444"/>
    <w:rsid w:val="3E79027E"/>
    <w:rsid w:val="3EA9261C"/>
    <w:rsid w:val="3EE703A3"/>
    <w:rsid w:val="3F1B557D"/>
    <w:rsid w:val="3FF37BBC"/>
    <w:rsid w:val="400B75FC"/>
    <w:rsid w:val="40907071"/>
    <w:rsid w:val="40CB405D"/>
    <w:rsid w:val="41483F38"/>
    <w:rsid w:val="41780576"/>
    <w:rsid w:val="4198317B"/>
    <w:rsid w:val="41BE73E4"/>
    <w:rsid w:val="4305012C"/>
    <w:rsid w:val="432319A5"/>
    <w:rsid w:val="438751EB"/>
    <w:rsid w:val="43C53F65"/>
    <w:rsid w:val="43F860E9"/>
    <w:rsid w:val="43FE03C1"/>
    <w:rsid w:val="443609BF"/>
    <w:rsid w:val="443E282A"/>
    <w:rsid w:val="447D73CA"/>
    <w:rsid w:val="448005AA"/>
    <w:rsid w:val="44CB2CBC"/>
    <w:rsid w:val="44F34753"/>
    <w:rsid w:val="450E7246"/>
    <w:rsid w:val="45124285"/>
    <w:rsid w:val="45DE2515"/>
    <w:rsid w:val="462F2A6E"/>
    <w:rsid w:val="463B050F"/>
    <w:rsid w:val="46C40504"/>
    <w:rsid w:val="479B74B7"/>
    <w:rsid w:val="4812530C"/>
    <w:rsid w:val="48180B08"/>
    <w:rsid w:val="48515DC8"/>
    <w:rsid w:val="485853A8"/>
    <w:rsid w:val="48B5359C"/>
    <w:rsid w:val="49117305"/>
    <w:rsid w:val="491E6ABE"/>
    <w:rsid w:val="493C0826"/>
    <w:rsid w:val="49C03205"/>
    <w:rsid w:val="49C043DE"/>
    <w:rsid w:val="49CA7BE0"/>
    <w:rsid w:val="49D825F6"/>
    <w:rsid w:val="4A314103"/>
    <w:rsid w:val="4A5C1FEF"/>
    <w:rsid w:val="4A68021F"/>
    <w:rsid w:val="4A693625"/>
    <w:rsid w:val="4A74303E"/>
    <w:rsid w:val="4A9A7396"/>
    <w:rsid w:val="4AC05487"/>
    <w:rsid w:val="4ADB7BCB"/>
    <w:rsid w:val="4AFD5D93"/>
    <w:rsid w:val="4B3F63AB"/>
    <w:rsid w:val="4B7F49FA"/>
    <w:rsid w:val="4BCC129A"/>
    <w:rsid w:val="4BF74ED8"/>
    <w:rsid w:val="4C137A41"/>
    <w:rsid w:val="4C1924BF"/>
    <w:rsid w:val="4C46376A"/>
    <w:rsid w:val="4C4F0870"/>
    <w:rsid w:val="4C5B0FC3"/>
    <w:rsid w:val="4C83338C"/>
    <w:rsid w:val="4C940979"/>
    <w:rsid w:val="4CA0731E"/>
    <w:rsid w:val="4D722A68"/>
    <w:rsid w:val="4DBA440F"/>
    <w:rsid w:val="4DC4528E"/>
    <w:rsid w:val="4DFA2A5E"/>
    <w:rsid w:val="4E265601"/>
    <w:rsid w:val="4EB23CC9"/>
    <w:rsid w:val="4ED64F4D"/>
    <w:rsid w:val="4EDE6B77"/>
    <w:rsid w:val="4F2C6C47"/>
    <w:rsid w:val="4F310701"/>
    <w:rsid w:val="4F805C90"/>
    <w:rsid w:val="4FAB400F"/>
    <w:rsid w:val="4FCE41A2"/>
    <w:rsid w:val="50281B04"/>
    <w:rsid w:val="50533BEF"/>
    <w:rsid w:val="507A6C4D"/>
    <w:rsid w:val="50F93CD9"/>
    <w:rsid w:val="518E3BE9"/>
    <w:rsid w:val="51B140B0"/>
    <w:rsid w:val="53364538"/>
    <w:rsid w:val="53E709D1"/>
    <w:rsid w:val="53E960D4"/>
    <w:rsid w:val="53EC2E48"/>
    <w:rsid w:val="53F71F19"/>
    <w:rsid w:val="545F186C"/>
    <w:rsid w:val="552F56E3"/>
    <w:rsid w:val="55713605"/>
    <w:rsid w:val="55C50D4B"/>
    <w:rsid w:val="55FB55C5"/>
    <w:rsid w:val="566413BC"/>
    <w:rsid w:val="56B20379"/>
    <w:rsid w:val="56B83142"/>
    <w:rsid w:val="56F25EDF"/>
    <w:rsid w:val="56F52014"/>
    <w:rsid w:val="57104E1F"/>
    <w:rsid w:val="574D00A2"/>
    <w:rsid w:val="57D4431F"/>
    <w:rsid w:val="57E722A5"/>
    <w:rsid w:val="58704048"/>
    <w:rsid w:val="58C32EC9"/>
    <w:rsid w:val="58E6430A"/>
    <w:rsid w:val="58F20F01"/>
    <w:rsid w:val="59350DEE"/>
    <w:rsid w:val="59457283"/>
    <w:rsid w:val="59464DA9"/>
    <w:rsid w:val="59D423B5"/>
    <w:rsid w:val="59EB6EDA"/>
    <w:rsid w:val="59EE4D9E"/>
    <w:rsid w:val="5A0E1D6B"/>
    <w:rsid w:val="5A3B2434"/>
    <w:rsid w:val="5A4C63EF"/>
    <w:rsid w:val="5BC36B85"/>
    <w:rsid w:val="5C10751E"/>
    <w:rsid w:val="5C4D368C"/>
    <w:rsid w:val="5C6A31FE"/>
    <w:rsid w:val="5C8A688E"/>
    <w:rsid w:val="5CE204D9"/>
    <w:rsid w:val="5CF63F32"/>
    <w:rsid w:val="5D6F0D72"/>
    <w:rsid w:val="5DCC6AAA"/>
    <w:rsid w:val="5DEA664B"/>
    <w:rsid w:val="5DF72B16"/>
    <w:rsid w:val="5E0678EA"/>
    <w:rsid w:val="5E5D6E1D"/>
    <w:rsid w:val="5EAE7F91"/>
    <w:rsid w:val="5EF76B46"/>
    <w:rsid w:val="5F096FA4"/>
    <w:rsid w:val="5F0A3285"/>
    <w:rsid w:val="5F48187B"/>
    <w:rsid w:val="5F926F9A"/>
    <w:rsid w:val="5FD96977"/>
    <w:rsid w:val="602D4A60"/>
    <w:rsid w:val="603F0108"/>
    <w:rsid w:val="60662C46"/>
    <w:rsid w:val="608F7035"/>
    <w:rsid w:val="6098413C"/>
    <w:rsid w:val="61363955"/>
    <w:rsid w:val="61555518"/>
    <w:rsid w:val="61BC1242"/>
    <w:rsid w:val="61E138C1"/>
    <w:rsid w:val="62341B21"/>
    <w:rsid w:val="623B56C7"/>
    <w:rsid w:val="635C3B47"/>
    <w:rsid w:val="639F1C85"/>
    <w:rsid w:val="63EB5306"/>
    <w:rsid w:val="642B5D8D"/>
    <w:rsid w:val="65140B04"/>
    <w:rsid w:val="65584B46"/>
    <w:rsid w:val="657333CA"/>
    <w:rsid w:val="65DC038E"/>
    <w:rsid w:val="66383CCB"/>
    <w:rsid w:val="6649502C"/>
    <w:rsid w:val="665723A3"/>
    <w:rsid w:val="66617F4E"/>
    <w:rsid w:val="67041926"/>
    <w:rsid w:val="675D60DF"/>
    <w:rsid w:val="677D0530"/>
    <w:rsid w:val="67A61834"/>
    <w:rsid w:val="67D143D7"/>
    <w:rsid w:val="67D77C40"/>
    <w:rsid w:val="68016A6B"/>
    <w:rsid w:val="6821710D"/>
    <w:rsid w:val="682A3D88"/>
    <w:rsid w:val="68481127"/>
    <w:rsid w:val="684D3A5E"/>
    <w:rsid w:val="68831B76"/>
    <w:rsid w:val="688D459A"/>
    <w:rsid w:val="68C46C46"/>
    <w:rsid w:val="694E3F32"/>
    <w:rsid w:val="6A18009C"/>
    <w:rsid w:val="6A234EB3"/>
    <w:rsid w:val="6A345616"/>
    <w:rsid w:val="6AC50223"/>
    <w:rsid w:val="6BDF56F1"/>
    <w:rsid w:val="6C30194F"/>
    <w:rsid w:val="6C9854C4"/>
    <w:rsid w:val="6CA4030D"/>
    <w:rsid w:val="6CA4577B"/>
    <w:rsid w:val="6CA83959"/>
    <w:rsid w:val="6CC22541"/>
    <w:rsid w:val="6CF973F0"/>
    <w:rsid w:val="6D433682"/>
    <w:rsid w:val="6DE20B7E"/>
    <w:rsid w:val="6DEF2790"/>
    <w:rsid w:val="6E22598D"/>
    <w:rsid w:val="6E781A51"/>
    <w:rsid w:val="6EC24B65"/>
    <w:rsid w:val="6F3F5EA0"/>
    <w:rsid w:val="6F4D07E7"/>
    <w:rsid w:val="6F7D5CC8"/>
    <w:rsid w:val="7018405C"/>
    <w:rsid w:val="70390D6C"/>
    <w:rsid w:val="706320EB"/>
    <w:rsid w:val="706E7D4A"/>
    <w:rsid w:val="71121CE9"/>
    <w:rsid w:val="71397275"/>
    <w:rsid w:val="713E625B"/>
    <w:rsid w:val="71684F31"/>
    <w:rsid w:val="717C3606"/>
    <w:rsid w:val="71AC1344"/>
    <w:rsid w:val="71FB452B"/>
    <w:rsid w:val="72227D09"/>
    <w:rsid w:val="724B6F7F"/>
    <w:rsid w:val="725325B9"/>
    <w:rsid w:val="72C47013"/>
    <w:rsid w:val="73041B05"/>
    <w:rsid w:val="7329156C"/>
    <w:rsid w:val="734B78E7"/>
    <w:rsid w:val="739B7BC7"/>
    <w:rsid w:val="73A555CB"/>
    <w:rsid w:val="73B47087"/>
    <w:rsid w:val="73C66DBA"/>
    <w:rsid w:val="73E7745D"/>
    <w:rsid w:val="73EF5BAA"/>
    <w:rsid w:val="74084FC4"/>
    <w:rsid w:val="747B7BA5"/>
    <w:rsid w:val="74B17A6A"/>
    <w:rsid w:val="74B8349E"/>
    <w:rsid w:val="753D12FE"/>
    <w:rsid w:val="75CF1A0B"/>
    <w:rsid w:val="763706AD"/>
    <w:rsid w:val="76397D18"/>
    <w:rsid w:val="7644557D"/>
    <w:rsid w:val="766034F6"/>
    <w:rsid w:val="768216BE"/>
    <w:rsid w:val="76FF633B"/>
    <w:rsid w:val="77640DC4"/>
    <w:rsid w:val="77AB254F"/>
    <w:rsid w:val="780F0D30"/>
    <w:rsid w:val="78797757"/>
    <w:rsid w:val="78857244"/>
    <w:rsid w:val="78D67AA0"/>
    <w:rsid w:val="79030169"/>
    <w:rsid w:val="79752E15"/>
    <w:rsid w:val="798474FC"/>
    <w:rsid w:val="799D236B"/>
    <w:rsid w:val="79AE3367"/>
    <w:rsid w:val="79BE1190"/>
    <w:rsid w:val="79D57D57"/>
    <w:rsid w:val="79DC10E6"/>
    <w:rsid w:val="79ED50A1"/>
    <w:rsid w:val="7A655C22"/>
    <w:rsid w:val="7A8552D9"/>
    <w:rsid w:val="7A9647D9"/>
    <w:rsid w:val="7A9F0EF7"/>
    <w:rsid w:val="7AB77117"/>
    <w:rsid w:val="7B1F572E"/>
    <w:rsid w:val="7B236A71"/>
    <w:rsid w:val="7B256ABC"/>
    <w:rsid w:val="7B7D2454"/>
    <w:rsid w:val="7B810197"/>
    <w:rsid w:val="7B971298"/>
    <w:rsid w:val="7BB475B1"/>
    <w:rsid w:val="7BE129E3"/>
    <w:rsid w:val="7BFD3E6C"/>
    <w:rsid w:val="7C1508DF"/>
    <w:rsid w:val="7C171A09"/>
    <w:rsid w:val="7C3963C1"/>
    <w:rsid w:val="7C5C02BC"/>
    <w:rsid w:val="7C5F33C2"/>
    <w:rsid w:val="7C6A6C95"/>
    <w:rsid w:val="7C8021FC"/>
    <w:rsid w:val="7D44147C"/>
    <w:rsid w:val="7D511DEB"/>
    <w:rsid w:val="7D6F62E9"/>
    <w:rsid w:val="7DE26685"/>
    <w:rsid w:val="7E4C610E"/>
    <w:rsid w:val="7EC565EC"/>
    <w:rsid w:val="7F0215EE"/>
    <w:rsid w:val="7F231565"/>
    <w:rsid w:val="7F5B485B"/>
    <w:rsid w:val="7FB14DC3"/>
    <w:rsid w:val="7FDC0EF6"/>
    <w:rsid w:val="7FE63771"/>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autoRedefine/>
    <w:semiHidden/>
    <w:unhideWhenUsed/>
    <w:qFormat/>
    <w:uiPriority w:val="99"/>
    <w:rPr>
      <w:sz w:val="21"/>
      <w:szCs w:val="21"/>
    </w:rPr>
  </w:style>
  <w:style w:type="character" w:customStyle="1" w:styleId="9">
    <w:name w:val="页眉 Char"/>
    <w:basedOn w:val="7"/>
    <w:link w:val="4"/>
    <w:autoRedefine/>
    <w:qFormat/>
    <w:uiPriority w:val="99"/>
    <w:rPr>
      <w:sz w:val="18"/>
      <w:szCs w:val="18"/>
    </w:rPr>
  </w:style>
  <w:style w:type="character" w:customStyle="1" w:styleId="10">
    <w:name w:val="页脚 Char"/>
    <w:basedOn w:val="7"/>
    <w:link w:val="3"/>
    <w:autoRedefine/>
    <w:qFormat/>
    <w:uiPriority w:val="99"/>
    <w:rPr>
      <w:sz w:val="18"/>
      <w:szCs w:val="18"/>
    </w:rPr>
  </w:style>
  <w:style w:type="paragraph" w:styleId="11">
    <w:name w:val="List Paragraph"/>
    <w:basedOn w:val="1"/>
    <w:autoRedefine/>
    <w:qFormat/>
    <w:uiPriority w:val="99"/>
    <w:pPr>
      <w:ind w:firstLine="420" w:firstLineChars="200"/>
    </w:pPr>
  </w:style>
  <w:style w:type="character" w:customStyle="1" w:styleId="12">
    <w:name w:val="font01"/>
    <w:autoRedefine/>
    <w:qFormat/>
    <w:uiPriority w:val="0"/>
    <w:rPr>
      <w:rFonts w:hint="eastAsia" w:ascii="宋体" w:hAnsi="宋体" w:eastAsia="宋体" w:cs="宋体"/>
      <w:color w:val="000000"/>
      <w:sz w:val="22"/>
      <w:szCs w:val="22"/>
      <w:u w:val="none"/>
    </w:rPr>
  </w:style>
  <w:style w:type="character" w:customStyle="1" w:styleId="13">
    <w:name w:val="font31"/>
    <w:basedOn w:val="7"/>
    <w:autoRedefine/>
    <w:qFormat/>
    <w:uiPriority w:val="0"/>
    <w:rPr>
      <w:rFonts w:hint="eastAsia" w:ascii="宋体" w:hAnsi="宋体" w:eastAsia="宋体" w:cs="宋体"/>
      <w:color w:val="000000"/>
      <w:sz w:val="20"/>
      <w:szCs w:val="20"/>
      <w:u w:val="none"/>
    </w:rPr>
  </w:style>
  <w:style w:type="character" w:customStyle="1" w:styleId="14">
    <w:name w:val="font41"/>
    <w:basedOn w:val="7"/>
    <w:autoRedefine/>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2134</Words>
  <Characters>2257</Characters>
  <Lines>16</Lines>
  <Paragraphs>4</Paragraphs>
  <TotalTime>0</TotalTime>
  <ScaleCrop>false</ScaleCrop>
  <LinksUpToDate>false</LinksUpToDate>
  <CharactersWithSpaces>2341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2021-05-20T21:29:00Z</dcterms:created>
  <dc:creator>chen hailin</dc:creator>
  <cp:lastModifiedBy>冰</cp:lastModifiedBy>
  <cp:lastPrinted>2024-09-24T08:31:00Z</cp:lastPrinted>
  <dcterms:modified xsi:type="dcterms:W3CDTF">2026-08-19T07:06:03Z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ED62846DEA4F44EB95DD64A7E9E500C0_13</vt:lpwstr>
  </property>
  <property fmtid="{D5CDD505-2E9C-101B-9397-08002B2CF9AE}" pid="4" name="KSOTemplateDocerSaveRecord">
    <vt:lpwstr>eyJoZGlkIjoiMDE1ZmM3ZmEyMTY2MGZiYTZiOWQ5YzBjMjQxNjYwMzciLCJ1c2VySWQiOiI0MTA5MjcxNDYifQ==</vt:lpwstr>
  </property>
</Properties>
</file>