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962"/>
        <w:rPr>
          <w:color w:val="000000"/>
          <w:highlight w:val="none"/>
        </w:rPr>
      </w:pPr>
      <w:r>
        <w:rPr>
          <w:color w:val="000000"/>
          <w:highlight w:val="none"/>
        </w:rPr>
      </w:r>
      <w:r/>
    </w:p>
    <w:p>
      <w:pPr>
        <w:pStyle w:val="973"/>
        <w:jc w:val="center"/>
        <w:rPr>
          <w:rFonts w:eastAsia="黑体"/>
          <w:b/>
          <w:bCs/>
          <w:color w:val="000000"/>
          <w:sz w:val="84"/>
          <w:highlight w:val="none"/>
        </w:rPr>
      </w:pPr>
      <w:r>
        <w:rPr>
          <w:rFonts w:hint="eastAsia" w:eastAsia="黑体"/>
          <w:b/>
          <w:bCs/>
          <w:color w:val="000000"/>
          <w:sz w:val="84"/>
          <w:highlight w:val="none"/>
        </w:rPr>
        <w:t xml:space="preserve">招　标　文　件</w:t>
      </w:r>
      <w:r/>
    </w:p>
    <w:p>
      <w:pPr>
        <w:ind w:firstLine="1508"/>
        <w:spacing w:line="420" w:lineRule="auto"/>
        <w:rPr>
          <w:b/>
          <w:color w:val="000000"/>
          <w:sz w:val="30"/>
          <w:szCs w:val="30"/>
          <w:highlight w:val="none"/>
          <w:u w:val="single"/>
        </w:rPr>
      </w:pPr>
      <w:r>
        <w:rPr>
          <w:rFonts w:hint="eastAsia"/>
          <w:b/>
          <w:color w:val="000000"/>
          <w:sz w:val="30"/>
          <w:szCs w:val="30"/>
          <w:highlight w:val="none"/>
        </w:rPr>
        <w:t xml:space="preserve">项目名称：</w:t>
      </w:r>
      <w:r>
        <w:rPr>
          <w:b/>
          <w:color w:val="000000"/>
          <w:sz w:val="30"/>
          <w:szCs w:val="30"/>
          <w:highlight w:val="none"/>
        </w:rPr>
        <w:t xml:space="preserve">2026年多校校园监控设备</w:t>
      </w:r>
      <w:r/>
    </w:p>
    <w:p>
      <w:pPr>
        <w:ind w:firstLine="1508"/>
        <w:spacing w:line="420" w:lineRule="auto"/>
        <w:rPr>
          <w:b/>
          <w:color w:val="000000"/>
          <w:sz w:val="30"/>
          <w:szCs w:val="30"/>
          <w:highlight w:val="none"/>
        </w:rPr>
      </w:pPr>
      <w:r>
        <w:rPr>
          <w:rFonts w:hint="eastAsia"/>
          <w:b/>
          <w:color w:val="000000"/>
          <w:sz w:val="30"/>
          <w:szCs w:val="30"/>
          <w:highlight w:val="none"/>
        </w:rPr>
        <w:t xml:space="preserve">项目编号：</w:t>
      </w:r>
      <w:r>
        <w:rPr>
          <w:b/>
          <w:color w:val="000000"/>
          <w:sz w:val="30"/>
          <w:szCs w:val="30"/>
          <w:highlight w:val="none"/>
        </w:rPr>
        <w:t xml:space="preserve">JSZC-320116-JZCG-G2026-002</w:t>
      </w:r>
      <w:r>
        <w:rPr>
          <w:rFonts w:hint="eastAsia"/>
          <w:b/>
          <w:color w:val="000000"/>
          <w:sz w:val="30"/>
          <w:szCs w:val="30"/>
          <w:highlight w:val="none"/>
        </w:rPr>
        <w:t xml:space="preserve">9</w:t>
      </w:r>
      <w:r/>
    </w:p>
    <w:p>
      <w:pPr>
        <w:jc w:val="center"/>
        <w:rPr>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0"/>
        <w:jc w:val="center"/>
        <w:rPr>
          <w:b/>
          <w:bCs/>
          <w:sz w:val="32"/>
          <w:highlight w:val="none"/>
        </w:rPr>
      </w:pPr>
      <w:r>
        <w:rPr>
          <w:rFonts w:hint="eastAsia"/>
          <w:b/>
          <w:bCs/>
          <w:sz w:val="32"/>
          <w:highlight w:val="none"/>
        </w:rPr>
        <w:t xml:space="preserve">南京市公共资源交易中心六合分中心</w:t>
      </w:r>
      <w:r/>
    </w:p>
    <w:p>
      <w:pPr>
        <w:jc w:val="center"/>
        <w:rPr>
          <w:b/>
          <w:color w:val="000000"/>
          <w:sz w:val="32"/>
          <w:szCs w:val="32"/>
          <w:highlight w:val="none"/>
        </w:rPr>
      </w:pPr>
      <w:r>
        <w:rPr>
          <w:rFonts w:hint="eastAsia"/>
          <w:b/>
          <w:color w:val="000000"/>
          <w:sz w:val="32"/>
          <w:szCs w:val="32"/>
          <w:highlight w:val="none"/>
        </w:rPr>
        <w:t xml:space="preserve">2026年7月</w:t>
      </w:r>
      <w:r/>
    </w:p>
    <w:p>
      <w:pPr>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left"/>
        <w:spacing w:before="120" w:after="120" w:line="360" w:lineRule="auto"/>
        <w:rPr>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3"/>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投标邀请…………………………………… </w:t>
      </w:r>
      <w:r/>
    </w:p>
    <w:p>
      <w:pPr>
        <w:numPr>
          <w:ilvl w:val="0"/>
          <w:numId w:val="3"/>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投标人须知………………………………… </w:t>
      </w:r>
      <w:r/>
    </w:p>
    <w:p>
      <w:pPr>
        <w:numPr>
          <w:ilvl w:val="0"/>
          <w:numId w:val="3"/>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w:t>
      </w:r>
      <w:r/>
    </w:p>
    <w:p>
      <w:pPr>
        <w:numPr>
          <w:ilvl w:val="0"/>
          <w:numId w:val="3"/>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w:t>
      </w:r>
      <w:r/>
    </w:p>
    <w:p>
      <w:pPr>
        <w:numPr>
          <w:ilvl w:val="0"/>
          <w:numId w:val="3"/>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评标方法与评标标准………………………</w:t>
      </w:r>
      <w:r/>
    </w:p>
    <w:p>
      <w:pPr>
        <w:numPr>
          <w:ilvl w:val="0"/>
          <w:numId w:val="3"/>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投标文件格式………………………………</w:t>
      </w:r>
      <w:bookmarkEnd w:id="0"/>
      <w:r/>
      <w:r/>
    </w:p>
    <w:p>
      <w:pP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p>
    <w:p>
      <w:pPr>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2"/>
        <w:ind w:firstLine="465"/>
        <w:spacing w:before="145" w:after="145" w:line="252" w:lineRule="auto"/>
        <w:rPr>
          <w:rFonts w:hint="eastAsia" w:ascii="宋体" w:hAnsi="宋体" w:eastAsia="宋体" w:cs="Times New Roman"/>
          <w:color w:val="000000"/>
          <w:sz w:val="24"/>
          <w:szCs w:val="24"/>
          <w:highlight w:val="none"/>
        </w:rPr>
      </w:pPr>
      <w:r/>
      <w:bookmarkStart w:id="6" w:name="_Toc28359079"/>
      <w:r/>
      <w:bookmarkStart w:id="7" w:name="_Toc35393621"/>
      <w:r/>
      <w:bookmarkStart w:id="8" w:name="_Hlk24379207"/>
      <w:r/>
      <w:bookmarkStart w:id="9" w:name="_Toc35393790"/>
      <w:r/>
      <w:bookmarkStart w:id="10" w:name="_Toc28359002"/>
      <w:r/>
      <w:bookmarkStart w:id="11" w:name="_Toc38985263"/>
      <w:r>
        <w:rPr>
          <w:rFonts w:ascii="宋体" w:hAnsi="宋体" w:eastAsia="宋体" w:cs="Times New Roman"/>
          <w:color w:val="000000"/>
          <w:sz w:val="24"/>
          <w:szCs w:val="24"/>
          <w:highlight w:val="none"/>
        </w:rPr>
        <w:t xml:space="preserve">受</w:t>
      </w:r>
      <w:r>
        <w:rPr>
          <w:rFonts w:ascii="宋体" w:hAnsi="宋体" w:eastAsia="宋体" w:cs="Times New Roman"/>
          <w:b/>
          <w:bCs/>
          <w:color w:val="000000"/>
          <w:sz w:val="24"/>
          <w:szCs w:val="24"/>
          <w:highlight w:val="none"/>
          <w:u w:val="single"/>
        </w:rPr>
        <w:t xml:space="preserve">南京市六合区教育局</w:t>
      </w:r>
      <w:r>
        <w:rPr>
          <w:rFonts w:ascii="宋体" w:hAnsi="宋体" w:eastAsia="宋体" w:cs="Times New Roman"/>
          <w:color w:val="000000"/>
          <w:sz w:val="24"/>
          <w:szCs w:val="24"/>
          <w:highlight w:val="none"/>
        </w:rPr>
        <w:t xml:space="preserve">（采购单位）委托，南京市公共资源交易中心六合分中心（以下简称“交易中心”）就</w:t>
      </w:r>
      <w:r>
        <w:rPr>
          <w:rFonts w:ascii="宋体" w:hAnsi="宋体" w:eastAsia="宋体" w:cs="Times New Roman"/>
          <w:b/>
          <w:bCs/>
          <w:color w:val="000000"/>
          <w:sz w:val="24"/>
          <w:szCs w:val="24"/>
          <w:highlight w:val="none"/>
          <w:u w:val="single"/>
        </w:rPr>
        <w:t xml:space="preserve">2026年多校校园监控设备</w:t>
      </w:r>
      <w:r>
        <w:rPr>
          <w:rFonts w:ascii="宋体" w:hAnsi="宋体" w:eastAsia="宋体" w:cs="Times New Roman"/>
          <w:color w:val="000000"/>
          <w:sz w:val="24"/>
          <w:szCs w:val="24"/>
          <w:highlight w:val="none"/>
        </w:rPr>
        <w:t xml:space="preserve">进行公开招标采购，欢迎符合条件的供应商投标。</w:t>
      </w:r>
      <w:r/>
    </w:p>
    <w:p>
      <w:pPr>
        <w:pStyle w:val="712"/>
        <w:ind w:firstLine="465"/>
        <w:spacing w:before="60" w:after="60" w:line="252" w:lineRule="auto"/>
        <w:rPr>
          <w:rFonts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一、项目基本情况</w:t>
      </w:r>
      <w:bookmarkEnd w:id="6"/>
      <w:r/>
      <w:bookmarkEnd w:id="7"/>
      <w:r/>
      <w:bookmarkEnd w:id="8"/>
      <w:r/>
      <w:bookmarkEnd w:id="9"/>
      <w:r/>
      <w:bookmarkEnd w:id="10"/>
      <w:r/>
      <w:bookmarkEnd w:id="11"/>
      <w:r/>
      <w:r/>
    </w:p>
    <w:p>
      <w:pPr>
        <w:pStyle w:val="712"/>
        <w:ind w:firstLine="465"/>
        <w:spacing w:before="0" w:after="0" w:line="300" w:lineRule="auto"/>
        <w:rPr>
          <w:rFonts w:hint="eastAsia" w:ascii="宋体" w:hAnsi="宋体" w:eastAsia="宋体" w:cs="Times New Roman"/>
          <w:color w:val="000000"/>
          <w:sz w:val="24"/>
          <w:szCs w:val="24"/>
          <w:highlight w:val="none"/>
        </w:rPr>
      </w:pPr>
      <w:r/>
      <w:bookmarkStart w:id="12" w:name="_Toc35393622"/>
      <w:r/>
      <w:bookmarkStart w:id="13" w:name="_Toc28359003"/>
      <w:r/>
      <w:bookmarkStart w:id="14" w:name="_Toc28359080"/>
      <w:r/>
      <w:bookmarkStart w:id="15" w:name="_Toc35393791"/>
      <w:r/>
      <w:bookmarkStart w:id="16" w:name="_Toc38985264"/>
      <w:r>
        <w:rPr>
          <w:rFonts w:hint="eastAsia" w:ascii="宋体" w:hAnsi="宋体" w:eastAsia="宋体" w:cs="Times New Roman"/>
          <w:color w:val="000000"/>
          <w:sz w:val="24"/>
          <w:szCs w:val="24"/>
          <w:highlight w:val="none"/>
        </w:rPr>
        <w:t xml:space="preserve">1.项目编号：JSZC-320116-JZCG-G2026-0029</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2.项目名称：2026年多校校园监控设备</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3.预算金额：180万元（采购包1：86.5万元；采购包2：93.5万元）</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4.最高限价：采购包1：86.4245万元；采购包2：93.26万元</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5.采购需求（简介）：</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是根据校园安防新规、市区平安校园建设要求，结合六合区部分中小学校园监控老旧缺盲、存储不达标等实际，为消除安全隐患实施更新改造。本次招标范围仅包含采购包1、采购包2；原项目采购包3已完成开评标并确定中标人，采购结果已生效，不在本次招标范围内。（详细内容见本招标文件第四章）</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次招标项目共设2个采购包，分别是采购包1：六合区双语小学雄州分校等校校园监控设备，采购包2：六合区方州小学等校校园监控设备。本项目允许同一投标人参与一个或多个采购包投标，严格遵循兼投不兼中原则，投标人最多仅可中标一个采购包。本项目开评标顺序依次为采购包1、采购包2。</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特别说明</w:t>
      </w:r>
      <w:r>
        <w:rPr>
          <w:rFonts w:hint="eastAsia" w:ascii="宋体" w:hAnsi="宋体" w:eastAsia="宋体" w:cs="Times New Roman"/>
          <w:color w:val="000000"/>
          <w:sz w:val="24"/>
          <w:szCs w:val="24"/>
          <w:highlight w:val="none"/>
        </w:rPr>
        <w:t xml:space="preserve">：本项目为原项目2026年多校校园监控设备</w:t>
      </w:r>
      <w:r>
        <w:rPr>
          <w:rFonts w:ascii="宋体" w:hAnsi="宋体" w:cs="宋体"/>
          <w:color w:val="000000"/>
          <w:sz w:val="24"/>
          <w:szCs w:val="24"/>
          <w:highlight w:val="none"/>
        </w:rPr>
        <w:t xml:space="preserve">JSZC-320116-JZCG-G2026-0023</w:t>
      </w:r>
      <w:r>
        <w:rPr>
          <w:rFonts w:hint="eastAsia" w:ascii="宋体" w:hAnsi="宋体" w:cs="宋体"/>
          <w:color w:val="000000"/>
          <w:sz w:val="24"/>
          <w:szCs w:val="24"/>
          <w:highlight w:val="none"/>
        </w:rPr>
        <w:t xml:space="preserve">的</w:t>
      </w:r>
      <w:r>
        <w:rPr>
          <w:rFonts w:hint="eastAsia" w:ascii="宋体" w:hAnsi="宋体" w:eastAsia="宋体" w:cs="Times New Roman"/>
          <w:b/>
          <w:bCs/>
          <w:color w:val="000000"/>
          <w:sz w:val="24"/>
          <w:szCs w:val="24"/>
          <w:highlight w:val="none"/>
        </w:rPr>
        <w:t xml:space="preserve">二次招标</w:t>
      </w:r>
      <w:r>
        <w:rPr>
          <w:rFonts w:hint="eastAsia" w:ascii="宋体" w:hAnsi="宋体" w:eastAsia="宋体" w:cs="Times New Roman"/>
          <w:color w:val="000000"/>
          <w:sz w:val="24"/>
          <w:szCs w:val="24"/>
          <w:highlight w:val="none"/>
        </w:rPr>
        <w:t xml:space="preserve">，由于原项目采用兼投不兼中原则，原项目采购包3已产生中标供应商，故该中标供应商不得参与本次投标，其投标作无效投标处理。</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6.合同履行期限：365天，合同签订后45日历天内完成所有设备供货、安装、调试、深化设计、培训并通过验收。</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7.本项目不接受联合体投标。</w:t>
      </w:r>
      <w:r/>
    </w:p>
    <w:p>
      <w:pPr>
        <w:pStyle w:val="712"/>
        <w:ind w:firstLine="465"/>
        <w:spacing w:before="0" w:after="0" w:line="30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8.本项目不接受进口产品投标。</w:t>
      </w:r>
      <w:r/>
    </w:p>
    <w:p>
      <w:pPr>
        <w:pStyle w:val="712"/>
        <w:ind w:firstLine="465"/>
        <w:spacing w:before="60" w:after="60" w:line="252" w:lineRule="auto"/>
        <w:rPr>
          <w:rFonts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sz w:val="24"/>
          <w:szCs w:val="24"/>
          <w:highlight w:val="none"/>
        </w:rPr>
      </w:pPr>
      <w:r/>
      <w:bookmarkStart w:id="17" w:name="_Toc35393623"/>
      <w:r/>
      <w:bookmarkStart w:id="18" w:name="_Toc28359081"/>
      <w:r/>
      <w:bookmarkStart w:id="19" w:name="_Toc35393792"/>
      <w:r/>
      <w:bookmarkStart w:id="20" w:name="_Toc28359004"/>
      <w:r/>
      <w:bookmarkStart w:id="21" w:name="_Toc38985265"/>
      <w:r>
        <w:rPr>
          <w:rFonts w:hint="eastAsia" w:ascii="宋体" w:hAnsi="宋体" w:cs="宋体"/>
          <w:color w:val="000000"/>
          <w:sz w:val="24"/>
          <w:szCs w:val="24"/>
          <w:highlight w:val="none"/>
        </w:rPr>
        <w:t xml:space="preserve">（一）通用资格要求</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2.落实政府采购政策需满足的资格要求：无</w:t>
      </w:r>
      <w:r/>
    </w:p>
    <w:p>
      <w:pPr>
        <w:ind w:firstLine="480"/>
        <w:spacing w:line="252" w:lineRule="auto"/>
        <w:rPr>
          <w:rFonts w:hint="eastAsia" w:ascii="宋体" w:hAnsi="宋体" w:cs="宋体"/>
          <w:color w:val="000000"/>
          <w:sz w:val="24"/>
          <w:szCs w:val="24"/>
          <w:highlight w:val="none"/>
        </w:rPr>
      </w:pPr>
      <w:r>
        <w:rPr>
          <w:rFonts w:hint="eastAsia" w:ascii="宋体" w:hAnsi="宋体"/>
          <w:sz w:val="24"/>
          <w:szCs w:val="24"/>
          <w:highlight w:val="none"/>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（二）本项目特定资格要求：无</w:t>
      </w:r>
      <w:r/>
    </w:p>
    <w:p>
      <w:pPr>
        <w:pStyle w:val="712"/>
        <w:ind w:firstLine="465"/>
        <w:spacing w:before="60" w:after="60" w:line="252" w:lineRule="auto"/>
        <w:rPr>
          <w:rFonts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p>
    <w:p>
      <w:pPr>
        <w:ind w:firstLine="480"/>
        <w:spacing w:line="25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712"/>
        <w:ind w:firstLine="465"/>
        <w:spacing w:before="60" w:after="60" w:line="252" w:lineRule="auto"/>
        <w:rPr>
          <w:rFonts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四、提交投标文件</w:t>
      </w:r>
      <w:bookmarkEnd w:id="22"/>
      <w:r/>
      <w:bookmarkEnd w:id="23"/>
      <w:r>
        <w:rPr>
          <w:rFonts w:hint="eastAsia" w:ascii="方正黑体_GBK" w:hAnsi="方正黑体_GBK" w:eastAsia="方正黑体_GBK" w:cs="方正黑体_GBK"/>
          <w:color w:val="000000"/>
          <w:sz w:val="30"/>
          <w:szCs w:val="30"/>
          <w:highlight w:val="none"/>
        </w:rPr>
        <w:t xml:space="preserve">截止时间、开标时间和地点</w:t>
      </w:r>
      <w:bookmarkEnd w:id="24"/>
      <w:r/>
      <w:bookmarkEnd w:id="25"/>
      <w:r/>
      <w:bookmarkEnd w:id="26"/>
      <w:r/>
      <w:r/>
    </w:p>
    <w:p>
      <w:pPr>
        <w:ind w:firstLine="480"/>
        <w:spacing w:line="252" w:lineRule="auto"/>
        <w:rPr>
          <w:rFonts w:hint="eastAsia" w:ascii="宋体" w:hAnsi="宋体"/>
          <w:bCs/>
          <w:color w:val="000000"/>
          <w:sz w:val="24"/>
          <w:szCs w:val="24"/>
          <w:highlight w:val="none"/>
          <w:u w:val="single"/>
        </w:rPr>
      </w:pPr>
      <w:r/>
      <w:bookmarkStart w:id="27" w:name="_Toc35393794"/>
      <w:r/>
      <w:bookmarkStart w:id="28" w:name="_Toc38985267"/>
      <w:r/>
      <w:bookmarkStart w:id="29" w:name="_Toc28359084"/>
      <w:r/>
      <w:bookmarkStart w:id="30" w:name="_Toc28359007"/>
      <w:r/>
      <w:bookmarkStart w:id="31" w:name="_Toc35393625"/>
      <w:r>
        <w:rPr>
          <w:rFonts w:hint="eastAsia" w:ascii="宋体" w:hAnsi="宋体" w:cs="宋体"/>
          <w:color w:val="000000"/>
          <w:sz w:val="24"/>
          <w:szCs w:val="24"/>
          <w:highlight w:val="none"/>
        </w:rPr>
        <w:t xml:space="preserve">1.提交投标文件截止时间、开标时间：</w:t>
      </w:r>
      <w:r>
        <w:rPr>
          <w:rFonts w:hint="eastAsia"/>
          <w:b/>
          <w:bCs/>
          <w:color w:val="000000"/>
          <w:sz w:val="24"/>
          <w:szCs w:val="24"/>
          <w:highlight w:val="none"/>
        </w:rPr>
        <w:t xml:space="preserve">2026</w:t>
      </w:r>
      <w:r>
        <w:rPr>
          <w:rFonts w:hint="eastAsia" w:eastAsia="Times New Roman"/>
          <w:b/>
          <w:bCs/>
          <w:color w:val="000000"/>
          <w:sz w:val="24"/>
          <w:szCs w:val="24"/>
          <w:highlight w:val="none"/>
        </w:rPr>
        <w:t xml:space="preserve">年</w:t>
      </w:r>
      <w:r>
        <w:rPr>
          <w:rFonts w:hint="eastAsia" w:eastAsiaTheme="minorEastAsia"/>
          <w:b/>
          <w:bCs/>
          <w:color w:val="000000"/>
          <w:sz w:val="24"/>
          <w:szCs w:val="24"/>
          <w:highlight w:val="none"/>
        </w:rPr>
        <w:t xml:space="preserve">8</w:t>
      </w:r>
      <w:r>
        <w:rPr>
          <w:rFonts w:hint="eastAsia" w:eastAsia="Times New Roman"/>
          <w:b/>
          <w:bCs/>
          <w:color w:val="000000"/>
          <w:sz w:val="24"/>
          <w:szCs w:val="24"/>
          <w:highlight w:val="none"/>
        </w:rPr>
        <w:t xml:space="preserve">月</w:t>
      </w:r>
      <w:r>
        <w:rPr>
          <w:rFonts w:hint="eastAsia" w:eastAsiaTheme="minorEastAsia"/>
          <w:b/>
          <w:bCs/>
          <w:color w:val="000000"/>
          <w:sz w:val="24"/>
          <w:szCs w:val="24"/>
          <w:highlight w:val="none"/>
          <w:lang w:val="en-US" w:eastAsia="zh-CN"/>
        </w:rPr>
        <w:t xml:space="preserve">27</w:t>
      </w:r>
      <w:r>
        <w:rPr>
          <w:rFonts w:hint="eastAsia" w:eastAsia="Times New Roman"/>
          <w:b/>
          <w:bCs/>
          <w:color w:val="000000"/>
          <w:sz w:val="24"/>
          <w:szCs w:val="24"/>
          <w:highlight w:val="none"/>
        </w:rPr>
        <w:t xml:space="preserve">日09时</w:t>
      </w:r>
      <w:r>
        <w:rPr>
          <w:rFonts w:hint="eastAsia"/>
          <w:b/>
          <w:bCs/>
          <w:color w:val="000000"/>
          <w:sz w:val="24"/>
          <w:szCs w:val="24"/>
          <w:highlight w:val="none"/>
        </w:rPr>
        <w:t xml:space="preserve">00</w:t>
      </w:r>
      <w:r>
        <w:rPr>
          <w:rFonts w:hint="eastAsia" w:eastAsia="Times New Roman"/>
          <w:b/>
          <w:bCs/>
          <w:color w:val="000000"/>
          <w:sz w:val="24"/>
          <w:szCs w:val="24"/>
          <w:highlight w:val="none"/>
        </w:rPr>
        <w:t xml:space="preserve">分</w:t>
      </w:r>
      <w:r>
        <w:rPr>
          <w:rFonts w:hint="eastAsia" w:ascii="宋体" w:hAnsi="宋体"/>
          <w:bCs/>
          <w:color w:val="000000"/>
          <w:sz w:val="24"/>
          <w:szCs w:val="24"/>
          <w:highlight w:val="none"/>
        </w:rPr>
        <w:t xml:space="preserve">（北京时间）。</w:t>
      </w:r>
      <w:r/>
    </w:p>
    <w:p>
      <w:pPr>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bookmarkStart w:id="211" w:name="_GoBack"/>
      <w:r/>
      <w:bookmarkEnd w:id="211"/>
      <w:r/>
      <w:r/>
    </w:p>
    <w:p>
      <w:pPr>
        <w:pStyle w:val="712"/>
        <w:ind w:firstLine="465"/>
        <w:spacing w:before="60" w:after="60" w:line="252" w:lineRule="auto"/>
        <w:rPr>
          <w:rFonts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p>
    <w:p>
      <w:pPr>
        <w:pStyle w:val="712"/>
        <w:ind w:firstLine="465"/>
        <w:spacing w:before="60" w:after="60" w:line="252" w:lineRule="auto"/>
        <w:rPr>
          <w:rFonts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六、其他事宜</w:t>
      </w:r>
      <w:bookmarkEnd w:id="32"/>
      <w:r/>
      <w:bookmarkEnd w:id="33"/>
      <w:r/>
      <w:bookmarkEnd w:id="34"/>
      <w:r/>
      <w:r/>
    </w:p>
    <w:p>
      <w:pPr>
        <w:ind w:firstLine="480"/>
        <w:spacing w:line="300" w:lineRule="auto"/>
        <w:tabs>
          <w:tab w:val="left" w:pos="900" w:leader="none"/>
        </w:tabs>
        <w:rPr>
          <w:rFonts w:hint="eastAsia" w:ascii="宋体" w:hAnsi="宋体"/>
          <w:bCs/>
          <w:color w:val="000000"/>
          <w:sz w:val="24"/>
          <w:szCs w:val="24"/>
          <w:highlight w:val="none"/>
        </w:rPr>
      </w:pPr>
      <w:r/>
      <w:bookmarkStart w:id="35" w:name="_Toc38985269"/>
      <w:r/>
      <w:bookmarkStart w:id="36" w:name="_Toc28359085"/>
      <w:r/>
      <w:bookmarkStart w:id="37" w:name="_Toc28359008"/>
      <w:r/>
      <w:bookmarkStart w:id="38" w:name="_Toc35393796"/>
      <w:r/>
      <w:bookmarkStart w:id="39" w:name="_Toc35393627"/>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spacing w:line="300" w:lineRule="auto"/>
        <w:rPr>
          <w:rFonts w:hint="eastAsia" w:ascii="宋体" w:hAnsi="宋体"/>
          <w:color w:val="000000"/>
          <w:sz w:val="24"/>
          <w:szCs w:val="24"/>
          <w:highlight w:val="none"/>
        </w:rPr>
      </w:pPr>
      <w:r>
        <w:rPr>
          <w:rFonts w:ascii="宋体" w:hAnsi="宋体"/>
          <w:color w:val="000000"/>
          <w:sz w:val="24"/>
          <w:szCs w:val="24"/>
          <w:highlight w:val="none"/>
        </w:rPr>
        <w:t xml:space="preserve">2.本项目不组织集中勘察及答疑，供应商如对采购需求有疑问，请咨询采购单位联系人。</w:t>
      </w:r>
      <w:r/>
    </w:p>
    <w:p>
      <w:pPr>
        <w:ind w:firstLine="48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p>
    <w:p>
      <w:pPr>
        <w:ind w:firstLine="482"/>
        <w:spacing w:line="300" w:lineRule="auto"/>
        <w:rPr>
          <w:rFonts w:hint="eastAsia" w:ascii="宋体" w:hAnsi="宋体"/>
          <w:b/>
          <w:bCs/>
          <w:sz w:val="24"/>
          <w:highlight w:val="none"/>
          <w:lang w:val="zh-CN"/>
        </w:rPr>
      </w:pPr>
      <w:r>
        <w:rPr>
          <w:rFonts w:hint="eastAsia" w:ascii="宋体" w:hAnsi="宋体"/>
          <w:b/>
          <w:bCs/>
          <w:sz w:val="24"/>
          <w:highlight w:val="none"/>
        </w:rPr>
        <w:t xml:space="preserve">5.</w:t>
      </w:r>
      <w:r>
        <w:rPr>
          <w:rFonts w:hint="eastAsia" w:ascii="宋体" w:hAnsi="宋体"/>
          <w:b/>
          <w:bCs/>
          <w:sz w:val="24"/>
          <w:highlight w:val="none"/>
          <w:lang w:val="zh-CN"/>
        </w:rPr>
        <w:t xml:space="preserve">供应商（含潜在供应商）</w:t>
      </w:r>
      <w:r>
        <w:rPr>
          <w:rFonts w:hint="eastAsia" w:ascii="宋体" w:hAnsi="宋体"/>
          <w:b/>
          <w:bCs/>
          <w:sz w:val="24"/>
          <w:highlight w:val="none"/>
        </w:rPr>
        <w:t xml:space="preserve">对本项目有关</w:t>
      </w:r>
      <w:r>
        <w:rPr>
          <w:rFonts w:hint="eastAsia" w:ascii="宋体" w:hAnsi="宋体"/>
          <w:b/>
          <w:bCs/>
          <w:sz w:val="24"/>
          <w:highlight w:val="none"/>
          <w:lang w:val="zh-CN"/>
        </w:rPr>
        <w:t xml:space="preserve">的</w:t>
      </w:r>
      <w:r>
        <w:rPr>
          <w:rFonts w:hint="eastAsia" w:ascii="宋体" w:hAnsi="宋体"/>
          <w:b/>
          <w:bCs/>
          <w:sz w:val="24"/>
          <w:highlight w:val="none"/>
        </w:rPr>
        <w:t xml:space="preserve">所有</w:t>
      </w:r>
      <w:r>
        <w:rPr>
          <w:rFonts w:hint="eastAsia" w:ascii="宋体" w:hAnsi="宋体"/>
          <w:b/>
          <w:bCs/>
          <w:sz w:val="24"/>
          <w:highlight w:val="none"/>
          <w:lang w:val="zh-CN"/>
        </w:rPr>
        <w:t xml:space="preserve">询问</w:t>
      </w:r>
      <w:r>
        <w:rPr>
          <w:rFonts w:hint="eastAsia" w:ascii="宋体" w:hAnsi="宋体"/>
          <w:b/>
          <w:bCs/>
          <w:sz w:val="24"/>
          <w:highlight w:val="none"/>
        </w:rPr>
        <w:t xml:space="preserve">或</w:t>
      </w:r>
      <w:r>
        <w:rPr>
          <w:rFonts w:hint="eastAsia" w:ascii="宋体" w:hAnsi="宋体"/>
          <w:b/>
          <w:bCs/>
          <w:sz w:val="24"/>
          <w:highlight w:val="none"/>
          <w:lang w:val="zh-CN"/>
        </w:rPr>
        <w:t xml:space="preserve">质疑向采购人提出，由采购人负责答复</w:t>
      </w:r>
      <w:r/>
    </w:p>
    <w:p>
      <w:pPr>
        <w:ind w:firstLine="480"/>
        <w:spacing w:line="300" w:lineRule="auto"/>
        <w:widowControl/>
        <w:rPr>
          <w:rFonts w:hint="eastAsia" w:ascii="宋体" w:hAnsi="宋体"/>
          <w:sz w:val="24"/>
          <w:highlight w:val="none"/>
        </w:rPr>
      </w:pPr>
      <w:r>
        <w:rPr>
          <w:rFonts w:hint="eastAsia" w:ascii="宋体" w:hAnsi="宋体"/>
          <w:sz w:val="24"/>
          <w:highlight w:val="none"/>
        </w:rPr>
        <w:t xml:space="preserve">采购人《质疑函》收件人：沈</w:t>
      </w:r>
      <w:r>
        <w:rPr>
          <w:rFonts w:ascii="宋体" w:hAnsi="宋体"/>
          <w:sz w:val="24"/>
          <w:highlight w:val="none"/>
        </w:rPr>
        <w:t xml:space="preserve">老师</w:t>
      </w:r>
      <w:r>
        <w:rPr>
          <w:rFonts w:hint="eastAsia" w:ascii="宋体" w:hAnsi="宋体"/>
          <w:sz w:val="24"/>
          <w:highlight w:val="none"/>
        </w:rPr>
        <w:t xml:space="preserve">，收件地址：</w:t>
      </w:r>
      <w:r>
        <w:rPr>
          <w:rFonts w:ascii="宋体" w:hAnsi="宋体"/>
          <w:sz w:val="24"/>
          <w:highlight w:val="none"/>
        </w:rPr>
        <w:t xml:space="preserve">南京市六合区雄州南路268号六合区教育局1717室，联系电话：025-57156991</w:t>
      </w:r>
      <w:r>
        <w:rPr>
          <w:rFonts w:hint="eastAsia" w:ascii="宋体" w:hAnsi="宋体"/>
          <w:sz w:val="24"/>
          <w:highlight w:val="none"/>
        </w:rPr>
        <w:t xml:space="preserve">。</w:t>
      </w:r>
      <w:r/>
    </w:p>
    <w:p>
      <w:pPr>
        <w:pStyle w:val="712"/>
        <w:ind w:firstLine="465"/>
        <w:spacing w:before="60" w:after="60" w:line="252" w:lineRule="auto"/>
        <w:rPr>
          <w:rFonts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  称：南京市六合区教育局</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址：南京市六合区雄州南路268号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highlight w:val="none"/>
        </w:rPr>
        <w:t xml:space="preserve">沈</w:t>
      </w:r>
      <w:r>
        <w:rPr>
          <w:rFonts w:hint="eastAsia" w:ascii="宋体" w:hAnsi="宋体"/>
          <w:sz w:val="24"/>
          <w:szCs w:val="24"/>
          <w:highlight w:val="none"/>
        </w:rPr>
        <w:t xml:space="preserve">老师</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联系电话：025-</w:t>
      </w:r>
      <w:r>
        <w:rPr>
          <w:rFonts w:ascii="宋体" w:hAnsi="宋体"/>
          <w:sz w:val="24"/>
          <w:szCs w:val="24"/>
          <w:highlight w:val="none"/>
        </w:rPr>
        <w:t xml:space="preserve">57156991</w:t>
      </w:r>
      <w:r>
        <w:rPr>
          <w:rFonts w:hint="eastAsia" w:ascii="宋体" w:hAnsi="宋体"/>
          <w:sz w:val="24"/>
          <w:szCs w:val="24"/>
          <w:highlight w:val="none"/>
        </w:rPr>
        <w:t xml:space="preserve">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  称：南京市公共资源交易中心六合分中心</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址：南京市六合区雄州街道龙池路333号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联系人：张老师</w:t>
      </w:r>
      <w:r/>
    </w:p>
    <w:p>
      <w:pPr>
        <w:ind w:firstLine="480"/>
        <w:jc w:val="left"/>
        <w:spacing w:line="252" w:lineRule="auto"/>
        <w:tabs>
          <w:tab w:val="left" w:pos="900" w:leader="none"/>
        </w:tabs>
        <w:rPr>
          <w:rFonts w:hint="eastAsia" w:ascii="宋体" w:hAnsi="宋体"/>
          <w:sz w:val="24"/>
          <w:szCs w:val="24"/>
          <w:highlight w:val="none"/>
        </w:rPr>
      </w:pPr>
      <w:r>
        <w:rPr>
          <w:rFonts w:hint="eastAsia" w:ascii="宋体" w:hAnsi="宋体"/>
          <w:sz w:val="24"/>
          <w:szCs w:val="24"/>
          <w:highlight w:val="none"/>
        </w:rPr>
        <w:t xml:space="preserve">联系电话：025-</w:t>
      </w:r>
      <w:r>
        <w:rPr>
          <w:rFonts w:ascii="宋体" w:hAnsi="宋体"/>
          <w:sz w:val="24"/>
          <w:szCs w:val="24"/>
          <w:highlight w:val="none"/>
        </w:rPr>
        <w:t xml:space="preserve">-57110003</w:t>
      </w:r>
      <w:r/>
    </w:p>
    <w:p>
      <w:pPr>
        <w:ind w:firstLine="480"/>
        <w:spacing w:line="252" w:lineRule="auto"/>
        <w:rPr>
          <w:color w:val="000000"/>
          <w:highlight w:val="none"/>
        </w:rPr>
      </w:pPr>
      <w:r>
        <w:rPr>
          <w:color w:val="000000"/>
          <w:highlight w:val="none"/>
        </w:rPr>
      </w:r>
      <w:r/>
    </w:p>
    <w:p>
      <w:pPr>
        <w:ind w:right="840"/>
        <w:jc w:val="center"/>
        <w:rPr>
          <w:rFonts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0"/>
      <w:r/>
      <w:bookmarkStart w:id="41" w:name="_Toc20823274"/>
      <w:r/>
      <w:bookmarkStart w:id="42" w:name="_Toc16938518"/>
      <w:r/>
      <w:bookmarkStart w:id="43" w:name="_Toc120614213"/>
      <w:r/>
      <w:bookmarkStart w:id="44" w:name="_Toc513029202"/>
      <w:r>
        <w:rPr>
          <w:rFonts w:hint="eastAsia" w:ascii="方正小标宋简体" w:hAnsi="方正小标宋简体" w:eastAsia="方正小标宋简体" w:cs="方正小标宋简体"/>
          <w:color w:val="000000"/>
          <w:sz w:val="36"/>
          <w:szCs w:val="36"/>
          <w:highlight w:val="none"/>
        </w:rPr>
        <w:t xml:space="preserve">投标人须知</w:t>
      </w:r>
      <w:bookmarkEnd w:id="41"/>
      <w:r/>
      <w:bookmarkEnd w:id="42"/>
      <w:r/>
      <w:bookmarkEnd w:id="43"/>
      <w:r/>
      <w:bookmarkEnd w:id="44"/>
      <w:r/>
      <w:r/>
    </w:p>
    <w:p>
      <w:pPr>
        <w:pStyle w:val="712"/>
        <w:ind w:firstLine="465"/>
        <w:spacing w:before="145" w:after="145"/>
        <w:rPr>
          <w:rFonts w:ascii="方正黑体_GBK" w:hAnsi="方正黑体_GBK" w:eastAsia="方正黑体_GBK" w:cs="方正黑体_GBK"/>
          <w:b/>
          <w:bCs/>
          <w:color w:val="000000"/>
          <w:sz w:val="30"/>
          <w:szCs w:val="30"/>
          <w:highlight w:val="none"/>
        </w:rPr>
      </w:pPr>
      <w:r/>
      <w:bookmarkStart w:id="45" w:name="_Toc513029203"/>
      <w:r/>
      <w:bookmarkStart w:id="46" w:name="_Toc120614214"/>
      <w:r/>
      <w:bookmarkStart w:id="47" w:name="_Toc20823275"/>
      <w:r/>
      <w:bookmarkStart w:id="48" w:name="_Toc16938519"/>
      <w:r/>
      <w:bookmarkStart w:id="49" w:name="_Toc513029242"/>
      <w:r/>
      <w:bookmarkStart w:id="50" w:name="_Toc20823314"/>
      <w:r/>
      <w:bookmarkStart w:id="51" w:name="_Toc479757207"/>
      <w:r/>
      <w:bookmarkStart w:id="52" w:name="_Toc16938558"/>
      <w:r/>
      <w:bookmarkStart w:id="53" w:name="_Toc120614221"/>
      <w:r>
        <w:rPr>
          <w:rFonts w:hint="eastAsia" w:ascii="方正黑体_GBK" w:hAnsi="方正黑体_GBK" w:eastAsia="方正黑体_GBK" w:cs="方正黑体_GBK"/>
          <w:color w:val="000000"/>
          <w:sz w:val="30"/>
          <w:szCs w:val="30"/>
          <w:highlight w:val="none"/>
        </w:rPr>
        <w:t xml:space="preserve">一、总则</w:t>
      </w:r>
      <w:bookmarkEnd w:id="45"/>
      <w:r/>
      <w:bookmarkEnd w:id="46"/>
      <w:r/>
      <w:bookmarkEnd w:id="47"/>
      <w:r/>
      <w:bookmarkEnd w:id="48"/>
      <w:r/>
      <w:r/>
    </w:p>
    <w:p>
      <w:pPr>
        <w:pStyle w:val="713"/>
        <w:ind w:firstLine="422"/>
        <w:spacing w:before="0" w:after="0"/>
        <w:rPr>
          <w:rFonts w:ascii="方正楷体_GBK" w:hAnsi="方正楷体_GBK" w:eastAsia="方正楷体_GBK" w:cs="方正楷体_GBK"/>
          <w:color w:val="000000"/>
          <w:highlight w:val="none"/>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方正楷体_GBK" w:hAnsi="方正楷体_GBK" w:eastAsia="方正楷体_GBK" w:cs="方正楷体_GBK"/>
          <w:color w:val="000000"/>
          <w:highlight w:val="none"/>
        </w:rPr>
        <w:t xml:space="preserve">1</w:t>
      </w:r>
      <w:bookmarkEnd w:id="55"/>
      <w:r>
        <w:rPr>
          <w:rFonts w:hint="eastAsia" w:ascii="方正楷体_GBK" w:hAnsi="方正楷体_GBK" w:eastAsia="方正楷体_GBK" w:cs="方正楷体_GBK"/>
          <w:color w:val="000000"/>
          <w:highlight w:val="none"/>
        </w:rPr>
        <w:t xml:space="preserve">.招标方式</w:t>
      </w:r>
      <w:bookmarkEnd w:id="56"/>
      <w:r/>
      <w:bookmarkEnd w:id="57"/>
      <w:r/>
      <w:bookmarkEnd w:id="58"/>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p>
    <w:p>
      <w:pPr>
        <w:pStyle w:val="713"/>
        <w:ind w:firstLine="422"/>
        <w:spacing w:before="0" w:after="0"/>
        <w:rPr>
          <w:rFonts w:ascii="方正楷体_GBK" w:hAnsi="方正楷体_GBK" w:eastAsia="方正楷体_GBK" w:cs="方正楷体_GBK"/>
          <w:color w:val="000000"/>
          <w:highlight w:val="none"/>
        </w:rPr>
      </w:pPr>
      <w:r/>
      <w:bookmarkStart w:id="59" w:name="_Toc513029205"/>
      <w:r/>
      <w:bookmarkStart w:id="60" w:name="_Toc16938521"/>
      <w:r/>
      <w:bookmarkStart w:id="61" w:name="_Toc20823277"/>
      <w:r>
        <w:rPr>
          <w:rFonts w:hint="eastAsia" w:ascii="方正楷体_GBK" w:hAnsi="方正楷体_GBK" w:eastAsia="方正楷体_GBK" w:cs="方正楷体_GBK"/>
          <w:color w:val="000000"/>
          <w:highlight w:val="none"/>
        </w:rPr>
        <w:t xml:space="preserve">2.合格的投标人</w:t>
      </w:r>
      <w:bookmarkEnd w:id="59"/>
      <w:r/>
      <w:bookmarkEnd w:id="60"/>
      <w:r/>
      <w:bookmarkEnd w:id="61"/>
      <w:r/>
      <w:r/>
    </w:p>
    <w:p>
      <w:pPr>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p>
    <w:p>
      <w:pPr>
        <w:pStyle w:val="713"/>
        <w:ind w:firstLine="422"/>
        <w:spacing w:before="0" w:after="0"/>
        <w:rPr>
          <w:rFonts w:ascii="方正楷体_GBK" w:hAnsi="方正楷体_GBK" w:eastAsia="方正楷体_GBK" w:cs="方正楷体_GBK"/>
          <w:color w:val="000000"/>
          <w:highlight w:val="none"/>
        </w:rPr>
      </w:pPr>
      <w:r/>
      <w:bookmarkStart w:id="62" w:name="_Toc20823278"/>
      <w:r/>
      <w:bookmarkStart w:id="63" w:name="_Toc513029206"/>
      <w:r/>
      <w:bookmarkStart w:id="64" w:name="_Toc16938522"/>
      <w:r>
        <w:rPr>
          <w:rFonts w:hint="eastAsia" w:ascii="方正楷体_GBK" w:hAnsi="方正楷体_GBK" w:eastAsia="方正楷体_GBK" w:cs="方正楷体_GBK"/>
          <w:color w:val="000000"/>
          <w:highlight w:val="none"/>
        </w:rPr>
        <w:t xml:space="preserve">3.适用法律</w:t>
      </w:r>
      <w:bookmarkEnd w:id="62"/>
      <w:r/>
      <w:bookmarkEnd w:id="63"/>
      <w:r/>
      <w:bookmarkEnd w:id="64"/>
      <w:r/>
      <w:r/>
    </w:p>
    <w:p>
      <w:pPr>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pStyle w:val="713"/>
        <w:ind w:firstLine="422"/>
        <w:spacing w:before="0" w:after="0"/>
        <w:rPr>
          <w:rFonts w:ascii="方正楷体_GBK" w:hAnsi="方正楷体_GBK" w:eastAsia="方正楷体_GBK" w:cs="方正楷体_GBK"/>
          <w:color w:val="000000"/>
          <w:highlight w:val="none"/>
        </w:rPr>
      </w:pPr>
      <w:r/>
      <w:bookmarkStart w:id="65" w:name="_Toc462564067"/>
      <w:r/>
      <w:bookmarkStart w:id="66" w:name="_Toc513029207"/>
      <w:r/>
      <w:bookmarkStart w:id="67" w:name="_Toc20823279"/>
      <w:r/>
      <w:bookmarkStart w:id="68" w:name="_Toc16938523"/>
      <w:r>
        <w:rPr>
          <w:rFonts w:hint="eastAsia" w:ascii="方正楷体_GBK" w:hAnsi="方正楷体_GBK" w:eastAsia="方正楷体_GBK" w:cs="方正楷体_GBK"/>
          <w:color w:val="000000"/>
          <w:highlight w:val="none"/>
        </w:rPr>
        <w:t xml:space="preserve">4.投标费用</w:t>
      </w:r>
      <w:bookmarkEnd w:id="65"/>
      <w:r/>
      <w:bookmarkEnd w:id="66"/>
      <w:r/>
      <w:bookmarkEnd w:id="67"/>
      <w:r/>
      <w:bookmarkEnd w:id="68"/>
      <w:r/>
      <w:r/>
    </w:p>
    <w:p>
      <w:pPr>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p>
    <w:p>
      <w:pPr>
        <w:pStyle w:val="712"/>
        <w:ind w:firstLine="465"/>
        <w:spacing w:before="145" w:after="145"/>
        <w:rPr>
          <w:rFonts w:ascii="方正黑体_GBK" w:hAnsi="方正黑体_GBK" w:eastAsia="方正黑体_GBK" w:cs="方正黑体_GBK"/>
          <w:b/>
          <w:bCs/>
          <w:color w:val="000000"/>
          <w:sz w:val="30"/>
          <w:szCs w:val="30"/>
          <w:highlight w:val="none"/>
        </w:rPr>
      </w:pPr>
      <w:r/>
      <w:bookmarkStart w:id="69" w:name="_Toc20823281"/>
      <w:r/>
      <w:bookmarkStart w:id="70" w:name="_Toc16938525"/>
      <w:r/>
      <w:bookmarkStart w:id="71" w:name="_Toc513029209"/>
      <w:r/>
      <w:bookmarkStart w:id="72" w:name="_Toc120614215"/>
      <w:r>
        <w:rPr>
          <w:rFonts w:hint="eastAsia" w:ascii="方正黑体_GBK" w:hAnsi="方正黑体_GBK" w:eastAsia="方正黑体_GBK" w:cs="方正黑体_GBK"/>
          <w:color w:val="000000"/>
          <w:sz w:val="30"/>
          <w:szCs w:val="30"/>
          <w:highlight w:val="none"/>
        </w:rPr>
        <w:t xml:space="preserve">二、招标文件</w:t>
      </w:r>
      <w:bookmarkEnd w:id="69"/>
      <w:r/>
      <w:bookmarkEnd w:id="70"/>
      <w:r/>
      <w:bookmarkEnd w:id="71"/>
      <w:r/>
      <w:bookmarkEnd w:id="72"/>
      <w:r/>
      <w:r/>
    </w:p>
    <w:p>
      <w:pPr>
        <w:pStyle w:val="713"/>
        <w:ind w:firstLine="422"/>
        <w:spacing w:before="0" w:after="0"/>
        <w:rPr>
          <w:rFonts w:ascii="方正楷体_GBK" w:hAnsi="方正楷体_GBK" w:eastAsia="方正楷体_GBK" w:cs="方正楷体_GBK"/>
          <w:color w:val="000000"/>
          <w:highlight w:val="none"/>
        </w:rPr>
      </w:pPr>
      <w:r/>
      <w:bookmarkStart w:id="73" w:name="_Toc513029210"/>
      <w:r/>
      <w:bookmarkStart w:id="74" w:name="_Toc16938526"/>
      <w:r/>
      <w:bookmarkStart w:id="75" w:name="_Toc20823282"/>
      <w:r>
        <w:rPr>
          <w:rFonts w:hint="eastAsia" w:ascii="方正楷体_GBK" w:hAnsi="方正楷体_GBK" w:eastAsia="方正楷体_GBK" w:cs="方正楷体_GBK"/>
          <w:color w:val="000000"/>
          <w:highlight w:val="none"/>
        </w:rPr>
        <w:t xml:space="preserve">6.招标文件构成</w:t>
      </w:r>
      <w:bookmarkEnd w:id="73"/>
      <w:r/>
      <w:bookmarkEnd w:id="74"/>
      <w:r/>
      <w:bookmarkEnd w:id="75"/>
      <w:r/>
      <w:r/>
    </w:p>
    <w:p>
      <w:pPr>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422"/>
        <w:spacing w:before="0" w:after="0"/>
        <w:rPr>
          <w:rFonts w:ascii="方正楷体_GBK" w:hAnsi="方正楷体_GBK" w:eastAsia="方正楷体_GBK" w:cs="方正楷体_GBK"/>
          <w:color w:val="000000"/>
          <w:highlight w:val="none"/>
        </w:rPr>
      </w:pPr>
      <w:r/>
      <w:bookmarkStart w:id="76" w:name="_Toc462564070"/>
      <w:r/>
      <w:bookmarkStart w:id="77" w:name="_Toc20823283"/>
      <w:r/>
      <w:bookmarkStart w:id="78" w:name="_Toc16938527"/>
      <w:r/>
      <w:bookmarkStart w:id="79" w:name="_Toc513029211"/>
      <w:r>
        <w:rPr>
          <w:rFonts w:hint="eastAsia" w:ascii="方正楷体_GBK" w:hAnsi="方正楷体_GBK" w:eastAsia="方正楷体_GBK" w:cs="方正楷体_GBK"/>
          <w:color w:val="000000"/>
          <w:highlight w:val="none"/>
        </w:rPr>
        <w:t xml:space="preserve">7.招标文件的澄清</w:t>
      </w:r>
      <w:bookmarkEnd w:id="76"/>
      <w:r/>
      <w:bookmarkEnd w:id="77"/>
      <w:r/>
      <w:bookmarkEnd w:id="78"/>
      <w:r/>
      <w:bookmarkEnd w:id="79"/>
      <w:r/>
      <w:r/>
    </w:p>
    <w:p>
      <w:pPr>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p>
    <w:p>
      <w:pPr>
        <w:pStyle w:val="713"/>
        <w:ind w:firstLine="422"/>
        <w:spacing w:before="0" w:after="0"/>
        <w:rPr>
          <w:rFonts w:ascii="方正楷体_GBK" w:hAnsi="方正楷体_GBK" w:eastAsia="方正楷体_GBK" w:cs="方正楷体_GBK"/>
          <w:color w:val="000000"/>
          <w:highlight w:val="none"/>
        </w:rPr>
      </w:pPr>
      <w:r/>
      <w:bookmarkStart w:id="80" w:name="_Toc513029212"/>
      <w:r/>
      <w:bookmarkStart w:id="81" w:name="_Toc16938528"/>
      <w:r/>
      <w:bookmarkStart w:id="82" w:name="_Toc20823284"/>
      <w:r/>
      <w:bookmarkStart w:id="83" w:name="_Toc462564071"/>
      <w:r>
        <w:rPr>
          <w:rFonts w:hint="eastAsia" w:ascii="方正楷体_GBK" w:hAnsi="方正楷体_GBK" w:eastAsia="方正楷体_GBK" w:cs="方正楷体_GBK"/>
          <w:color w:val="000000"/>
          <w:highlight w:val="none"/>
        </w:rPr>
        <w:t xml:space="preserve">8.招标文件的修改</w:t>
      </w:r>
      <w:bookmarkEnd w:id="80"/>
      <w:r/>
      <w:bookmarkEnd w:id="81"/>
      <w:r/>
      <w:bookmarkEnd w:id="82"/>
      <w:r/>
      <w:bookmarkEnd w:id="83"/>
      <w:r/>
      <w:r/>
    </w:p>
    <w:p>
      <w:pPr>
        <w:ind w:firstLine="420"/>
        <w:rPr>
          <w:rFonts w:hint="eastAsia" w:ascii="宋体" w:hAnsi="宋体"/>
          <w:color w:val="000000"/>
          <w:sz w:val="24"/>
          <w:highlight w:val="none"/>
        </w:rPr>
      </w:pPr>
      <w:r/>
      <w:bookmarkStart w:id="84" w:name="_Toc513029213"/>
      <w:r/>
      <w:bookmarkStart w:id="85" w:name="_Toc16938529"/>
      <w:r/>
      <w:bookmarkStart w:id="86" w:name="_Toc120614216"/>
      <w:r/>
      <w:bookmarkStart w:id="87" w:name="_Toc462564072"/>
      <w:r/>
      <w:bookmarkStart w:id="88" w:name="_Toc20823285"/>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p>
    <w:p>
      <w:pPr>
        <w:pStyle w:val="712"/>
        <w:ind w:firstLine="465"/>
        <w:spacing w:before="145" w:after="145"/>
        <w:rPr>
          <w:rFonts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三、投标文件的编制</w:t>
      </w:r>
      <w:bookmarkEnd w:id="84"/>
      <w:r/>
      <w:bookmarkEnd w:id="85"/>
      <w:r/>
      <w:bookmarkEnd w:id="86"/>
      <w:r/>
      <w:bookmarkEnd w:id="87"/>
      <w:r/>
      <w:bookmarkEnd w:id="88"/>
      <w:r/>
      <w:r/>
    </w:p>
    <w:p>
      <w:pPr>
        <w:pStyle w:val="713"/>
        <w:ind w:firstLine="422"/>
        <w:spacing w:before="0" w:after="0"/>
        <w:rPr>
          <w:rFonts w:ascii="方正楷体_GBK" w:hAnsi="方正楷体_GBK" w:eastAsia="方正楷体_GBK" w:cs="方正楷体_GBK"/>
          <w:color w:val="000000"/>
          <w:highlight w:val="none"/>
        </w:rPr>
      </w:pPr>
      <w:r/>
      <w:bookmarkStart w:id="89" w:name="_Toc462564073"/>
      <w:r/>
      <w:bookmarkStart w:id="90" w:name="_Toc16938530"/>
      <w:r/>
      <w:bookmarkStart w:id="91" w:name="_Toc20823286"/>
      <w:r/>
      <w:bookmarkStart w:id="92" w:name="_Toc513029214"/>
      <w:r>
        <w:rPr>
          <w:rFonts w:hint="eastAsia" w:ascii="方正楷体_GBK" w:hAnsi="方正楷体_GBK" w:eastAsia="方正楷体_GBK" w:cs="方正楷体_GBK"/>
          <w:color w:val="000000"/>
          <w:highlight w:val="none"/>
        </w:rPr>
        <w:t xml:space="preserve">9.投标文件的语言及度量衡单位</w:t>
      </w:r>
      <w:bookmarkEnd w:id="89"/>
      <w:r/>
      <w:bookmarkEnd w:id="90"/>
      <w:r/>
      <w:bookmarkEnd w:id="91"/>
      <w:r/>
      <w:bookmarkEnd w:id="92"/>
      <w:r/>
      <w:r/>
    </w:p>
    <w:p>
      <w:pPr>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9.2 除技术性能另有规定外，投标文件所使用的度量衡单位，均须采用国家法定计量单位。</w:t>
      </w:r>
      <w:r/>
    </w:p>
    <w:p>
      <w:pPr>
        <w:pStyle w:val="713"/>
        <w:ind w:firstLine="422"/>
        <w:spacing w:before="0" w:after="0"/>
        <w:rPr>
          <w:rFonts w:ascii="方正楷体_GBK" w:hAnsi="方正楷体_GBK" w:eastAsia="方正楷体_GBK" w:cs="方正楷体_GBK"/>
          <w:color w:val="000000"/>
          <w:highlight w:val="none"/>
        </w:rPr>
      </w:pPr>
      <w:r/>
      <w:bookmarkStart w:id="93" w:name="_Toc16938531"/>
      <w:r/>
      <w:bookmarkStart w:id="94" w:name="_Toc462564074"/>
      <w:r/>
      <w:bookmarkStart w:id="95" w:name="_Toc513029215"/>
      <w:r/>
      <w:bookmarkStart w:id="96" w:name="_Toc20823287"/>
      <w:r>
        <w:rPr>
          <w:rFonts w:hint="eastAsia" w:ascii="方正楷体_GBK" w:hAnsi="方正楷体_GBK" w:eastAsia="方正楷体_GBK" w:cs="方正楷体_GBK"/>
          <w:color w:val="000000"/>
          <w:highlight w:val="none"/>
        </w:rPr>
        <w:t xml:space="preserve">10.投标文件构成</w:t>
      </w:r>
      <w:bookmarkEnd w:id="93"/>
      <w:r/>
      <w:bookmarkEnd w:id="94"/>
      <w:r/>
      <w:bookmarkEnd w:id="95"/>
      <w:r/>
      <w:bookmarkEnd w:id="96"/>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p>
    <w:p>
      <w:pPr>
        <w:pStyle w:val="713"/>
        <w:ind w:firstLine="422"/>
        <w:spacing w:before="0" w:after="0"/>
        <w:rPr>
          <w:rFonts w:ascii="方正楷体_GBK" w:hAnsi="方正楷体_GBK" w:eastAsia="方正楷体_GBK" w:cs="方正楷体_GBK"/>
          <w:color w:val="000000"/>
          <w:highlight w:val="none"/>
        </w:rPr>
      </w:pPr>
      <w:r/>
      <w:bookmarkStart w:id="97" w:name="_Hlt26954838"/>
      <w:r/>
      <w:bookmarkEnd w:id="97"/>
      <w:r/>
      <w:bookmarkStart w:id="98" w:name="_Hlt26668975"/>
      <w:r/>
      <w:bookmarkEnd w:id="98"/>
      <w:r/>
      <w:bookmarkStart w:id="99" w:name="_Hlt26670360"/>
      <w:r/>
      <w:bookmarkEnd w:id="99"/>
      <w:r/>
      <w:bookmarkStart w:id="100" w:name="_Toc513029216"/>
      <w:r/>
      <w:bookmarkStart w:id="101" w:name="_Toc14577354"/>
      <w:r/>
      <w:bookmarkStart w:id="102" w:name="_Toc49090509"/>
      <w:r/>
      <w:bookmarkStart w:id="103" w:name="_Toc14577357"/>
      <w:r/>
      <w:bookmarkStart w:id="104" w:name="_Toc49090507"/>
      <w:r/>
      <w:bookmarkStart w:id="105" w:name="_Toc513029219"/>
      <w:r>
        <w:rPr>
          <w:rFonts w:hint="eastAsia" w:ascii="方正楷体_GBK" w:hAnsi="方正楷体_GBK" w:eastAsia="方正楷体_GBK" w:cs="方正楷体_GBK"/>
          <w:color w:val="000000"/>
          <w:highlight w:val="none"/>
        </w:rPr>
        <w:t xml:space="preserve">11.证明投标人及投标标的符合招标文件规定的文件</w:t>
      </w:r>
      <w:bookmarkEnd w:id="100"/>
      <w:r/>
      <w:bookmarkEnd w:id="101"/>
      <w:r/>
      <w:bookmarkEnd w:id="102"/>
      <w:r/>
      <w:bookmarkEnd w:id="103"/>
      <w:r/>
      <w:bookmarkEnd w:id="104"/>
      <w:r/>
      <w:bookmarkEnd w:id="105"/>
      <w:r/>
      <w:r/>
    </w:p>
    <w:p>
      <w:pPr>
        <w:ind w:firstLine="420"/>
        <w:rPr>
          <w:rFonts w:hint="eastAsia" w:ascii="宋体" w:hAnsi="宋体"/>
          <w:color w:val="000000"/>
          <w:sz w:val="24"/>
          <w:highlight w:val="none"/>
        </w:rPr>
      </w:pPr>
      <w:r/>
      <w:bookmarkStart w:id="106" w:name="_Toc14577355"/>
      <w:r/>
      <w:bookmarkStart w:id="107" w:name="_Toc49090508"/>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12.投标分项报价</w:t>
      </w:r>
      <w:bookmarkEnd w:id="106"/>
      <w:r/>
      <w:bookmarkStart w:id="108" w:name="_Hlt26670373"/>
      <w:r/>
      <w:bookmarkEnd w:id="108"/>
      <w:r>
        <w:rPr>
          <w:rFonts w:hint="eastAsia" w:ascii="方正楷体_GBK" w:hAnsi="方正楷体_GBK" w:eastAsia="方正楷体_GBK" w:cs="方正楷体_GBK"/>
          <w:color w:val="000000"/>
          <w:highlight w:val="none"/>
        </w:rPr>
        <w:t xml:space="preserve">表</w:t>
      </w:r>
      <w:bookmarkEnd w:id="107"/>
      <w:r>
        <w:rPr>
          <w:rFonts w:hint="eastAsia" w:ascii="方正楷体_GBK" w:hAnsi="方正楷体_GBK" w:eastAsia="方正楷体_GBK" w:cs="方正楷体_GBK"/>
          <w:color w:val="000000"/>
          <w:highlight w:val="none"/>
        </w:rPr>
        <w:t xml:space="preserve">（如有）</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09" w:name="_Hlt26954840"/>
      <w:r/>
      <w:bookmarkEnd w:id="109"/>
      <w:r>
        <w:rPr>
          <w:rFonts w:hint="eastAsia" w:ascii="宋体" w:hAnsi="宋体"/>
          <w:color w:val="000000"/>
          <w:sz w:val="24"/>
          <w:highlight w:val="none"/>
        </w:rPr>
        <w:t xml:space="preserve">标人应按照招标文件规定格式填报投标分项报价表</w:t>
      </w:r>
      <w:bookmarkStart w:id="110" w:name="_Hlt26670399"/>
      <w:r/>
      <w:bookmarkEnd w:id="110"/>
      <w:r>
        <w:rPr>
          <w:rFonts w:hint="eastAsia" w:ascii="宋体" w:hAnsi="宋体"/>
          <w:color w:val="000000"/>
          <w:sz w:val="24"/>
          <w:highlight w:val="none"/>
        </w:rPr>
        <w:t xml:space="preserve">。</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p>
    <w:p>
      <w:pPr>
        <w:pStyle w:val="713"/>
        <w:ind w:firstLine="422"/>
        <w:spacing w:before="0" w:after="0"/>
        <w:rPr>
          <w:rFonts w:ascii="方正楷体_GBK" w:hAnsi="方正楷体_GBK" w:eastAsia="方正楷体_GBK" w:cs="方正楷体_GBK"/>
          <w:color w:val="000000"/>
          <w:highlight w:val="none"/>
        </w:rPr>
      </w:pPr>
      <w:r/>
      <w:bookmarkStart w:id="111" w:name="_Hlt26670482"/>
      <w:r/>
      <w:bookmarkEnd w:id="111"/>
      <w:r/>
      <w:bookmarkStart w:id="112" w:name="_Hlt26954731"/>
      <w:r/>
      <w:bookmarkEnd w:id="112"/>
      <w:r/>
      <w:bookmarkStart w:id="113" w:name="_Hlt26670486"/>
      <w:r/>
      <w:bookmarkEnd w:id="113"/>
      <w:r/>
      <w:bookmarkStart w:id="114" w:name="_Hlt26670425"/>
      <w:r/>
      <w:bookmarkEnd w:id="114"/>
      <w:r/>
      <w:bookmarkStart w:id="115" w:name="_Hlt26954844"/>
      <w:r/>
      <w:bookmarkEnd w:id="115"/>
      <w:r/>
      <w:bookmarkStart w:id="116" w:name="_Hlt26670403"/>
      <w:r/>
      <w:bookmarkEnd w:id="116"/>
      <w:r/>
      <w:bookmarkStart w:id="117" w:name="_Hlt26954848"/>
      <w:r/>
      <w:bookmarkEnd w:id="117"/>
      <w:r/>
      <w:bookmarkStart w:id="118" w:name="_Hlt26668983"/>
      <w:r/>
      <w:bookmarkEnd w:id="118"/>
      <w:r/>
      <w:bookmarkStart w:id="119" w:name="_Hlt26954846"/>
      <w:r/>
      <w:bookmarkEnd w:id="119"/>
      <w:r/>
      <w:bookmarkStart w:id="120" w:name="_Hlt26954842"/>
      <w:r/>
      <w:bookmarkEnd w:id="120"/>
      <w:r>
        <w:rPr>
          <w:rFonts w:hint="eastAsia" w:ascii="方正楷体_GBK" w:hAnsi="方正楷体_GBK" w:eastAsia="方正楷体_GBK" w:cs="方正楷体_GBK"/>
          <w:color w:val="000000"/>
          <w:highlight w:val="none"/>
        </w:rPr>
        <w:t xml:space="preserve">13.响应及偏离表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投标人需对招标文件中的技术要求与商务要求逐项作出响应或偏离说明。</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p>
    <w:p>
      <w:pPr>
        <w:pStyle w:val="713"/>
        <w:ind w:firstLine="422"/>
        <w:spacing w:before="0" w:after="0"/>
        <w:rPr>
          <w:rFonts w:ascii="方正楷体_GBK" w:hAnsi="方正楷体_GBK" w:eastAsia="方正楷体_GBK" w:cs="方正楷体_GBK"/>
          <w:color w:val="000000"/>
          <w:highlight w:val="none"/>
        </w:rPr>
      </w:pPr>
      <w:r/>
      <w:bookmarkStart w:id="121" w:name="_Toc49090510"/>
      <w:r/>
      <w:bookmarkStart w:id="122" w:name="_Toc14577359"/>
      <w:r>
        <w:rPr>
          <w:rFonts w:hint="eastAsia" w:ascii="方正楷体_GBK" w:hAnsi="方正楷体_GBK" w:eastAsia="方正楷体_GBK" w:cs="方正楷体_GBK"/>
          <w:color w:val="000000"/>
          <w:highlight w:val="none"/>
        </w:rPr>
        <w:t xml:space="preserve">14.投标函和开标一览表及核心产品品牌一览表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 核心产品品牌一览表中所投核心产品品牌缺项的将视为无效投标。</w:t>
      </w:r>
      <w:bookmarkEnd w:id="121"/>
      <w:r/>
      <w:bookmarkEnd w:id="122"/>
      <w:r/>
      <w:r/>
    </w:p>
    <w:p>
      <w:pPr>
        <w:pStyle w:val="713"/>
        <w:ind w:firstLine="422"/>
        <w:spacing w:before="0" w:after="0"/>
        <w:rPr>
          <w:rFonts w:ascii="方正楷体_GBK" w:hAnsi="方正楷体_GBK" w:eastAsia="方正楷体_GBK" w:cs="方正楷体_GBK"/>
          <w:color w:val="000000"/>
          <w:highlight w:val="none"/>
        </w:rPr>
      </w:pPr>
      <w:r/>
      <w:bookmarkStart w:id="123" w:name="_Hlt26670489"/>
      <w:r/>
      <w:bookmarkEnd w:id="123"/>
      <w:r/>
      <w:bookmarkStart w:id="124" w:name="_Hlt26954850"/>
      <w:r/>
      <w:bookmarkEnd w:id="124"/>
      <w:r/>
      <w:bookmarkStart w:id="125" w:name="_Hlt26954734"/>
      <w:r/>
      <w:bookmarkEnd w:id="125"/>
      <w:r/>
      <w:bookmarkStart w:id="126" w:name="_Toc14577360"/>
      <w:r/>
      <w:bookmarkStart w:id="127" w:name="_Toc49090511"/>
      <w:r>
        <w:rPr>
          <w:rFonts w:hint="eastAsia" w:ascii="方正楷体_GBK" w:hAnsi="方正楷体_GBK" w:eastAsia="方正楷体_GBK" w:cs="方正楷体_GBK"/>
          <w:color w:val="000000"/>
          <w:highlight w:val="none"/>
        </w:rPr>
        <w:t xml:space="preserve">15.投标有效期</w:t>
      </w:r>
      <w:bookmarkEnd w:id="126"/>
      <w:r/>
      <w:bookmarkEnd w:id="127"/>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2"/>
        <w:ind w:firstLine="465"/>
        <w:spacing w:before="145" w:after="145"/>
        <w:rPr>
          <w:rFonts w:ascii="方正黑体_GBK" w:hAnsi="方正黑体_GBK" w:eastAsia="方正黑体_GBK" w:cs="方正黑体_GBK"/>
          <w:b/>
          <w:bCs/>
          <w:color w:val="000000"/>
          <w:sz w:val="30"/>
          <w:szCs w:val="30"/>
          <w:highlight w:val="none"/>
        </w:rPr>
      </w:pPr>
      <w:r/>
      <w:bookmarkStart w:id="128" w:name="_Hlt26954852"/>
      <w:r/>
      <w:bookmarkEnd w:id="128"/>
      <w:r/>
      <w:bookmarkStart w:id="129" w:name="_Hlt26954739"/>
      <w:r/>
      <w:bookmarkEnd w:id="129"/>
      <w:r/>
      <w:bookmarkStart w:id="130" w:name="_Toc20823296"/>
      <w:r/>
      <w:bookmarkStart w:id="131" w:name="_Toc120614217"/>
      <w:r/>
      <w:bookmarkStart w:id="132" w:name="_Toc513029224"/>
      <w:r/>
      <w:bookmarkStart w:id="133" w:name="_Toc16938540"/>
      <w:r>
        <w:rPr>
          <w:rFonts w:hint="eastAsia" w:ascii="方正黑体_GBK" w:hAnsi="方正黑体_GBK" w:eastAsia="方正黑体_GBK" w:cs="方正黑体_GBK"/>
          <w:color w:val="000000"/>
          <w:sz w:val="30"/>
          <w:szCs w:val="30"/>
          <w:highlight w:val="none"/>
        </w:rPr>
        <w:t xml:space="preserve">四、投标文件的递交</w:t>
      </w:r>
      <w:bookmarkEnd w:id="130"/>
      <w:r/>
      <w:bookmarkEnd w:id="131"/>
      <w:r/>
      <w:bookmarkEnd w:id="132"/>
      <w:r/>
      <w:bookmarkEnd w:id="133"/>
      <w:r/>
      <w:r/>
    </w:p>
    <w:p>
      <w:pPr>
        <w:pStyle w:val="713"/>
        <w:ind w:firstLine="422"/>
        <w:spacing w:before="0" w:after="0"/>
        <w:rPr>
          <w:rFonts w:ascii="方正楷体_GBK" w:hAnsi="方正楷体_GBK" w:eastAsia="方正楷体_GBK" w:cs="方正楷体_GBK"/>
          <w:color w:val="000000"/>
          <w:highlight w:val="none"/>
        </w:rPr>
      </w:pPr>
      <w:r/>
      <w:bookmarkStart w:id="134" w:name="_Toc513029225"/>
      <w:r/>
      <w:bookmarkStart w:id="135" w:name="_Toc20823297"/>
      <w:r/>
      <w:bookmarkStart w:id="136" w:name="_Toc462564084"/>
      <w:r/>
      <w:bookmarkStart w:id="137" w:name="_Toc16938541"/>
      <w:r>
        <w:rPr>
          <w:rFonts w:hint="eastAsia" w:ascii="方正楷体_GBK" w:hAnsi="方正楷体_GBK" w:eastAsia="方正楷体_GBK" w:cs="方正楷体_GBK"/>
          <w:color w:val="000000"/>
          <w:highlight w:val="none"/>
        </w:rPr>
        <w:t xml:space="preserve">17.投标文件</w:t>
      </w:r>
      <w:bookmarkEnd w:id="134"/>
      <w:r/>
      <w:bookmarkEnd w:id="135"/>
      <w:r/>
      <w:bookmarkEnd w:id="136"/>
      <w:r/>
      <w:bookmarkEnd w:id="137"/>
      <w:r>
        <w:rPr>
          <w:rFonts w:hint="eastAsia" w:ascii="方正楷体_GBK" w:hAnsi="方正楷体_GBK" w:eastAsia="方正楷体_GBK" w:cs="方正楷体_GBK"/>
          <w:color w:val="000000"/>
          <w:highlight w:val="none"/>
        </w:rPr>
        <w:t xml:space="preserve">的递交</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38" w:name="_Toc16938542"/>
      <w:r/>
      <w:bookmarkEnd w:id="138"/>
      <w:r/>
      <w:bookmarkStart w:id="139" w:name="_Toc20823298"/>
      <w:r/>
      <w:bookmarkEnd w:id="139"/>
      <w:r/>
      <w:bookmarkStart w:id="140" w:name="_Toc513029226"/>
      <w:r/>
      <w:bookmarkEnd w:id="140"/>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p>
    <w:p>
      <w:pPr>
        <w:pStyle w:val="713"/>
        <w:ind w:firstLine="422"/>
        <w:spacing w:before="0" w:after="0"/>
        <w:rPr>
          <w:rFonts w:ascii="方正楷体_GBK" w:hAnsi="方正楷体_GBK" w:eastAsia="方正楷体_GBK" w:cs="方正楷体_GBK"/>
          <w:color w:val="000000"/>
          <w:highlight w:val="none"/>
        </w:rPr>
      </w:pPr>
      <w:r/>
      <w:bookmarkStart w:id="141" w:name="_Toc20823299"/>
      <w:r/>
      <w:bookmarkStart w:id="142" w:name="_Toc16938543"/>
      <w:r/>
      <w:bookmarkStart w:id="143" w:name="_Toc513029227"/>
      <w:r>
        <w:rPr>
          <w:rFonts w:hint="eastAsia" w:ascii="方正楷体_GBK" w:hAnsi="方正楷体_GBK" w:eastAsia="方正楷体_GBK" w:cs="方正楷体_GBK"/>
          <w:color w:val="000000"/>
          <w:highlight w:val="none"/>
        </w:rPr>
        <w:t xml:space="preserve">18.投标文件</w:t>
      </w:r>
      <w:bookmarkEnd w:id="141"/>
      <w:r/>
      <w:bookmarkEnd w:id="142"/>
      <w:r/>
      <w:bookmarkEnd w:id="143"/>
      <w:r>
        <w:rPr>
          <w:rFonts w:hint="eastAsia" w:ascii="方正楷体_GBK" w:hAnsi="方正楷体_GBK" w:eastAsia="方正楷体_GBK" w:cs="方正楷体_GBK"/>
          <w:color w:val="000000"/>
          <w:highlight w:val="none"/>
        </w:rPr>
        <w:t xml:space="preserve">的拒收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p>
    <w:p>
      <w:pPr>
        <w:pStyle w:val="713"/>
        <w:ind w:firstLine="422"/>
        <w:spacing w:before="0" w:after="0"/>
        <w:rPr>
          <w:rFonts w:ascii="方正楷体_GBK" w:hAnsi="方正楷体_GBK" w:eastAsia="方正楷体_GBK" w:cs="方正楷体_GBK"/>
          <w:color w:val="000000"/>
          <w:highlight w:val="none"/>
        </w:rPr>
      </w:pPr>
      <w:r/>
      <w:bookmarkStart w:id="144" w:name="_Toc20823300"/>
      <w:r/>
      <w:bookmarkStart w:id="145" w:name="_Toc16938544"/>
      <w:r/>
      <w:bookmarkStart w:id="146" w:name="_Toc513029228"/>
      <w:r>
        <w:rPr>
          <w:rFonts w:hint="eastAsia" w:ascii="方正楷体_GBK" w:hAnsi="方正楷体_GBK" w:eastAsia="方正楷体_GBK" w:cs="方正楷体_GBK"/>
          <w:color w:val="000000"/>
          <w:highlight w:val="none"/>
        </w:rPr>
        <w:t xml:space="preserve">19.投标文件的撤回和修改</w:t>
      </w:r>
      <w:bookmarkEnd w:id="144"/>
      <w:r/>
      <w:bookmarkEnd w:id="145"/>
      <w:r/>
      <w:bookmarkEnd w:id="146"/>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47" w:name="_Toc513029229"/>
      <w:r/>
      <w:bookmarkStart w:id="148" w:name="_Toc120614218"/>
      <w:r/>
      <w:bookmarkStart w:id="149" w:name="_Toc20823301"/>
      <w:r/>
      <w:bookmarkStart w:id="150" w:name="_Toc16938545"/>
      <w:r/>
      <w:r/>
    </w:p>
    <w:p>
      <w:pPr>
        <w:pStyle w:val="712"/>
        <w:ind w:firstLine="465"/>
        <w:spacing w:before="145" w:after="145"/>
        <w:rPr>
          <w:rFonts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五、开标与评标</w:t>
      </w:r>
      <w:bookmarkEnd w:id="147"/>
      <w:r/>
      <w:bookmarkEnd w:id="148"/>
      <w:r/>
      <w:bookmarkEnd w:id="149"/>
      <w:r/>
      <w:bookmarkEnd w:id="150"/>
      <w:r/>
      <w:r/>
    </w:p>
    <w:p>
      <w:pPr>
        <w:pStyle w:val="713"/>
        <w:ind w:firstLine="422"/>
        <w:spacing w:before="0" w:after="0"/>
        <w:rPr>
          <w:rFonts w:ascii="方正楷体_GBK" w:hAnsi="方正楷体_GBK" w:eastAsia="方正楷体_GBK" w:cs="方正楷体_GBK"/>
          <w:color w:val="000000"/>
          <w:highlight w:val="none"/>
        </w:rPr>
      </w:pPr>
      <w:r/>
      <w:bookmarkStart w:id="151" w:name="_Toc513029230"/>
      <w:r/>
      <w:bookmarkStart w:id="152" w:name="_Toc16938546"/>
      <w:r/>
      <w:bookmarkStart w:id="153" w:name="_Toc20823302"/>
      <w:r>
        <w:rPr>
          <w:rFonts w:hint="eastAsia" w:ascii="方正楷体_GBK" w:hAnsi="方正楷体_GBK" w:eastAsia="方正楷体_GBK" w:cs="方正楷体_GBK"/>
          <w:color w:val="000000"/>
          <w:highlight w:val="none"/>
        </w:rPr>
        <w:t xml:space="preserve">20.开标</w:t>
      </w:r>
      <w:bookmarkEnd w:id="151"/>
      <w:r/>
      <w:bookmarkEnd w:id="152"/>
      <w:r/>
      <w:bookmarkEnd w:id="153"/>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p>
    <w:p>
      <w:pPr>
        <w:pStyle w:val="713"/>
        <w:ind w:firstLine="422"/>
        <w:spacing w:before="0" w:after="0"/>
        <w:rPr>
          <w:rFonts w:ascii="方正楷体_GBK" w:hAnsi="方正楷体_GBK" w:eastAsia="方正楷体_GBK" w:cs="方正楷体_GBK"/>
          <w:color w:val="000000"/>
          <w:highlight w:val="none"/>
        </w:rPr>
      </w:pPr>
      <w:r/>
      <w:bookmarkStart w:id="154" w:name="_Toc16938547"/>
      <w:r/>
      <w:bookmarkStart w:id="155" w:name="_Toc513029231"/>
      <w:r/>
      <w:bookmarkStart w:id="156" w:name="_Toc20823303"/>
      <w:r>
        <w:rPr>
          <w:rFonts w:hint="eastAsia" w:ascii="方正楷体_GBK" w:hAnsi="方正楷体_GBK" w:eastAsia="方正楷体_GBK" w:cs="方正楷体_GBK"/>
          <w:color w:val="000000"/>
          <w:highlight w:val="none"/>
        </w:rPr>
        <w:t xml:space="preserve">21.评标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bookmarkEnd w:id="154"/>
      <w:r/>
      <w:bookmarkEnd w:id="155"/>
      <w:r/>
      <w:bookmarkEnd w:id="156"/>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p>
    <w:p>
      <w:pPr>
        <w:pStyle w:val="713"/>
        <w:ind w:firstLine="422"/>
        <w:spacing w:before="0" w:after="0"/>
        <w:rPr>
          <w:rFonts w:ascii="方正楷体_GBK" w:hAnsi="方正楷体_GBK" w:eastAsia="方正楷体_GBK" w:cs="方正楷体_GBK"/>
          <w:color w:val="000000"/>
          <w:highlight w:val="none"/>
        </w:rPr>
      </w:pPr>
      <w:r/>
      <w:bookmarkStart w:id="157" w:name="_Toc16938548"/>
      <w:r/>
      <w:bookmarkStart w:id="158" w:name="_Toc513029232"/>
      <w:r/>
      <w:bookmarkStart w:id="159" w:name="_Toc20823304"/>
      <w:r>
        <w:rPr>
          <w:rFonts w:hint="eastAsia" w:ascii="方正楷体_GBK" w:hAnsi="方正楷体_GBK" w:eastAsia="方正楷体_GBK" w:cs="方正楷体_GBK"/>
          <w:color w:val="000000"/>
          <w:highlight w:val="none"/>
        </w:rPr>
        <w:t xml:space="preserve">23.投标文件的澄清</w:t>
      </w:r>
      <w:bookmarkEnd w:id="157"/>
      <w:r/>
      <w:bookmarkEnd w:id="158"/>
      <w:r/>
      <w:bookmarkEnd w:id="159"/>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p>
    <w:p>
      <w:pPr>
        <w:pStyle w:val="713"/>
        <w:ind w:firstLine="422"/>
        <w:spacing w:before="0" w:after="0"/>
        <w:rPr>
          <w:rFonts w:ascii="方正楷体_GBK" w:hAnsi="方正楷体_GBK" w:eastAsia="方正楷体_GBK" w:cs="方正楷体_GBK"/>
          <w:color w:val="000000"/>
          <w:highlight w:val="none"/>
        </w:rPr>
      </w:pPr>
      <w:r/>
      <w:bookmarkStart w:id="160" w:name="_Toc20823305"/>
      <w:r/>
      <w:bookmarkStart w:id="161" w:name="_Toc513029233"/>
      <w:r/>
      <w:bookmarkStart w:id="162" w:name="_Toc16938549"/>
      <w:r>
        <w:rPr>
          <w:rFonts w:hint="eastAsia" w:ascii="方正楷体_GBK" w:hAnsi="方正楷体_GBK" w:eastAsia="方正楷体_GBK" w:cs="方正楷体_GBK"/>
          <w:color w:val="000000"/>
          <w:highlight w:val="none"/>
        </w:rPr>
        <w:t xml:space="preserve">24.投标文件的</w:t>
      </w:r>
      <w:bookmarkEnd w:id="160"/>
      <w:r/>
      <w:bookmarkEnd w:id="161"/>
      <w:r/>
      <w:bookmarkEnd w:id="162"/>
      <w:r>
        <w:rPr>
          <w:rFonts w:hint="eastAsia" w:ascii="方正楷体_GBK" w:hAnsi="方正楷体_GBK" w:eastAsia="方正楷体_GBK" w:cs="方正楷体_GBK"/>
          <w:color w:val="000000"/>
          <w:highlight w:val="none"/>
        </w:rPr>
        <w:t xml:space="preserve">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投标文件审查分为资格审查和符合性审查。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未通过资格审查或符合性审查的投标人，交易中心将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highlight w:val="none"/>
          <w:lang w:val="zh-CN"/>
        </w:rPr>
      </w:pPr>
      <w:r/>
      <w:bookmarkStart w:id="163" w:name="_Toc513029234"/>
      <w:r/>
      <w:bookmarkStart w:id="164" w:name="_Toc16938550"/>
      <w:r/>
      <w:bookmarkStart w:id="165" w:name="_Toc2082330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异常低价投标审查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评标过程中出现下列情形之一的，评委会应当启动异常低价投标审查程序：</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（1）投标报价低于全部通过符合性审查供应商投标报价平均值</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的，即投标报价&lt;全部通过符合性审查供应商投标报价平均值×</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（2）投标报价低于通过符合性审查的次低报价供应商投标报价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的，即投标报价&lt;通过符合性审查的次低报价供应商投标报价×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（3）投标报价低于采购项目最高限价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的，即投标报价&lt;采购项目最高限价×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color w:val="000000"/>
          <w:sz w:val="24"/>
          <w:highlight w:val="none"/>
          <w:lang w:val="zh-CN"/>
        </w:rPr>
        <w:t xml:space="preserve">供应商已随投标文件一并提交相关书面说明及必要的证明材料的，在评标现场可不再重复提交</w:t>
      </w:r>
      <w:bookmarkEnd w:id="166"/>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3"/>
      <w:r/>
      <w:bookmarkEnd w:id="164"/>
      <w:r/>
      <w:bookmarkEnd w:id="165"/>
      <w:r>
        <w:rPr>
          <w:rFonts w:hint="eastAsia" w:ascii="方正楷体_GBK" w:hAnsi="方正楷体_GBK" w:eastAsia="方正楷体_GBK" w:cs="方正楷体_GBK"/>
          <w:color w:val="000000"/>
          <w:highlight w:val="none"/>
        </w:rPr>
        <w:t xml:space="preserve">5.无效投标和废标</w:t>
      </w:r>
      <w:r/>
    </w:p>
    <w:p>
      <w:pPr>
        <w:ind w:firstLine="420"/>
        <w:rPr>
          <w:rFonts w:hint="eastAsia" w:ascii="宋体" w:hAnsi="宋体"/>
          <w:color w:val="000000"/>
          <w:sz w:val="24"/>
          <w:highlight w:val="none"/>
          <w:lang w:val="zh-CN"/>
        </w:rPr>
      </w:pPr>
      <w:r/>
      <w:bookmarkStart w:id="167" w:name="_Toc16938551"/>
      <w:r/>
      <w:bookmarkStart w:id="168" w:name="_Toc513029235"/>
      <w:r/>
      <w:bookmarkStart w:id="169" w:name="_Toc20823307"/>
      <w:r/>
      <w:bookmarkStart w:id="170" w:name="_Toc120614219"/>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 评委会</w:t>
      </w:r>
      <w:r>
        <w:rPr>
          <w:rFonts w:hint="eastAsia" w:ascii="宋体" w:hAnsi="宋体"/>
          <w:color w:val="000000"/>
          <w:sz w:val="24"/>
          <w:szCs w:val="21"/>
          <w:highlight w:val="none"/>
        </w:rPr>
        <w:t xml:space="preserve">按照本招标文件规定对投标人进行异常低价投标审查后，认为投标人不能证明其报价合理性的。</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 投标文件未按照招标文件要求加盖电子公章。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 因苏采云系统故障造成开标不成功。</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 如出现投标截止时间后参加投标的供应商或者对招标文件作出实质性响应的供应商不足三家的情况，按政府采购相关规定执行。</w:t>
      </w:r>
      <w:r/>
    </w:p>
    <w:p>
      <w:pPr>
        <w:ind w:firstLine="422"/>
        <w:rPr>
          <w:rFonts w:hint="eastAsia" w:ascii="宋体" w:hAnsi="宋体"/>
          <w:b/>
          <w:bCs/>
          <w:color w:val="000000"/>
          <w:sz w:val="24"/>
          <w:highlight w:val="none"/>
        </w:rPr>
      </w:pPr>
      <w:r>
        <w:rPr>
          <w:rFonts w:hint="eastAsia" w:ascii="宋体" w:hAnsi="宋体"/>
          <w:b/>
          <w:bCs/>
          <w:color w:val="000000"/>
          <w:sz w:val="24"/>
          <w:highlight w:val="none"/>
          <w:lang w:val="zh-CN"/>
        </w:rPr>
        <w:t xml:space="preserve">25.4 如出现25.2.1或25.3情形，招标活动失败，评审委员会</w:t>
      </w:r>
      <w:r>
        <w:rPr>
          <w:rFonts w:hint="eastAsia" w:ascii="宋体" w:hAnsi="宋体"/>
          <w:b/>
          <w:bCs/>
          <w:color w:val="000000"/>
          <w:sz w:val="24"/>
          <w:highlight w:val="none"/>
        </w:rPr>
        <w:t xml:space="preserve">应</w:t>
      </w:r>
      <w:r>
        <w:rPr>
          <w:rFonts w:hint="eastAsia" w:ascii="宋体" w:hAnsi="宋体"/>
          <w:b/>
          <w:bCs/>
          <w:color w:val="000000"/>
          <w:sz w:val="24"/>
          <w:highlight w:val="none"/>
          <w:lang w:bidi="ar"/>
        </w:rPr>
        <w:t xml:space="preserve">对</w:t>
      </w:r>
      <w:r>
        <w:rPr>
          <w:rFonts w:hint="eastAsia" w:ascii="宋体" w:hAnsi="宋体"/>
          <w:b/>
          <w:bCs/>
          <w:color w:val="000000"/>
          <w:sz w:val="24"/>
          <w:highlight w:val="none"/>
          <w:lang w:val="zh-CN" w:bidi="ar"/>
        </w:rPr>
        <w:t xml:space="preserve">招标文件是否存在不合理条款</w:t>
      </w:r>
      <w:r>
        <w:rPr>
          <w:rFonts w:hint="eastAsia" w:ascii="宋体" w:hAnsi="宋体"/>
          <w:b/>
          <w:bCs/>
          <w:color w:val="000000"/>
          <w:sz w:val="24"/>
          <w:highlight w:val="none"/>
          <w:lang w:bidi="ar"/>
        </w:rPr>
        <w:t xml:space="preserve">进行论证，并在评审报告中写明</w:t>
      </w:r>
      <w:r>
        <w:rPr>
          <w:rFonts w:hint="eastAsia" w:ascii="宋体" w:hAnsi="宋体"/>
          <w:b/>
          <w:bCs/>
          <w:color w:val="000000"/>
          <w:sz w:val="24"/>
          <w:highlight w:val="none"/>
          <w:lang w:val="zh-CN" w:bidi="ar"/>
        </w:rPr>
        <w:t xml:space="preserve">论证意见。</w:t>
      </w:r>
      <w:r/>
    </w:p>
    <w:p>
      <w:pPr>
        <w:pStyle w:val="712"/>
        <w:ind w:firstLine="465"/>
        <w:spacing w:before="145" w:after="145"/>
        <w:rPr>
          <w:rFonts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六、</w:t>
      </w:r>
      <w:bookmarkEnd w:id="167"/>
      <w:r/>
      <w:bookmarkEnd w:id="168"/>
      <w:r/>
      <w:bookmarkEnd w:id="169"/>
      <w:r>
        <w:rPr>
          <w:rFonts w:hint="eastAsia" w:ascii="方正黑体_GBK" w:hAnsi="方正黑体_GBK" w:eastAsia="方正黑体_GBK" w:cs="方正黑体_GBK"/>
          <w:color w:val="000000"/>
          <w:sz w:val="30"/>
          <w:szCs w:val="30"/>
          <w:highlight w:val="none"/>
        </w:rPr>
        <w:t xml:space="preserve">定标</w:t>
      </w:r>
      <w:bookmarkEnd w:id="170"/>
      <w:r/>
      <w:r/>
    </w:p>
    <w:p>
      <w:pPr>
        <w:pStyle w:val="713"/>
        <w:ind w:firstLine="422"/>
        <w:spacing w:before="0" w:after="0"/>
        <w:rPr>
          <w:rFonts w:ascii="方正楷体_GBK" w:hAnsi="方正楷体_GBK" w:eastAsia="方正楷体_GBK" w:cs="方正楷体_GBK"/>
          <w:color w:val="000000"/>
          <w:highlight w:val="none"/>
        </w:rPr>
      </w:pPr>
      <w:r/>
      <w:bookmarkStart w:id="171" w:name="_Toc513029238"/>
      <w:r/>
      <w:bookmarkStart w:id="172" w:name="_Toc20823310"/>
      <w:r/>
      <w:bookmarkStart w:id="173" w:name="_Toc16938554"/>
      <w:r>
        <w:rPr>
          <w:rFonts w:hint="eastAsia" w:ascii="方正楷体_GBK" w:hAnsi="方正楷体_GBK" w:eastAsia="方正楷体_GBK" w:cs="方正楷体_GBK"/>
          <w:color w:val="000000"/>
          <w:highlight w:val="none"/>
        </w:rPr>
        <w:t xml:space="preserve">2</w:t>
      </w:r>
      <w:bookmarkEnd w:id="171"/>
      <w:r>
        <w:rPr>
          <w:rFonts w:hint="eastAsia" w:ascii="方正楷体_GBK" w:hAnsi="方正楷体_GBK" w:eastAsia="方正楷体_GBK" w:cs="方正楷体_GBK"/>
          <w:color w:val="000000"/>
          <w:highlight w:val="none"/>
        </w:rPr>
        <w:t xml:space="preserve">6.确定</w:t>
      </w:r>
      <w:bookmarkEnd w:id="172"/>
      <w:r/>
      <w:bookmarkEnd w:id="173"/>
      <w:r>
        <w:rPr>
          <w:rFonts w:hint="eastAsia" w:ascii="方正楷体_GBK" w:hAnsi="方正楷体_GBK" w:eastAsia="方正楷体_GBK" w:cs="方正楷体_GBK"/>
          <w:color w:val="000000"/>
          <w:highlight w:val="none"/>
        </w:rPr>
        <w:t xml:space="preserve">中标单位</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p>
    <w:p>
      <w:pPr>
        <w:ind w:firstLine="420"/>
        <w:rPr>
          <w:rFonts w:hint="eastAsia" w:ascii="宋体" w:hAnsi="宋体"/>
          <w:b/>
          <w:bCs/>
          <w:color w:val="000000"/>
          <w:sz w:val="24"/>
          <w:highlight w:val="none"/>
          <w:lang w:val="zh-CN"/>
        </w:rPr>
      </w:pPr>
      <w:r/>
      <w:bookmarkStart w:id="174"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bookmarkEnd w:id="174"/>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27.中标通知书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12"/>
        <w:ind w:firstLine="465"/>
        <w:spacing w:before="145" w:after="145"/>
        <w:rPr>
          <w:rFonts w:ascii="方正黑体_GBK" w:hAnsi="方正黑体_GBK" w:eastAsia="方正黑体_GBK" w:cs="方正黑体_GBK"/>
          <w:b/>
          <w:bCs/>
          <w:color w:val="000000"/>
          <w:sz w:val="30"/>
          <w:szCs w:val="30"/>
          <w:highlight w:val="none"/>
        </w:rPr>
      </w:pPr>
      <w:r/>
      <w:bookmarkStart w:id="175" w:name="_Toc20823308"/>
      <w:r/>
      <w:bookmarkStart w:id="176" w:name="_Toc16938552"/>
      <w:r/>
      <w:bookmarkStart w:id="177" w:name="_Toc120614220"/>
      <w:r/>
      <w:bookmarkStart w:id="178" w:name="_Toc513029236"/>
      <w:r>
        <w:rPr>
          <w:rFonts w:hint="eastAsia" w:ascii="方正黑体_GBK" w:hAnsi="方正黑体_GBK" w:eastAsia="方正黑体_GBK" w:cs="方正黑体_GBK"/>
          <w:color w:val="000000"/>
          <w:sz w:val="30"/>
          <w:szCs w:val="30"/>
          <w:highlight w:val="none"/>
        </w:rPr>
        <w:t xml:space="preserve">七、授予合同</w:t>
      </w:r>
      <w:bookmarkEnd w:id="175"/>
      <w:r/>
      <w:bookmarkEnd w:id="176"/>
      <w:r/>
      <w:bookmarkEnd w:id="177"/>
      <w:r/>
      <w:bookmarkEnd w:id="178"/>
      <w:r/>
      <w:r/>
    </w:p>
    <w:p>
      <w:pPr>
        <w:pStyle w:val="713"/>
        <w:ind w:firstLine="422"/>
        <w:spacing w:before="0" w:after="0"/>
        <w:rPr>
          <w:rFonts w:ascii="方正楷体_GBK" w:hAnsi="方正楷体_GBK" w:eastAsia="方正楷体_GBK" w:cs="方正楷体_GBK"/>
          <w:color w:val="000000"/>
          <w:highlight w:val="none"/>
        </w:rPr>
      </w:pPr>
      <w:r/>
      <w:bookmarkStart w:id="179" w:name="_Toc20823309"/>
      <w:r/>
      <w:bookmarkStart w:id="180" w:name="_Toc513029237"/>
      <w:r/>
      <w:bookmarkStart w:id="181" w:name="_Toc16938553"/>
      <w:r>
        <w:rPr>
          <w:rFonts w:hint="eastAsia" w:ascii="方正楷体_GBK" w:hAnsi="方正楷体_GBK" w:eastAsia="方正楷体_GBK" w:cs="方正楷体_GBK"/>
          <w:color w:val="000000"/>
          <w:highlight w:val="none"/>
        </w:rPr>
        <w:t xml:space="preserve">28.签订合同</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bookmarkEnd w:id="179"/>
      <w:r/>
      <w:bookmarkEnd w:id="180"/>
      <w:r/>
      <w:bookmarkEnd w:id="181"/>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p>
    <w:p>
      <w:pPr>
        <w:ind w:firstLine="420"/>
        <w:rPr>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p>
    <w:p>
      <w:pPr>
        <w:pStyle w:val="712"/>
        <w:ind w:firstLine="465"/>
        <w:spacing w:before="145" w:after="145"/>
        <w:rPr>
          <w:rFonts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八、质疑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供应商根据质疑事项向相应的质疑答复主体提出质疑，具体详见采购文件第一章。由采购人负责答复的质疑，采购人将《质疑答复函》抄送交易中心。</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超出政府采购法定期限的质疑；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w:t>
      </w:r>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2"/>
        <w:ind w:firstLine="465"/>
        <w:spacing w:before="145" w:after="145"/>
        <w:rPr>
          <w:rFonts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九、政策功能落实</w:t>
      </w:r>
      <w:r/>
    </w:p>
    <w:p>
      <w:pPr>
        <w:pStyle w:val="713"/>
        <w:ind w:firstLine="422"/>
        <w:spacing w:before="0" w:after="0"/>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p>
    <w:p>
      <w:pPr>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p>
    <w:p>
      <w:pPr>
        <w:pStyle w:val="713"/>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3"/>
        <w:ind w:firstLine="422"/>
        <w:spacing w:before="0" w:after="0"/>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43.实施本国产品标准及相关政策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43.2本国产品应当符合以下条件：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（3）特定产品的关键组件、关键工序符合相关要求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43.3本国产品标准的适用范围</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43.4对本国产品的支持政策</w:t>
      </w:r>
      <w:r/>
    </w:p>
    <w:p>
      <w:pPr>
        <w:ind w:firstLine="422"/>
        <w:rPr>
          <w:rFonts w:hint="eastAsia"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43.5政策执行要求</w:t>
      </w:r>
      <w:r/>
    </w:p>
    <w:p>
      <w:pPr>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62"/>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rPr>
          <w:rFonts w:hint="eastAsia" w:ascii="宋体" w:hAnsi="宋体"/>
          <w:color w:val="000000"/>
          <w:sz w:val="24"/>
          <w:highlight w:val="none"/>
          <w:lang w:val="zh-CN"/>
        </w:rPr>
      </w:pPr>
      <w:r>
        <w:rPr>
          <w:rFonts w:hint="eastAsia" w:ascii="宋体" w:hAnsi="宋体"/>
          <w:color w:val="000000"/>
          <w:sz w:val="24"/>
          <w:highlight w:val="none"/>
          <w:lang w:val="zh-CN"/>
        </w:rPr>
      </w:r>
      <w:r/>
    </w:p>
    <w:p>
      <w:pPr>
        <w:ind w:right="840"/>
        <w:jc w:val="center"/>
        <w:rPr>
          <w:rFonts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rPr>
        <w:t xml:space="preserve">文本</w:t>
      </w:r>
      <w:r/>
    </w:p>
    <w:p>
      <w:pPr>
        <w:ind w:firstLine="480"/>
        <w:spacing w:line="264" w:lineRule="auto"/>
        <w:rPr>
          <w:rFonts w:hint="eastAsia" w:ascii="宋体" w:hAnsi="宋体"/>
          <w:bCs/>
          <w:color w:val="000000"/>
          <w:sz w:val="24"/>
          <w:szCs w:val="21"/>
          <w:highlight w:val="none"/>
        </w:rPr>
      </w:pPr>
      <w:r/>
      <w:bookmarkStart w:id="182" w:name="_Toc16938559"/>
      <w:r/>
      <w:bookmarkStart w:id="183" w:name="_Toc20823315"/>
      <w:r/>
      <w:bookmarkStart w:id="184" w:name="_Toc513029243"/>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宋体" w:hAnsi="宋体"/>
          <w:bCs/>
          <w:color w:val="000000"/>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jc w:val="center"/>
        <w:spacing w:before="145" w:after="145" w:line="264" w:lineRule="auto"/>
        <w:rPr>
          <w:rFonts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spacing w:line="264" w:lineRule="auto"/>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w:t>
      </w:r>
      <w:r>
        <w:rPr>
          <w:rFonts w:hint="eastAsia" w:ascii="宋体" w:hAnsi="宋体"/>
          <w:sz w:val="24"/>
          <w:szCs w:val="24"/>
          <w:highlight w:val="none"/>
        </w:rPr>
        <w:t xml:space="preserve">六合分中心</w:t>
      </w:r>
      <w:r>
        <w:rPr>
          <w:rFonts w:hint="eastAsia" w:ascii="宋体" w:hAnsi="宋体" w:cs="Courier New"/>
          <w:color w:val="000000"/>
          <w:sz w:val="24"/>
          <w:szCs w:val="24"/>
          <w:highlight w:val="none"/>
        </w:rPr>
        <w:t xml:space="preserve">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一、合同内容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p>
    <w:p>
      <w:pPr>
        <w:rPr>
          <w:color w:val="000000"/>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二、合同金额</w:t>
      </w:r>
      <w:r/>
    </w:p>
    <w:p>
      <w:pPr>
        <w:pStyle w:val="735"/>
        <w:spacing w:line="264" w:lineRule="auto"/>
        <w:rPr>
          <w:rFonts w:hint="eastAsia" w:hAnsi="宋体"/>
          <w:sz w:val="24"/>
          <w:szCs w:val="24"/>
          <w:highlight w:val="none"/>
        </w:rPr>
      </w:pPr>
      <w:r>
        <w:rPr>
          <w:rFonts w:hAnsi="宋体"/>
          <w:sz w:val="24"/>
          <w:szCs w:val="24"/>
          <w:highlight w:val="none"/>
        </w:rPr>
        <w:t xml:space="preserve">2.1 </w:t>
      </w:r>
      <w:r>
        <w:rPr>
          <w:rFonts w:hint="eastAsia" w:hAnsi="宋体"/>
          <w:sz w:val="24"/>
          <w:szCs w:val="24"/>
          <w:highlight w:val="none"/>
        </w:rPr>
        <w:t xml:space="preserve">本合同金额为：人民币____________________元，（大写：_____________________）</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三、技术资料</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四、知识产权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五、产权担保</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六、履约保证金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w:t>
      </w:r>
      <w:r>
        <w:rPr>
          <w:rFonts w:ascii="宋体" w:hAnsi="宋体" w:cs="Courier New"/>
          <w:color w:val="000000"/>
          <w:sz w:val="24"/>
          <w:szCs w:val="24"/>
          <w:highlight w:val="none"/>
        </w:rPr>
        <w:t xml:space="preserve">本项目乙方无需缴纳履约保证金。</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七、合同转包或分包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八、合同款项支付</w:t>
      </w:r>
      <w:r/>
    </w:p>
    <w:p>
      <w:pPr>
        <w:pStyle w:val="735"/>
        <w:spacing w:line="264" w:lineRule="auto"/>
        <w:rPr>
          <w:rFonts w:hint="eastAsia" w:hAnsi="宋体"/>
          <w:color w:val="000000"/>
          <w:sz w:val="24"/>
          <w:szCs w:val="24"/>
          <w:highlight w:val="none"/>
        </w:rPr>
      </w:pPr>
      <w:r>
        <w:rPr>
          <w:rFonts w:hint="eastAsia" w:hAnsi="宋体"/>
          <w:color w:val="000000"/>
          <w:sz w:val="24"/>
          <w:szCs w:val="24"/>
          <w:highlight w:val="none"/>
        </w:rPr>
        <w:t xml:space="preserve">8.1 合同款项的支付方式及时间</w:t>
      </w:r>
      <w:r/>
    </w:p>
    <w:p>
      <w:pPr>
        <w:pStyle w:val="735"/>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合同签订后，甲方支付合同总价款的30%作为预付款。</w:t>
      </w:r>
      <w:r/>
    </w:p>
    <w:p>
      <w:pPr>
        <w:pStyle w:val="735"/>
        <w:spacing w:line="264" w:lineRule="auto"/>
        <w:rPr>
          <w:rFonts w:hint="eastAsia" w:hAnsi="宋体"/>
          <w:color w:val="000000"/>
          <w:sz w:val="24"/>
          <w:szCs w:val="24"/>
          <w:highlight w:val="none"/>
        </w:rPr>
      </w:pPr>
      <w:r>
        <w:rPr>
          <w:rFonts w:hint="eastAsia" w:hAnsi="宋体"/>
          <w:color w:val="000000"/>
          <w:sz w:val="24"/>
          <w:szCs w:val="24"/>
          <w:highlight w:val="none"/>
        </w:rPr>
        <w:t xml:space="preserve">8.1.2 供货结束并验收合格后，甲方支付合同总价款的70%。</w:t>
      </w:r>
      <w:r/>
    </w:p>
    <w:p>
      <w:pPr>
        <w:pStyle w:val="735"/>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p>
    <w:p>
      <w:pPr>
        <w:pStyle w:val="735"/>
        <w:spacing w:line="264" w:lineRule="auto"/>
        <w:rPr>
          <w:rFonts w:hint="eastAsia" w:hAnsi="宋体"/>
          <w:sz w:val="24"/>
          <w:szCs w:val="24"/>
          <w:highlight w:val="none"/>
        </w:rPr>
      </w:pPr>
      <w:r>
        <w:rPr>
          <w:rFonts w:hint="eastAsia" w:hAnsi="宋体"/>
          <w:sz w:val="24"/>
          <w:szCs w:val="24"/>
          <w:highlight w:val="none"/>
        </w:rPr>
        <w:t xml:space="preserve">8.2 根据《保障中小企业款项支付条例》规定，甲方未按合同约定支付款项的，乙方可以向有关部门投诉。</w:t>
      </w:r>
      <w:r/>
    </w:p>
    <w:p>
      <w:pPr>
        <w:pStyle w:val="735"/>
        <w:spacing w:line="264" w:lineRule="auto"/>
        <w:rPr>
          <w:rFonts w:hint="eastAsia" w:hAnsi="宋体"/>
          <w:color w:val="000000"/>
          <w:sz w:val="24"/>
          <w:szCs w:val="24"/>
          <w:highlight w:val="none"/>
        </w:rPr>
      </w:pPr>
      <w:r>
        <w:rPr>
          <w:rFonts w:hint="eastAsia" w:hAnsi="宋体"/>
          <w:color w:val="000000"/>
          <w:sz w:val="24"/>
          <w:szCs w:val="24"/>
          <w:highlight w:val="none"/>
        </w:rPr>
        <w:t xml:space="preserve">8.3 当采购数量与实际使用数量不一致时，乙方应根据实际使用量供货，合同的最终结算金额按实际使用量乘以成交单价进行计算。</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九、税费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十、质量保修范围和保修期及售后服务</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年，因人为因素出现的故障不在质保范围内。超过质保期的乙方负责终生维修，维修时只收取部件成本费。</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十一、项目验收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十二、货物的包装、发运及运输</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十三、违约责任</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5 </w:t>
      </w:r>
      <w:r>
        <w:rPr>
          <w:rFonts w:ascii="宋体" w:hAnsi="宋体" w:cs="宋体"/>
          <w:color w:val="000000"/>
          <w:sz w:val="24"/>
          <w:szCs w:val="24"/>
          <w:highlight w:val="none"/>
        </w:rPr>
        <w:t xml:space="preserve">%。</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 </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十四、不可抗力事件处理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十五、解决争议的方法</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十六、合同生效及其它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bookmarkEnd w:id="182"/>
      <w:r/>
      <w:bookmarkEnd w:id="183"/>
      <w:r/>
      <w:bookmarkEnd w:id="184"/>
      <w:r/>
      <w:r/>
    </w:p>
    <w:p>
      <w:pPr>
        <w:pStyle w:val="735"/>
        <w:spacing w:before="120" w:after="120" w:line="264" w:lineRule="auto"/>
        <w:rPr>
          <w:rFonts w:hint="eastAsia" w:hAnsi="宋体"/>
          <w:color w:val="000000"/>
          <w:sz w:val="24"/>
          <w:szCs w:val="24"/>
          <w:highlight w:val="none"/>
        </w:rPr>
      </w:pPr>
      <w:r/>
      <w:bookmarkStart w:id="191" w:name="_Hlt16619369"/>
      <w:r/>
      <w:bookmarkEnd w:id="191"/>
      <w:r>
        <w:rPr>
          <w:rFonts w:hint="eastAsia" w:hAnsi="宋体"/>
          <w:color w:val="000000"/>
          <w:sz w:val="24"/>
          <w:szCs w:val="24"/>
          <w:highlight w:val="none"/>
        </w:rPr>
        <w:t xml:space="preserve">  </w:t>
      </w:r>
      <w:r/>
    </w:p>
    <w:p>
      <w:pPr>
        <w:pStyle w:val="735"/>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  方：（公章）                       乙  方：（公章） </w:t>
      </w:r>
      <w:r/>
    </w:p>
    <w:p>
      <w:pPr>
        <w:pStyle w:val="735"/>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地  址：                               地  址： </w:t>
      </w:r>
      <w:r/>
    </w:p>
    <w:p>
      <w:pPr>
        <w:pStyle w:val="735"/>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p>
    <w:p>
      <w:pPr>
        <w:pStyle w:val="735"/>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p>
    <w:p>
      <w:pPr>
        <w:pStyle w:val="735"/>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r/>
    </w:p>
    <w:p>
      <w:pPr>
        <w:pStyle w:val="735"/>
        <w:ind w:firstLine="480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      </w:t>
      </w:r>
      <w:r/>
    </w:p>
    <w:p>
      <w:pPr>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spacing w:before="145" w:after="145" w:line="264" w:lineRule="auto"/>
        <w:rPr>
          <w:rFonts w:ascii="方正小标宋简体" w:hAnsi="方正小标宋简体" w:eastAsia="方正小标宋简体" w:cs="方正小标宋简体"/>
          <w:bCs/>
          <w:color w:val="000000"/>
          <w:sz w:val="32"/>
          <w:szCs w:val="32"/>
          <w:highlight w:val="none"/>
        </w:rPr>
      </w:pPr>
      <w:r>
        <w:rPr>
          <w:rFonts w:ascii="方正小标宋简体" w:hAnsi="方正小标宋简体" w:eastAsia="方正小标宋简体" w:cs="方正小标宋简体"/>
          <w:bCs/>
          <w:color w:val="000000"/>
          <w:sz w:val="32"/>
          <w:szCs w:val="32"/>
          <w:highlight w:val="none"/>
        </w:rPr>
      </w:r>
      <w:r/>
    </w:p>
    <w:p>
      <w:pPr>
        <w:jc w:val="center"/>
        <w:spacing w:before="145" w:after="145" w:line="264" w:lineRule="auto"/>
        <w:rPr>
          <w:rFonts w:ascii="方正小标宋简体" w:hAnsi="方正小标宋简体" w:eastAsia="方正小标宋简体" w:cs="方正小标宋简体"/>
          <w:bCs/>
          <w:color w:val="000000"/>
          <w:sz w:val="32"/>
          <w:szCs w:val="32"/>
          <w:highlight w:val="none"/>
        </w:rPr>
        <w:outlineLvl w:val="1"/>
      </w:pPr>
      <w:r>
        <w:rPr>
          <w:rFonts w:hint="eastAsia" w:ascii="方正小标宋简体" w:hAnsi="方正小标宋简体" w:eastAsia="方正小标宋简体" w:cs="方正小标宋简体"/>
          <w:bCs/>
          <w:color w:val="000000"/>
          <w:sz w:val="32"/>
          <w:szCs w:val="32"/>
          <w:highlight w:val="none"/>
        </w:rPr>
        <w:t xml:space="preserve">《*******合同》补充协议（合同附件）</w:t>
      </w:r>
      <w:r/>
    </w:p>
    <w:p>
      <w:pPr>
        <w:pStyle w:val="735"/>
        <w:ind w:firstLine="480"/>
        <w:jc w:val="left"/>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ind w:right="839"/>
        <w:jc w:val="center"/>
        <w:spacing w:after="240"/>
        <w:rPr>
          <w:rFonts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5"/>
      <w:r>
        <w:rPr>
          <w:rFonts w:hint="eastAsia" w:ascii="方正小标宋简体" w:hAnsi="方正小标宋简体" w:eastAsia="方正小标宋简体" w:cs="方正小标宋简体"/>
          <w:color w:val="000000"/>
          <w:sz w:val="36"/>
          <w:szCs w:val="36"/>
          <w:highlight w:val="none"/>
        </w:rPr>
        <w:t xml:space="preserve">四章  采购需求</w:t>
      </w:r>
      <w:bookmarkEnd w:id="186"/>
      <w:r/>
      <w:bookmarkEnd w:id="187"/>
      <w:r/>
      <w:bookmarkEnd w:id="188"/>
      <w:r/>
      <w:r/>
    </w:p>
    <w:p>
      <w:pPr>
        <w:pStyle w:val="712"/>
        <w:spacing w:before="60" w:after="60"/>
        <w:rPr>
          <w:rFonts w:hint="eastAsia" w:ascii="黑体" w:hAnsi="黑体" w:eastAsia="黑体" w:cs="方正黑体_GBK"/>
          <w:b/>
          <w:bCs/>
          <w:color w:val="000000"/>
          <w:sz w:val="24"/>
          <w:szCs w:val="24"/>
          <w:highlight w:val="none"/>
        </w:rPr>
      </w:pPr>
      <w:r/>
      <w:bookmarkStart w:id="192" w:name="_Toc49090575"/>
      <w:r/>
      <w:bookmarkStart w:id="193" w:name="_Toc26554093"/>
      <w:r>
        <w:rPr>
          <w:rFonts w:hint="eastAsia" w:ascii="黑体" w:hAnsi="黑体" w:eastAsia="黑体" w:cs="方正黑体_GBK"/>
          <w:color w:val="000000"/>
          <w:sz w:val="24"/>
          <w:szCs w:val="24"/>
          <w:highlight w:val="none"/>
        </w:rPr>
        <w:t xml:space="preserve">一、项目属性：</w:t>
      </w:r>
      <w:r>
        <w:rPr>
          <w:rFonts w:hint="eastAsia" w:ascii="宋体" w:hAnsi="宋体" w:cs="方正黑体_GBK"/>
          <w:color w:val="000000"/>
          <w:sz w:val="24"/>
          <w:szCs w:val="24"/>
          <w:highlight w:val="none"/>
        </w:rPr>
        <w:t xml:space="preserve">货物类项目。</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二、项目概况</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（一）项目背景</w:t>
      </w:r>
      <w:r/>
    </w:p>
    <w:p>
      <w:pPr>
        <w:ind w:firstLine="480"/>
        <w:spacing w:line="300" w:lineRule="auto"/>
        <w:rPr>
          <w:rFonts w:hint="eastAsia" w:ascii="宋体" w:hAnsi="宋体" w:cs="宋体"/>
          <w:bCs/>
          <w:sz w:val="24"/>
          <w:szCs w:val="24"/>
          <w:highlight w:val="none"/>
        </w:rPr>
      </w:pPr>
      <w:r>
        <w:rPr>
          <w:rFonts w:ascii="宋体" w:hAnsi="宋体" w:cs="宋体"/>
          <w:bCs/>
          <w:sz w:val="24"/>
          <w:szCs w:val="24"/>
          <w:highlight w:val="none"/>
        </w:rPr>
        <w:t xml:space="preserve">本项目是根据</w:t>
      </w:r>
      <w:r>
        <w:rPr>
          <w:rFonts w:hint="eastAsia" w:ascii="宋体" w:hAnsi="宋体" w:cs="宋体"/>
          <w:bCs/>
          <w:sz w:val="24"/>
          <w:szCs w:val="24"/>
          <w:highlight w:val="none"/>
        </w:rPr>
        <w:t xml:space="preserve">校园安防</w:t>
      </w:r>
      <w:r>
        <w:rPr>
          <w:rFonts w:ascii="宋体" w:hAnsi="宋体" w:cs="宋体"/>
          <w:bCs/>
          <w:sz w:val="24"/>
          <w:szCs w:val="24"/>
          <w:highlight w:val="none"/>
        </w:rPr>
        <w:t xml:space="preserve">新规</w:t>
      </w:r>
      <w:r>
        <w:rPr>
          <w:rFonts w:hint="eastAsia" w:ascii="宋体" w:hAnsi="宋体" w:cs="宋体"/>
          <w:bCs/>
          <w:sz w:val="24"/>
          <w:szCs w:val="24"/>
          <w:highlight w:val="none"/>
        </w:rPr>
        <w:t xml:space="preserve">、</w:t>
      </w:r>
      <w:r>
        <w:rPr>
          <w:rFonts w:ascii="宋体" w:hAnsi="宋体" w:cs="宋体"/>
          <w:bCs/>
          <w:sz w:val="24"/>
          <w:szCs w:val="24"/>
          <w:highlight w:val="none"/>
        </w:rPr>
        <w:t xml:space="preserve">市区平安校园建设要求，</w:t>
      </w:r>
      <w:r>
        <w:rPr>
          <w:rFonts w:hint="eastAsia" w:ascii="宋体" w:hAnsi="宋体" w:cs="宋体"/>
          <w:bCs/>
          <w:sz w:val="24"/>
          <w:szCs w:val="24"/>
          <w:highlight w:val="none"/>
        </w:rPr>
        <w:t xml:space="preserve">结合六合</w:t>
      </w:r>
      <w:r>
        <w:rPr>
          <w:rFonts w:ascii="宋体" w:hAnsi="宋体" w:cs="宋体"/>
          <w:bCs/>
          <w:sz w:val="24"/>
          <w:szCs w:val="24"/>
          <w:highlight w:val="none"/>
        </w:rPr>
        <w:t xml:space="preserve">区</w:t>
      </w:r>
      <w:r>
        <w:rPr>
          <w:rFonts w:hint="eastAsia" w:ascii="宋体" w:hAnsi="宋体" w:cs="宋体"/>
          <w:bCs/>
          <w:sz w:val="24"/>
          <w:szCs w:val="24"/>
          <w:highlight w:val="none"/>
        </w:rPr>
        <w:t xml:space="preserve">部分中小学</w:t>
      </w:r>
      <w:r>
        <w:rPr>
          <w:rFonts w:ascii="宋体" w:hAnsi="宋体" w:cs="宋体"/>
          <w:bCs/>
          <w:sz w:val="24"/>
          <w:szCs w:val="24"/>
          <w:highlight w:val="none"/>
        </w:rPr>
        <w:t xml:space="preserve">校园监控老旧缺盲、存储不达标</w:t>
      </w:r>
      <w:r>
        <w:rPr>
          <w:rFonts w:hint="eastAsia" w:ascii="宋体" w:hAnsi="宋体" w:cs="宋体"/>
          <w:bCs/>
          <w:sz w:val="24"/>
          <w:szCs w:val="24"/>
          <w:highlight w:val="none"/>
        </w:rPr>
        <w:t xml:space="preserve">等实际</w:t>
      </w:r>
      <w:r>
        <w:rPr>
          <w:rFonts w:ascii="宋体" w:hAnsi="宋体" w:cs="宋体"/>
          <w:bCs/>
          <w:sz w:val="24"/>
          <w:szCs w:val="24"/>
          <w:highlight w:val="none"/>
        </w:rPr>
        <w:t xml:space="preserve">，为消除安全隐患实施</w:t>
      </w:r>
      <w:r>
        <w:rPr>
          <w:rFonts w:hint="eastAsia" w:ascii="宋体" w:hAnsi="宋体" w:cs="宋体"/>
          <w:bCs/>
          <w:sz w:val="24"/>
          <w:szCs w:val="24"/>
          <w:highlight w:val="none"/>
        </w:rPr>
        <w:t xml:space="preserve">更新</w:t>
      </w:r>
      <w:r>
        <w:rPr>
          <w:rFonts w:ascii="宋体" w:hAnsi="宋体" w:cs="宋体"/>
          <w:bCs/>
          <w:sz w:val="24"/>
          <w:szCs w:val="24"/>
          <w:highlight w:val="none"/>
        </w:rPr>
        <w:t xml:space="preserve">改造。</w:t>
      </w:r>
      <w:r>
        <w:rPr>
          <w:rFonts w:hint="eastAsia" w:ascii="宋体" w:hAnsi="宋体" w:cs="宋体"/>
          <w:bCs/>
          <w:sz w:val="24"/>
          <w:szCs w:val="24"/>
          <w:highlight w:val="none"/>
        </w:rPr>
        <w:t xml:space="preserve">采购包1包含</w:t>
      </w:r>
      <w:r>
        <w:rPr>
          <w:rFonts w:ascii="宋体" w:hAnsi="宋体" w:cs="宋体"/>
          <w:bCs/>
          <w:sz w:val="24"/>
          <w:szCs w:val="24"/>
          <w:highlight w:val="none"/>
        </w:rPr>
        <w:t xml:space="preserve">六合区双语小学雄州分校</w:t>
      </w:r>
      <w:r>
        <w:rPr>
          <w:rFonts w:hint="eastAsia" w:ascii="宋体" w:hAnsi="宋体" w:cs="宋体"/>
          <w:bCs/>
          <w:sz w:val="24"/>
          <w:szCs w:val="24"/>
          <w:highlight w:val="none"/>
        </w:rPr>
        <w:t xml:space="preserve">、</w:t>
      </w:r>
      <w:r>
        <w:rPr>
          <w:rFonts w:ascii="宋体" w:hAnsi="宋体" w:cs="宋体"/>
          <w:bCs/>
          <w:sz w:val="24"/>
          <w:szCs w:val="24"/>
          <w:highlight w:val="none"/>
        </w:rPr>
        <w:t xml:space="preserve">竹镇中心小学</w:t>
      </w:r>
      <w:r>
        <w:rPr>
          <w:rFonts w:hint="eastAsia" w:ascii="宋体" w:hAnsi="宋体" w:cs="宋体"/>
          <w:bCs/>
          <w:sz w:val="24"/>
          <w:szCs w:val="24"/>
          <w:highlight w:val="none"/>
        </w:rPr>
        <w:t xml:space="preserve">、</w:t>
      </w:r>
      <w:r>
        <w:rPr>
          <w:rFonts w:ascii="宋体" w:hAnsi="宋体" w:cs="宋体"/>
          <w:bCs/>
          <w:sz w:val="24"/>
          <w:szCs w:val="24"/>
          <w:highlight w:val="none"/>
        </w:rPr>
        <w:t xml:space="preserve">六合区双语小学</w:t>
      </w:r>
      <w:r>
        <w:rPr>
          <w:rFonts w:hint="eastAsia" w:ascii="宋体" w:hAnsi="宋体" w:cs="宋体"/>
          <w:bCs/>
          <w:sz w:val="24"/>
          <w:szCs w:val="24"/>
          <w:highlight w:val="none"/>
        </w:rPr>
        <w:t xml:space="preserve">、</w:t>
      </w:r>
      <w:r>
        <w:rPr>
          <w:rFonts w:ascii="宋体" w:hAnsi="宋体" w:cs="宋体"/>
          <w:bCs/>
          <w:sz w:val="24"/>
          <w:szCs w:val="24"/>
          <w:highlight w:val="none"/>
        </w:rPr>
        <w:t xml:space="preserve">横梁初级中学</w:t>
      </w:r>
      <w:r>
        <w:rPr>
          <w:rFonts w:hint="eastAsia" w:ascii="宋体" w:hAnsi="宋体" w:cs="宋体"/>
          <w:bCs/>
          <w:sz w:val="24"/>
          <w:szCs w:val="24"/>
          <w:highlight w:val="none"/>
        </w:rPr>
        <w:t xml:space="preserve">四所学校；采购包2包含六合区</w:t>
      </w:r>
      <w:r>
        <w:rPr>
          <w:rFonts w:ascii="宋体" w:hAnsi="宋体" w:cs="宋体"/>
          <w:bCs/>
          <w:sz w:val="24"/>
          <w:szCs w:val="24"/>
          <w:highlight w:val="none"/>
        </w:rPr>
        <w:t xml:space="preserve">方州小学</w:t>
      </w:r>
      <w:r>
        <w:rPr>
          <w:rFonts w:hint="eastAsia" w:ascii="宋体" w:hAnsi="宋体" w:cs="宋体"/>
          <w:bCs/>
          <w:sz w:val="24"/>
          <w:szCs w:val="24"/>
          <w:highlight w:val="none"/>
        </w:rPr>
        <w:t xml:space="preserve">、</w:t>
      </w:r>
      <w:r>
        <w:rPr>
          <w:rFonts w:ascii="宋体" w:hAnsi="宋体" w:cs="宋体"/>
          <w:bCs/>
          <w:sz w:val="24"/>
          <w:szCs w:val="24"/>
          <w:highlight w:val="none"/>
        </w:rPr>
        <w:t xml:space="preserve">程桥</w:t>
      </w:r>
      <w:r>
        <w:rPr>
          <w:rFonts w:hint="eastAsia" w:ascii="宋体" w:hAnsi="宋体" w:cs="宋体"/>
          <w:bCs/>
          <w:sz w:val="24"/>
          <w:szCs w:val="24"/>
          <w:highlight w:val="none"/>
        </w:rPr>
        <w:t xml:space="preserve">中心</w:t>
      </w:r>
      <w:r>
        <w:rPr>
          <w:rFonts w:ascii="宋体" w:hAnsi="宋体" w:cs="宋体"/>
          <w:bCs/>
          <w:sz w:val="24"/>
          <w:szCs w:val="24"/>
          <w:highlight w:val="none"/>
        </w:rPr>
        <w:t xml:space="preserve">小学</w:t>
      </w:r>
      <w:r>
        <w:rPr>
          <w:rFonts w:hint="eastAsia" w:ascii="宋体" w:hAnsi="宋体" w:cs="宋体"/>
          <w:bCs/>
          <w:sz w:val="24"/>
          <w:szCs w:val="24"/>
          <w:highlight w:val="none"/>
        </w:rPr>
        <w:t xml:space="preserve">、</w:t>
      </w:r>
      <w:r>
        <w:rPr>
          <w:rFonts w:ascii="宋体" w:hAnsi="宋体" w:cs="宋体"/>
          <w:bCs/>
          <w:sz w:val="24"/>
          <w:szCs w:val="24"/>
          <w:highlight w:val="none"/>
        </w:rPr>
        <w:t xml:space="preserve">程桥初中</w:t>
      </w:r>
      <w:r>
        <w:rPr>
          <w:rFonts w:hint="eastAsia" w:ascii="宋体" w:hAnsi="宋体" w:cs="宋体"/>
          <w:bCs/>
          <w:sz w:val="24"/>
          <w:szCs w:val="24"/>
          <w:highlight w:val="none"/>
        </w:rPr>
        <w:t xml:space="preserve">和</w:t>
      </w:r>
      <w:r>
        <w:rPr>
          <w:rFonts w:ascii="宋体" w:hAnsi="宋体" w:cs="宋体"/>
          <w:bCs/>
          <w:sz w:val="24"/>
          <w:szCs w:val="24"/>
          <w:highlight w:val="none"/>
        </w:rPr>
        <w:t xml:space="preserve">程桥高中</w:t>
      </w:r>
      <w:r>
        <w:rPr>
          <w:rFonts w:hint="eastAsia" w:ascii="宋体" w:hAnsi="宋体" w:cs="宋体"/>
          <w:bCs/>
          <w:sz w:val="24"/>
          <w:szCs w:val="24"/>
          <w:highlight w:val="none"/>
        </w:rPr>
        <w:t xml:space="preserve">四所学校。</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（二）项目建设遵循标准</w:t>
      </w:r>
      <w:r/>
    </w:p>
    <w:p>
      <w:pPr>
        <w:ind w:firstLine="480"/>
        <w:spacing w:line="300" w:lineRule="auto"/>
        <w:rPr>
          <w:rFonts w:hint="eastAsia" w:ascii="宋体" w:hAnsi="宋体" w:cs="宋体"/>
          <w:bCs/>
          <w:sz w:val="24"/>
          <w:szCs w:val="24"/>
          <w:highlight w:val="none"/>
        </w:rPr>
      </w:pPr>
      <w:r>
        <w:rPr>
          <w:rFonts w:ascii="宋体" w:hAnsi="宋体" w:cs="宋体"/>
          <w:bCs/>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（三）资产配置标准</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三、项目清单</w:t>
      </w:r>
      <w:r/>
    </w:p>
    <w:p>
      <w:pPr>
        <w:pStyle w:val="934"/>
        <w:ind w:firstLine="0"/>
        <w:spacing w:line="240" w:lineRule="auto"/>
        <w:rPr>
          <w:rFonts w:hint="eastAsia"/>
          <w:sz w:val="24"/>
          <w:szCs w:val="24"/>
          <w:highlight w:val="none"/>
        </w:rPr>
      </w:pPr>
      <w:r>
        <w:rPr>
          <w:rFonts w:hint="eastAsia"/>
          <w:sz w:val="24"/>
          <w:szCs w:val="24"/>
          <w:highlight w:val="none"/>
        </w:rPr>
        <w:t xml:space="preserve">采购包1：六合区双语小学雄州分校等校校园监控设备</w:t>
      </w:r>
      <w:r/>
    </w:p>
    <w:tbl>
      <w:tblPr>
        <w:tblStyle w:val="720"/>
        <w:tblW w:w="9634" w:type="dxa"/>
        <w:tblInd w:w="0" w:type="dxa"/>
        <w:tblLayout w:type="autofit"/>
        <w:tblCellMar>
          <w:left w:w="108" w:type="dxa"/>
          <w:top w:w="0" w:type="dxa"/>
          <w:right w:w="108" w:type="dxa"/>
          <w:bottom w:w="0" w:type="dxa"/>
        </w:tblCellMar>
        <w:tblLook w:val="04A0" w:firstRow="1" w:lastRow="0" w:firstColumn="1" w:lastColumn="0" w:noHBand="0" w:noVBand="1"/>
      </w:tblPr>
      <w:tblGrid>
        <w:gridCol w:w="562"/>
        <w:gridCol w:w="2798"/>
        <w:gridCol w:w="746"/>
        <w:gridCol w:w="709"/>
        <w:gridCol w:w="894"/>
        <w:gridCol w:w="1120"/>
        <w:gridCol w:w="843"/>
        <w:gridCol w:w="842"/>
        <w:gridCol w:w="1120"/>
      </w:tblGrid>
      <w:tr>
        <w:trPr>
          <w:trHeight w:val="81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序号</w:t>
            </w:r>
            <w:r/>
          </w:p>
        </w:tc>
        <w:tc>
          <w:tcPr>
            <w:tcBorders>
              <w:top w:val="single" w:color="auto" w:sz="4" w:space="0"/>
              <w:left w:val="none" w:color="000000" w:sz="4" w:space="0"/>
              <w:bottom w:val="single" w:color="auto" w:sz="4" w:space="0"/>
              <w:right w:val="single" w:color="auto" w:sz="4" w:space="0"/>
            </w:tcBorders>
            <w:tcW w:w="2798"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产品名称</w:t>
            </w:r>
            <w:r/>
          </w:p>
        </w:tc>
        <w:tc>
          <w:tcPr>
            <w:tcBorders>
              <w:top w:val="single" w:color="auto"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单位</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黑体" w:hAnsi="黑体" w:eastAsia="黑体" w:cs="宋体"/>
                <w:color w:val="000000"/>
                <w:spacing w:val="-16"/>
                <w:sz w:val="22"/>
                <w:highlight w:val="none"/>
              </w:rPr>
            </w:pPr>
            <w:r>
              <w:rPr>
                <w:rFonts w:ascii="黑体" w:hAnsi="黑体" w:eastAsia="黑体" w:cs="宋体"/>
                <w:color w:val="000000"/>
                <w:spacing w:val="-16"/>
                <w:sz w:val="22"/>
                <w:highlight w:val="none"/>
              </w:rPr>
              <w:t xml:space="preserve">单价上限（元）</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产品类型</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所属行业</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属性</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政府强制采购节能产品</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463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核心产品</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防油污摄像机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枪型周界摄像机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高速球型摄像机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汇聚交换机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8500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24口POE交换机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3600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8口POE交换机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网络硬盘录像机（64路）</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6500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监控硬盘（8TB）</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块</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主要产品</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控制终端</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是</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六类网线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箱</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GYTA光缆</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光纤终端盒</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光纤配线架</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360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光模块</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380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44U机柜</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2200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接线板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18</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PDU</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180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19</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壁挂机柜</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理线架</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110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室外设备箱</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双芯电源线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PE管</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监控立杆</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检修井</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安装辅材</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拆除服务</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28000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其他服务业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服务</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bl>
    <w:p>
      <w:pPr>
        <w:rPr>
          <w:highlight w:val="none"/>
        </w:rPr>
      </w:pPr>
      <w:r>
        <w:rPr>
          <w:highlight w:val="none"/>
        </w:rPr>
      </w:r>
      <w:r/>
    </w:p>
    <w:p>
      <w:pPr>
        <w:rPr>
          <w:rFonts w:hint="eastAsia" w:ascii="宋体" w:hAnsi="宋体"/>
          <w:sz w:val="24"/>
          <w:szCs w:val="24"/>
          <w:highlight w:val="none"/>
        </w:rPr>
      </w:pPr>
      <w:r>
        <w:rPr>
          <w:rFonts w:hint="eastAsia" w:ascii="宋体" w:hAnsi="宋体"/>
          <w:sz w:val="24"/>
          <w:szCs w:val="24"/>
          <w:highlight w:val="none"/>
        </w:rPr>
        <w:t xml:space="preserve">采购包2：六合区方州小学等校校园监控设备</w:t>
      </w:r>
      <w:r/>
    </w:p>
    <w:tbl>
      <w:tblPr>
        <w:tblStyle w:val="720"/>
        <w:tblW w:w="9634" w:type="dxa"/>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2763"/>
        <w:gridCol w:w="656"/>
        <w:gridCol w:w="800"/>
        <w:gridCol w:w="992"/>
        <w:gridCol w:w="1125"/>
        <w:gridCol w:w="882"/>
        <w:gridCol w:w="702"/>
        <w:gridCol w:w="1118"/>
      </w:tblGrid>
      <w:tr>
        <w:trPr>
          <w:trHeight w:val="20"/>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序号</w:t>
            </w:r>
            <w:r/>
          </w:p>
        </w:tc>
        <w:tc>
          <w:tcPr>
            <w:tcBorders>
              <w:top w:val="single" w:color="auto" w:sz="4" w:space="0"/>
              <w:left w:val="none" w:color="000000" w:sz="4" w:space="0"/>
              <w:bottom w:val="single" w:color="auto" w:sz="4" w:space="0"/>
              <w:right w:val="single" w:color="auto" w:sz="4" w:space="0"/>
            </w:tcBorders>
            <w:tcW w:w="2763"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产品名称</w:t>
            </w:r>
            <w:r/>
          </w:p>
        </w:tc>
        <w:tc>
          <w:tcPr>
            <w:tcBorders>
              <w:top w:val="single" w:color="auto"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数量</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pacing w:val="-12"/>
                <w:sz w:val="22"/>
                <w:highlight w:val="none"/>
              </w:rPr>
              <w:t xml:space="preserve">单价上限（元）</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产品类型</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所属行业</w:t>
            </w:r>
            <w:r/>
          </w:p>
        </w:tc>
        <w:tc>
          <w:tcPr>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黑体" w:hAnsi="黑体" w:eastAsia="黑体" w:cs="宋体"/>
                <w:color w:val="000000"/>
                <w:sz w:val="22"/>
                <w:highlight w:val="none"/>
              </w:rPr>
            </w:pPr>
            <w:r>
              <w:rPr>
                <w:rFonts w:ascii="黑体" w:hAnsi="黑体" w:eastAsia="黑体" w:cs="宋体"/>
                <w:color w:val="000000"/>
                <w:sz w:val="22"/>
                <w:highlight w:val="none"/>
              </w:rPr>
              <w:t xml:space="preserve">属性</w:t>
            </w:r>
            <w:r/>
          </w:p>
        </w:tc>
        <w:tc>
          <w:tcPr>
            <w:tcBorders>
              <w:top w:val="single" w:color="auto"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黑体" w:hAnsi="黑体" w:eastAsia="黑体" w:cs="宋体"/>
                <w:color w:val="000000"/>
                <w:sz w:val="22"/>
                <w:highlight w:val="none"/>
              </w:rPr>
            </w:pPr>
            <w:r/>
            <w:bookmarkStart w:id="194" w:name="OLE_LINK18"/>
            <w:r>
              <w:rPr>
                <w:rFonts w:ascii="黑体" w:hAnsi="黑体" w:eastAsia="黑体" w:cs="宋体"/>
                <w:color w:val="000000"/>
                <w:sz w:val="22"/>
                <w:highlight w:val="none"/>
              </w:rPr>
              <w:t xml:space="preserve">政府强制采购节能产品</w:t>
            </w:r>
            <w:bookmarkEnd w:id="194"/>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火情监测摄像机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2600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防油污摄像机1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15</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防油污摄像机2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168</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核心产品</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枪型摄像机3</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枪型周界摄像机1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枪型周界摄像机2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高速球型摄像机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网络硬盘录像机（32路）</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pacing w:val="-6"/>
                <w:sz w:val="22"/>
                <w:highlight w:val="none"/>
              </w:rPr>
            </w:pPr>
            <w:r>
              <w:rPr>
                <w:rFonts w:ascii="仿宋" w:hAnsi="仿宋" w:eastAsia="仿宋" w:cs="宋体"/>
                <w:color w:val="000000"/>
                <w:spacing w:val="-6"/>
                <w:sz w:val="22"/>
                <w:highlight w:val="none"/>
              </w:rPr>
              <w:t xml:space="preserve">网络硬盘录像机（64路）1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pacing w:val="-6"/>
                <w:sz w:val="22"/>
                <w:highlight w:val="none"/>
              </w:rPr>
            </w:pPr>
            <w:r>
              <w:rPr>
                <w:rFonts w:ascii="仿宋" w:hAnsi="仿宋" w:eastAsia="仿宋" w:cs="宋体"/>
                <w:color w:val="000000"/>
                <w:spacing w:val="-6"/>
                <w:sz w:val="22"/>
                <w:highlight w:val="none"/>
              </w:rPr>
              <w:t xml:space="preserve">网络硬盘录像机（64路）2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pacing w:val="-6"/>
                <w:sz w:val="22"/>
                <w:highlight w:val="none"/>
              </w:rPr>
            </w:pPr>
            <w:r>
              <w:rPr>
                <w:rFonts w:ascii="仿宋" w:hAnsi="仿宋" w:eastAsia="仿宋" w:cs="宋体"/>
                <w:color w:val="000000"/>
                <w:spacing w:val="-6"/>
                <w:sz w:val="22"/>
                <w:highlight w:val="none"/>
              </w:rPr>
              <w:t xml:space="preserve">网络硬盘录像机（128路）</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6050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监控硬盘（8TB）</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57</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主要产品</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监控硬盘（10TB）</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网络视频解码器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拼接显示器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hint="eastAsia" w:ascii="仿宋" w:hAnsi="仿宋" w:eastAsia="仿宋" w:cs="宋体"/>
                <w:color w:val="000000"/>
                <w:sz w:val="22"/>
                <w:highlight w:val="none"/>
              </w:rPr>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安防综合管理服务器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28000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UPS主机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蓄电池</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节</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汇聚交换机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3600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光模块</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光纤终端盒</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光纤配线架</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360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GYTA光缆</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1200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双芯电源线1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双芯电源线2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六类网线</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49</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箱</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壁挂机柜</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42U机柜</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PDU</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电子围栏合金线</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1920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室外设备箱</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18</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监控立杆</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27</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PE管</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1500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安装辅材</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拆除服务</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28000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其他服务业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服务</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　</w:t>
            </w:r>
            <w:r/>
          </w:p>
        </w:tc>
      </w:tr>
    </w:tbl>
    <w:p>
      <w:pPr>
        <w:pStyle w:val="934"/>
        <w:ind w:firstLine="0"/>
        <w:rPr>
          <w:rFonts w:hint="eastAsia"/>
          <w:highlight w:val="none"/>
        </w:rPr>
      </w:pPr>
      <w:r>
        <w:rPr>
          <w:rFonts w:hint="eastAsia"/>
          <w:highlight w:val="none"/>
        </w:rPr>
      </w:r>
      <w:r/>
    </w:p>
    <w:p>
      <w:pPr>
        <w:pStyle w:val="712"/>
        <w:spacing w:before="60" w:after="60"/>
        <w:rPr>
          <w:rFonts w:hint="eastAsia" w:ascii="黑体" w:hAnsi="黑体" w:eastAsia="黑体" w:cs="方正黑体_GBK"/>
          <w:b/>
          <w:bCs/>
          <w:color w:val="000000"/>
          <w:sz w:val="24"/>
          <w:szCs w:val="24"/>
          <w:highlight w:val="none"/>
        </w:rPr>
      </w:pPr>
      <w:r>
        <w:rPr>
          <w:rFonts w:hint="eastAsia" w:ascii="黑体" w:hAnsi="黑体" w:eastAsia="黑体" w:cs="方正黑体_GBK"/>
          <w:color w:val="000000"/>
          <w:sz w:val="24"/>
          <w:szCs w:val="24"/>
          <w:highlight w:val="none"/>
        </w:rPr>
        <w:t xml:space="preserve">四、拟采购标的需要满足的技术、商务要求</w:t>
      </w:r>
      <w:r/>
    </w:p>
    <w:p>
      <w:pPr>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p>
    <w:p>
      <w:pPr>
        <w:pStyle w:val="714"/>
        <w:rPr>
          <w:rFonts w:hint="eastAsia" w:ascii="宋体" w:hAnsi="宋体"/>
          <w:color w:val="auto"/>
          <w:highlight w:val="none"/>
        </w:rPr>
      </w:pPr>
      <w:r>
        <w:rPr>
          <w:rFonts w:hint="eastAsia" w:ascii="宋体" w:hAnsi="宋体"/>
          <w:color w:val="auto"/>
          <w:highlight w:val="none"/>
        </w:rPr>
        <w:t xml:space="preserve">1.</w:t>
      </w:r>
      <w:bookmarkStart w:id="195" w:name="OLE_LINK10"/>
      <w:r>
        <w:rPr>
          <w:rFonts w:hint="eastAsia" w:ascii="宋体" w:hAnsi="宋体"/>
          <w:color w:val="auto"/>
          <w:highlight w:val="none"/>
        </w:rPr>
        <w:t xml:space="preserve">产品技术指标</w:t>
      </w:r>
      <w:bookmarkEnd w:id="195"/>
      <w:r/>
      <w:r/>
    </w:p>
    <w:p>
      <w:pPr>
        <w:rPr>
          <w:b/>
          <w:bCs/>
          <w:color w:val="000000"/>
          <w:sz w:val="24"/>
          <w:szCs w:val="24"/>
          <w:highlight w:val="none"/>
        </w:rPr>
      </w:pPr>
      <w:r>
        <w:rPr>
          <w:b/>
          <w:bCs/>
          <w:color w:val="000000"/>
          <w:sz w:val="24"/>
          <w:szCs w:val="24"/>
          <w:highlight w:val="none"/>
        </w:rPr>
        <w:br w:type="page" w:clear="all"/>
      </w:r>
      <w:r/>
    </w:p>
    <w:p>
      <w:pPr>
        <w:pStyle w:val="1009"/>
        <w:rPr>
          <w:rFonts w:hint="eastAsia"/>
          <w:b/>
          <w:bCs/>
          <w:color w:val="000000"/>
          <w:sz w:val="24"/>
          <w:szCs w:val="24"/>
          <w:highlight w:val="none"/>
        </w:rPr>
      </w:pPr>
      <w:r>
        <w:rPr>
          <w:b/>
          <w:bCs/>
          <w:color w:val="000000"/>
          <w:sz w:val="24"/>
          <w:szCs w:val="24"/>
          <w:highlight w:val="none"/>
        </w:rPr>
        <w:t xml:space="preserve">采购包1：</w:t>
      </w:r>
      <w:r/>
    </w:p>
    <w:tbl>
      <w:tblPr>
        <w:tblStyle w:val="720"/>
        <w:tblW w:w="1020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080"/>
        <w:gridCol w:w="8480"/>
      </w:tblGrid>
      <w:tr>
        <w:trPr>
          <w:trHeight w:val="495"/>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黑体" w:hAnsi="黑体" w:eastAsia="黑体" w:cs="宋体"/>
                <w:color w:val="000000"/>
                <w:sz w:val="24"/>
                <w:szCs w:val="24"/>
                <w:highlight w:val="none"/>
              </w:rPr>
            </w:pPr>
            <w:r>
              <w:rPr>
                <w:rFonts w:ascii="黑体" w:hAnsi="黑体" w:eastAsia="黑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黑体" w:hAnsi="黑体" w:eastAsia="黑体" w:cs="宋体"/>
                <w:color w:val="000000"/>
                <w:sz w:val="24"/>
                <w:szCs w:val="24"/>
                <w:highlight w:val="none"/>
              </w:rPr>
            </w:pPr>
            <w:r>
              <w:rPr>
                <w:rFonts w:ascii="黑体" w:hAnsi="黑体" w:eastAsia="黑体" w:cs="宋体"/>
                <w:color w:val="000000"/>
                <w:sz w:val="24"/>
                <w:szCs w:val="24"/>
                <w:highlight w:val="none"/>
              </w:rPr>
              <w:t xml:space="preserve">产品名称</w:t>
            </w:r>
            <w:r/>
          </w:p>
        </w:tc>
        <w:tc>
          <w:tcPr>
            <w:tcBorders>
              <w:top w:val="single" w:color="auto" w:sz="4" w:space="0"/>
              <w:left w:val="none" w:color="000000" w:sz="4" w:space="0"/>
              <w:bottom w:val="single" w:color="auto" w:sz="4" w:space="0"/>
              <w:right w:val="single" w:color="auto" w:sz="4" w:space="0"/>
            </w:tcBorders>
            <w:tcW w:w="8480" w:type="dxa"/>
            <w:vAlign w:val="center"/>
            <w:textDirection w:val="lrTb"/>
            <w:noWrap w:val="false"/>
          </w:tcPr>
          <w:p>
            <w:pPr>
              <w:jc w:val="center"/>
              <w:widowControl/>
              <w:rPr>
                <w:rFonts w:hint="eastAsia" w:ascii="黑体" w:hAnsi="黑体" w:eastAsia="黑体" w:cs="宋体"/>
                <w:color w:val="000000"/>
                <w:sz w:val="24"/>
                <w:szCs w:val="24"/>
                <w:highlight w:val="none"/>
              </w:rPr>
            </w:pPr>
            <w:r>
              <w:rPr>
                <w:rFonts w:ascii="黑体" w:hAnsi="黑体" w:eastAsia="黑体" w:cs="宋体"/>
                <w:color w:val="000000"/>
                <w:sz w:val="24"/>
                <w:szCs w:val="24"/>
                <w:highlight w:val="none"/>
              </w:rPr>
              <w:t xml:space="preserve">功能、性能、配置要求不低于以下要求</w:t>
            </w:r>
            <w:r/>
          </w:p>
        </w:tc>
      </w:tr>
      <w:tr>
        <w:trPr>
          <w:trHeight w:val="40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1.图像传感器：采用逐行扫描CMOS图像传感器，对角线长度≥1/3英寸，星光级超低照度性能</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2.镜头：支持4mm/6mm/8mm/12mm多规格定焦镜头，根据现场环境选用；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3.照度与补光性能：彩色模式最低照度≤0.005Lux，黑白模式0Lux（红外/白光补光），有效补光距离≥30m；</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5.音频：内置1个麦克风，支持环境噪声过滤，音频采样率≥16kHz；</w:t>
            </w:r>
            <w:r>
              <w:rPr>
                <w:rFonts w:ascii="仿宋" w:hAnsi="仿宋" w:eastAsia="仿宋" w:cs="宋体"/>
                <w:color w:val="000000"/>
                <w:sz w:val="22"/>
                <w:highlight w:val="none"/>
              </w:rPr>
              <w:br/>
            </w:r>
            <w:r>
              <w:rPr>
                <w:rFonts w:ascii="仿宋" w:hAnsi="仿宋" w:eastAsia="仿宋" w:cs="宋体"/>
                <w:color w:val="000000"/>
                <w:sz w:val="22"/>
                <w:highlight w:val="none"/>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7.供电：支持DC12V和PoE（IEEE802.3af），支持防反接保护，功耗≤10W；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8.安装：支持墙面/吊顶/立杆安装，配套铝合金支架，抗风等级≥9级，支持水平、垂直调节。</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防油污摄像机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1.图像传感器：采用逐行扫描CMOS图像传感器，传感器对角线长度≥1/3英寸；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2.防油污性能：采用一体化平面防油污设计，镜头护罩玻璃采用疏油涂层工艺，整机采用密封结构设计，内部元器件做防潮处理，支持透雾技术；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3.镜头：采用4mm或6mm定焦镜头，适配后厨景监控；</w:t>
            </w:r>
            <w:r>
              <w:rPr>
                <w:rFonts w:ascii="仿宋" w:hAnsi="仿宋" w:eastAsia="仿宋" w:cs="宋体"/>
                <w:color w:val="000000"/>
                <w:sz w:val="22"/>
                <w:highlight w:val="none"/>
              </w:rPr>
              <w:br/>
            </w:r>
            <w:r>
              <w:rPr>
                <w:rFonts w:ascii="仿宋" w:hAnsi="仿宋" w:eastAsia="仿宋" w:cs="宋体"/>
                <w:color w:val="000000"/>
                <w:sz w:val="22"/>
                <w:highlight w:val="none"/>
              </w:rPr>
              <w:t xml:space="preserve">4.照度与补光性能：彩色模式最低照度≤0.005Lux，黑白红外补光模式照度可达0Lux，最大亮度鉴别等级不小于11级；搭载1颗红外、1颗白光双灯珠补光设计，支持红外、白光双补光模式，补光有效距离均≥30米；</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6.智能分析功能：支持厨师合规检测，可自定义检测时间与区域，实时识别人员口罩、帽子、工作服穿戴情况，支持违规筛选、抓拍、统计及事件上报；支持场景鼠类检测、动火离人报警检测，可识别区域明火并在无人值守时触发告警；</w:t>
            </w:r>
            <w:r>
              <w:rPr>
                <w:rFonts w:ascii="仿宋" w:hAnsi="仿宋" w:eastAsia="仿宋" w:cs="宋体"/>
                <w:color w:val="000000"/>
                <w:sz w:val="22"/>
                <w:highlight w:val="none"/>
              </w:rPr>
              <w:br/>
            </w:r>
            <w:r>
              <w:rPr>
                <w:rFonts w:ascii="仿宋" w:hAnsi="仿宋" w:eastAsia="仿宋" w:cs="宋体"/>
                <w:color w:val="000000"/>
                <w:sz w:val="22"/>
                <w:highlight w:val="none"/>
              </w:rPr>
              <w:t xml:space="preserve">7.音视频与外设接口：内置2个麦克风、1个扬声器，支持环境噪声过滤功能；配备1路音频输入、1路音频输出、1路报警输入、1路报警输出，支持最大256GBMicroSD卡本地存储；</w:t>
            </w:r>
            <w:r>
              <w:rPr>
                <w:rFonts w:ascii="仿宋" w:hAnsi="仿宋" w:eastAsia="仿宋" w:cs="宋体"/>
                <w:color w:val="000000"/>
                <w:sz w:val="22"/>
                <w:highlight w:val="none"/>
              </w:rPr>
              <w:br/>
            </w:r>
            <w:r>
              <w:rPr>
                <w:rFonts w:ascii="仿宋" w:hAnsi="仿宋" w:eastAsia="仿宋" w:cs="宋体"/>
                <w:color w:val="000000"/>
                <w:sz w:val="22"/>
                <w:highlight w:val="none"/>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highlight w:val="none"/>
              </w:rPr>
              <w:br/>
            </w:r>
            <w:r>
              <w:rPr>
                <w:rFonts w:ascii="仿宋" w:hAnsi="仿宋" w:eastAsia="仿宋" w:cs="宋体"/>
                <w:color w:val="000000"/>
                <w:sz w:val="22"/>
                <w:highlight w:val="none"/>
              </w:rPr>
              <w:t xml:space="preserve">9.供电：支持DC12V和PoE（IEEE802.3af），支持防反接保护，功耗≤10W；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10.安装：支持墙面/吊顶，配套铝合金支架，支持水平、垂直调节、耐腐蚀。</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枪型周界摄像机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1.图像传感器：采用逐行扫描CMOS图像传感器，传感器对角线长度≥1/1.8英寸，星光级超低照度性能</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2.镜头：镜头光圈≥F1.0，支持4mm/6mm/8mm/12mm多规格定焦镜头，根据现场周界监控距离、覆盖视野选配；</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与补光性能：彩色模式最低照度≤0.001Lux，弱光环境可保持彩色高清成像；配备不少于16颗补光灯，包含8颗远光灯、8颗近光灯，支持防补光过曝功能开启与关闭切换，开启状态下可自动、手动双向调节补光灯亮度，适配不同光线场景；</w:t>
            </w:r>
            <w:r>
              <w:rPr>
                <w:rFonts w:ascii="仿宋" w:hAnsi="仿宋" w:eastAsia="仿宋" w:cs="宋体"/>
                <w:color w:val="000000"/>
                <w:sz w:val="22"/>
                <w:highlight w:val="none"/>
              </w:rPr>
              <w:br/>
            </w:r>
            <w:r>
              <w:rPr>
                <w:rFonts w:ascii="仿宋" w:hAnsi="仿宋" w:eastAsia="仿宋" w:cs="宋体"/>
                <w:color w:val="000000"/>
                <w:sz w:val="22"/>
                <w:highlight w:val="none"/>
              </w:rPr>
              <w:t xml:space="preserve">4.智能侦测：内置CPU、GPU、NPU集成式AI处理器，NPU算力≥1.0TOPS；支持越界侦测、区域入侵侦测、进入区域侦测、离开区域侦测等周界智能侦测功能，可联动声光预警设备实现异常告警提醒；</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5.视频编码与图像处理：视频输出分辨率≥2560×1440@25fps，支持H.265/H.264视频编码格式；支持背光补偿、强光抑制、3D数字降噪图像处理功能；支持多码流，分辨率、帧率、码率、编码格式可独立配置，互不干扰；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6.音视频与外设接口：内置1个麦克风、1个扬声器，支持双向音频对讲；配备1路音频输入、1路音频输出、报警输入输出接口、1个RS485接口，满足周界预警、外设联动、设备控制等使用需求；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7.通讯协议与防护等级：支持ONVIF、GB/T28181标准协议，支持主流设备SDK对接、平台接入及视图库适配，兼容IPv4/IPv6、TCP/IP、HTTP、HTTPS、FTP、DHCP等主流网络协议；防护等级≥IP67，防雷等级≥4级；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8.供电：支持DC12V和PoE（IEEE802.3af），支持防反接保护，功耗≤10W；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9.安装：支持墙面/吊顶/立杆安装，配套铝合金支架，抗风等级≥9级，支持水平、垂直调节、耐腐蚀。</w:t>
            </w:r>
            <w:r/>
          </w:p>
        </w:tc>
      </w:tr>
      <w:tr>
        <w:trPr>
          <w:trHeight w:val="67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高速球型摄像机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1.图像传感器：采用逐行扫描CMOS图像传感器，传感器对角线长度≥1/1.8英寸，最大图像分辨率≥2560×1440；</w:t>
            </w:r>
            <w:r>
              <w:rPr>
                <w:rFonts w:ascii="仿宋" w:hAnsi="仿宋" w:eastAsia="仿宋" w:cs="宋体"/>
                <w:color w:val="000000"/>
                <w:sz w:val="22"/>
                <w:highlight w:val="none"/>
              </w:rPr>
              <w:br/>
            </w:r>
            <w:r>
              <w:rPr>
                <w:rFonts w:ascii="仿宋" w:hAnsi="仿宋" w:eastAsia="仿宋" w:cs="宋体"/>
                <w:color w:val="000000"/>
                <w:sz w:val="22"/>
                <w:highlight w:val="none"/>
              </w:rPr>
              <w:t xml:space="preserve">2.变焦性能与超低照度：支持≥23倍光学变焦，设备最大有效焦距≥135mm，可实现远距离场景清晰抓拍；具备星光级超低照度成像能力，红外灯关闭状态下，彩色模式最低照度≤0.005Lux，黑白模式最低照度≤0.001Lux；</w:t>
            </w:r>
            <w:r>
              <w:rPr>
                <w:rFonts w:ascii="仿宋" w:hAnsi="仿宋" w:eastAsia="仿宋" w:cs="宋体"/>
                <w:color w:val="000000"/>
                <w:sz w:val="22"/>
                <w:highlight w:val="none"/>
              </w:rPr>
              <w:br/>
            </w:r>
            <w:r>
              <w:rPr>
                <w:rFonts w:ascii="仿宋" w:hAnsi="仿宋" w:eastAsia="仿宋" w:cs="宋体"/>
                <w:color w:val="000000"/>
                <w:sz w:val="22"/>
                <w:highlight w:val="none"/>
              </w:rPr>
              <w:t xml:space="preserve">3.云台旋转性能：设备水平支持360°连续旋转，垂直旋转范围≥-5°～90°，支持云台自动翻转功能，设备转动过程中图像始终保持正向显示；</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编码与图像处理：支持H.265、H.264频编码格式，可独立配置多码流，分辨率、帧率、码率、编码格式相互独立、互不干扰；内置智能图像处理引擎，支持AI画质增强技术，支持背光补偿、强光抑制、3D数字降噪、电子防抖图像处理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5.智能警戒与跟踪功能：内置智能AI识别算法，可精准识别区域内人员、车辆目标；当人、车侵入预设警戒区域时，设备可自动触发白光补光警示、语音声音警示，并启动智能持续跟踪功能，锁定目标轨迹，实现主动预警防控；</w:t>
            </w:r>
            <w:r>
              <w:rPr>
                <w:rFonts w:ascii="仿宋" w:hAnsi="仿宋" w:eastAsia="仿宋" w:cs="宋体"/>
                <w:color w:val="000000"/>
                <w:sz w:val="22"/>
                <w:highlight w:val="none"/>
              </w:rPr>
              <w:br/>
            </w:r>
            <w:r>
              <w:rPr>
                <w:rFonts w:ascii="仿宋" w:hAnsi="仿宋" w:eastAsia="仿宋" w:cs="宋体"/>
                <w:color w:val="000000"/>
                <w:sz w:val="22"/>
                <w:highlight w:val="none"/>
              </w:rPr>
              <w:t xml:space="preserve">6.外设接口与存储功能：设备标配音频输入输出、报警输入输出接口，支持外设联动对接；支持本地SD卡存储；</w:t>
            </w:r>
            <w:r>
              <w:rPr>
                <w:rFonts w:ascii="仿宋" w:hAnsi="仿宋" w:eastAsia="仿宋" w:cs="宋体"/>
                <w:color w:val="000000"/>
                <w:sz w:val="22"/>
                <w:highlight w:val="none"/>
              </w:rPr>
              <w:br/>
            </w:r>
            <w:r>
              <w:rPr>
                <w:rFonts w:ascii="仿宋" w:hAnsi="仿宋" w:eastAsia="仿宋" w:cs="宋体"/>
                <w:color w:val="000000"/>
                <w:sz w:val="22"/>
                <w:highlight w:val="none"/>
              </w:rPr>
              <w:t xml:space="preserve">7.通讯协议与防护等级：支持ONVIF、GB/T28181国家标准协议，支持主流设备SDK对接、第三方平台接入及视图库适配；兼容IPv4/IPv6、TCP/IP、HTTP、HTTPS、FTP、DHCP等主流网络协议，适配校园监控统一组网及平台统一管理；设备防尘防水防护等级达到IP67标准；</w:t>
            </w:r>
            <w:r>
              <w:rPr>
                <w:rFonts w:ascii="仿宋" w:hAnsi="仿宋" w:eastAsia="仿宋" w:cs="宋体"/>
                <w:color w:val="000000"/>
                <w:sz w:val="22"/>
                <w:highlight w:val="none"/>
              </w:rPr>
              <w:br/>
            </w:r>
            <w:r>
              <w:rPr>
                <w:rFonts w:ascii="仿宋" w:hAnsi="仿宋" w:eastAsia="仿宋" w:cs="宋体"/>
                <w:color w:val="000000"/>
                <w:sz w:val="22"/>
                <w:highlight w:val="none"/>
              </w:rPr>
              <w:t xml:space="preserve">8.除霜除雾功能：镜头内置加热模块，支持智能加热除雾除霜功能；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9.设备供电特性：采用标准AC24V交流供电模式，具备过压、过流、短路防护功能，配套电源适配器；</w:t>
            </w:r>
            <w:r>
              <w:rPr>
                <w:rFonts w:ascii="仿宋" w:hAnsi="仿宋" w:eastAsia="仿宋" w:cs="宋体"/>
                <w:color w:val="000000"/>
                <w:sz w:val="22"/>
                <w:highlight w:val="none"/>
              </w:rPr>
              <w:br/>
            </w:r>
            <w:r>
              <w:rPr>
                <w:rFonts w:ascii="仿宋" w:hAnsi="仿宋" w:eastAsia="仿宋" w:cs="宋体"/>
                <w:color w:val="000000"/>
                <w:sz w:val="22"/>
                <w:highlight w:val="none"/>
              </w:rPr>
              <w:t xml:space="preserve">10.安装特性：支持墙面安装、立杆安装、吊装等多种安装方式，配套安装支架。</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汇聚交换机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1.交换性能：整机交换容量≥1.36Tbps，转发性能≥264Mpps</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2.端口配置：下行千兆SFP口≥48个，上行万兆SFP口≥6个，Console口≥1个；</w:t>
            </w:r>
            <w:r>
              <w:rPr>
                <w:rFonts w:ascii="仿宋" w:hAnsi="仿宋" w:eastAsia="仿宋" w:cs="宋体"/>
                <w:color w:val="000000"/>
                <w:sz w:val="22"/>
                <w:highlight w:val="none"/>
              </w:rPr>
              <w:br/>
            </w:r>
            <w:r>
              <w:rPr>
                <w:rFonts w:ascii="仿宋" w:hAnsi="仿宋" w:eastAsia="仿宋" w:cs="宋体"/>
                <w:color w:val="000000"/>
                <w:sz w:val="22"/>
                <w:highlight w:val="none"/>
              </w:rPr>
              <w:t xml:space="preserve">3.配置模块化双冗余电源；</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4.支持LACP、STP、RSTP、MSTP、ERPS等标准链路及环网保护协议；</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5.支持端口速率限制，收发限速最小粒度≤16Kbps；</w:t>
            </w:r>
            <w:r>
              <w:rPr>
                <w:rFonts w:ascii="仿宋" w:hAnsi="仿宋" w:eastAsia="仿宋" w:cs="宋体"/>
                <w:color w:val="000000"/>
                <w:sz w:val="22"/>
                <w:highlight w:val="none"/>
              </w:rPr>
              <w:br/>
            </w:r>
            <w:r>
              <w:rPr>
                <w:rFonts w:ascii="仿宋" w:hAnsi="仿宋" w:eastAsia="仿宋" w:cs="宋体"/>
                <w:color w:val="000000"/>
                <w:sz w:val="22"/>
                <w:highlight w:val="none"/>
              </w:rPr>
              <w:t xml:space="preserve">6.支持VRRP、OSPFv2/v3、BGP、IS-IS等IPv4/IPv6三层路由协议；</w:t>
            </w:r>
            <w:r>
              <w:rPr>
                <w:rFonts w:ascii="仿宋" w:hAnsi="仿宋" w:eastAsia="仿宋" w:cs="宋体"/>
                <w:color w:val="000000"/>
                <w:sz w:val="22"/>
                <w:highlight w:val="none"/>
              </w:rPr>
              <w:br/>
            </w:r>
            <w:r>
              <w:rPr>
                <w:rFonts w:ascii="仿宋" w:hAnsi="仿宋" w:eastAsia="仿宋" w:cs="宋体"/>
                <w:color w:val="000000"/>
                <w:sz w:val="22"/>
                <w:highlight w:val="none"/>
              </w:rPr>
              <w:t xml:space="preserve">7.支持标准以太环网保护协议ERPS，环网故障切换时间≤50ms；</w:t>
            </w:r>
            <w:r>
              <w:rPr>
                <w:rFonts w:ascii="仿宋" w:hAnsi="仿宋" w:eastAsia="仿宋" w:cs="宋体"/>
                <w:color w:val="000000"/>
                <w:sz w:val="22"/>
                <w:highlight w:val="none"/>
              </w:rPr>
              <w:br/>
            </w:r>
            <w:r>
              <w:rPr>
                <w:rFonts w:ascii="仿宋" w:hAnsi="仿宋" w:eastAsia="仿宋" w:cs="宋体"/>
                <w:color w:val="000000"/>
                <w:sz w:val="22"/>
                <w:highlight w:val="none"/>
              </w:rPr>
              <w:t xml:space="preserve">8.支持图形化网管功能，可实现全网设备统一配置、状态监控与运维管理。</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1.端口配置：固化千兆电口≥24个，固化千兆光口≥4个，标准1U设备;</w:t>
            </w:r>
            <w:r>
              <w:rPr>
                <w:rFonts w:ascii="仿宋" w:hAnsi="仿宋" w:eastAsia="仿宋" w:cs="宋体"/>
                <w:color w:val="000000"/>
                <w:sz w:val="22"/>
                <w:highlight w:val="none"/>
              </w:rPr>
              <w:br/>
            </w:r>
            <w:r>
              <w:rPr>
                <w:rFonts w:ascii="仿宋" w:hAnsi="仿宋" w:eastAsia="仿宋" w:cs="宋体"/>
                <w:color w:val="000000"/>
                <w:sz w:val="22"/>
                <w:highlight w:val="none"/>
              </w:rPr>
              <w:t xml:space="preserve">2.支持PoE供电口≥24个，整机POE输出功率≥370W,单口最大输出功率≥30W；</w:t>
            </w:r>
            <w:r>
              <w:rPr>
                <w:rFonts w:ascii="仿宋" w:hAnsi="仿宋" w:eastAsia="仿宋" w:cs="宋体"/>
                <w:color w:val="000000"/>
                <w:sz w:val="22"/>
                <w:highlight w:val="none"/>
              </w:rPr>
              <w:br/>
            </w:r>
            <w:r>
              <w:rPr>
                <w:rFonts w:ascii="仿宋" w:hAnsi="仿宋" w:eastAsia="仿宋" w:cs="宋体"/>
                <w:color w:val="000000"/>
                <w:sz w:val="22"/>
                <w:highlight w:val="none"/>
              </w:rPr>
              <w:t xml:space="preserve">3.交换性能：交换容量≥672Gbps，包转发率≥146Mpps；</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4.支持Web界面管理，支持VLAN划分、802.3x、链路聚合、IGMPSnooping、STP/RSTP/MSTP链路保护技术；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5.支持防雷等级≥6K。</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1.支持固化千兆电口≥8个，固化千兆光口≥2个;</w:t>
            </w:r>
            <w:r>
              <w:rPr>
                <w:rFonts w:ascii="仿宋" w:hAnsi="仿宋" w:eastAsia="仿宋" w:cs="宋体"/>
                <w:color w:val="000000"/>
                <w:sz w:val="22"/>
                <w:highlight w:val="none"/>
              </w:rPr>
              <w:br/>
            </w:r>
            <w:r>
              <w:rPr>
                <w:rFonts w:ascii="仿宋" w:hAnsi="仿宋" w:eastAsia="仿宋" w:cs="宋体"/>
                <w:color w:val="000000"/>
                <w:sz w:val="22"/>
                <w:highlight w:val="none"/>
              </w:rPr>
              <w:t xml:space="preserve">2.支持PoE供电口≥8个，整机POE输出功率≥125W,单口最大输出功率≥30W；</w:t>
            </w:r>
            <w:r>
              <w:rPr>
                <w:rFonts w:ascii="仿宋" w:hAnsi="仿宋" w:eastAsia="仿宋" w:cs="宋体"/>
                <w:color w:val="000000"/>
                <w:sz w:val="22"/>
                <w:highlight w:val="none"/>
              </w:rPr>
              <w:br/>
            </w:r>
            <w:r>
              <w:rPr>
                <w:rFonts w:ascii="仿宋" w:hAnsi="仿宋" w:eastAsia="仿宋" w:cs="宋体"/>
                <w:color w:val="000000"/>
                <w:sz w:val="22"/>
                <w:highlight w:val="none"/>
              </w:rPr>
              <w:t xml:space="preserve">3.内存≥256MB，交换容量≥192Gbps，包转发率≥64Mpps；</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4.支持Web界面管理，支持端口自动节能、链路聚合；</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5.支持防雷等级≥6KV。</w:t>
            </w:r>
            <w:r/>
          </w:p>
        </w:tc>
      </w:tr>
      <w:tr>
        <w:trPr>
          <w:trHeight w:val="1691"/>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网络硬盘录像机（64路）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1.设备性能规格：支持接入网络摄像机数量≥64路，最大支持800万像素高清视频接入；设备最大接入带宽≥384Mbps，最大存储带宽≥384Mbps，最大转发带宽≥384Mbps</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3.存储硬盘规格：设备内置≥16个标准SATA硬盘接口，单块硬盘最大支持接入容量20TB；支持监控级、企业级不同品牌、不同转速硬盘混合接入；</w:t>
            </w:r>
            <w:r>
              <w:rPr>
                <w:rFonts w:ascii="仿宋" w:hAnsi="仿宋" w:eastAsia="仿宋" w:cs="宋体"/>
                <w:color w:val="000000"/>
                <w:sz w:val="22"/>
                <w:highlight w:val="none"/>
              </w:rPr>
              <w:br/>
            </w:r>
            <w:r>
              <w:rPr>
                <w:rFonts w:ascii="仿宋" w:hAnsi="仿宋" w:eastAsia="仿宋" w:cs="宋体"/>
                <w:color w:val="000000"/>
                <w:sz w:val="22"/>
                <w:highlight w:val="none"/>
              </w:rPr>
              <w:t xml:space="preserve">4.硬盘智能管理：支持单盘故障隔离机制，单块硬盘损坏不影响整机运行及其他硬盘正常录像存储；具备硬盘健康状态实时监测、坏道检测、高温预警、故障识别功能；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5.视频输出规格：配备≥2个HDMI高清视频输出接口，HDMI输出支持3840×2160@60Hz，且可向下兼容各类常规分辨率，满足高清画面上墙预览、轮巡展示需求；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6.外设接口配置：配备≥2个千兆自适应RJ45网络接口、≥4个USB接口、≥1个RS232接口、≥1个RS485接口，可满足设备组网、外设对接、参数调试、云台控制等多样化使用需求。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7.录像策略与备份功能：支持定时录像、移动侦测录像、事件联动录像、手动录像等多种录像模式，默认支持视频循环覆盖机制，自动迭代过期录像；支持重要视频片段一键锁定保护，防止录像被误删或循环覆盖；</w:t>
            </w:r>
            <w:r>
              <w:rPr>
                <w:rFonts w:ascii="仿宋" w:hAnsi="仿宋" w:eastAsia="仿宋" w:cs="宋体"/>
                <w:color w:val="000000"/>
                <w:sz w:val="22"/>
                <w:highlight w:val="none"/>
              </w:rPr>
              <w:br/>
            </w:r>
            <w:r>
              <w:rPr>
                <w:rFonts w:ascii="仿宋" w:hAnsi="仿宋" w:eastAsia="仿宋" w:cs="宋体"/>
                <w:color w:val="000000"/>
                <w:sz w:val="22"/>
                <w:highlight w:val="none"/>
              </w:rPr>
              <w:t xml:space="preserve">8.网络与时间同步功能：支持NTP网络时间同步服务；支持IP地址批量导入导出、批量配置；具备网络容错、断网续传功能，网络中断时可本地缓存视频，网络恢复后自动补传录像；</w:t>
            </w:r>
            <w:r>
              <w:rPr>
                <w:rFonts w:ascii="仿宋" w:hAnsi="仿宋" w:eastAsia="仿宋" w:cs="宋体"/>
                <w:color w:val="000000"/>
                <w:sz w:val="22"/>
                <w:highlight w:val="none"/>
              </w:rPr>
              <w:br/>
            </w:r>
            <w:r>
              <w:rPr>
                <w:rFonts w:ascii="仿宋" w:hAnsi="仿宋" w:eastAsia="仿宋" w:cs="宋体"/>
                <w:color w:val="000000"/>
                <w:sz w:val="22"/>
                <w:highlight w:val="none"/>
              </w:rPr>
              <w:t xml:space="preserve">9.智能事件监测与联动：支持各类报警事件、设备异常事件计数和监测提醒，包括硬盘异常、网络异常、非法访问、视频录像/抓图异常等；适配前端AI智能警戒摄像机，精准接收越界侦测、区域入侵、人员逗留、车辆异常等报警信息，支持报警弹窗、日志记录、联动录像;</w:t>
            </w:r>
            <w:r>
              <w:rPr>
                <w:rFonts w:ascii="仿宋" w:hAnsi="仿宋" w:eastAsia="仿宋" w:cs="宋体"/>
                <w:color w:val="000000"/>
                <w:sz w:val="22"/>
                <w:highlight w:val="none"/>
              </w:rPr>
              <w:br/>
            </w:r>
            <w:r>
              <w:rPr>
                <w:rFonts w:ascii="仿宋" w:hAnsi="仿宋" w:eastAsia="仿宋" w:cs="宋体"/>
                <w:color w:val="000000"/>
                <w:sz w:val="22"/>
                <w:highlight w:val="none"/>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完整追溯设备运行及操作记录，满足校园安防溯源管理要求；</w:t>
            </w:r>
            <w:r>
              <w:rPr>
                <w:rFonts w:ascii="仿宋" w:hAnsi="仿宋" w:eastAsia="仿宋" w:cs="宋体"/>
                <w:color w:val="000000"/>
                <w:sz w:val="22"/>
                <w:highlight w:val="none"/>
              </w:rPr>
              <w:br/>
            </w:r>
            <w:r>
              <w:rPr>
                <w:rFonts w:ascii="仿宋" w:hAnsi="仿宋" w:eastAsia="仿宋" w:cs="宋体"/>
                <w:color w:val="000000"/>
                <w:sz w:val="22"/>
                <w:highlight w:val="none"/>
              </w:rPr>
              <w:t xml:space="preserve">11.设备兼容适配：兼容GB/T28181、ONVIF通用标准协议，支持主流品牌第三方网络摄像机无缝接入，无私有协议绑定；</w:t>
            </w:r>
            <w:r>
              <w:rPr>
                <w:rFonts w:ascii="仿宋" w:hAnsi="仿宋" w:eastAsia="仿宋" w:cs="宋体"/>
                <w:color w:val="000000"/>
                <w:sz w:val="22"/>
                <w:highlight w:val="none"/>
              </w:rPr>
              <w:br/>
            </w:r>
            <w:r>
              <w:rPr>
                <w:rFonts w:ascii="仿宋" w:hAnsi="仿宋" w:eastAsia="仿宋" w:cs="宋体"/>
                <w:color w:val="000000"/>
                <w:sz w:val="22"/>
                <w:highlight w:val="none"/>
              </w:rPr>
              <w:t xml:space="preserve">12.设备供电与安装：设备内置220VAC标准电源，额定功率≥250W，供电稳定可靠；支持标准机架式安装，适配机房机柜统一规整部署，适配长期不间断运行场景。</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监控硬盘（8TB）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1.原装盒装，容量≥8TB，3.5英寸</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2.SATA3.0接口;</w:t>
            </w:r>
            <w:r>
              <w:rPr>
                <w:rFonts w:ascii="仿宋" w:hAnsi="仿宋" w:eastAsia="仿宋" w:cs="宋体"/>
                <w:color w:val="000000"/>
                <w:sz w:val="22"/>
                <w:highlight w:val="none"/>
              </w:rPr>
              <w:br/>
            </w:r>
            <w:r>
              <w:rPr>
                <w:rFonts w:ascii="仿宋" w:hAnsi="仿宋" w:eastAsia="仿宋" w:cs="宋体"/>
                <w:color w:val="000000"/>
                <w:sz w:val="22"/>
                <w:highlight w:val="none"/>
              </w:rPr>
              <w:t xml:space="preserve">3.缓存≥256MB，转速≤6000RPM；</w:t>
            </w:r>
            <w:r>
              <w:rPr>
                <w:rFonts w:ascii="仿宋" w:hAnsi="仿宋" w:eastAsia="仿宋" w:cs="宋体"/>
                <w:color w:val="000000"/>
                <w:sz w:val="22"/>
                <w:highlight w:val="none"/>
              </w:rPr>
              <w:br/>
            </w:r>
            <w:r>
              <w:rPr>
                <w:rFonts w:ascii="仿宋" w:hAnsi="仿宋" w:eastAsia="仿宋" w:cs="宋体"/>
                <w:color w:val="000000"/>
                <w:sz w:val="22"/>
                <w:highlight w:val="none"/>
              </w:rPr>
              <w:t xml:space="preserve">4.采用CMR记录技术，年度工作负载≥180TB/年。</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控制终端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1.处理器≥6核，主频≥2.8G，内存≥8G（DDR43200），内存插槽≥2个，硬盘≥512G（M2PCIe4.0通道）；</w:t>
            </w:r>
            <w:r>
              <w:rPr>
                <w:rFonts w:ascii="仿宋" w:hAnsi="仿宋" w:eastAsia="仿宋" w:cs="宋体"/>
                <w:color w:val="000000"/>
                <w:sz w:val="22"/>
                <w:highlight w:val="none"/>
              </w:rPr>
              <w:br/>
            </w:r>
            <w:r>
              <w:rPr>
                <w:rFonts w:ascii="仿宋" w:hAnsi="仿宋" w:eastAsia="仿宋" w:cs="宋体"/>
                <w:color w:val="000000"/>
                <w:sz w:val="22"/>
                <w:highlight w:val="none"/>
              </w:rPr>
              <w:t xml:space="preserve">2.显示器≥27寸1920*1080分辨率，独立显卡（显存≥2G），主板集成声卡、千兆网卡；</w:t>
            </w:r>
            <w:r>
              <w:rPr>
                <w:rFonts w:ascii="仿宋" w:hAnsi="仿宋" w:eastAsia="仿宋" w:cs="宋体"/>
                <w:color w:val="000000"/>
                <w:sz w:val="22"/>
                <w:highlight w:val="none"/>
              </w:rPr>
              <w:br/>
            </w:r>
            <w:r>
              <w:rPr>
                <w:rFonts w:ascii="仿宋" w:hAnsi="仿宋" w:eastAsia="仿宋" w:cs="宋体"/>
                <w:color w:val="000000"/>
                <w:sz w:val="22"/>
                <w:highlight w:val="none"/>
              </w:rPr>
              <w:t xml:space="preserve">3.USB接口≥8（其中USB3.0接口≥4），HDMI≥1，VGA≥1；</w:t>
            </w:r>
            <w:r>
              <w:rPr>
                <w:rFonts w:ascii="仿宋" w:hAnsi="仿宋" w:eastAsia="仿宋" w:cs="宋体"/>
                <w:color w:val="000000"/>
                <w:sz w:val="22"/>
                <w:highlight w:val="none"/>
              </w:rPr>
              <w:br/>
            </w:r>
            <w:r>
              <w:rPr>
                <w:rFonts w:ascii="仿宋" w:hAnsi="仿宋" w:eastAsia="仿宋" w:cs="宋体"/>
                <w:color w:val="000000"/>
                <w:sz w:val="22"/>
                <w:highlight w:val="none"/>
              </w:rPr>
              <w:t xml:space="preserve">4.全高PCI插槽≥1；PCI-E插槽≥2；</w:t>
            </w:r>
            <w:r>
              <w:rPr>
                <w:rFonts w:ascii="仿宋" w:hAnsi="仿宋" w:eastAsia="仿宋" w:cs="宋体"/>
                <w:color w:val="000000"/>
                <w:sz w:val="22"/>
                <w:highlight w:val="none"/>
              </w:rPr>
              <w:br/>
            </w:r>
            <w:r>
              <w:rPr>
                <w:rFonts w:ascii="仿宋" w:hAnsi="仿宋" w:eastAsia="仿宋" w:cs="宋体"/>
                <w:color w:val="000000"/>
                <w:sz w:val="22"/>
                <w:highlight w:val="none"/>
              </w:rPr>
              <w:t xml:space="preserve">5.标准立式机箱，配套原厂USB光电鼠标及USB键盘；</w:t>
            </w:r>
            <w:r>
              <w:rPr>
                <w:rFonts w:ascii="仿宋" w:hAnsi="仿宋" w:eastAsia="仿宋" w:cs="宋体"/>
                <w:color w:val="000000"/>
                <w:sz w:val="22"/>
                <w:highlight w:val="none"/>
              </w:rPr>
              <w:br/>
            </w:r>
            <w:r>
              <w:rPr>
                <w:rFonts w:ascii="仿宋" w:hAnsi="仿宋" w:eastAsia="仿宋" w:cs="宋体"/>
                <w:color w:val="000000"/>
                <w:sz w:val="22"/>
                <w:highlight w:val="none"/>
              </w:rPr>
              <w:t xml:space="preserve">6.配套正版操作系统。</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六类网线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1.导体材质采用无氧铜，线径≥23AWG（0.573mm），双绞结构，传输带宽≥250MHz；</w:t>
            </w:r>
            <w:r>
              <w:rPr>
                <w:rFonts w:ascii="仿宋" w:hAnsi="仿宋" w:eastAsia="仿宋" w:cs="宋体"/>
                <w:color w:val="000000"/>
                <w:sz w:val="22"/>
                <w:highlight w:val="none"/>
              </w:rPr>
              <w:br/>
            </w:r>
            <w:r>
              <w:rPr>
                <w:rFonts w:ascii="仿宋" w:hAnsi="仿宋" w:eastAsia="仿宋" w:cs="宋体"/>
                <w:color w:val="000000"/>
                <w:sz w:val="22"/>
                <w:highlight w:val="none"/>
              </w:rPr>
              <w:t xml:space="preserve">2.护套材质采用HDPE或PVC，根据室内或室外选用；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3.POE供电支持IEEE802.3bt，单线最大供电90W（≤100m）。</w:t>
            </w:r>
            <w:r>
              <w:rPr>
                <w:rFonts w:ascii="仿宋" w:hAnsi="仿宋" w:eastAsia="仿宋" w:cs="宋体"/>
                <w:color w:val="000000"/>
                <w:sz w:val="22"/>
                <w:highlight w:val="none"/>
              </w:rPr>
              <w:br/>
            </w:r>
            <w:r>
              <w:rPr>
                <w:rFonts w:ascii="仿宋" w:hAnsi="仿宋" w:eastAsia="仿宋" w:cs="宋体"/>
                <w:color w:val="000000"/>
                <w:sz w:val="22"/>
                <w:highlight w:val="none"/>
              </w:rPr>
              <w:t xml:space="preserve">4.每箱长度≥300米。</w:t>
            </w:r>
            <w:r/>
          </w:p>
        </w:tc>
      </w:tr>
      <w:tr>
        <w:trPr>
          <w:trHeight w:val="11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GYTA光缆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1.护套采用PE材质，内置磷化钢丝；</w:t>
            </w:r>
            <w:r>
              <w:rPr>
                <w:rFonts w:ascii="仿宋" w:hAnsi="仿宋" w:eastAsia="仿宋" w:cs="宋体"/>
                <w:color w:val="000000"/>
                <w:sz w:val="22"/>
                <w:highlight w:val="none"/>
              </w:rPr>
              <w:br/>
            </w:r>
            <w:r>
              <w:rPr>
                <w:rFonts w:eastAsia="等线"/>
                <w:color w:val="000000"/>
                <w:sz w:val="22"/>
                <w:highlight w:val="none"/>
              </w:rPr>
              <w:t xml:space="preserve">‌</w:t>
            </w:r>
            <w:r>
              <w:rPr>
                <w:rFonts w:ascii="仿宋" w:hAnsi="仿宋" w:eastAsia="仿宋" w:cs="宋体"/>
                <w:color w:val="000000"/>
                <w:sz w:val="22"/>
                <w:highlight w:val="none"/>
              </w:rPr>
              <w:t xml:space="preserve">2.纤芯数量8芯/</w:t>
            </w:r>
            <w:r>
              <w:rPr>
                <w:rFonts w:eastAsia="等线"/>
                <w:color w:val="000000"/>
                <w:sz w:val="22"/>
                <w:highlight w:val="none"/>
              </w:rPr>
              <w:t xml:space="preserve">‌</w:t>
            </w:r>
            <w:r>
              <w:rPr>
                <w:rFonts w:ascii="仿宋" w:hAnsi="仿宋" w:eastAsia="仿宋" w:cs="宋体"/>
                <w:color w:val="000000"/>
                <w:sz w:val="22"/>
                <w:highlight w:val="none"/>
              </w:rPr>
              <w:t xml:space="preserve">12芯/24芯，满足现场使用要求；</w:t>
            </w:r>
            <w:r>
              <w:rPr>
                <w:rFonts w:ascii="仿宋" w:hAnsi="仿宋" w:eastAsia="仿宋" w:cs="宋体"/>
                <w:color w:val="000000"/>
                <w:sz w:val="22"/>
                <w:highlight w:val="none"/>
              </w:rPr>
              <w:br/>
            </w:r>
            <w:r>
              <w:rPr>
                <w:rFonts w:eastAsia="等线"/>
                <w:color w:val="000000"/>
                <w:sz w:val="22"/>
                <w:highlight w:val="none"/>
              </w:rPr>
              <w:t xml:space="preserve">‌</w:t>
            </w:r>
            <w:r>
              <w:rPr>
                <w:rFonts w:ascii="仿宋" w:hAnsi="仿宋" w:eastAsia="仿宋" w:cs="宋体"/>
                <w:color w:val="000000"/>
                <w:sz w:val="22"/>
                <w:highlight w:val="none"/>
              </w:rPr>
              <w:t xml:space="preserve">3.损耗</w:t>
            </w:r>
            <w:r>
              <w:rPr>
                <w:rFonts w:eastAsia="等线"/>
                <w:color w:val="000000"/>
                <w:sz w:val="22"/>
                <w:highlight w:val="none"/>
              </w:rPr>
              <w:t xml:space="preserve">‌</w:t>
            </w:r>
            <w:r>
              <w:rPr>
                <w:rFonts w:ascii="仿宋" w:hAnsi="仿宋" w:eastAsia="仿宋" w:cs="宋体"/>
                <w:color w:val="000000"/>
                <w:sz w:val="22"/>
                <w:highlight w:val="none"/>
              </w:rPr>
              <w:t xml:space="preserve">：850nm波长≤3dB/km，1300nm波长≤1.0dB/km，1550nm波长≤0.26dB/km。</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光纤终端盒</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1.冷轧钢板材质，厚度≥0.8mm，静电喷塑；</w:t>
            </w:r>
            <w:r>
              <w:rPr>
                <w:rFonts w:ascii="仿宋" w:hAnsi="仿宋" w:eastAsia="仿宋" w:cs="宋体"/>
                <w:color w:val="000000"/>
                <w:sz w:val="22"/>
                <w:highlight w:val="none"/>
              </w:rPr>
              <w:br/>
            </w:r>
            <w:r>
              <w:rPr>
                <w:rFonts w:ascii="仿宋" w:hAnsi="仿宋" w:eastAsia="仿宋" w:cs="宋体"/>
                <w:color w:val="000000"/>
                <w:sz w:val="22"/>
                <w:highlight w:val="none"/>
              </w:rPr>
              <w:t xml:space="preserve">2.支持壁挂式或嵌入式安装；</w:t>
            </w:r>
            <w:r>
              <w:rPr>
                <w:rFonts w:ascii="仿宋" w:hAnsi="仿宋" w:eastAsia="仿宋" w:cs="宋体"/>
                <w:color w:val="000000"/>
                <w:sz w:val="22"/>
                <w:highlight w:val="none"/>
              </w:rPr>
              <w:br/>
            </w:r>
            <w:r>
              <w:rPr>
                <w:rFonts w:ascii="仿宋" w:hAnsi="仿宋" w:eastAsia="仿宋" w:cs="宋体"/>
                <w:color w:val="000000"/>
                <w:sz w:val="22"/>
                <w:highlight w:val="none"/>
              </w:rPr>
              <w:t xml:space="preserve">3.可接4口/8口/12口光纤，满配法兰，法兰衰减≤0.2dB。</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光纤配线架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1.ABS阻燃材质，24口/48口光纤配线架；</w:t>
            </w:r>
            <w:r>
              <w:rPr>
                <w:rFonts w:ascii="仿宋" w:hAnsi="仿宋" w:eastAsia="仿宋" w:cs="宋体"/>
                <w:color w:val="000000"/>
                <w:sz w:val="22"/>
                <w:highlight w:val="none"/>
              </w:rPr>
              <w:br/>
            </w:r>
            <w:r>
              <w:rPr>
                <w:rFonts w:ascii="仿宋" w:hAnsi="仿宋" w:eastAsia="仿宋" w:cs="宋体"/>
                <w:color w:val="000000"/>
                <w:sz w:val="22"/>
                <w:highlight w:val="none"/>
              </w:rPr>
              <w:t xml:space="preserve">2.含LC耦合器器，兼容机架式安装。</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光模块</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1.SFP封装，LC双工接口、收发一体结构，支持可热插拔；</w:t>
            </w:r>
            <w:r>
              <w:rPr>
                <w:rFonts w:ascii="仿宋" w:hAnsi="仿宋" w:eastAsia="仿宋" w:cs="宋体"/>
                <w:color w:val="000000"/>
                <w:sz w:val="22"/>
                <w:highlight w:val="none"/>
              </w:rPr>
              <w:br/>
            </w:r>
            <w:r>
              <w:rPr>
                <w:rFonts w:ascii="仿宋" w:hAnsi="仿宋" w:eastAsia="仿宋" w:cs="宋体"/>
                <w:color w:val="000000"/>
                <w:sz w:val="22"/>
                <w:highlight w:val="none"/>
              </w:rPr>
              <w:t xml:space="preserve">2.传输速率≥1Gbps，中心波长1310nm，单模光纤传输，传输距离≥10km。</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44U机柜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1.尺寸600*600*2200mm，主要材质采用铝锌板和SPCC冷轧板，最薄处≥1.2mm，表面静电喷塑；</w:t>
            </w:r>
            <w:r>
              <w:rPr>
                <w:rFonts w:ascii="仿宋" w:hAnsi="仿宋" w:eastAsia="仿宋" w:cs="宋体"/>
                <w:color w:val="000000"/>
                <w:sz w:val="22"/>
                <w:highlight w:val="none"/>
              </w:rPr>
              <w:br/>
            </w:r>
            <w:r>
              <w:rPr>
                <w:rFonts w:ascii="仿宋" w:hAnsi="仿宋" w:eastAsia="仿宋" w:cs="宋体"/>
                <w:color w:val="000000"/>
                <w:sz w:val="22"/>
                <w:highlight w:val="none"/>
              </w:rPr>
              <w:t xml:space="preserve">2.左右侧门和前后门可拆卸，钢化玻璃前门，前后门配锁，固定板≥3块，散热风扇≥1组；</w:t>
            </w:r>
            <w:r>
              <w:rPr>
                <w:rFonts w:ascii="仿宋" w:hAnsi="仿宋" w:eastAsia="仿宋" w:cs="宋体"/>
                <w:color w:val="000000"/>
                <w:sz w:val="22"/>
                <w:highlight w:val="none"/>
              </w:rPr>
              <w:br/>
            </w:r>
            <w:r>
              <w:rPr>
                <w:rFonts w:ascii="仿宋" w:hAnsi="仿宋" w:eastAsia="仿宋" w:cs="宋体"/>
                <w:color w:val="000000"/>
                <w:sz w:val="22"/>
                <w:highlight w:val="none"/>
              </w:rPr>
              <w:t xml:space="preserve">3.静载≥500KG(带支架)；</w:t>
            </w:r>
            <w:r>
              <w:rPr>
                <w:rFonts w:ascii="仿宋" w:hAnsi="仿宋" w:eastAsia="仿宋" w:cs="宋体"/>
                <w:color w:val="000000"/>
                <w:sz w:val="22"/>
                <w:highlight w:val="none"/>
              </w:rPr>
              <w:br/>
            </w:r>
            <w:r>
              <w:rPr>
                <w:rFonts w:ascii="仿宋" w:hAnsi="仿宋" w:eastAsia="仿宋" w:cs="宋体"/>
                <w:color w:val="000000"/>
                <w:sz w:val="22"/>
                <w:highlight w:val="none"/>
              </w:rPr>
              <w:t xml:space="preserve">4.防护等级≥IP20。</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接线板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1.五孔位≥6个，单孔电流≥10A，额定负载功率≥4000W；</w:t>
            </w:r>
            <w:r>
              <w:rPr>
                <w:rFonts w:ascii="仿宋" w:hAnsi="仿宋" w:eastAsia="仿宋" w:cs="宋体"/>
                <w:color w:val="000000"/>
                <w:sz w:val="22"/>
                <w:highlight w:val="none"/>
              </w:rPr>
              <w:br/>
            </w:r>
            <w:r>
              <w:rPr>
                <w:rFonts w:ascii="仿宋" w:hAnsi="仿宋" w:eastAsia="仿宋" w:cs="宋体"/>
                <w:color w:val="000000"/>
                <w:sz w:val="22"/>
                <w:highlight w:val="none"/>
              </w:rPr>
              <w:t xml:space="preserve">2.配备分控开关，每路支持单独开关；</w:t>
            </w:r>
            <w:r>
              <w:rPr>
                <w:rFonts w:ascii="仿宋" w:hAnsi="仿宋" w:eastAsia="仿宋" w:cs="宋体"/>
                <w:color w:val="000000"/>
                <w:sz w:val="22"/>
                <w:highlight w:val="none"/>
              </w:rPr>
              <w:br/>
            </w:r>
            <w:r>
              <w:rPr>
                <w:rFonts w:ascii="仿宋" w:hAnsi="仿宋" w:eastAsia="仿宋" w:cs="宋体"/>
                <w:color w:val="000000"/>
                <w:sz w:val="22"/>
                <w:highlight w:val="none"/>
              </w:rPr>
              <w:t xml:space="preserve">3.整体采用阻燃ABS塑料，带10A插头线，长度≥2米。</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PDU</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1.孔位≥8个，单孔电流≥10A，额定负载功率≥2500W；</w:t>
            </w:r>
            <w:r>
              <w:rPr>
                <w:rFonts w:ascii="仿宋" w:hAnsi="仿宋" w:eastAsia="仿宋" w:cs="宋体"/>
                <w:color w:val="000000"/>
                <w:sz w:val="22"/>
                <w:highlight w:val="none"/>
              </w:rPr>
              <w:br/>
            </w:r>
            <w:r>
              <w:rPr>
                <w:rFonts w:ascii="仿宋" w:hAnsi="仿宋" w:eastAsia="仿宋" w:cs="宋体"/>
                <w:color w:val="000000"/>
                <w:sz w:val="22"/>
                <w:highlight w:val="none"/>
              </w:rPr>
              <w:t xml:space="preserve">2.配备总控开关，支持过载保护；</w:t>
            </w:r>
            <w:r>
              <w:rPr>
                <w:rFonts w:ascii="仿宋" w:hAnsi="仿宋" w:eastAsia="仿宋" w:cs="宋体"/>
                <w:color w:val="000000"/>
                <w:sz w:val="22"/>
                <w:highlight w:val="none"/>
              </w:rPr>
              <w:br/>
            </w:r>
            <w:r>
              <w:rPr>
                <w:rFonts w:ascii="仿宋" w:hAnsi="仿宋" w:eastAsia="仿宋" w:cs="宋体"/>
                <w:color w:val="000000"/>
                <w:sz w:val="22"/>
                <w:highlight w:val="none"/>
              </w:rPr>
              <w:t xml:space="preserve">3.铝合金外壳，孔位面板采用阻燃ABS塑料，带16A插头线，长度≥1.8米。</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壁挂机柜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1.尺寸600*600*450mm，主要材质采用铝锌板和SPCC冷轧板，最薄处≥1.2mm，表面静电喷塑；</w:t>
            </w:r>
            <w:r>
              <w:rPr>
                <w:rFonts w:ascii="仿宋" w:hAnsi="仿宋" w:eastAsia="仿宋" w:cs="宋体"/>
                <w:color w:val="000000"/>
                <w:sz w:val="22"/>
                <w:highlight w:val="none"/>
              </w:rPr>
              <w:br/>
            </w:r>
            <w:r>
              <w:rPr>
                <w:rFonts w:ascii="仿宋" w:hAnsi="仿宋" w:eastAsia="仿宋" w:cs="宋体"/>
                <w:color w:val="000000"/>
                <w:sz w:val="22"/>
                <w:highlight w:val="none"/>
              </w:rPr>
              <w:t xml:space="preserve">2.钢化玻璃前门并配锁；</w:t>
            </w:r>
            <w:r>
              <w:rPr>
                <w:rFonts w:ascii="仿宋" w:hAnsi="仿宋" w:eastAsia="仿宋" w:cs="宋体"/>
                <w:color w:val="000000"/>
                <w:sz w:val="22"/>
                <w:highlight w:val="none"/>
              </w:rPr>
              <w:br/>
            </w:r>
            <w:r>
              <w:rPr>
                <w:rFonts w:ascii="仿宋" w:hAnsi="仿宋" w:eastAsia="仿宋" w:cs="宋体"/>
                <w:color w:val="000000"/>
                <w:sz w:val="22"/>
                <w:highlight w:val="none"/>
              </w:rPr>
              <w:t xml:space="preserve">3.静载≥150KG；</w:t>
            </w:r>
            <w:r>
              <w:rPr>
                <w:rFonts w:ascii="仿宋" w:hAnsi="仿宋" w:eastAsia="仿宋" w:cs="宋体"/>
                <w:color w:val="000000"/>
                <w:sz w:val="22"/>
                <w:highlight w:val="none"/>
              </w:rPr>
              <w:br/>
            </w:r>
            <w:r>
              <w:rPr>
                <w:rFonts w:ascii="仿宋" w:hAnsi="仿宋" w:eastAsia="仿宋" w:cs="宋体"/>
                <w:color w:val="000000"/>
                <w:sz w:val="22"/>
                <w:highlight w:val="none"/>
              </w:rPr>
              <w:t xml:space="preserve">4.防护等级≥IP20。</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理线架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1.冷轧钢材质，防锈处理；</w:t>
            </w:r>
            <w:r>
              <w:rPr>
                <w:rFonts w:ascii="仿宋" w:hAnsi="仿宋" w:eastAsia="仿宋" w:cs="宋体"/>
                <w:color w:val="000000"/>
                <w:sz w:val="22"/>
                <w:highlight w:val="none"/>
              </w:rPr>
              <w:br/>
            </w:r>
            <w:r>
              <w:rPr>
                <w:rFonts w:ascii="仿宋" w:hAnsi="仿宋" w:eastAsia="仿宋" w:cs="宋体"/>
                <w:color w:val="000000"/>
                <w:sz w:val="22"/>
                <w:highlight w:val="none"/>
              </w:rPr>
              <w:t xml:space="preserve">2.尺寸1U。</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室外设备箱</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1.304不锈钢材质，带防雨檐，配锁；</w:t>
            </w:r>
            <w:r>
              <w:rPr>
                <w:rFonts w:ascii="仿宋" w:hAnsi="仿宋" w:eastAsia="仿宋" w:cs="宋体"/>
                <w:color w:val="000000"/>
                <w:sz w:val="22"/>
                <w:highlight w:val="none"/>
              </w:rPr>
              <w:br/>
            </w:r>
            <w:r>
              <w:rPr>
                <w:rFonts w:ascii="仿宋" w:hAnsi="仿宋" w:eastAsia="仿宋" w:cs="宋体"/>
                <w:color w:val="000000"/>
                <w:sz w:val="22"/>
                <w:highlight w:val="none"/>
              </w:rPr>
              <w:t xml:space="preserve">2.尺寸≥450*500*200mm。</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双芯电源线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1.导线材质无氧铜；</w:t>
            </w:r>
            <w:r>
              <w:rPr>
                <w:rFonts w:ascii="仿宋" w:hAnsi="仿宋" w:eastAsia="仿宋" w:cs="宋体"/>
                <w:color w:val="000000"/>
                <w:sz w:val="22"/>
                <w:highlight w:val="none"/>
              </w:rPr>
              <w:br/>
            </w:r>
            <w:r>
              <w:rPr>
                <w:rFonts w:ascii="仿宋" w:hAnsi="仿宋" w:eastAsia="仿宋" w:cs="宋体"/>
                <w:color w:val="000000"/>
                <w:sz w:val="22"/>
                <w:highlight w:val="none"/>
              </w:rPr>
              <w:t xml:space="preserve">2.规格RVV-2*1.5mm</w:t>
            </w:r>
            <w:r>
              <w:rPr>
                <w:rFonts w:ascii="Calibri" w:hAnsi="Calibri" w:eastAsia="仿宋" w:cs="Calibri"/>
                <w:color w:val="000000"/>
                <w:sz w:val="22"/>
                <w:highlight w:val="none"/>
              </w:rPr>
              <w:t xml:space="preserve">²</w:t>
            </w:r>
            <w:r>
              <w:rPr>
                <w:rFonts w:ascii="仿宋" w:hAnsi="仿宋" w:eastAsia="仿宋" w:cs="宋体"/>
                <w:color w:val="000000"/>
                <w:sz w:val="22"/>
                <w:highlight w:val="none"/>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PE管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1.配管PE材质；</w:t>
            </w:r>
            <w:r>
              <w:rPr>
                <w:rFonts w:ascii="仿宋" w:hAnsi="仿宋" w:eastAsia="仿宋" w:cs="宋体"/>
                <w:color w:val="000000"/>
                <w:sz w:val="22"/>
                <w:highlight w:val="none"/>
              </w:rPr>
              <w:br/>
            </w:r>
            <w:r>
              <w:rPr>
                <w:rFonts w:ascii="仿宋" w:hAnsi="仿宋" w:eastAsia="仿宋" w:cs="宋体"/>
                <w:color w:val="000000"/>
                <w:sz w:val="22"/>
                <w:highlight w:val="none"/>
              </w:rPr>
              <w:t xml:space="preserve">2.口径32/40mm，根据现场环境使用；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3.含开挖和恢复。</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监控立杆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1.镀锌钢管材质，壁厚≥2.5mm,防锈处理；</w:t>
            </w:r>
            <w:r>
              <w:rPr>
                <w:rFonts w:ascii="仿宋" w:hAnsi="仿宋" w:eastAsia="仿宋" w:cs="宋体"/>
                <w:color w:val="000000"/>
                <w:sz w:val="22"/>
                <w:highlight w:val="none"/>
              </w:rPr>
              <w:br/>
            </w:r>
            <w:r>
              <w:rPr>
                <w:rFonts w:ascii="仿宋" w:hAnsi="仿宋" w:eastAsia="仿宋" w:cs="宋体"/>
                <w:color w:val="000000"/>
                <w:sz w:val="22"/>
                <w:highlight w:val="none"/>
              </w:rPr>
              <w:t xml:space="preserve">2.白色立杆高度2.4米～5米，根据现场环境使用；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3.配备2个支臂成180度，支持多角度调节；</w:t>
            </w:r>
            <w:r>
              <w:rPr>
                <w:rFonts w:ascii="仿宋" w:hAnsi="仿宋" w:eastAsia="仿宋" w:cs="宋体"/>
                <w:color w:val="000000"/>
                <w:sz w:val="22"/>
                <w:highlight w:val="none"/>
              </w:rPr>
              <w:br/>
            </w:r>
            <w:r>
              <w:rPr>
                <w:rFonts w:ascii="仿宋" w:hAnsi="仿宋" w:eastAsia="仿宋" w:cs="宋体"/>
                <w:color w:val="000000"/>
                <w:sz w:val="22"/>
                <w:highlight w:val="none"/>
              </w:rPr>
              <w:t xml:space="preserve">4.预埋钢筋地笼，螺丝固定。</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检修井</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1.砖砌600mm*600mm内径，深度≥800mm；</w:t>
            </w:r>
            <w:r>
              <w:rPr>
                <w:rFonts w:ascii="仿宋" w:hAnsi="仿宋" w:eastAsia="仿宋" w:cs="宋体"/>
                <w:color w:val="000000"/>
                <w:sz w:val="22"/>
                <w:highlight w:val="none"/>
              </w:rPr>
              <w:br/>
            </w:r>
            <w:r>
              <w:rPr>
                <w:rFonts w:ascii="仿宋" w:hAnsi="仿宋" w:eastAsia="仿宋" w:cs="宋体"/>
                <w:color w:val="000000"/>
                <w:sz w:val="22"/>
                <w:highlight w:val="none"/>
              </w:rPr>
              <w:t xml:space="preserve">2.24寸墙体；</w:t>
            </w:r>
            <w:r>
              <w:rPr>
                <w:rFonts w:ascii="仿宋" w:hAnsi="仿宋" w:eastAsia="仿宋" w:cs="宋体"/>
                <w:color w:val="000000"/>
                <w:sz w:val="22"/>
                <w:highlight w:val="none"/>
              </w:rPr>
              <w:br/>
            </w:r>
            <w:r>
              <w:rPr>
                <w:rFonts w:ascii="仿宋" w:hAnsi="仿宋" w:eastAsia="仿宋" w:cs="宋体"/>
                <w:color w:val="000000"/>
                <w:sz w:val="22"/>
                <w:highlight w:val="none"/>
              </w:rPr>
              <w:t xml:space="preserve">3.水泥粉不低于2cm；</w:t>
            </w:r>
            <w:r>
              <w:rPr>
                <w:rFonts w:ascii="仿宋" w:hAnsi="仿宋" w:eastAsia="仿宋" w:cs="宋体"/>
                <w:color w:val="000000"/>
                <w:sz w:val="22"/>
                <w:highlight w:val="none"/>
              </w:rPr>
              <w:br/>
            </w:r>
            <w:r>
              <w:rPr>
                <w:rFonts w:ascii="仿宋" w:hAnsi="仿宋" w:eastAsia="仿宋" w:cs="宋体"/>
                <w:color w:val="000000"/>
                <w:sz w:val="22"/>
                <w:highlight w:val="none"/>
              </w:rPr>
              <w:t xml:space="preserve">4.树脂+玻纤材质井圈井盖。</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安装辅材</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监控设备安装使用到的所有辅材，包括各种线缆接头、光纤路线与尾纤、PVC管、管材接头、86盒、接线端子、固定件、标识标签、各类胶带等。</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拆除服务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1.对四所学校内老旧、淘汰、需更换的监控摄像机、接入交换机、硬盘录像机、老旧监控平台终端等前端及中心设备进行拆除作业，同步拆除配套老旧电源线、网络信号线、破损配管及固定辅材；</w:t>
            </w:r>
            <w:r>
              <w:rPr>
                <w:rFonts w:ascii="仿宋" w:hAnsi="仿宋" w:eastAsia="仿宋" w:cs="宋体"/>
                <w:color w:val="000000"/>
                <w:sz w:val="22"/>
                <w:highlight w:val="none"/>
              </w:rPr>
              <w:br/>
            </w:r>
            <w:r>
              <w:rPr>
                <w:rFonts w:ascii="仿宋" w:hAnsi="仿宋" w:eastAsia="仿宋" w:cs="宋体"/>
                <w:color w:val="000000"/>
                <w:sz w:val="22"/>
                <w:highlight w:val="none"/>
              </w:rPr>
              <w:t xml:space="preserve">2.所有拆除的旧设备、旧线缆、废旧管材统一分类整理、清洁搬运至学校指定地点，规范堆放、整齐摆放，做好成品清点及移交备查。</w:t>
            </w:r>
            <w:r/>
          </w:p>
        </w:tc>
      </w:tr>
    </w:tbl>
    <w:p>
      <w:pPr>
        <w:pStyle w:val="1009"/>
        <w:rPr>
          <w:rFonts w:hint="eastAsia"/>
          <w:b/>
          <w:bCs/>
          <w:color w:val="000000"/>
          <w:sz w:val="24"/>
          <w:szCs w:val="24"/>
          <w:highlight w:val="none"/>
        </w:rPr>
      </w:pPr>
      <w:r>
        <w:rPr>
          <w:rFonts w:hint="eastAsia"/>
          <w:b/>
          <w:bCs/>
          <w:color w:val="000000"/>
          <w:sz w:val="24"/>
          <w:szCs w:val="24"/>
          <w:highlight w:val="none"/>
        </w:rPr>
      </w:r>
      <w:r/>
    </w:p>
    <w:p>
      <w:pPr>
        <w:rPr>
          <w:b/>
          <w:bCs/>
          <w:color w:val="000000"/>
          <w:sz w:val="24"/>
          <w:szCs w:val="24"/>
          <w:highlight w:val="none"/>
        </w:rPr>
      </w:pPr>
      <w:r>
        <w:rPr>
          <w:b/>
          <w:bCs/>
          <w:color w:val="000000"/>
          <w:sz w:val="24"/>
          <w:szCs w:val="24"/>
          <w:highlight w:val="none"/>
        </w:rPr>
        <w:br w:type="page" w:clear="all"/>
      </w:r>
      <w:r/>
    </w:p>
    <w:p>
      <w:pPr>
        <w:pStyle w:val="1009"/>
        <w:rPr>
          <w:rFonts w:hint="eastAsia"/>
          <w:b/>
          <w:bCs/>
          <w:color w:val="000000"/>
          <w:sz w:val="24"/>
          <w:szCs w:val="24"/>
          <w:highlight w:val="none"/>
        </w:rPr>
      </w:pPr>
      <w:r>
        <w:rPr>
          <w:b/>
          <w:bCs/>
          <w:color w:val="000000"/>
          <w:sz w:val="24"/>
          <w:szCs w:val="24"/>
          <w:highlight w:val="none"/>
        </w:rPr>
        <w:t xml:space="preserve">采购包</w:t>
      </w:r>
      <w:r>
        <w:rPr>
          <w:rFonts w:hint="eastAsia"/>
          <w:b/>
          <w:bCs/>
          <w:color w:val="000000"/>
          <w:sz w:val="24"/>
          <w:szCs w:val="24"/>
          <w:highlight w:val="none"/>
        </w:rPr>
        <w:t xml:space="preserve">2</w:t>
      </w:r>
      <w:r>
        <w:rPr>
          <w:b/>
          <w:bCs/>
          <w:color w:val="000000"/>
          <w:sz w:val="24"/>
          <w:szCs w:val="24"/>
          <w:highlight w:val="none"/>
        </w:rPr>
        <w:t xml:space="preserve">：</w:t>
      </w:r>
      <w:r/>
    </w:p>
    <w:tbl>
      <w:tblPr>
        <w:tblStyle w:val="720"/>
        <w:tblW w:w="1020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096"/>
        <w:gridCol w:w="8464"/>
      </w:tblGrid>
      <w:tr>
        <w:trPr>
          <w:trHeight w:val="495"/>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黑体" w:hAnsi="黑体" w:eastAsia="黑体" w:cs="宋体"/>
                <w:color w:val="000000"/>
                <w:sz w:val="24"/>
                <w:szCs w:val="24"/>
                <w:highlight w:val="none"/>
              </w:rPr>
            </w:pPr>
            <w:r>
              <w:rPr>
                <w:rFonts w:ascii="黑体" w:hAnsi="黑体" w:eastAsia="黑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黑体" w:hAnsi="黑体" w:eastAsia="黑体" w:cs="宋体"/>
                <w:color w:val="000000"/>
                <w:sz w:val="24"/>
                <w:szCs w:val="24"/>
                <w:highlight w:val="none"/>
              </w:rPr>
            </w:pPr>
            <w:r>
              <w:rPr>
                <w:rFonts w:ascii="黑体" w:hAnsi="黑体" w:eastAsia="黑体" w:cs="宋体"/>
                <w:color w:val="000000"/>
                <w:sz w:val="24"/>
                <w:szCs w:val="24"/>
                <w:highlight w:val="none"/>
              </w:rPr>
              <w:t xml:space="preserve">产品名称</w:t>
            </w:r>
            <w:r/>
          </w:p>
        </w:tc>
        <w:tc>
          <w:tcPr>
            <w:tcBorders>
              <w:top w:val="single" w:color="auto" w:sz="4" w:space="0"/>
              <w:left w:val="none" w:color="000000" w:sz="4" w:space="0"/>
              <w:bottom w:val="single" w:color="auto" w:sz="4" w:space="0"/>
              <w:right w:val="single" w:color="auto" w:sz="4" w:space="0"/>
            </w:tcBorders>
            <w:tcW w:w="8480" w:type="dxa"/>
            <w:vAlign w:val="center"/>
            <w:textDirection w:val="lrTb"/>
            <w:noWrap w:val="false"/>
          </w:tcPr>
          <w:p>
            <w:pPr>
              <w:jc w:val="center"/>
              <w:widowControl/>
              <w:rPr>
                <w:rFonts w:hint="eastAsia" w:ascii="黑体" w:hAnsi="黑体" w:eastAsia="黑体" w:cs="宋体"/>
                <w:color w:val="000000"/>
                <w:sz w:val="24"/>
                <w:szCs w:val="24"/>
                <w:highlight w:val="none"/>
              </w:rPr>
            </w:pPr>
            <w:r>
              <w:rPr>
                <w:rFonts w:ascii="黑体" w:hAnsi="黑体" w:eastAsia="黑体" w:cs="宋体"/>
                <w:color w:val="000000"/>
                <w:sz w:val="24"/>
                <w:szCs w:val="24"/>
                <w:highlight w:val="none"/>
              </w:rPr>
              <w:t xml:space="preserve">功能、性能、配置要求不低于以下要求</w:t>
            </w:r>
            <w:r/>
          </w:p>
        </w:tc>
      </w:tr>
      <w:tr>
        <w:trPr>
          <w:trHeight w:val="67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火情监测摄像机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1.图像传感器：采用逐行扫描CMOS图像传感器，传感器对角线长度≥1/2.9英寸；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2.镜头：支持4mm/6mm/8mm多规格定焦镜头，根据现场环境选用；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3.照度与补光性能：彩色模式最低照度≤0.0005Lux，黑白模式0.0001Lux，支持红外补光，有效补光距离≥40m；</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4.视频编码与图像处理：分辨率≥2688×1520@25fps，支持H.265/H.264，支持背光补偿、强光抑制、3D数字降噪、宽动态≥120dB，支持多码流，分辨率、帧率、码率、编码格式可独立配置，互不干扰；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5.热成像基础性能：搭载热成像探测模组，热成像分辨率≥256×192，光谱工作区间8～14μm，热敏度≤40mk；可选配多规格焦距镜头，支持100级热成像灵敏度调节，可自动标注、跟踪画面内最高温、最低温目标，区分色标展示并实时显示最高、最低、平均测温数值；具备多种调色板显示模式，支持可见光与热成像双通道图像融合输出，叠加画面细节提升观测效果；</w:t>
            </w:r>
            <w:r>
              <w:rPr>
                <w:rFonts w:ascii="仿宋" w:hAnsi="仿宋" w:eastAsia="仿宋" w:cs="宋体"/>
                <w:color w:val="000000"/>
                <w:sz w:val="22"/>
                <w:highlight w:val="none"/>
              </w:rPr>
              <w:br/>
            </w:r>
            <w:r>
              <w:rPr>
                <w:rFonts w:ascii="仿宋" w:hAnsi="仿宋" w:eastAsia="仿宋" w:cs="宋体"/>
                <w:color w:val="000000"/>
                <w:sz w:val="22"/>
                <w:highlight w:val="none"/>
              </w:rPr>
              <w:t xml:space="preserve">6.烟火智能检测与联动预警功能：可见光通道具备烟雾识别检测功能，可独立或配合热成像火点检测实现复合告警；热成像通道支持画面内多火点同步识别，单画面最多识别10处火点，检测到火点可联动可见光镜头变倍抓拍；可见光、热成像双通道可同步启用周界布防，同步开展智能分析，支持按环境、季节、时段自定义烟火识别算法参数；</w:t>
            </w:r>
            <w:r>
              <w:rPr>
                <w:rFonts w:ascii="仿宋" w:hAnsi="仿宋" w:eastAsia="仿宋" w:cs="宋体"/>
                <w:color w:val="000000"/>
                <w:sz w:val="22"/>
                <w:highlight w:val="none"/>
              </w:rPr>
              <w:br/>
            </w:r>
            <w:r>
              <w:rPr>
                <w:rFonts w:ascii="仿宋" w:hAnsi="仿宋" w:eastAsia="仿宋" w:cs="宋体"/>
                <w:color w:val="000000"/>
                <w:sz w:val="22"/>
                <w:highlight w:val="none"/>
              </w:rPr>
              <w:t xml:space="preserve">7.通讯协议与防护等级：支持ONVIF、GB/T28181标准协议，支持主流设备SDK对接、平台接入及视图库适配，兼容IPv4/IPv6、TCP/IP、HTTP、HTTPS、FTP、DHCP等主流网络协议，防护等级≥IP66，防雷等级≥4级；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8.供电：支持DC12V和PoE（IEEE802.3af）；</w:t>
            </w:r>
            <w:r>
              <w:rPr>
                <w:rFonts w:ascii="仿宋" w:hAnsi="仿宋" w:eastAsia="仿宋" w:cs="宋体"/>
                <w:color w:val="000000"/>
                <w:sz w:val="22"/>
                <w:highlight w:val="none"/>
              </w:rPr>
              <w:br/>
            </w:r>
            <w:r>
              <w:rPr>
                <w:rFonts w:ascii="仿宋" w:hAnsi="仿宋" w:eastAsia="仿宋" w:cs="宋体"/>
                <w:color w:val="000000"/>
                <w:sz w:val="22"/>
                <w:highlight w:val="none"/>
              </w:rPr>
              <w:t xml:space="preserve">9.安装：支持墙面/吊顶/立杆安装，配套铝合金支架，抗风等级≥9级，支持水平、垂直调节。"</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防油污摄像机1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1.图像传感器：采用逐行扫描CMOS图像传感器，传感器对角线长度≥1/2.7英寸；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2.防油污性能：磁吸可拆卸前盖设计，整机采用密封结构设计，内部元器件做防潮处理，支持透雾技术；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3.镜头：支持4mm/6mm规格定焦镜头，适配后厨景监控，镜头光圈≥F1.6；</w:t>
            </w:r>
            <w:r>
              <w:rPr>
                <w:rFonts w:ascii="仿宋" w:hAnsi="仿宋" w:eastAsia="仿宋" w:cs="宋体"/>
                <w:color w:val="000000"/>
                <w:sz w:val="22"/>
                <w:highlight w:val="none"/>
              </w:rPr>
              <w:br/>
            </w:r>
            <w:r>
              <w:rPr>
                <w:rFonts w:ascii="仿宋" w:hAnsi="仿宋" w:eastAsia="仿宋" w:cs="宋体"/>
                <w:color w:val="000000"/>
                <w:sz w:val="22"/>
                <w:highlight w:val="none"/>
              </w:rPr>
              <w:t xml:space="preserve">4.照度与补光性能：彩色模式最低照度≤0.003Lux，黑白红外补光模式照度可达0.001Lux；采用双灯珠补光设计，支持红外、暖光补光，补光有效距离均≥40米；</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5.视频编码与图像处理：分辨率≥3200*1800@25fps，支持H.265/H.264，支持背光补偿、强光抑制、3D数字降噪、宽动态≥120dB，支持多码流，分辨率、帧率、码率、编码格式可独立配置，互不干扰；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6.智能分析功能：支持厨师合规检测，可自定义检测时间与区域，实时识别人员口罩、帽子、工作服穿戴情况；</w:t>
            </w:r>
            <w:r>
              <w:rPr>
                <w:rFonts w:ascii="仿宋" w:hAnsi="仿宋" w:eastAsia="仿宋" w:cs="宋体"/>
                <w:color w:val="000000"/>
                <w:sz w:val="22"/>
                <w:highlight w:val="none"/>
              </w:rPr>
              <w:br/>
            </w:r>
            <w:r>
              <w:rPr>
                <w:rFonts w:ascii="仿宋" w:hAnsi="仿宋" w:eastAsia="仿宋" w:cs="宋体"/>
                <w:color w:val="000000"/>
                <w:sz w:val="22"/>
                <w:highlight w:val="none"/>
              </w:rPr>
              <w:t xml:space="preserve">7.音视频与外设接口：内置1个麦克风、1个扬声器，支持环境噪声过滤功能；配备1路音频输入、1路音频输出、1路报警输入、1路报警输出；</w:t>
            </w:r>
            <w:r>
              <w:rPr>
                <w:rFonts w:ascii="仿宋" w:hAnsi="仿宋" w:eastAsia="仿宋" w:cs="宋体"/>
                <w:color w:val="000000"/>
                <w:sz w:val="22"/>
                <w:highlight w:val="none"/>
              </w:rPr>
              <w:br/>
            </w:r>
            <w:r>
              <w:rPr>
                <w:rFonts w:ascii="仿宋" w:hAnsi="仿宋" w:eastAsia="仿宋" w:cs="宋体"/>
                <w:color w:val="000000"/>
                <w:sz w:val="22"/>
                <w:highlight w:val="none"/>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highlight w:val="none"/>
              </w:rPr>
              <w:br/>
            </w:r>
            <w:r>
              <w:rPr>
                <w:rFonts w:ascii="仿宋" w:hAnsi="仿宋" w:eastAsia="仿宋" w:cs="宋体"/>
                <w:color w:val="000000"/>
                <w:sz w:val="22"/>
                <w:highlight w:val="none"/>
              </w:rPr>
              <w:t xml:space="preserve">9.供电：支持DC12V和PoE（IEEE802.3af），支持防反接保护，功耗≤10W；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10.安装：支持墙面/吊顶/立杆安装，配套铝合金支架，支持水平、垂直调节、耐腐蚀。</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防油污摄像机2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1.图像传感器：采用逐行扫描CMOS图像传感器，传感器对角线长度≥1/3英寸；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2.防油污性能：采用一体化平面防油污设计，镜头护罩玻璃采用疏油涂层工艺，整机采用密封结构设计，内部元器件做防潮处理，支持透雾技术；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3.镜头：采用4mm或6mm定焦镜头，适配后厨景监控；</w:t>
            </w:r>
            <w:r>
              <w:rPr>
                <w:rFonts w:ascii="仿宋" w:hAnsi="仿宋" w:eastAsia="仿宋" w:cs="宋体"/>
                <w:color w:val="000000"/>
                <w:sz w:val="22"/>
                <w:highlight w:val="none"/>
              </w:rPr>
              <w:br/>
            </w:r>
            <w:r>
              <w:rPr>
                <w:rFonts w:ascii="仿宋" w:hAnsi="仿宋" w:eastAsia="仿宋" w:cs="宋体"/>
                <w:color w:val="000000"/>
                <w:sz w:val="22"/>
                <w:highlight w:val="none"/>
              </w:rPr>
              <w:t xml:space="preserve">4.照度与补光性能：彩色模式最低照度≤0.005Lux，黑白红外补光模式照度可达0Lux，最大亮度鉴别等级不小于11级；搭载1颗红外、1颗白光双灯珠补光设计，支持红外、白光双补光模式，补光有效距离均≥30米；</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6.智能分析功能：支持厨师合规检测，可自定义检测时间与区域，实时识别人员口罩、帽子、工作服穿戴情况，支持违规筛选、抓拍、统计及事件上报；支持场景鼠类检测、动火离人报警检测，可识别区域明火并在无人值守时触发告警；</w:t>
            </w:r>
            <w:r>
              <w:rPr>
                <w:rFonts w:ascii="仿宋" w:hAnsi="仿宋" w:eastAsia="仿宋" w:cs="宋体"/>
                <w:color w:val="000000"/>
                <w:sz w:val="22"/>
                <w:highlight w:val="none"/>
              </w:rPr>
              <w:br/>
            </w:r>
            <w:r>
              <w:rPr>
                <w:rFonts w:ascii="仿宋" w:hAnsi="仿宋" w:eastAsia="仿宋" w:cs="宋体"/>
                <w:color w:val="000000"/>
                <w:sz w:val="22"/>
                <w:highlight w:val="none"/>
              </w:rPr>
              <w:t xml:space="preserve">7.音视频与外设接口：内置2个麦克风、1个扬声器，支持环境噪声过滤功能；配备1路音频输入、1路音频输出、1路报警输入、1路报警输出，支持最大256GBMicroSD卡本地存储；</w:t>
            </w:r>
            <w:r>
              <w:rPr>
                <w:rFonts w:ascii="仿宋" w:hAnsi="仿宋" w:eastAsia="仿宋" w:cs="宋体"/>
                <w:color w:val="000000"/>
                <w:sz w:val="22"/>
                <w:highlight w:val="none"/>
              </w:rPr>
              <w:br/>
            </w:r>
            <w:r>
              <w:rPr>
                <w:rFonts w:ascii="仿宋" w:hAnsi="仿宋" w:eastAsia="仿宋" w:cs="宋体"/>
                <w:color w:val="000000"/>
                <w:sz w:val="22"/>
                <w:highlight w:val="none"/>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highlight w:val="none"/>
              </w:rPr>
              <w:br/>
            </w:r>
            <w:r>
              <w:rPr>
                <w:rFonts w:ascii="仿宋" w:hAnsi="仿宋" w:eastAsia="仿宋" w:cs="宋体"/>
                <w:color w:val="000000"/>
                <w:sz w:val="22"/>
                <w:highlight w:val="none"/>
              </w:rPr>
              <w:t xml:space="preserve">9.供电：支持DC12V和PoE（IEEE802.3af），支持防反接保护，功耗≤10W；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10.安装：支持墙面/吊顶，配套铝合金支架，支持水平、垂直调节、耐腐蚀。</w:t>
            </w:r>
            <w:r/>
          </w:p>
        </w:tc>
      </w:tr>
      <w:tr>
        <w:trPr>
          <w:trHeight w:val="43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1.图像传感器：采用逐行扫描CMOS图像传感器，传感器对角线长度≥1/1.8英寸</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2.镜头：支持4mm/6mm/8mm/12mm多规格定焦镜头，根据现场环境选用；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3.照度与补光性能：彩色模式最低照度≤0.0005Lux，黑白模式0.0001Lux，支持补光，有效补光距离≥30m；</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5.音频：内置1个麦克风，支持环境噪声过滤，音频采样率≥16kHz；</w:t>
            </w:r>
            <w:r>
              <w:rPr>
                <w:rFonts w:ascii="仿宋" w:hAnsi="仿宋" w:eastAsia="仿宋" w:cs="宋体"/>
                <w:color w:val="000000"/>
                <w:sz w:val="22"/>
                <w:highlight w:val="none"/>
              </w:rPr>
              <w:br/>
            </w:r>
            <w:r>
              <w:rPr>
                <w:rFonts w:ascii="仿宋" w:hAnsi="仿宋" w:eastAsia="仿宋" w:cs="宋体"/>
                <w:color w:val="000000"/>
                <w:sz w:val="22"/>
                <w:highlight w:val="none"/>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7.供电：支持DC12V和PoE（IEEE802.3af），支持防反接保护，功耗≤10W；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8.安装：支持墙面/吊顶/立杆安装，配套铝合金支架，抗风等级≥9级，支持水平、垂直调节。</w:t>
            </w:r>
            <w:r/>
          </w:p>
        </w:tc>
      </w:tr>
      <w:tr>
        <w:trPr>
          <w:trHeight w:val="40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1.图像传感器：采用逐行扫描CMOS图像传感器，传感器对角线长度≥1/2.7英寸</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2.镜头：支持4mm/6mm/8mm/12mm多规格定焦镜头，根据现场环境选用；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3.照度与补光性能：彩色模式最低照度≤0.005Lux，黑白模式0Lux（红外/白光补光），有效补光距离≥30m；</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5.音频：内置1个麦克风，支持环境噪声过滤，音频采样率≥16kHz；</w:t>
            </w:r>
            <w:r>
              <w:rPr>
                <w:rFonts w:ascii="仿宋" w:hAnsi="仿宋" w:eastAsia="仿宋" w:cs="宋体"/>
                <w:color w:val="000000"/>
                <w:sz w:val="22"/>
                <w:highlight w:val="none"/>
              </w:rPr>
              <w:br/>
            </w:r>
            <w:r>
              <w:rPr>
                <w:rFonts w:ascii="仿宋" w:hAnsi="仿宋" w:eastAsia="仿宋" w:cs="宋体"/>
                <w:color w:val="000000"/>
                <w:sz w:val="22"/>
                <w:highlight w:val="none"/>
              </w:rPr>
              <w:t xml:space="preserve">6.通讯协议与防护等级：支持ONVIF、GB/T28181标准协议，支持主流设备SDK对接、平台接入及视图库适配，兼容IPv4/IPv6、TCP/IP、HTTP、HTTPS、FTP、DHCP等主流网络协议，防护等级≥IP67，防雷等级≥4级；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7.供电：支持DC12V和PoE（IEEE802.3af），支持防反接保护，功耗≤10W；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8.安装：支持墙面/吊顶/立杆安装，配套铝合金支架，抗风等级≥9级，支持水平、垂直调节。</w:t>
            </w:r>
            <w:r/>
          </w:p>
        </w:tc>
      </w:tr>
      <w:tr>
        <w:trPr>
          <w:trHeight w:val="45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枪型摄像机3</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1.图像传感器：采用逐行扫描CMOS图像传感器，传感器对角线长度≥1/3英寸；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2.镜头：标配3.6mm定焦镜头，镜头最大光圈≥F2.0；</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3.照度与补光性能：彩色模式最低照度≤0.01Lux，黑白模式0Lux（红外/白光补光），有效补光距离≥50m；</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5.音频：内置1个麦克风，支持环境噪声过滤，音频采样率≥16kHz；</w:t>
            </w:r>
            <w:r>
              <w:rPr>
                <w:rFonts w:ascii="仿宋" w:hAnsi="仿宋" w:eastAsia="仿宋" w:cs="宋体"/>
                <w:color w:val="000000"/>
                <w:sz w:val="22"/>
                <w:highlight w:val="none"/>
              </w:rPr>
              <w:br/>
            </w:r>
            <w:r>
              <w:rPr>
                <w:rFonts w:ascii="仿宋" w:hAnsi="仿宋" w:eastAsia="仿宋" w:cs="宋体"/>
                <w:color w:val="000000"/>
                <w:sz w:val="22"/>
                <w:highlight w:val="none"/>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7.侦测与报警：支持绊线入侵和区域入侵，支持网络断开、IP冲突、非法访问、视频遮挡报警；</w:t>
            </w:r>
            <w:r>
              <w:rPr>
                <w:rFonts w:ascii="仿宋" w:hAnsi="仿宋" w:eastAsia="仿宋" w:cs="宋体"/>
                <w:color w:val="000000"/>
                <w:sz w:val="22"/>
                <w:highlight w:val="none"/>
              </w:rPr>
              <w:br/>
            </w:r>
            <w:r>
              <w:rPr>
                <w:rFonts w:ascii="仿宋" w:hAnsi="仿宋" w:eastAsia="仿宋" w:cs="宋体"/>
                <w:color w:val="000000"/>
                <w:sz w:val="22"/>
                <w:highlight w:val="none"/>
              </w:rPr>
              <w:t xml:space="preserve">8.供电：支持DC12V和PoE（IEEE802.3af），支持防反接保护，功耗≤10W；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9.安装：支持墙面/吊顶/立杆安装，配套铝合金支架，抗风等级≥9级，支持水平、垂直调节。</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枪型周界摄像机1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1.图像传感器：采用逐行扫描CMOS图像传感器，传感器对角线长度≥1/1.8英寸；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2.镜头：镜头光圈≥F1.0，支持4mm/6mm/规格定焦镜头，根据现场周界监控距离、覆盖视野选配；</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3.照度：彩色模式最低照度≤0.0003Lux，弱光环境可保持彩色高清成像；</w:t>
            </w:r>
            <w:r>
              <w:rPr>
                <w:rFonts w:ascii="仿宋" w:hAnsi="仿宋" w:eastAsia="仿宋" w:cs="宋体"/>
                <w:color w:val="000000"/>
                <w:sz w:val="22"/>
                <w:highlight w:val="none"/>
              </w:rPr>
              <w:br/>
            </w:r>
            <w:r>
              <w:rPr>
                <w:rFonts w:ascii="仿宋" w:hAnsi="仿宋" w:eastAsia="仿宋" w:cs="宋体"/>
                <w:color w:val="000000"/>
                <w:sz w:val="22"/>
                <w:highlight w:val="none"/>
              </w:rPr>
              <w:t xml:space="preserve">4.透雾功能：支持自动/关闭/开启光学透雾设置功能，透雾等级可调；当检验到雾的浓度达到设定的阈值时，可自动在数字透雾和光学透雾之间进行切换；</w:t>
            </w:r>
            <w:r>
              <w:rPr>
                <w:rFonts w:ascii="仿宋" w:hAnsi="仿宋" w:eastAsia="仿宋" w:cs="宋体"/>
                <w:color w:val="000000"/>
                <w:sz w:val="22"/>
                <w:highlight w:val="none"/>
              </w:rPr>
              <w:br/>
            </w:r>
            <w:r>
              <w:rPr>
                <w:rFonts w:ascii="仿宋" w:hAnsi="仿宋" w:eastAsia="仿宋" w:cs="宋体"/>
                <w:color w:val="000000"/>
                <w:sz w:val="22"/>
                <w:highlight w:val="none"/>
              </w:rPr>
              <w:t xml:space="preserve">5.智能侦测：支持越界侦测、区域入侵侦测、进入区域侦测、离开区域侦测等周界智能侦测功能，可联动声光预警设备实现异常告警提醒；</w:t>
            </w:r>
            <w:r>
              <w:rPr>
                <w:rFonts w:ascii="仿宋" w:hAnsi="仿宋" w:eastAsia="仿宋" w:cs="宋体"/>
                <w:color w:val="000000"/>
                <w:sz w:val="22"/>
                <w:highlight w:val="none"/>
              </w:rPr>
              <w:br/>
            </w:r>
            <w:r>
              <w:rPr>
                <w:rFonts w:ascii="仿宋" w:hAnsi="仿宋" w:eastAsia="仿宋" w:cs="宋体"/>
                <w:color w:val="000000"/>
                <w:sz w:val="22"/>
                <w:highlight w:val="none"/>
              </w:rPr>
              <w:t xml:space="preserve">6.视频编码与图像处理：视频输出分辨率≥2688*1520@25fps，支持H.265/H.264视频编码格式；支持背光补偿、强光抑制、3D数字降噪图像处理功能；支持多码流，分辨率、帧率、码率、编码格式可独立配置，互不干扰；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7.音视频与外设接口：内置1个麦克风、1个扬声器，支持双向音频对讲；配备1路音频输入、1路音频输出、报警输入输出接口、1个RS485接口，满足周界预警、外设联动、设备控制等使用需求；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8.通讯协议与防护等级：支持ONVIF、GB/T28181标准协议，支持主流设备SDK对接、平台接入及视图库适配，兼容IPv4/IPv6、TCP/IP、HTTP、HTTPS、FTP、DHCP等主流网络协议；防护等级≥IP67，防雷等级≥4级；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9.供电：支持DC12V和PoE（IEEE802.3af），支持防反接保护，功耗≤10W；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10.安装：支持墙面/吊顶/立杆安装，配套铝合金支架，抗风等级≥9级，支持水平、垂直调节、耐腐蚀。</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枪型周界摄像机2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1.图像传感器：采用逐行扫描CMOS图像传感器，传感器对角线长度≥1/2.7英寸；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2.镜头：镜头光圈≥F1.0，支持4mm/6mm/8mm/12mm多规格定焦镜头，根据现场周界监控距离、覆盖视野选配；</w:t>
            </w:r>
            <w:r>
              <w:rPr>
                <w:rFonts w:ascii="仿宋" w:hAnsi="仿宋" w:eastAsia="仿宋" w:cs="宋体"/>
                <w:color w:val="000000"/>
                <w:sz w:val="22"/>
                <w:highlight w:val="none"/>
              </w:rPr>
              <w:br/>
            </w:r>
            <w:r>
              <w:rPr>
                <w:rFonts w:ascii="仿宋" w:hAnsi="仿宋" w:eastAsia="仿宋" w:cs="宋体"/>
                <w:color w:val="000000"/>
                <w:sz w:val="22"/>
                <w:highlight w:val="none"/>
              </w:rPr>
              <w:t xml:space="preserve">3.照度与补光性能：彩色模式最低照度≤0.001Lux，弱光环境可保持彩色高清成像；配备不少于16颗补光灯，包含8颗远光灯、8颗近光灯，支持防补光过曝功能开启与关闭切换，开启状态下可自动、手动双向调节补光灯亮度，适配不同光线场景；</w:t>
            </w:r>
            <w:r>
              <w:rPr>
                <w:rFonts w:ascii="仿宋" w:hAnsi="仿宋" w:eastAsia="仿宋" w:cs="宋体"/>
                <w:color w:val="000000"/>
                <w:sz w:val="22"/>
                <w:highlight w:val="none"/>
              </w:rPr>
              <w:br/>
            </w:r>
            <w:r>
              <w:rPr>
                <w:rFonts w:ascii="仿宋" w:hAnsi="仿宋" w:eastAsia="仿宋" w:cs="宋体"/>
                <w:color w:val="000000"/>
                <w:sz w:val="22"/>
                <w:highlight w:val="none"/>
              </w:rPr>
              <w:t xml:space="preserve">4.智能侦测：内置CPU、GPU、NPU集成式AI处理器，NPU算力≥1.0TOPS；支持越界侦测、区域入侵侦测、进入区域侦测、离开区域侦测等周界智能侦测功能，可联动声光预警设备实现异常告警提醒；</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5.视频编码与图像处理：视频输出分辨率≥2560×1440@25fps，支持H.265/H.264视频编码格式；支持背光补偿、强光抑制、3D数字降噪图像处理功能；支持多码流，分辨率、帧率、码率、编码格式可独立配置，互不干扰；</w:t>
            </w:r>
            <w:r>
              <w:rPr>
                <w:rFonts w:ascii="仿宋" w:hAnsi="仿宋" w:eastAsia="仿宋" w:cs="宋体"/>
                <w:color w:val="000000"/>
                <w:sz w:val="22"/>
                <w:highlight w:val="none"/>
              </w:rPr>
              <w:br/>
            </w:r>
            <w:r>
              <w:rPr>
                <w:rFonts w:ascii="仿宋" w:hAnsi="仿宋" w:eastAsia="仿宋" w:cs="宋体"/>
                <w:color w:val="000000"/>
                <w:sz w:val="22"/>
                <w:highlight w:val="none"/>
              </w:rPr>
              <w:t xml:space="preserve">6.音视频与外设接口：内置1个麦克风、1个扬声器，支持双向音频对讲；配备1路音频输入、1路音频输出、报警输入输出接口、1个RS485接口，满足周界预警、外设联动、设备控制等使用需求；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7.通讯协议与防护等级：支持ONVIF、GB/T28181标准协议，支持主流设备SDK对接、平台接入及视图库适配，兼容IPv4/IPv6、TCP/IP、HTTP、HTTPS、FTP、DHCP等主流网络协议；防护等级≥IP67，防雷等级≥4级；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highlight w:val="none"/>
              </w:rPr>
              <w:br/>
            </w:r>
            <w:r>
              <w:rPr>
                <w:rFonts w:ascii="仿宋" w:hAnsi="仿宋" w:eastAsia="仿宋" w:cs="宋体"/>
                <w:color w:val="000000"/>
                <w:sz w:val="22"/>
                <w:highlight w:val="none"/>
              </w:rPr>
              <w:t xml:space="preserve">8.供电：支持DC12V和PoE（IEEE802.3af），支持防反接保护，功耗≤10W；</w:t>
            </w:r>
            <w:r>
              <w:rPr>
                <w:rFonts w:ascii="仿宋" w:hAnsi="仿宋" w:eastAsia="仿宋" w:cs="宋体"/>
                <w:color w:val="000000"/>
                <w:sz w:val="22"/>
                <w:highlight w:val="none"/>
              </w:rPr>
              <w:br/>
            </w:r>
            <w:r>
              <w:rPr>
                <w:rFonts w:ascii="仿宋" w:hAnsi="仿宋" w:eastAsia="仿宋" w:cs="宋体"/>
                <w:color w:val="000000"/>
                <w:sz w:val="22"/>
                <w:highlight w:val="none"/>
              </w:rPr>
              <w:t xml:space="preserve">9.安装：支持墙面/吊顶/立杆安装，配套铝合金支架，抗风等级≥9级，支持水平、垂直调节、耐腐蚀。</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高速球型摄像机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1.图像传感器：采用逐行扫描CMOS图像传感器，传感器对角线长度≥1/2.8英寸，最大图像分辨率≥2560×1440；</w:t>
            </w:r>
            <w:r>
              <w:rPr>
                <w:rFonts w:ascii="仿宋" w:hAnsi="仿宋" w:eastAsia="仿宋" w:cs="宋体"/>
                <w:color w:val="000000"/>
                <w:sz w:val="22"/>
                <w:highlight w:val="none"/>
              </w:rPr>
              <w:br/>
            </w:r>
            <w:r>
              <w:rPr>
                <w:rFonts w:ascii="仿宋" w:hAnsi="仿宋" w:eastAsia="仿宋" w:cs="宋体"/>
                <w:color w:val="000000"/>
                <w:sz w:val="22"/>
                <w:highlight w:val="none"/>
              </w:rPr>
              <w:t xml:space="preserve">2.变焦性能与超低照度：支持≥23倍光学变焦，设备最大有效焦距≥115mm，可实现远距离场景清晰抓拍；具备星光级超低照度成像能力，红外灯关闭彩色模式最低照度≤0.005Lux，红外灯开启黑白模式最低照度≤0Lux；</w:t>
            </w:r>
            <w:r>
              <w:rPr>
                <w:rFonts w:ascii="仿宋" w:hAnsi="仿宋" w:eastAsia="仿宋" w:cs="宋体"/>
                <w:color w:val="000000"/>
                <w:sz w:val="22"/>
                <w:highlight w:val="none"/>
              </w:rPr>
              <w:br/>
            </w:r>
            <w:r>
              <w:rPr>
                <w:rFonts w:ascii="仿宋" w:hAnsi="仿宋" w:eastAsia="仿宋" w:cs="宋体"/>
                <w:color w:val="000000"/>
                <w:sz w:val="22"/>
                <w:highlight w:val="none"/>
              </w:rPr>
              <w:t xml:space="preserve">3.云台旋转性能：设备水平支持360°连续旋转，垂直旋转范围≥-5°～90°；</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4.视频编码与图像处理：支持H.265、H.264频编码格式，可独立配置多码流，分辨率、帧率、码率、编码格式相互独立、互不干扰；支持背光补偿、强光抑制、3D数字降噪、电子防抖图像处理功能；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5.智能警戒：支持绊线入侵、区域入侵、穿越围栏、徘徊检测、物品搬移、停车检测、人员聚集报警功能；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6.外设接口与存储功能：设备标配音频输入输出、报警输入输出接口，支持外设联动对接；</w:t>
            </w:r>
            <w:r>
              <w:rPr>
                <w:rFonts w:ascii="仿宋" w:hAnsi="仿宋" w:eastAsia="仿宋" w:cs="宋体"/>
                <w:color w:val="000000"/>
                <w:sz w:val="22"/>
                <w:highlight w:val="none"/>
              </w:rPr>
              <w:br/>
            </w:r>
            <w:r>
              <w:rPr>
                <w:rFonts w:ascii="仿宋" w:hAnsi="仿宋" w:eastAsia="仿宋" w:cs="宋体"/>
                <w:color w:val="000000"/>
                <w:sz w:val="22"/>
                <w:highlight w:val="none"/>
              </w:rPr>
              <w:t xml:space="preserve">7.通讯协议与防护等级：支持ONVIF、GB/T28181国家标准协议，支持主流设备SDK对接、第三方平台接入及视图库适配；兼容IPv4/IPv6、TCP/IP、HTTP、HTTPS、FTP、DHCP等主流网络协议，适配校园监控统一组网及平台统一管理；设备防尘防水防护等级达到IP66标准；</w:t>
            </w:r>
            <w:r>
              <w:rPr>
                <w:rFonts w:ascii="仿宋" w:hAnsi="仿宋" w:eastAsia="仿宋" w:cs="宋体"/>
                <w:color w:val="000000"/>
                <w:sz w:val="22"/>
                <w:highlight w:val="none"/>
              </w:rPr>
              <w:br/>
            </w:r>
            <w:r>
              <w:rPr>
                <w:rFonts w:ascii="仿宋" w:hAnsi="仿宋" w:eastAsia="仿宋" w:cs="宋体"/>
                <w:color w:val="000000"/>
                <w:sz w:val="22"/>
                <w:highlight w:val="none"/>
              </w:rPr>
              <w:t xml:space="preserve">8.其他功能：支持电子防抖和电子透雾功能；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9.设备供电特性：DC24V/2.5A，配套电源适配器；</w:t>
            </w:r>
            <w:r>
              <w:rPr>
                <w:rFonts w:ascii="仿宋" w:hAnsi="仿宋" w:eastAsia="仿宋" w:cs="宋体"/>
                <w:color w:val="000000"/>
                <w:sz w:val="22"/>
                <w:highlight w:val="none"/>
              </w:rPr>
              <w:br/>
            </w:r>
            <w:r>
              <w:rPr>
                <w:rFonts w:ascii="仿宋" w:hAnsi="仿宋" w:eastAsia="仿宋" w:cs="宋体"/>
                <w:color w:val="000000"/>
                <w:sz w:val="22"/>
                <w:highlight w:val="none"/>
              </w:rPr>
              <w:t xml:space="preserve">10.安装特性：支持墙面安装、立杆安装、吊装等多种安装方式，配套安装支架。</w:t>
            </w:r>
            <w:r/>
          </w:p>
        </w:tc>
      </w:tr>
      <w:tr>
        <w:trPr>
          <w:trHeight w:val="64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网络硬盘录像机（32路）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1.设备性能规格：支持接入网络摄像机数量≥32路，最大支持800万像素高清视频接入；</w:t>
            </w:r>
            <w:r>
              <w:rPr>
                <w:rFonts w:ascii="仿宋" w:hAnsi="仿宋" w:eastAsia="仿宋" w:cs="宋体"/>
                <w:color w:val="000000"/>
                <w:sz w:val="22"/>
                <w:highlight w:val="none"/>
              </w:rPr>
              <w:br/>
            </w:r>
            <w:r>
              <w:rPr>
                <w:rFonts w:ascii="仿宋" w:hAnsi="仿宋" w:eastAsia="仿宋" w:cs="宋体"/>
                <w:color w:val="000000"/>
                <w:sz w:val="22"/>
                <w:highlight w:val="none"/>
              </w:rPr>
              <w:t xml:space="preserve">2.解码与编码能力：支持≥16路1080P@25fps实时解码输出；视频编码支持H.265、H.264主流格式，支持双码流独立配置；</w:t>
            </w:r>
            <w:r>
              <w:rPr>
                <w:rFonts w:ascii="仿宋" w:hAnsi="仿宋" w:eastAsia="仿宋" w:cs="宋体"/>
                <w:color w:val="000000"/>
                <w:sz w:val="22"/>
                <w:highlight w:val="none"/>
              </w:rPr>
              <w:br/>
            </w:r>
            <w:r>
              <w:rPr>
                <w:rFonts w:ascii="仿宋" w:hAnsi="仿宋" w:eastAsia="仿宋" w:cs="宋体"/>
                <w:color w:val="000000"/>
                <w:sz w:val="22"/>
                <w:highlight w:val="none"/>
              </w:rPr>
              <w:t xml:space="preserve">兼容H.265+、H.264+超低码率编码优化技术；支持人脸智能识别，可支持2路视频流人脸识别、8路图片流人脸识别，内置16个人脸库，最大支持5万张人脸图片库容。</w:t>
            </w:r>
            <w:r>
              <w:rPr>
                <w:rFonts w:ascii="仿宋" w:hAnsi="仿宋" w:eastAsia="仿宋" w:cs="宋体"/>
                <w:color w:val="000000"/>
                <w:sz w:val="22"/>
                <w:highlight w:val="none"/>
              </w:rPr>
              <w:br/>
            </w:r>
            <w:r>
              <w:rPr>
                <w:rFonts w:ascii="仿宋" w:hAnsi="仿宋" w:eastAsia="仿宋" w:cs="宋体"/>
                <w:color w:val="000000"/>
                <w:sz w:val="22"/>
                <w:highlight w:val="none"/>
              </w:rPr>
              <w:t xml:space="preserve">3.存储硬盘规格：设备内置≥4个标准SATA硬盘接口，单块硬盘最大支持接入容量16TB；支持监控级、企业级不同品牌、不同转速硬盘混合接入；</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4.视频输出规格：配备≥2个HDMI高清视频输出接口，≥2个VGA视频输出接口，HDMI输出支持高清分辨率输出，且可向下兼容各类常规分辨率；</w:t>
            </w:r>
            <w:r>
              <w:rPr>
                <w:rFonts w:ascii="仿宋" w:hAnsi="仿宋" w:eastAsia="仿宋" w:cs="宋体"/>
                <w:color w:val="000000"/>
                <w:sz w:val="22"/>
                <w:highlight w:val="none"/>
              </w:rPr>
              <w:br/>
            </w:r>
            <w:r>
              <w:rPr>
                <w:rFonts w:ascii="仿宋" w:hAnsi="仿宋" w:eastAsia="仿宋" w:cs="宋体"/>
                <w:color w:val="000000"/>
                <w:sz w:val="22"/>
                <w:highlight w:val="none"/>
              </w:rPr>
              <w:t xml:space="preserve">5.外设接口配置：配备≥2个千兆自适应RJ45网络接口、≥3个USB接口、1个RS232接口、2个RS485接口，搭载1路音频输入、2路音频输出、16路报警输入、9路报警输出；</w:t>
            </w:r>
            <w:r>
              <w:rPr>
                <w:rFonts w:ascii="仿宋" w:hAnsi="仿宋" w:eastAsia="仿宋" w:cs="宋体"/>
                <w:color w:val="000000"/>
                <w:sz w:val="22"/>
                <w:highlight w:val="none"/>
              </w:rPr>
              <w:br/>
            </w:r>
            <w:r>
              <w:rPr>
                <w:rFonts w:ascii="仿宋" w:hAnsi="仿宋" w:eastAsia="仿宋" w:cs="宋体"/>
                <w:color w:val="000000"/>
                <w:sz w:val="22"/>
                <w:highlight w:val="none"/>
              </w:rPr>
              <w:t xml:space="preserve">6.录像策略与备份功能：支持定时录像、移动侦测录像、事件联动录像、手动录像等多种录像模式，支持文搜关联录像、图片精准调取，可定位录像内目标跟踪框并支持二次检索；</w:t>
            </w:r>
            <w:r>
              <w:rPr>
                <w:rFonts w:ascii="仿宋" w:hAnsi="仿宋" w:eastAsia="仿宋" w:cs="宋体"/>
                <w:color w:val="000000"/>
                <w:sz w:val="22"/>
                <w:highlight w:val="none"/>
              </w:rPr>
              <w:br/>
            </w:r>
            <w:r>
              <w:rPr>
                <w:rFonts w:ascii="仿宋" w:hAnsi="仿宋" w:eastAsia="仿宋" w:cs="宋体"/>
                <w:color w:val="000000"/>
                <w:sz w:val="22"/>
                <w:highlight w:val="none"/>
              </w:rPr>
              <w:t xml:space="preserve">7.系统与安全防护：采用嵌入式操作系统，支持本地预览权限分级配置、远程预览加密密钥验证机制；设备关键操作支持二次认证；</w:t>
            </w:r>
            <w:r>
              <w:rPr>
                <w:rFonts w:ascii="仿宋" w:hAnsi="仿宋" w:eastAsia="仿宋" w:cs="宋体"/>
                <w:color w:val="000000"/>
                <w:sz w:val="22"/>
                <w:highlight w:val="none"/>
              </w:rPr>
              <w:br/>
            </w:r>
            <w:r>
              <w:rPr>
                <w:rFonts w:ascii="仿宋" w:hAnsi="仿宋" w:eastAsia="仿宋" w:cs="宋体"/>
                <w:color w:val="000000"/>
                <w:sz w:val="22"/>
                <w:highlight w:val="none"/>
              </w:rPr>
              <w:t xml:space="preserve">8.设备兼容适配：兼容GB/T28181、ONVIF通用标准协议，支持主流品牌第三方网络摄像机无缝接入，无私有协议绑定，可适配前端各类周界摄像机；</w:t>
            </w:r>
            <w:r>
              <w:rPr>
                <w:rFonts w:ascii="仿宋" w:hAnsi="仿宋" w:eastAsia="仿宋" w:cs="宋体"/>
                <w:color w:val="000000"/>
                <w:sz w:val="22"/>
                <w:highlight w:val="none"/>
              </w:rPr>
              <w:br/>
            </w:r>
            <w:r>
              <w:rPr>
                <w:rFonts w:ascii="仿宋" w:hAnsi="仿宋" w:eastAsia="仿宋" w:cs="宋体"/>
                <w:color w:val="000000"/>
                <w:sz w:val="22"/>
                <w:highlight w:val="none"/>
              </w:rPr>
              <w:t xml:space="preserve">9.设备供电与安装：采用标准规范供电设计，支持设备7×24小时不间断运行；支持标准机架式安装，适配机房机柜统一规整部署。</w:t>
            </w:r>
            <w:r/>
          </w:p>
        </w:tc>
      </w:tr>
      <w:tr>
        <w:trPr>
          <w:trHeight w:val="81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网络硬盘录像机（64路）1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1.设备性能规格：支持接入网络摄像机数量≥64路，最大支持800万像素高清视频接入；设备最大接入带宽≥384Mbps，最大存储带宽≥384Mbps，最大转发带宽≥384Mbps；</w:t>
            </w:r>
            <w:r>
              <w:rPr>
                <w:rFonts w:ascii="仿宋" w:hAnsi="仿宋" w:eastAsia="仿宋" w:cs="宋体"/>
                <w:color w:val="000000"/>
                <w:sz w:val="22"/>
                <w:highlight w:val="none"/>
              </w:rPr>
              <w:br/>
            </w:r>
            <w:r>
              <w:rPr>
                <w:rFonts w:ascii="仿宋" w:hAnsi="仿宋" w:eastAsia="仿宋" w:cs="宋体"/>
                <w:color w:val="000000"/>
                <w:sz w:val="22"/>
                <w:highlight w:val="none"/>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3.存储硬盘规格：设备内置≥16个标准SATA硬盘接口，单块硬盘最大支持接入容量20TB；支持监控级、企业级不同品牌、不同转速硬盘混合接入；</w:t>
            </w:r>
            <w:r>
              <w:rPr>
                <w:rFonts w:ascii="仿宋" w:hAnsi="仿宋" w:eastAsia="仿宋" w:cs="宋体"/>
                <w:color w:val="000000"/>
                <w:sz w:val="22"/>
                <w:highlight w:val="none"/>
              </w:rPr>
              <w:br/>
            </w:r>
            <w:r>
              <w:rPr>
                <w:rFonts w:ascii="仿宋" w:hAnsi="仿宋" w:eastAsia="仿宋" w:cs="宋体"/>
                <w:color w:val="000000"/>
                <w:sz w:val="22"/>
                <w:highlight w:val="none"/>
              </w:rPr>
              <w:t xml:space="preserve">4.硬盘智能管理：支持单盘故障隔离机制，单块硬盘损坏不影响整机运行及其他硬盘正常录像存储；具备硬盘健康状态实时监测、坏道检测、高温预警、故障识别功能；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5.视频输出规格：配备≥2个HDMI高清视频输出接口，HDMI输出支持3840×2160@60Hz，且可向下兼容各类常规分辨率，满足高清画面上墙预览、轮巡展示需求；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6.外设接口配置：配备≥2个千兆自适应RJ45网络接口、≥4个USB接口、≥1个RS232接口、≥1个RS485接口，可满足设备组网、外设对接、参数调试、云台控制等多样化使用需求。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7.录像策略与备份功能：支持定时录像、移动侦测录像、事件联动录像、手动录像等多种录像模式，默认支持视频循环覆盖机制，自动迭代过期录像；支持重要视频片段一键锁定保护，防止录像被误删或循环覆盖；</w:t>
            </w:r>
            <w:r>
              <w:rPr>
                <w:rFonts w:ascii="仿宋" w:hAnsi="仿宋" w:eastAsia="仿宋" w:cs="宋体"/>
                <w:color w:val="000000"/>
                <w:sz w:val="22"/>
                <w:highlight w:val="none"/>
              </w:rPr>
              <w:br/>
            </w:r>
            <w:r>
              <w:rPr>
                <w:rFonts w:ascii="仿宋" w:hAnsi="仿宋" w:eastAsia="仿宋" w:cs="宋体"/>
                <w:color w:val="000000"/>
                <w:sz w:val="22"/>
                <w:highlight w:val="none"/>
              </w:rPr>
              <w:t xml:space="preserve">8.网络与时间同步功能：支持NTP网络时间同步服务；支持IP地址批量导入导出、批量配置；具备网络容错、断网续传功能，网络中断时可本地缓存视频，网络恢复后自动补传录像；</w:t>
            </w:r>
            <w:r>
              <w:rPr>
                <w:rFonts w:ascii="仿宋" w:hAnsi="仿宋" w:eastAsia="仿宋" w:cs="宋体"/>
                <w:color w:val="000000"/>
                <w:sz w:val="22"/>
                <w:highlight w:val="none"/>
              </w:rPr>
              <w:br/>
            </w:r>
            <w:r>
              <w:rPr>
                <w:rFonts w:ascii="仿宋" w:hAnsi="仿宋" w:eastAsia="仿宋" w:cs="宋体"/>
                <w:color w:val="000000"/>
                <w:sz w:val="22"/>
                <w:highlight w:val="none"/>
              </w:rPr>
              <w:t xml:space="preserve">9.智能事件监测与联动：支持各类报警事件、设备异常事件计数和监测提醒，包括硬盘异常、网络异常、非法访问、视频录像/抓图异常等；适配前端AI智能警戒摄像机，精准接收越界侦测、区域入侵、人员逗留、车辆异常等报警信息，支持报警弹窗、日志记录、联动录像;</w:t>
            </w:r>
            <w:r>
              <w:rPr>
                <w:rFonts w:ascii="仿宋" w:hAnsi="仿宋" w:eastAsia="仿宋" w:cs="宋体"/>
                <w:color w:val="000000"/>
                <w:sz w:val="22"/>
                <w:highlight w:val="none"/>
              </w:rPr>
              <w:br/>
            </w:r>
            <w:r>
              <w:rPr>
                <w:rFonts w:ascii="仿宋" w:hAnsi="仿宋" w:eastAsia="仿宋" w:cs="宋体"/>
                <w:color w:val="000000"/>
                <w:sz w:val="22"/>
                <w:highlight w:val="none"/>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完整追溯设备运行及操作记录，满足校园安防溯源管理要求；</w:t>
            </w:r>
            <w:r>
              <w:rPr>
                <w:rFonts w:ascii="仿宋" w:hAnsi="仿宋" w:eastAsia="仿宋" w:cs="宋体"/>
                <w:color w:val="000000"/>
                <w:sz w:val="22"/>
                <w:highlight w:val="none"/>
              </w:rPr>
              <w:br/>
            </w:r>
            <w:r>
              <w:rPr>
                <w:rFonts w:ascii="仿宋" w:hAnsi="仿宋" w:eastAsia="仿宋" w:cs="宋体"/>
                <w:color w:val="000000"/>
                <w:sz w:val="22"/>
                <w:highlight w:val="none"/>
              </w:rPr>
              <w:t xml:space="preserve">11.设备兼容适配：兼容GB/T28181、ONVIF通用标准协议，支持主流品牌第三方网络摄像机无缝接入，无私有协议绑定；</w:t>
            </w:r>
            <w:r>
              <w:rPr>
                <w:rFonts w:ascii="仿宋" w:hAnsi="仿宋" w:eastAsia="仿宋" w:cs="宋体"/>
                <w:color w:val="000000"/>
                <w:sz w:val="22"/>
                <w:highlight w:val="none"/>
              </w:rPr>
              <w:br/>
            </w:r>
            <w:r>
              <w:rPr>
                <w:rFonts w:ascii="仿宋" w:hAnsi="仿宋" w:eastAsia="仿宋" w:cs="宋体"/>
                <w:color w:val="000000"/>
                <w:sz w:val="22"/>
                <w:highlight w:val="none"/>
              </w:rPr>
              <w:t xml:space="preserve">12.设备供电与安装：设备内置220VAC标准电源，额定功率≥250W，供电稳定可靠；支持标准机架式安装，适配机房机柜统一规整部署，适配长期不间断运行场景。</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网络硬盘录像机（64路）2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1.设备性能规格：支持接入网络摄像机数量≥64路，最大支持1600万像素高清视频接入，兼容12MP、8MP、6MP、5MP、4MP、3MP、1080P、720P、960P、D1、CIF等全分辨率视频接入；</w:t>
            </w:r>
            <w:r>
              <w:rPr>
                <w:rFonts w:ascii="仿宋" w:hAnsi="仿宋" w:eastAsia="仿宋" w:cs="宋体"/>
                <w:color w:val="000000"/>
                <w:sz w:val="22"/>
                <w:highlight w:val="none"/>
              </w:rPr>
              <w:br/>
            </w:r>
            <w:r>
              <w:rPr>
                <w:rFonts w:ascii="仿宋" w:hAnsi="仿宋" w:eastAsia="仿宋" w:cs="宋体"/>
                <w:color w:val="000000"/>
                <w:sz w:val="22"/>
                <w:highlight w:val="none"/>
              </w:rPr>
              <w:t xml:space="preserve">2.设备搭载工业级CPU，采用嵌入式操作系统，支持多任务并发处理，预览、录像、回放、备份、智能分析；</w:t>
            </w:r>
            <w:r>
              <w:rPr>
                <w:rFonts w:ascii="仿宋" w:hAnsi="仿宋" w:eastAsia="仿宋" w:cs="宋体"/>
                <w:color w:val="000000"/>
                <w:sz w:val="22"/>
                <w:highlight w:val="none"/>
              </w:rPr>
              <w:br/>
            </w:r>
            <w:r>
              <w:rPr>
                <w:rFonts w:ascii="仿宋" w:hAnsi="仿宋" w:eastAsia="仿宋" w:cs="宋体"/>
                <w:color w:val="000000"/>
                <w:sz w:val="22"/>
                <w:highlight w:val="none"/>
              </w:rPr>
              <w:t xml:space="preserve">3.支持最大2路16MP@30fps实时解码，视频编码支持H.265、H.264主流格式；</w:t>
            </w:r>
            <w:r>
              <w:rPr>
                <w:rFonts w:ascii="仿宋" w:hAnsi="仿宋" w:eastAsia="仿宋" w:cs="宋体"/>
                <w:color w:val="000000"/>
                <w:sz w:val="22"/>
                <w:highlight w:val="none"/>
              </w:rPr>
              <w:br/>
            </w:r>
            <w:r>
              <w:rPr>
                <w:rFonts w:ascii="仿宋" w:hAnsi="仿宋" w:eastAsia="仿宋" w:cs="宋体"/>
                <w:color w:val="000000"/>
                <w:sz w:val="22"/>
                <w:highlight w:val="none"/>
              </w:rPr>
              <w:t xml:space="preserve">4.存储硬盘规格：设备内置≥9个标准SATA硬盘接口，单块硬盘最大支持接入容量20TB；支持监控级、企业级不同品牌、不同转速硬盘混合接入；</w:t>
            </w:r>
            <w:r>
              <w:rPr>
                <w:rFonts w:ascii="仿宋" w:hAnsi="仿宋" w:eastAsia="仿宋" w:cs="宋体"/>
                <w:color w:val="000000"/>
                <w:sz w:val="22"/>
                <w:highlight w:val="none"/>
              </w:rPr>
              <w:br/>
            </w:r>
            <w:r>
              <w:rPr>
                <w:rFonts w:ascii="仿宋" w:hAnsi="仿宋" w:eastAsia="仿宋" w:cs="宋体"/>
                <w:color w:val="000000"/>
                <w:sz w:val="22"/>
                <w:highlight w:val="none"/>
              </w:rPr>
              <w:t xml:space="preserve">5.视频输出：配备≥2个HDMI高清视频输出接口，HDMI输出支持4K高清分辨率输出；</w:t>
            </w:r>
            <w:r>
              <w:rPr>
                <w:rFonts w:ascii="仿宋" w:hAnsi="仿宋" w:eastAsia="仿宋" w:cs="宋体"/>
                <w:color w:val="000000"/>
                <w:sz w:val="22"/>
                <w:highlight w:val="none"/>
              </w:rPr>
              <w:br/>
            </w:r>
            <w:r>
              <w:rPr>
                <w:rFonts w:ascii="仿宋" w:hAnsi="仿宋" w:eastAsia="仿宋" w:cs="宋体"/>
                <w:color w:val="000000"/>
                <w:sz w:val="22"/>
                <w:highlight w:val="none"/>
              </w:rPr>
              <w:t xml:space="preserve">6.外设接口配置：配备≥2个千兆自适应RJ45网络接口、≥1个RS485接口，报警输入≥16路，报警输出≥4路；</w:t>
            </w:r>
            <w:r>
              <w:rPr>
                <w:rFonts w:ascii="仿宋" w:hAnsi="仿宋" w:eastAsia="仿宋" w:cs="宋体"/>
                <w:color w:val="000000"/>
                <w:sz w:val="22"/>
                <w:highlight w:val="none"/>
              </w:rPr>
              <w:br/>
            </w:r>
            <w:r>
              <w:rPr>
                <w:rFonts w:ascii="仿宋" w:hAnsi="仿宋" w:eastAsia="仿宋" w:cs="宋体"/>
                <w:color w:val="000000"/>
                <w:sz w:val="22"/>
                <w:highlight w:val="none"/>
              </w:rPr>
              <w:t xml:space="preserve">7.录像策略与备份功能：支持定时录像、移动侦测录像、事件联动录像、手动录像等多种录像模式；</w:t>
            </w:r>
            <w:r>
              <w:rPr>
                <w:rFonts w:ascii="仿宋" w:hAnsi="仿宋" w:eastAsia="仿宋" w:cs="宋体"/>
                <w:color w:val="000000"/>
                <w:sz w:val="22"/>
                <w:highlight w:val="none"/>
              </w:rPr>
              <w:br/>
            </w:r>
            <w:r>
              <w:rPr>
                <w:rFonts w:ascii="仿宋" w:hAnsi="仿宋" w:eastAsia="仿宋" w:cs="宋体"/>
                <w:color w:val="000000"/>
                <w:sz w:val="22"/>
                <w:highlight w:val="none"/>
              </w:rPr>
              <w:t xml:space="preserve">8.智能事件监测与联动：支持前后端双模式智能分析能力，包括人脸检测、人脸识别、周界防范、立体行为分析、人群分布、人数统计、车牌识别、物品监控、高空抛物检测；</w:t>
            </w:r>
            <w:r>
              <w:rPr>
                <w:rFonts w:ascii="仿宋" w:hAnsi="仿宋" w:eastAsia="仿宋" w:cs="宋体"/>
                <w:color w:val="000000"/>
                <w:sz w:val="22"/>
                <w:highlight w:val="none"/>
              </w:rPr>
              <w:br/>
            </w:r>
            <w:r>
              <w:rPr>
                <w:rFonts w:ascii="仿宋" w:hAnsi="仿宋" w:eastAsia="仿宋" w:cs="宋体"/>
                <w:color w:val="000000"/>
                <w:sz w:val="22"/>
                <w:highlight w:val="none"/>
              </w:rPr>
              <w:t xml:space="preserve">9.设备兼容适配：兼容GB/T28181、ONVIF通用标准协议，支持主流品牌第三方网络摄像机无缝接入，无私有协议绑定；</w:t>
            </w:r>
            <w:r>
              <w:rPr>
                <w:rFonts w:ascii="仿宋" w:hAnsi="仿宋" w:eastAsia="仿宋" w:cs="宋体"/>
                <w:color w:val="000000"/>
                <w:sz w:val="22"/>
                <w:highlight w:val="none"/>
              </w:rPr>
              <w:br/>
            </w:r>
            <w:r>
              <w:rPr>
                <w:rFonts w:ascii="仿宋" w:hAnsi="仿宋" w:eastAsia="仿宋" w:cs="宋体"/>
                <w:color w:val="000000"/>
                <w:sz w:val="22"/>
                <w:highlight w:val="none"/>
              </w:rPr>
              <w:t xml:space="preserve">10.设备供电与安装：220VAC标准电源，可支持7×24小时不间断稳定运行，支持标准机架式安装，适配机房机柜统一规整部署。</w:t>
            </w:r>
            <w:r/>
          </w:p>
        </w:tc>
      </w:tr>
      <w:tr>
        <w:trPr>
          <w:trHeight w:val="810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网络硬盘录像机（128路）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1.设备性能规格：支持接入网络摄像机数量≥128路，最大支持800万像素高清视频接入；设备最大接入带宽≥1536Mbps，最大存储带宽≥1536Mbps，最大转发带宽≥1536Mbps</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3.存储硬盘规格：设备内置≥16个标准SATA硬盘接口，单块硬盘最大支持接入容量24TB；支持监控级、企业级不同品牌、不同转速硬盘混合接入；</w:t>
            </w:r>
            <w:r>
              <w:rPr>
                <w:rFonts w:ascii="仿宋" w:hAnsi="仿宋" w:eastAsia="仿宋" w:cs="宋体"/>
                <w:color w:val="000000"/>
                <w:sz w:val="22"/>
                <w:highlight w:val="none"/>
              </w:rPr>
              <w:br/>
            </w:r>
            <w:r>
              <w:rPr>
                <w:rFonts w:ascii="仿宋" w:hAnsi="仿宋" w:eastAsia="仿宋" w:cs="宋体"/>
                <w:color w:val="000000"/>
                <w:sz w:val="22"/>
                <w:highlight w:val="none"/>
              </w:rPr>
              <w:t xml:space="preserve">4.视频输出规格：配备≥2个HDMI高清视频输出接口，HDMI输出支持3840×2160@120Hz，且可向下兼容各类常规分辨率；</w:t>
            </w:r>
            <w:r>
              <w:rPr>
                <w:rFonts w:ascii="仿宋" w:hAnsi="仿宋" w:eastAsia="仿宋" w:cs="宋体"/>
                <w:color w:val="000000"/>
                <w:sz w:val="22"/>
                <w:highlight w:val="none"/>
              </w:rPr>
              <w:br/>
            </w:r>
            <w:r>
              <w:rPr>
                <w:rFonts w:ascii="仿宋" w:hAnsi="仿宋" w:eastAsia="仿宋" w:cs="宋体"/>
                <w:color w:val="000000"/>
                <w:sz w:val="22"/>
                <w:highlight w:val="none"/>
              </w:rPr>
              <w:t xml:space="preserve">5.外设接口配置：配备≥2个千兆自适应RJ45网络接口、≥3个USB接口、≥1个RS232接口、≥1个RS485接口，可满足设备组网、外设对接、参数调试、云台控制等多样化使用需求；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6.具有双BIOS模式，提供主BIOS和备BIOS服务，主BIOS故障时，可通过备BIOS启动；</w:t>
            </w:r>
            <w:r>
              <w:rPr>
                <w:rFonts w:ascii="仿宋" w:hAnsi="仿宋" w:eastAsia="仿宋" w:cs="宋体"/>
                <w:color w:val="000000"/>
                <w:sz w:val="22"/>
                <w:highlight w:val="none"/>
              </w:rPr>
              <w:br/>
            </w:r>
            <w:r>
              <w:rPr>
                <w:rFonts w:ascii="仿宋" w:hAnsi="仿宋" w:eastAsia="仿宋" w:cs="宋体"/>
                <w:color w:val="000000"/>
                <w:sz w:val="22"/>
                <w:highlight w:val="none"/>
              </w:rPr>
              <w:t xml:space="preserve">7.录像策略与备份功能：支持定时录像、移动侦测录像、事件联动录像、手动录像等多种录像模式，默认支持视频循环覆盖机制；</w:t>
            </w:r>
            <w:r>
              <w:rPr>
                <w:rFonts w:ascii="仿宋" w:hAnsi="仿宋" w:eastAsia="仿宋" w:cs="宋体"/>
                <w:color w:val="000000"/>
                <w:sz w:val="22"/>
                <w:highlight w:val="none"/>
              </w:rPr>
              <w:br/>
            </w:r>
            <w:r>
              <w:rPr>
                <w:rFonts w:ascii="仿宋" w:hAnsi="仿宋" w:eastAsia="仿宋" w:cs="宋体"/>
                <w:color w:val="000000"/>
                <w:sz w:val="22"/>
                <w:highlight w:val="none"/>
              </w:rPr>
              <w:t xml:space="preserve">8.视频加密：支持录像加密，可根据指定的摄像机通道、时间、录像类型进行加密，加密的录像文件只有在解密后才可以正常播放；</w:t>
            </w:r>
            <w:r>
              <w:rPr>
                <w:rFonts w:ascii="仿宋" w:hAnsi="仿宋" w:eastAsia="仿宋" w:cs="宋体"/>
                <w:color w:val="000000"/>
                <w:sz w:val="22"/>
                <w:highlight w:val="none"/>
              </w:rPr>
              <w:br/>
            </w:r>
            <w:r>
              <w:rPr>
                <w:rFonts w:ascii="仿宋" w:hAnsi="仿宋" w:eastAsia="仿宋" w:cs="宋体"/>
                <w:color w:val="000000"/>
                <w:sz w:val="22"/>
                <w:highlight w:val="none"/>
              </w:rPr>
              <w:t xml:space="preserve">9.智能事件监测：适配前端摄像机进行人脸比对、车辆检测、人数统计、混行检测、高空抛物、双目拼接、枪球联动、热成像测温等功能;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满足校园安防溯源管理要求；</w:t>
            </w:r>
            <w:r>
              <w:rPr>
                <w:rFonts w:ascii="仿宋" w:hAnsi="仿宋" w:eastAsia="仿宋" w:cs="宋体"/>
                <w:color w:val="000000"/>
                <w:sz w:val="22"/>
                <w:highlight w:val="none"/>
              </w:rPr>
              <w:br/>
            </w:r>
            <w:r>
              <w:rPr>
                <w:rFonts w:ascii="仿宋" w:hAnsi="仿宋" w:eastAsia="仿宋" w:cs="宋体"/>
                <w:color w:val="000000"/>
                <w:sz w:val="22"/>
                <w:highlight w:val="none"/>
              </w:rPr>
              <w:t xml:space="preserve">11.设备兼容适配：兼容GB/T28181、ONVIF通用标准协议，支持主流品牌第三方网络摄像机无缝接入，无私有协议绑定，设备兼容性强，可满足后期系统扩容、设备更替需求；</w:t>
            </w:r>
            <w:r>
              <w:rPr>
                <w:rFonts w:ascii="仿宋" w:hAnsi="仿宋" w:eastAsia="仿宋" w:cs="宋体"/>
                <w:color w:val="000000"/>
                <w:sz w:val="22"/>
                <w:highlight w:val="none"/>
              </w:rPr>
              <w:br/>
            </w:r>
            <w:r>
              <w:rPr>
                <w:rFonts w:ascii="仿宋" w:hAnsi="仿宋" w:eastAsia="仿宋" w:cs="宋体"/>
                <w:color w:val="000000"/>
                <w:sz w:val="22"/>
                <w:highlight w:val="none"/>
              </w:rPr>
              <w:t xml:space="preserve">12.设备供电与安装：设备内置220VAC标准电源，额定功率≥250W；支持标准机架式安装，适配机房机柜统一规整部署，适配长期不间断运行场景。</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监控硬盘（8TB）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1.原装盒装，容量≥8TB，3.5英寸</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2.SATA3.0接口;</w:t>
            </w:r>
            <w:r>
              <w:rPr>
                <w:rFonts w:ascii="仿宋" w:hAnsi="仿宋" w:eastAsia="仿宋" w:cs="宋体"/>
                <w:color w:val="000000"/>
                <w:sz w:val="22"/>
                <w:highlight w:val="none"/>
              </w:rPr>
              <w:br/>
            </w:r>
            <w:r>
              <w:rPr>
                <w:rFonts w:ascii="仿宋" w:hAnsi="仿宋" w:eastAsia="仿宋" w:cs="宋体"/>
                <w:color w:val="000000"/>
                <w:sz w:val="22"/>
                <w:highlight w:val="none"/>
              </w:rPr>
              <w:t xml:space="preserve">3.缓存≥256MB，转速≤6000RPM；</w:t>
            </w:r>
            <w:r>
              <w:rPr>
                <w:rFonts w:ascii="仿宋" w:hAnsi="仿宋" w:eastAsia="仿宋" w:cs="宋体"/>
                <w:color w:val="000000"/>
                <w:sz w:val="22"/>
                <w:highlight w:val="none"/>
              </w:rPr>
              <w:br/>
            </w:r>
            <w:r>
              <w:rPr>
                <w:rFonts w:ascii="仿宋" w:hAnsi="仿宋" w:eastAsia="仿宋" w:cs="宋体"/>
                <w:color w:val="000000"/>
                <w:sz w:val="22"/>
                <w:highlight w:val="none"/>
              </w:rPr>
              <w:t xml:space="preserve">4.采用CMR记录技术，年度工作负载≥180TB/年。</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监控硬盘（10TB）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1.原装盒装，容量≥10TB，3.5英寸;</w:t>
            </w:r>
            <w:r>
              <w:rPr>
                <w:rFonts w:ascii="仿宋" w:hAnsi="仿宋" w:eastAsia="仿宋" w:cs="宋体"/>
                <w:color w:val="000000"/>
                <w:sz w:val="22"/>
                <w:highlight w:val="none"/>
              </w:rPr>
              <w:br/>
            </w:r>
            <w:r>
              <w:rPr>
                <w:rFonts w:ascii="仿宋" w:hAnsi="仿宋" w:eastAsia="仿宋" w:cs="宋体"/>
                <w:color w:val="000000"/>
                <w:sz w:val="22"/>
                <w:highlight w:val="none"/>
              </w:rPr>
              <w:t xml:space="preserve">2.SATA3.0接口;</w:t>
            </w:r>
            <w:r>
              <w:rPr>
                <w:rFonts w:ascii="仿宋" w:hAnsi="仿宋" w:eastAsia="仿宋" w:cs="宋体"/>
                <w:color w:val="000000"/>
                <w:sz w:val="22"/>
                <w:highlight w:val="none"/>
              </w:rPr>
              <w:br/>
            </w:r>
            <w:r>
              <w:rPr>
                <w:rFonts w:ascii="仿宋" w:hAnsi="仿宋" w:eastAsia="仿宋" w:cs="宋体"/>
                <w:color w:val="000000"/>
                <w:sz w:val="22"/>
                <w:highlight w:val="none"/>
              </w:rPr>
              <w:t xml:space="preserve">3.缓存≥256MB，转速≥7000RPM；</w:t>
            </w:r>
            <w:r>
              <w:rPr>
                <w:rFonts w:ascii="仿宋" w:hAnsi="仿宋" w:eastAsia="仿宋" w:cs="宋体"/>
                <w:color w:val="000000"/>
                <w:sz w:val="22"/>
                <w:highlight w:val="none"/>
              </w:rPr>
              <w:br/>
            </w:r>
            <w:r>
              <w:rPr>
                <w:rFonts w:ascii="仿宋" w:hAnsi="仿宋" w:eastAsia="仿宋" w:cs="宋体"/>
                <w:color w:val="000000"/>
                <w:sz w:val="22"/>
                <w:highlight w:val="none"/>
              </w:rPr>
              <w:t xml:space="preserve">4.采用CMR记录技术，年度工作负载≥180TB/年。</w:t>
            </w:r>
            <w:r/>
          </w:p>
        </w:tc>
      </w:tr>
      <w:tr>
        <w:trPr>
          <w:trHeight w:val="56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网络视频解码器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1.设备采用嵌入式系统，整机功耗≤15W，外置12VDC供电，工作温度-10℃~55℃、工作湿度0%~90%；</w:t>
            </w:r>
            <w:r>
              <w:rPr>
                <w:rFonts w:ascii="仿宋" w:hAnsi="仿宋" w:eastAsia="仿宋" w:cs="宋体"/>
                <w:color w:val="000000"/>
                <w:sz w:val="22"/>
                <w:highlight w:val="none"/>
              </w:rPr>
              <w:br/>
            </w:r>
            <w:r>
              <w:rPr>
                <w:rFonts w:ascii="仿宋" w:hAnsi="仿宋" w:eastAsia="仿宋" w:cs="宋体"/>
                <w:color w:val="000000"/>
                <w:sz w:val="22"/>
                <w:highlight w:val="none"/>
              </w:rPr>
              <w:t xml:space="preserve">2.支持H.264、H.265、Smart264、Smart265、MJPEG、MPEG4、MPEG2多格式视频解码，最大可接入3200万像素高清视频；</w:t>
            </w:r>
            <w:r>
              <w:rPr>
                <w:rFonts w:ascii="仿宋" w:hAnsi="仿宋" w:eastAsia="仿宋" w:cs="宋体"/>
                <w:color w:val="000000"/>
                <w:sz w:val="22"/>
                <w:highlight w:val="none"/>
              </w:rPr>
              <w:br/>
            </w:r>
            <w:r>
              <w:rPr>
                <w:rFonts w:ascii="仿宋" w:hAnsi="仿宋" w:eastAsia="仿宋" w:cs="宋体"/>
                <w:color w:val="000000"/>
                <w:sz w:val="22"/>
                <w:highlight w:val="none"/>
              </w:rPr>
              <w:t xml:space="preserve">3.具备16路实时解码通道，H.264/H.265可按需并发解码1路3200W/1路2400W/2路1200W/4路800W/9路400W/16路1080P及以下画面，支持区分主、子码流独立取流解码；MJPEG最多支持4路1080P同步解码；</w:t>
            </w:r>
            <w:r>
              <w:rPr>
                <w:rFonts w:ascii="仿宋" w:hAnsi="仿宋" w:eastAsia="仿宋" w:cs="宋体"/>
                <w:color w:val="000000"/>
                <w:sz w:val="22"/>
                <w:highlight w:val="none"/>
              </w:rPr>
              <w:br/>
            </w:r>
            <w:r>
              <w:rPr>
                <w:rFonts w:ascii="仿宋" w:hAnsi="仿宋" w:eastAsia="仿宋" w:cs="宋体"/>
                <w:color w:val="000000"/>
                <w:sz w:val="22"/>
                <w:highlight w:val="none"/>
              </w:rPr>
              <w:t xml:space="preserve">4.配备≥1路HDMI1.4高清输出、≥1路BNC模拟CVBS输出，HDMI最高输出3840×2160@30Hz，兼容多档常规分辨率；</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5.支持画面90°、180°、270°旋转显示，单屏支持4路1080P图层或2路4K图层叠加，支持虚拟分屏功能；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6.支持1、2、4、6、8、9、12、16固定画面分割，同时支持M×N≤64任意自定义画面分割模式；</w:t>
            </w:r>
            <w:r>
              <w:rPr>
                <w:rFonts w:ascii="仿宋" w:hAnsi="仿宋" w:eastAsia="仿宋" w:cs="宋体"/>
                <w:color w:val="000000"/>
                <w:sz w:val="22"/>
                <w:highlight w:val="none"/>
              </w:rPr>
              <w:br/>
            </w:r>
            <w:r>
              <w:rPr>
                <w:rFonts w:ascii="仿宋" w:hAnsi="仿宋" w:eastAsia="仿宋" w:cs="宋体"/>
                <w:color w:val="000000"/>
                <w:sz w:val="22"/>
                <w:highlight w:val="none"/>
              </w:rPr>
              <w:t xml:space="preserve">7.支持存储≥64组显示场景、≥256套平台切换预案。</w:t>
            </w:r>
            <w:r>
              <w:rPr>
                <w:rFonts w:ascii="仿宋" w:hAnsi="仿宋" w:eastAsia="仿宋" w:cs="宋体"/>
                <w:color w:val="000000"/>
                <w:sz w:val="22"/>
                <w:highlight w:val="none"/>
              </w:rPr>
              <w:br/>
            </w:r>
            <w:r>
              <w:rPr>
                <w:rFonts w:ascii="仿宋" w:hAnsi="仿宋" w:eastAsia="仿宋" w:cs="宋体"/>
                <w:color w:val="000000"/>
                <w:sz w:val="22"/>
                <w:highlight w:val="none"/>
              </w:rPr>
              <w:t xml:space="preserve">8.外设接口配置：≥1个千兆RJ45网口、≥8路报警输入、≥8路报警输出、≥1路RS232、≥1路RS485，配备≥1路音频输；</w:t>
            </w:r>
            <w:r>
              <w:rPr>
                <w:rFonts w:ascii="仿宋" w:hAnsi="仿宋" w:eastAsia="仿宋" w:cs="宋体"/>
                <w:color w:val="000000"/>
                <w:sz w:val="22"/>
                <w:highlight w:val="none"/>
              </w:rPr>
              <w:br/>
            </w:r>
            <w:r>
              <w:rPr>
                <w:rFonts w:ascii="仿宋" w:hAnsi="仿宋" w:eastAsia="仿宋" w:cs="宋体"/>
                <w:color w:val="000000"/>
                <w:sz w:val="22"/>
                <w:highlight w:val="none"/>
              </w:rPr>
              <w:t xml:space="preserve">9.兼容G711-A、G711-U、G722.1、G726、MPEG、AAC-LC、PCM多种音频解码格式，可同步输出监控伴音；</w:t>
            </w:r>
            <w:r>
              <w:rPr>
                <w:rFonts w:ascii="仿宋" w:hAnsi="仿宋" w:eastAsia="仿宋" w:cs="宋体"/>
                <w:color w:val="000000"/>
                <w:sz w:val="22"/>
                <w:highlight w:val="none"/>
              </w:rPr>
              <w:br/>
            </w:r>
            <w:r>
              <w:rPr>
                <w:rFonts w:ascii="仿宋" w:hAnsi="仿宋" w:eastAsia="仿宋" w:cs="宋体"/>
                <w:color w:val="000000"/>
                <w:sz w:val="22"/>
                <w:highlight w:val="none"/>
              </w:rPr>
              <w:t xml:space="preserve">10.支持外接控制键盘，可实现画面上墙、点位切换、画面分割调整、场景快速切换操作。</w:t>
            </w:r>
            <w:r/>
          </w:p>
        </w:tc>
      </w:tr>
      <w:tr>
        <w:trPr>
          <w:trHeight w:val="18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拼接显示器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1.尺寸：超窄边液晶屏≥55英寸，物理分辨率达到1920×1080，响应时间≤8ms，亮度≥500cd/㎡，对比度≥1000：1；</w:t>
            </w:r>
            <w:r>
              <w:rPr>
                <w:rFonts w:ascii="仿宋" w:hAnsi="仿宋" w:eastAsia="仿宋" w:cs="宋体"/>
                <w:color w:val="000000"/>
                <w:sz w:val="22"/>
                <w:highlight w:val="none"/>
              </w:rPr>
              <w:br/>
            </w:r>
            <w:r>
              <w:rPr>
                <w:rFonts w:ascii="仿宋" w:hAnsi="仿宋" w:eastAsia="仿宋" w:cs="宋体"/>
                <w:color w:val="000000"/>
                <w:sz w:val="22"/>
                <w:highlight w:val="none"/>
              </w:rPr>
              <w:t xml:space="preserve">2.物理拼缝≤3.5mm；</w:t>
            </w:r>
            <w:r>
              <w:rPr>
                <w:rFonts w:ascii="仿宋" w:hAnsi="仿宋" w:eastAsia="仿宋" w:cs="宋体"/>
                <w:color w:val="000000"/>
                <w:sz w:val="22"/>
                <w:highlight w:val="none"/>
              </w:rPr>
              <w:br/>
            </w:r>
            <w:r>
              <w:rPr>
                <w:rFonts w:ascii="仿宋" w:hAnsi="仿宋" w:eastAsia="仿宋" w:cs="宋体"/>
                <w:color w:val="000000"/>
                <w:sz w:val="22"/>
                <w:highlight w:val="none"/>
              </w:rPr>
              <w:t xml:space="preserve">3.接口：HDMI≥1、DVI≥1、USB≥1，控制口≥2；</w:t>
            </w:r>
            <w:r>
              <w:rPr>
                <w:rFonts w:ascii="仿宋" w:hAnsi="仿宋" w:eastAsia="仿宋" w:cs="宋体"/>
                <w:color w:val="000000"/>
                <w:sz w:val="22"/>
                <w:highlight w:val="none"/>
              </w:rPr>
              <w:br/>
            </w:r>
            <w:r>
              <w:rPr>
                <w:rFonts w:ascii="仿宋" w:hAnsi="仿宋" w:eastAsia="仿宋" w:cs="宋体"/>
                <w:color w:val="000000"/>
                <w:sz w:val="22"/>
                <w:highlight w:val="none"/>
              </w:rPr>
              <w:t xml:space="preserve">4.供电：100–240VAC，50/60Hz，功耗≤160W；</w:t>
            </w:r>
            <w:r>
              <w:rPr>
                <w:rFonts w:ascii="仿宋" w:hAnsi="仿宋" w:eastAsia="仿宋" w:cs="宋体"/>
                <w:color w:val="000000"/>
                <w:sz w:val="22"/>
                <w:highlight w:val="none"/>
              </w:rPr>
              <w:br/>
            </w:r>
            <w:r>
              <w:rPr>
                <w:rFonts w:ascii="仿宋" w:hAnsi="仿宋" w:eastAsia="仿宋" w:cs="宋体"/>
                <w:color w:val="000000"/>
                <w:sz w:val="22"/>
                <w:highlight w:val="none"/>
              </w:rPr>
              <w:t xml:space="preserve">5.部署：壁挂或者吊装，配套安装支架。</w:t>
            </w:r>
            <w:r/>
          </w:p>
        </w:tc>
      </w:tr>
      <w:tr>
        <w:trPr>
          <w:trHeight w:val="56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安防综合管理服务器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硬件接口与存储规格：嵌入式Linux架构，≥16GB运行内存，配备≥1路DP、≥2路HDMI、≥1路VGA显示输出；≥4路千兆自适应RJ45以太网口；≥4路USB接口（2路USB2.0、2路USB3.0）；1路RS232、1路RS485串口；16路报警输入、4路报警输出；≥2路音频输入、≥2路音频输出；内置≥4路SATA3.0硬盘位</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视频业务基础管理性能：支持实时视频预览、历史录像回放、即时回放、录像片段剪辑、手动计划录像，录像下载与画面输出时可叠加自定义水印；兼容国标GB/T28181、ONVIF等通用协议，支持接入校园所有网络摄像机、NVR、智能分析前端设备，实现视频资源集中管控；</w:t>
            </w:r>
            <w:r>
              <w:rPr>
                <w:rFonts w:ascii="仿宋" w:hAnsi="仿宋" w:eastAsia="仿宋" w:cs="宋体"/>
                <w:color w:val="000000"/>
                <w:sz w:val="22"/>
                <w:highlight w:val="none"/>
              </w:rPr>
              <w:br/>
            </w:r>
            <w:r>
              <w:rPr>
                <w:rFonts w:ascii="仿宋" w:hAnsi="仿宋" w:eastAsia="仿宋" w:cs="宋体"/>
                <w:color w:val="000000"/>
                <w:sz w:val="22"/>
                <w:highlight w:val="none"/>
              </w:rPr>
              <w:t xml:space="preserve">3.内置在线/离线双模式GIS地图引擎，支持批量导入多张区域静态地图；具备地图标记、点位收藏、距离面积测量、缩放平移等基础工具；支持资源点关键词快速检索定位；设备触发报警时对应点位自动变色区分告警等级，同步展示告警数量与完整报警事件列表；</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多目标以脸搜脸检索模式，单张上传图片内最多识别5张人脸，可分别选取目标独立检索，无需重复上传图片；内置人脸质量检测算法，自动判定采集照片合格/不合格；支持人脸黑白名单布控，可对高频人员、陌生人员、重点人员产生独立人脸告警事件；</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5.支持多类安防事件跨子系统级联联动：视频AI事件含穿越警戒面、区域入侵、人员聚集；人脸事件含陌生人、重点人员高频出现；各类事件可联动弹窗、声光、录像、地图变色等处置动作；</w:t>
            </w:r>
            <w:r>
              <w:rPr>
                <w:rFonts w:ascii="仿宋" w:hAnsi="仿宋" w:eastAsia="仿宋" w:cs="宋体"/>
                <w:color w:val="000000"/>
                <w:sz w:val="22"/>
                <w:highlight w:val="none"/>
              </w:rPr>
              <w:br/>
            </w:r>
            <w:r>
              <w:rPr>
                <w:rFonts w:ascii="仿宋" w:hAnsi="仿宋" w:eastAsia="仿宋" w:cs="宋体"/>
                <w:color w:val="000000"/>
                <w:sz w:val="22"/>
                <w:highlight w:val="none"/>
              </w:rPr>
              <w:t xml:space="preserve">6.软件永久授权，支持通道数≥256路。</w:t>
            </w:r>
            <w:r/>
          </w:p>
        </w:tc>
      </w:tr>
      <w:tr>
        <w:trPr>
          <w:trHeight w:val="43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UPS主机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1.设备类型：双变换在线式高频塔式机，单机容量≥10KVA；</w:t>
            </w:r>
            <w:r>
              <w:rPr>
                <w:rFonts w:ascii="仿宋" w:hAnsi="仿宋" w:eastAsia="仿宋" w:cs="宋体"/>
                <w:color w:val="000000"/>
                <w:sz w:val="22"/>
                <w:highlight w:val="none"/>
              </w:rPr>
              <w:br/>
            </w:r>
            <w:r>
              <w:rPr>
                <w:rFonts w:ascii="仿宋" w:hAnsi="仿宋" w:eastAsia="仿宋" w:cs="宋体"/>
                <w:color w:val="000000"/>
                <w:sz w:val="22"/>
                <w:highlight w:val="none"/>
              </w:rPr>
              <w:t xml:space="preserve">2.输入电压范围：AC110V～285V；</w:t>
            </w:r>
            <w:r>
              <w:rPr>
                <w:rFonts w:ascii="仿宋" w:hAnsi="仿宋" w:eastAsia="仿宋" w:cs="宋体"/>
                <w:color w:val="000000"/>
                <w:sz w:val="22"/>
                <w:highlight w:val="none"/>
              </w:rPr>
              <w:br/>
            </w:r>
            <w:r>
              <w:rPr>
                <w:rFonts w:ascii="仿宋" w:hAnsi="仿宋" w:eastAsia="仿宋" w:cs="宋体"/>
                <w:color w:val="000000"/>
                <w:sz w:val="22"/>
                <w:highlight w:val="none"/>
              </w:rPr>
              <w:t xml:space="preserve">3.输入功率因数：≥0.99（100%非线性负载）；</w:t>
            </w:r>
            <w:r>
              <w:rPr>
                <w:rFonts w:ascii="仿宋" w:hAnsi="仿宋" w:eastAsia="仿宋" w:cs="宋体"/>
                <w:color w:val="000000"/>
                <w:sz w:val="22"/>
                <w:highlight w:val="none"/>
              </w:rPr>
              <w:br/>
            </w:r>
            <w:r>
              <w:rPr>
                <w:rFonts w:ascii="仿宋" w:hAnsi="仿宋" w:eastAsia="仿宋" w:cs="宋体"/>
                <w:color w:val="000000"/>
                <w:sz w:val="22"/>
                <w:highlight w:val="none"/>
              </w:rPr>
              <w:t xml:space="preserve">4.输入电流谐波：≤5%（100%非线性负载）；</w:t>
            </w:r>
            <w:r>
              <w:rPr>
                <w:rFonts w:ascii="仿宋" w:hAnsi="仿宋" w:eastAsia="仿宋" w:cs="宋体"/>
                <w:color w:val="000000"/>
                <w:sz w:val="22"/>
                <w:highlight w:val="none"/>
              </w:rPr>
              <w:br/>
            </w:r>
            <w:r>
              <w:rPr>
                <w:rFonts w:ascii="仿宋" w:hAnsi="仿宋" w:eastAsia="仿宋" w:cs="宋体"/>
                <w:color w:val="000000"/>
                <w:sz w:val="22"/>
                <w:highlight w:val="none"/>
              </w:rPr>
              <w:t xml:space="preserve">5.输出稳压精度：≤1%；</w:t>
            </w:r>
            <w:r>
              <w:rPr>
                <w:rFonts w:ascii="仿宋" w:hAnsi="仿宋" w:eastAsia="仿宋" w:cs="宋体"/>
                <w:color w:val="000000"/>
                <w:sz w:val="22"/>
                <w:highlight w:val="none"/>
              </w:rPr>
              <w:br/>
            </w:r>
            <w:r>
              <w:rPr>
                <w:rFonts w:ascii="仿宋" w:hAnsi="仿宋" w:eastAsia="仿宋" w:cs="宋体"/>
                <w:color w:val="000000"/>
                <w:sz w:val="22"/>
                <w:highlight w:val="none"/>
              </w:rPr>
              <w:t xml:space="preserve">6.输出波形失真度：≤2%（100%阻性负载），≤5%（100%非线性负载）；</w:t>
            </w:r>
            <w:r>
              <w:rPr>
                <w:rFonts w:ascii="仿宋" w:hAnsi="仿宋" w:eastAsia="仿宋" w:cs="宋体"/>
                <w:color w:val="000000"/>
                <w:sz w:val="22"/>
                <w:highlight w:val="none"/>
              </w:rPr>
              <w:br/>
            </w:r>
            <w:r>
              <w:rPr>
                <w:rFonts w:ascii="仿宋" w:hAnsi="仿宋" w:eastAsia="仿宋" w:cs="宋体"/>
                <w:color w:val="000000"/>
                <w:sz w:val="22"/>
                <w:highlight w:val="none"/>
              </w:rPr>
              <w:t xml:space="preserve">7.动态电压瞬变范围：≤5%；</w:t>
            </w:r>
            <w:r>
              <w:rPr>
                <w:rFonts w:ascii="仿宋" w:hAnsi="仿宋" w:eastAsia="仿宋" w:cs="宋体"/>
                <w:color w:val="000000"/>
                <w:sz w:val="22"/>
                <w:highlight w:val="none"/>
              </w:rPr>
              <w:br/>
            </w:r>
            <w:r>
              <w:rPr>
                <w:rFonts w:ascii="仿宋" w:hAnsi="仿宋" w:eastAsia="仿宋" w:cs="宋体"/>
                <w:color w:val="000000"/>
                <w:sz w:val="22"/>
                <w:highlight w:val="none"/>
              </w:rPr>
              <w:t xml:space="preserve">8.市电电池转换时间：0ms；</w:t>
            </w:r>
            <w:r>
              <w:rPr>
                <w:rFonts w:ascii="仿宋" w:hAnsi="仿宋" w:eastAsia="仿宋" w:cs="宋体"/>
                <w:color w:val="000000"/>
                <w:sz w:val="22"/>
                <w:highlight w:val="none"/>
              </w:rPr>
              <w:br/>
            </w:r>
            <w:r>
              <w:rPr>
                <w:rFonts w:ascii="仿宋" w:hAnsi="仿宋" w:eastAsia="仿宋" w:cs="宋体"/>
                <w:color w:val="000000"/>
                <w:sz w:val="22"/>
                <w:highlight w:val="none"/>
              </w:rPr>
              <w:t xml:space="preserve">9.电压瞬变恢复时间：≤20ms；</w:t>
            </w:r>
            <w:r>
              <w:rPr>
                <w:rFonts w:ascii="仿宋" w:hAnsi="仿宋" w:eastAsia="仿宋" w:cs="宋体"/>
                <w:color w:val="000000"/>
                <w:sz w:val="22"/>
                <w:highlight w:val="none"/>
              </w:rPr>
              <w:br/>
            </w:r>
            <w:r>
              <w:rPr>
                <w:rFonts w:ascii="仿宋" w:hAnsi="仿宋" w:eastAsia="仿宋" w:cs="宋体"/>
                <w:color w:val="000000"/>
                <w:sz w:val="22"/>
                <w:highlight w:val="none"/>
              </w:rPr>
              <w:t xml:space="preserve">10.整机效率：≥93.5%；</w:t>
            </w:r>
            <w:r>
              <w:rPr>
                <w:rFonts w:ascii="仿宋" w:hAnsi="仿宋" w:eastAsia="仿宋" w:cs="宋体"/>
                <w:color w:val="000000"/>
                <w:sz w:val="22"/>
                <w:highlight w:val="none"/>
              </w:rPr>
              <w:br/>
            </w:r>
            <w:r>
              <w:rPr>
                <w:rFonts w:ascii="仿宋" w:hAnsi="仿宋" w:eastAsia="仿宋" w:cs="宋体"/>
                <w:color w:val="000000"/>
                <w:sz w:val="22"/>
                <w:highlight w:val="none"/>
              </w:rPr>
              <w:t xml:space="preserve">11.输出功率因数：≥0.9；</w:t>
            </w:r>
            <w:r>
              <w:rPr>
                <w:rFonts w:ascii="仿宋" w:hAnsi="仿宋" w:eastAsia="仿宋" w:cs="宋体"/>
                <w:color w:val="000000"/>
                <w:sz w:val="22"/>
                <w:highlight w:val="none"/>
              </w:rPr>
              <w:br/>
            </w:r>
            <w:r>
              <w:rPr>
                <w:rFonts w:ascii="仿宋" w:hAnsi="仿宋" w:eastAsia="仿宋" w:cs="宋体"/>
                <w:color w:val="000000"/>
                <w:sz w:val="22"/>
                <w:highlight w:val="none"/>
              </w:rPr>
              <w:t xml:space="preserve">12.过载能力：输出功率额定值125%，机器正常工作时间≥10min；</w:t>
            </w:r>
            <w:r>
              <w:rPr>
                <w:rFonts w:ascii="仿宋" w:hAnsi="仿宋" w:eastAsia="仿宋" w:cs="宋体"/>
                <w:color w:val="000000"/>
                <w:sz w:val="22"/>
                <w:highlight w:val="none"/>
              </w:rPr>
              <w:br/>
            </w:r>
            <w:r>
              <w:rPr>
                <w:rFonts w:ascii="仿宋" w:hAnsi="仿宋" w:eastAsia="仿宋" w:cs="宋体"/>
                <w:color w:val="000000"/>
                <w:sz w:val="22"/>
                <w:highlight w:val="none"/>
              </w:rPr>
              <w:t xml:space="preserve">13.通讯接口：具有RS232通讯接口；</w:t>
            </w:r>
            <w:r>
              <w:rPr>
                <w:rFonts w:ascii="仿宋" w:hAnsi="仿宋" w:eastAsia="仿宋" w:cs="宋体"/>
                <w:color w:val="000000"/>
                <w:sz w:val="22"/>
                <w:highlight w:val="none"/>
              </w:rPr>
              <w:br/>
            </w:r>
            <w:r>
              <w:rPr>
                <w:rFonts w:ascii="仿宋" w:hAnsi="仿宋" w:eastAsia="仿宋" w:cs="宋体"/>
                <w:color w:val="000000"/>
                <w:sz w:val="22"/>
                <w:highlight w:val="none"/>
              </w:rPr>
              <w:t xml:space="preserve">14.告警功能：具有过载、市电异常、UPS故障、电池欠压、风扇故障等告警功能；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15.保护功能：具有短路、过载、过温、电池欠压、输出过欠压等保护。</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蓄电池</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1.电压为12V，容量≥100AH，浮充设计寿命应≥10年；</w:t>
            </w:r>
            <w:r>
              <w:rPr>
                <w:rFonts w:ascii="仿宋" w:hAnsi="仿宋" w:eastAsia="仿宋" w:cs="宋体"/>
                <w:color w:val="000000"/>
                <w:sz w:val="22"/>
                <w:highlight w:val="none"/>
              </w:rPr>
              <w:br/>
            </w:r>
            <w:r>
              <w:rPr>
                <w:rFonts w:ascii="仿宋" w:hAnsi="仿宋" w:eastAsia="仿宋" w:cs="宋体"/>
                <w:color w:val="000000"/>
                <w:sz w:val="22"/>
                <w:highlight w:val="none"/>
              </w:rPr>
              <w:t xml:space="preserve">2.容量特性、充电特性、放电特性、阻燃性能符合YDT799的要求。</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汇聚交换机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hint="eastAsia" w:ascii="宋体" w:hAnsi="宋体" w:cs="宋体"/>
                <w:color w:val="000000"/>
                <w:sz w:val="22"/>
                <w:highlight w:val="none"/>
              </w:rPr>
              <w:t xml:space="preserve">▲</w:t>
            </w:r>
            <w:r>
              <w:rPr>
                <w:rFonts w:ascii="仿宋" w:hAnsi="仿宋" w:eastAsia="仿宋" w:cs="宋体"/>
                <w:color w:val="000000"/>
                <w:sz w:val="22"/>
                <w:highlight w:val="none"/>
              </w:rPr>
              <w:t xml:space="preserve">1.交换性能：整机交换容量≥1.36Tbps，转发性能≥264Mpps</w:t>
            </w:r>
            <w:r>
              <w:rPr>
                <w:rFonts w:ascii="仿宋" w:hAnsi="仿宋" w:eastAsia="仿宋" w:cs="宋体"/>
                <w:color w:val="000000"/>
                <w:sz w:val="22"/>
                <w:highlight w:val="none"/>
              </w:rPr>
              <w:t xml:space="preserve">（投标时提供原厂产品功能说明书或第三方检测报告）</w:t>
            </w:r>
            <w:r>
              <w:rPr>
                <w:rFonts w:ascii="仿宋" w:hAnsi="仿宋" w:eastAsia="仿宋" w:cs="宋体"/>
                <w:color w:val="000000"/>
                <w:sz w:val="22"/>
                <w:highlight w:val="none"/>
              </w:rPr>
              <w:t xml:space="preserve">；</w:t>
            </w:r>
            <w:r>
              <w:rPr>
                <w:rFonts w:ascii="仿宋" w:hAnsi="仿宋" w:eastAsia="仿宋" w:cs="宋体"/>
                <w:color w:val="000000"/>
                <w:sz w:val="22"/>
                <w:highlight w:val="none"/>
              </w:rPr>
              <w:br/>
            </w:r>
            <w:r>
              <w:rPr>
                <w:rFonts w:ascii="仿宋" w:hAnsi="仿宋" w:eastAsia="仿宋" w:cs="宋体"/>
                <w:color w:val="000000"/>
                <w:sz w:val="22"/>
                <w:highlight w:val="none"/>
              </w:rPr>
              <w:t xml:space="preserve">2.端口配置：下行千兆SFP口≥48个，上行万兆SFP口≥4个，Console口≥1个；</w:t>
            </w:r>
            <w:r>
              <w:rPr>
                <w:rFonts w:ascii="仿宋" w:hAnsi="仿宋" w:eastAsia="仿宋" w:cs="宋体"/>
                <w:color w:val="000000"/>
                <w:sz w:val="22"/>
                <w:highlight w:val="none"/>
              </w:rPr>
              <w:br/>
            </w:r>
            <w:r>
              <w:rPr>
                <w:rFonts w:ascii="仿宋" w:hAnsi="仿宋" w:eastAsia="仿宋" w:cs="宋体"/>
                <w:color w:val="000000"/>
                <w:sz w:val="22"/>
                <w:highlight w:val="none"/>
              </w:rPr>
              <w:t xml:space="preserve">3.配置模块化双冗余电源；</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4.支持LACP、STP、RSTP、MSTP、ERPS等标准链路及环网保护协议；</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5.支持端口速率限制，收发限速最小粒度≤16Kbps；</w:t>
            </w:r>
            <w:r>
              <w:rPr>
                <w:rFonts w:ascii="仿宋" w:hAnsi="仿宋" w:eastAsia="仿宋" w:cs="宋体"/>
                <w:color w:val="000000"/>
                <w:sz w:val="22"/>
                <w:highlight w:val="none"/>
              </w:rPr>
              <w:br/>
            </w:r>
            <w:r>
              <w:rPr>
                <w:rFonts w:ascii="仿宋" w:hAnsi="仿宋" w:eastAsia="仿宋" w:cs="宋体"/>
                <w:color w:val="000000"/>
                <w:sz w:val="22"/>
                <w:highlight w:val="none"/>
              </w:rPr>
              <w:t xml:space="preserve">6.支持VRRP、OSPFv2/v3、BGP、IS-IS等IPv4/IPv6三层路由协议；</w:t>
            </w:r>
            <w:r>
              <w:rPr>
                <w:rFonts w:ascii="仿宋" w:hAnsi="仿宋" w:eastAsia="仿宋" w:cs="宋体"/>
                <w:color w:val="000000"/>
                <w:sz w:val="22"/>
                <w:highlight w:val="none"/>
              </w:rPr>
              <w:br/>
            </w:r>
            <w:r>
              <w:rPr>
                <w:rFonts w:ascii="仿宋" w:hAnsi="仿宋" w:eastAsia="仿宋" w:cs="宋体"/>
                <w:color w:val="000000"/>
                <w:sz w:val="22"/>
                <w:highlight w:val="none"/>
              </w:rPr>
              <w:t xml:space="preserve">7.支持标准以太环网保护协议ERPS，环网故障切换时间≤50ms；</w:t>
            </w:r>
            <w:r>
              <w:rPr>
                <w:rFonts w:ascii="仿宋" w:hAnsi="仿宋" w:eastAsia="仿宋" w:cs="宋体"/>
                <w:color w:val="000000"/>
                <w:sz w:val="22"/>
                <w:highlight w:val="none"/>
              </w:rPr>
              <w:br/>
            </w:r>
            <w:r>
              <w:rPr>
                <w:rFonts w:ascii="仿宋" w:hAnsi="仿宋" w:eastAsia="仿宋" w:cs="宋体"/>
                <w:color w:val="000000"/>
                <w:sz w:val="22"/>
                <w:highlight w:val="none"/>
              </w:rPr>
              <w:t xml:space="preserve">8.支持中文界面WEB管理。</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8口POE交换机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1.支持固化千兆电口≥8个，固化千兆光口≥2个;</w:t>
            </w:r>
            <w:r>
              <w:rPr>
                <w:rFonts w:ascii="仿宋" w:hAnsi="仿宋" w:eastAsia="仿宋" w:cs="宋体"/>
                <w:color w:val="000000"/>
                <w:sz w:val="22"/>
                <w:highlight w:val="none"/>
              </w:rPr>
              <w:br/>
            </w:r>
            <w:r>
              <w:rPr>
                <w:rFonts w:ascii="仿宋" w:hAnsi="仿宋" w:eastAsia="仿宋" w:cs="宋体"/>
                <w:color w:val="000000"/>
                <w:sz w:val="22"/>
                <w:highlight w:val="none"/>
              </w:rPr>
              <w:t xml:space="preserve">2.支持PoE供电口≥8个，整机POE输出功率≥125W,单口最大输出功率≥30W；</w:t>
            </w:r>
            <w:r>
              <w:rPr>
                <w:rFonts w:ascii="仿宋" w:hAnsi="仿宋" w:eastAsia="仿宋" w:cs="宋体"/>
                <w:color w:val="000000"/>
                <w:sz w:val="22"/>
                <w:highlight w:val="none"/>
              </w:rPr>
              <w:br/>
            </w:r>
            <w:r>
              <w:rPr>
                <w:rFonts w:ascii="仿宋" w:hAnsi="仿宋" w:eastAsia="仿宋" w:cs="宋体"/>
                <w:color w:val="000000"/>
                <w:sz w:val="22"/>
                <w:highlight w:val="none"/>
              </w:rPr>
              <w:t xml:space="preserve">3.内存≥256MB，交换容量≥192Gbps，包转发率≥64Mpps；</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4.支持Web界面管理，支持端口自动节能、链路聚合；</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5.支持防雷等级≥6KV。</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16口POE交换机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1.端口配置：固化千兆PoE电口数量≥16，固化千兆光口数量≥2；</w:t>
            </w:r>
            <w:r>
              <w:rPr>
                <w:rFonts w:ascii="仿宋" w:hAnsi="仿宋" w:eastAsia="仿宋" w:cs="宋体"/>
                <w:color w:val="000000"/>
                <w:sz w:val="22"/>
                <w:highlight w:val="none"/>
              </w:rPr>
              <w:br/>
            </w:r>
            <w:r>
              <w:rPr>
                <w:rFonts w:ascii="仿宋" w:hAnsi="仿宋" w:eastAsia="仿宋" w:cs="宋体"/>
                <w:color w:val="000000"/>
                <w:sz w:val="22"/>
                <w:highlight w:val="none"/>
              </w:rPr>
              <w:t xml:space="preserve">2.交换性能：交换容量≥160Gbps，转发性能≥100Mpps；</w:t>
            </w:r>
            <w:r>
              <w:rPr>
                <w:rFonts w:ascii="仿宋" w:hAnsi="仿宋" w:eastAsia="仿宋" w:cs="宋体"/>
                <w:color w:val="000000"/>
                <w:sz w:val="22"/>
                <w:highlight w:val="none"/>
              </w:rPr>
              <w:br/>
            </w:r>
            <w:r>
              <w:rPr>
                <w:rFonts w:ascii="仿宋" w:hAnsi="仿宋" w:eastAsia="仿宋" w:cs="宋体"/>
                <w:color w:val="000000"/>
                <w:sz w:val="22"/>
                <w:highlight w:val="none"/>
              </w:rPr>
              <w:t xml:space="preserve">3.整机最大输出功率≥230W，单口最大输出功率≥30W，支持POE过载保护/过压保护和功率管理功能，支持POE看门狗功能；</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4.支持Web界面管理，支持端口自动节能、链路聚合；</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5.支持防雷等级≥6KV。</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24口POE交换机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1.端口配置：固化千兆电口≥24个，固化千兆光口≥4个，标准1U设备;</w:t>
            </w:r>
            <w:r>
              <w:rPr>
                <w:rFonts w:ascii="仿宋" w:hAnsi="仿宋" w:eastAsia="仿宋" w:cs="宋体"/>
                <w:color w:val="000000"/>
                <w:sz w:val="22"/>
                <w:highlight w:val="none"/>
              </w:rPr>
              <w:br/>
            </w:r>
            <w:r>
              <w:rPr>
                <w:rFonts w:ascii="仿宋" w:hAnsi="仿宋" w:eastAsia="仿宋" w:cs="宋体"/>
                <w:color w:val="000000"/>
                <w:sz w:val="22"/>
                <w:highlight w:val="none"/>
              </w:rPr>
              <w:t xml:space="preserve">2.支持PoE供电口≥24个，整机POE输出功率≥370W,单口最大输出功率≥30W；</w:t>
            </w:r>
            <w:r>
              <w:rPr>
                <w:rFonts w:ascii="仿宋" w:hAnsi="仿宋" w:eastAsia="仿宋" w:cs="宋体"/>
                <w:color w:val="000000"/>
                <w:sz w:val="22"/>
                <w:highlight w:val="none"/>
              </w:rPr>
              <w:br/>
            </w:r>
            <w:r>
              <w:rPr>
                <w:rFonts w:ascii="仿宋" w:hAnsi="仿宋" w:eastAsia="仿宋" w:cs="宋体"/>
                <w:color w:val="000000"/>
                <w:sz w:val="22"/>
                <w:highlight w:val="none"/>
              </w:rPr>
              <w:t xml:space="preserve">3.交换性能：交换容量≥672Gbps，包转发率≥146Mpps；</w:t>
            </w:r>
            <w:r>
              <w:rPr>
                <w:rFonts w:ascii="仿宋" w:hAnsi="仿宋" w:eastAsia="仿宋" w:cs="宋体"/>
                <w:color w:val="000000"/>
                <w:sz w:val="22"/>
                <w:highlight w:val="none"/>
              </w:rPr>
              <w:br/>
            </w:r>
            <w:r>
              <w:rPr>
                <w:rFonts w:ascii="仿宋" w:hAnsi="仿宋" w:eastAsia="仿宋" w:cs="宋体"/>
                <w:color w:val="000000"/>
                <w:sz w:val="22"/>
                <w:highlight w:val="none"/>
              </w:rPr>
              <w:t xml:space="preserve">4.支持Web界面管理，支持VLAN划分、802.3x、链路聚合、IGMPSnooping、STP/RSTP/MSTP链路保护技术；</w:t>
            </w:r>
            <w:r>
              <w:rPr>
                <w:rFonts w:ascii="仿宋" w:hAnsi="仿宋" w:eastAsia="仿宋" w:cs="宋体"/>
                <w:color w:val="000000"/>
                <w:sz w:val="22"/>
                <w:highlight w:val="none"/>
              </w:rPr>
              <w:br/>
            </w:r>
            <w:r>
              <w:rPr>
                <w:rFonts w:ascii="仿宋" w:hAnsi="仿宋" w:eastAsia="仿宋" w:cs="宋体"/>
                <w:color w:val="000000"/>
                <w:sz w:val="22"/>
                <w:highlight w:val="none"/>
              </w:rPr>
              <w:t xml:space="preserve">5.支持防雷等级≥6K。</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光模块</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1.SFP封装，LC双工接口、收发一体结构，支持可热插拔；</w:t>
            </w:r>
            <w:r>
              <w:rPr>
                <w:rFonts w:ascii="仿宋" w:hAnsi="仿宋" w:eastAsia="仿宋" w:cs="宋体"/>
                <w:color w:val="000000"/>
                <w:sz w:val="22"/>
                <w:highlight w:val="none"/>
              </w:rPr>
              <w:br/>
            </w:r>
            <w:r>
              <w:rPr>
                <w:rFonts w:ascii="仿宋" w:hAnsi="仿宋" w:eastAsia="仿宋" w:cs="宋体"/>
                <w:color w:val="000000"/>
                <w:sz w:val="22"/>
                <w:highlight w:val="none"/>
              </w:rPr>
              <w:t xml:space="preserve">2.传输速率≥1Gbps，中心波长1310nm，单模光纤传输，传输距离≥10km。</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光纤终端盒</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1.冷轧钢板材质，厚度≥0.8mm，静电喷塑；</w:t>
            </w:r>
            <w:r>
              <w:rPr>
                <w:rFonts w:ascii="仿宋" w:hAnsi="仿宋" w:eastAsia="仿宋" w:cs="宋体"/>
                <w:color w:val="000000"/>
                <w:sz w:val="22"/>
                <w:highlight w:val="none"/>
              </w:rPr>
              <w:br/>
            </w:r>
            <w:r>
              <w:rPr>
                <w:rFonts w:ascii="仿宋" w:hAnsi="仿宋" w:eastAsia="仿宋" w:cs="宋体"/>
                <w:color w:val="000000"/>
                <w:sz w:val="22"/>
                <w:highlight w:val="none"/>
              </w:rPr>
              <w:t xml:space="preserve">2.支持壁挂式或嵌入式安装；</w:t>
            </w:r>
            <w:r>
              <w:rPr>
                <w:rFonts w:ascii="仿宋" w:hAnsi="仿宋" w:eastAsia="仿宋" w:cs="宋体"/>
                <w:color w:val="000000"/>
                <w:sz w:val="22"/>
                <w:highlight w:val="none"/>
              </w:rPr>
              <w:br/>
            </w:r>
            <w:r>
              <w:rPr>
                <w:rFonts w:ascii="仿宋" w:hAnsi="仿宋" w:eastAsia="仿宋" w:cs="宋体"/>
                <w:color w:val="000000"/>
                <w:sz w:val="22"/>
                <w:highlight w:val="none"/>
              </w:rPr>
              <w:t xml:space="preserve">3.可接4口/8口/12口光纤，满配法兰，法兰衰减≤0.2dB。</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光纤配线架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1.ABS阻燃材质，24口/48口光纤配线架；</w:t>
            </w:r>
            <w:r>
              <w:rPr>
                <w:rFonts w:ascii="仿宋" w:hAnsi="仿宋" w:eastAsia="仿宋" w:cs="宋体"/>
                <w:color w:val="000000"/>
                <w:sz w:val="22"/>
                <w:highlight w:val="none"/>
              </w:rPr>
              <w:br/>
            </w:r>
            <w:r>
              <w:rPr>
                <w:rFonts w:ascii="仿宋" w:hAnsi="仿宋" w:eastAsia="仿宋" w:cs="宋体"/>
                <w:color w:val="000000"/>
                <w:sz w:val="22"/>
                <w:highlight w:val="none"/>
              </w:rPr>
              <w:t xml:space="preserve">2.含LC耦合器器，兼容机架式安装。</w:t>
            </w:r>
            <w:r/>
          </w:p>
        </w:tc>
      </w:tr>
      <w:tr>
        <w:trPr>
          <w:trHeight w:val="11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GYTA光缆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1.护套采用PE材质，内置磷化钢丝；</w:t>
            </w:r>
            <w:r>
              <w:rPr>
                <w:rFonts w:ascii="仿宋" w:hAnsi="仿宋" w:eastAsia="仿宋" w:cs="宋体"/>
                <w:color w:val="000000"/>
                <w:sz w:val="22"/>
                <w:highlight w:val="none"/>
              </w:rPr>
              <w:br/>
            </w:r>
            <w:r>
              <w:rPr>
                <w:rFonts w:eastAsia="等线"/>
                <w:color w:val="000000"/>
                <w:sz w:val="22"/>
                <w:highlight w:val="none"/>
              </w:rPr>
              <w:t xml:space="preserve">‌</w:t>
            </w:r>
            <w:r>
              <w:rPr>
                <w:rFonts w:ascii="仿宋" w:hAnsi="仿宋" w:eastAsia="仿宋" w:cs="宋体"/>
                <w:color w:val="000000"/>
                <w:sz w:val="22"/>
                <w:highlight w:val="none"/>
              </w:rPr>
              <w:t xml:space="preserve">2.纤芯数量8芯/</w:t>
            </w:r>
            <w:r>
              <w:rPr>
                <w:rFonts w:eastAsia="等线"/>
                <w:color w:val="000000"/>
                <w:sz w:val="22"/>
                <w:highlight w:val="none"/>
              </w:rPr>
              <w:t xml:space="preserve">‌</w:t>
            </w:r>
            <w:r>
              <w:rPr>
                <w:rFonts w:ascii="仿宋" w:hAnsi="仿宋" w:eastAsia="仿宋" w:cs="宋体"/>
                <w:color w:val="000000"/>
                <w:sz w:val="22"/>
                <w:highlight w:val="none"/>
              </w:rPr>
              <w:t xml:space="preserve">12芯/24芯，满足现场使用要求；</w:t>
            </w:r>
            <w:r>
              <w:rPr>
                <w:rFonts w:ascii="仿宋" w:hAnsi="仿宋" w:eastAsia="仿宋" w:cs="宋体"/>
                <w:color w:val="000000"/>
                <w:sz w:val="22"/>
                <w:highlight w:val="none"/>
              </w:rPr>
              <w:br/>
            </w:r>
            <w:r>
              <w:rPr>
                <w:rFonts w:eastAsia="等线"/>
                <w:color w:val="000000"/>
                <w:sz w:val="22"/>
                <w:highlight w:val="none"/>
              </w:rPr>
              <w:t xml:space="preserve">‌</w:t>
            </w:r>
            <w:r>
              <w:rPr>
                <w:rFonts w:ascii="仿宋" w:hAnsi="仿宋" w:eastAsia="仿宋" w:cs="宋体"/>
                <w:color w:val="000000"/>
                <w:sz w:val="22"/>
                <w:highlight w:val="none"/>
              </w:rPr>
              <w:t xml:space="preserve">3.损耗</w:t>
            </w:r>
            <w:r>
              <w:rPr>
                <w:rFonts w:eastAsia="等线"/>
                <w:color w:val="000000"/>
                <w:sz w:val="22"/>
                <w:highlight w:val="none"/>
              </w:rPr>
              <w:t xml:space="preserve">‌</w:t>
            </w:r>
            <w:r>
              <w:rPr>
                <w:rFonts w:ascii="仿宋" w:hAnsi="仿宋" w:eastAsia="仿宋" w:cs="宋体"/>
                <w:color w:val="000000"/>
                <w:sz w:val="22"/>
                <w:highlight w:val="none"/>
              </w:rPr>
              <w:t xml:space="preserve">：850nm波长≤3dB/km，1300nm波长≤1.0dB/km，1550nm波长≤0.26dB/km。</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29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双芯电源线1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1.导线材质无氧铜；</w:t>
            </w:r>
            <w:r>
              <w:rPr>
                <w:rFonts w:ascii="仿宋" w:hAnsi="仿宋" w:eastAsia="仿宋" w:cs="宋体"/>
                <w:color w:val="000000"/>
                <w:sz w:val="22"/>
                <w:highlight w:val="none"/>
              </w:rPr>
              <w:br/>
            </w:r>
            <w:r>
              <w:rPr>
                <w:rFonts w:ascii="仿宋" w:hAnsi="仿宋" w:eastAsia="仿宋" w:cs="宋体"/>
                <w:color w:val="000000"/>
                <w:sz w:val="22"/>
                <w:highlight w:val="none"/>
              </w:rPr>
              <w:t xml:space="preserve">2.规格RVV-2*1.5mm</w:t>
            </w:r>
            <w:r>
              <w:rPr>
                <w:rFonts w:ascii="Calibri" w:hAnsi="Calibri" w:eastAsia="仿宋" w:cs="Calibri"/>
                <w:color w:val="000000"/>
                <w:sz w:val="22"/>
                <w:highlight w:val="none"/>
              </w:rPr>
              <w:t xml:space="preserve">²</w:t>
            </w:r>
            <w:r>
              <w:rPr>
                <w:rFonts w:ascii="仿宋" w:hAnsi="仿宋" w:eastAsia="仿宋" w:cs="宋体"/>
                <w:color w:val="000000"/>
                <w:sz w:val="22"/>
                <w:highlight w:val="none"/>
              </w:rPr>
              <w:t xml:space="preserve">。</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双芯电源线2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1.导线材质无氧铜；</w:t>
            </w:r>
            <w:r>
              <w:rPr>
                <w:rFonts w:ascii="仿宋" w:hAnsi="仿宋" w:eastAsia="仿宋" w:cs="宋体"/>
                <w:color w:val="000000"/>
                <w:sz w:val="22"/>
                <w:highlight w:val="none"/>
              </w:rPr>
              <w:br/>
            </w:r>
            <w:r>
              <w:rPr>
                <w:rFonts w:ascii="仿宋" w:hAnsi="仿宋" w:eastAsia="仿宋" w:cs="宋体"/>
                <w:color w:val="000000"/>
                <w:sz w:val="22"/>
                <w:highlight w:val="none"/>
              </w:rPr>
              <w:t xml:space="preserve">2.规格RVV-2*2.5mm</w:t>
            </w:r>
            <w:r>
              <w:rPr>
                <w:rFonts w:ascii="Calibri" w:hAnsi="Calibri" w:eastAsia="仿宋" w:cs="Calibri"/>
                <w:color w:val="000000"/>
                <w:sz w:val="22"/>
                <w:highlight w:val="none"/>
              </w:rPr>
              <w:t xml:space="preserve">²</w:t>
            </w:r>
            <w:r>
              <w:rPr>
                <w:rFonts w:ascii="仿宋" w:hAnsi="仿宋" w:eastAsia="仿宋" w:cs="宋体"/>
                <w:color w:val="000000"/>
                <w:sz w:val="22"/>
                <w:highlight w:val="none"/>
              </w:rPr>
              <w:t xml:space="preserve">。</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六类网线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1.导体材质采用无氧铜，线径≥23AWG（0.573mm），双绞结构，传输带宽≥250MHz；</w:t>
            </w:r>
            <w:r>
              <w:rPr>
                <w:rFonts w:ascii="仿宋" w:hAnsi="仿宋" w:eastAsia="仿宋" w:cs="宋体"/>
                <w:color w:val="000000"/>
                <w:sz w:val="22"/>
                <w:highlight w:val="none"/>
              </w:rPr>
              <w:br/>
            </w:r>
            <w:r>
              <w:rPr>
                <w:rFonts w:ascii="仿宋" w:hAnsi="仿宋" w:eastAsia="仿宋" w:cs="宋体"/>
                <w:color w:val="000000"/>
                <w:sz w:val="22"/>
                <w:highlight w:val="none"/>
              </w:rPr>
              <w:t xml:space="preserve">2.护套材质采用HDPE或PVC，根据室内或室外选用；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3.POE供电支持IEEE802.3bt，单线最大供电90W（≤100m）。</w:t>
            </w:r>
            <w:r>
              <w:rPr>
                <w:rFonts w:ascii="仿宋" w:hAnsi="仿宋" w:eastAsia="仿宋" w:cs="宋体"/>
                <w:color w:val="000000"/>
                <w:sz w:val="22"/>
                <w:highlight w:val="none"/>
              </w:rPr>
              <w:br/>
            </w:r>
            <w:r>
              <w:rPr>
                <w:rFonts w:ascii="仿宋" w:hAnsi="仿宋" w:eastAsia="仿宋" w:cs="宋体"/>
                <w:color w:val="000000"/>
                <w:sz w:val="22"/>
                <w:highlight w:val="none"/>
              </w:rPr>
              <w:t xml:space="preserve">4.每箱长度≥300米。</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壁挂机柜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1.尺寸600*600*450mm，主要材质采用铝锌板和SPCC冷轧板，最薄处≥1.2mm，表面静电喷塑；</w:t>
            </w:r>
            <w:r>
              <w:rPr>
                <w:rFonts w:ascii="仿宋" w:hAnsi="仿宋" w:eastAsia="仿宋" w:cs="宋体"/>
                <w:color w:val="000000"/>
                <w:sz w:val="22"/>
                <w:highlight w:val="none"/>
              </w:rPr>
              <w:br/>
            </w:r>
            <w:r>
              <w:rPr>
                <w:rFonts w:ascii="仿宋" w:hAnsi="仿宋" w:eastAsia="仿宋" w:cs="宋体"/>
                <w:color w:val="000000"/>
                <w:sz w:val="22"/>
                <w:highlight w:val="none"/>
              </w:rPr>
              <w:t xml:space="preserve">2.钢化玻璃前门并配锁；</w:t>
            </w:r>
            <w:r>
              <w:rPr>
                <w:rFonts w:ascii="仿宋" w:hAnsi="仿宋" w:eastAsia="仿宋" w:cs="宋体"/>
                <w:color w:val="000000"/>
                <w:sz w:val="22"/>
                <w:highlight w:val="none"/>
              </w:rPr>
              <w:br/>
            </w:r>
            <w:r>
              <w:rPr>
                <w:rFonts w:ascii="仿宋" w:hAnsi="仿宋" w:eastAsia="仿宋" w:cs="宋体"/>
                <w:color w:val="000000"/>
                <w:sz w:val="22"/>
                <w:highlight w:val="none"/>
              </w:rPr>
              <w:t xml:space="preserve">3.静载≥150KG；</w:t>
            </w:r>
            <w:r>
              <w:rPr>
                <w:rFonts w:ascii="仿宋" w:hAnsi="仿宋" w:eastAsia="仿宋" w:cs="宋体"/>
                <w:color w:val="000000"/>
                <w:sz w:val="22"/>
                <w:highlight w:val="none"/>
              </w:rPr>
              <w:br/>
            </w:r>
            <w:r>
              <w:rPr>
                <w:rFonts w:ascii="仿宋" w:hAnsi="仿宋" w:eastAsia="仿宋" w:cs="宋体"/>
                <w:color w:val="000000"/>
                <w:sz w:val="22"/>
                <w:highlight w:val="none"/>
              </w:rPr>
              <w:t xml:space="preserve">4.防护等级≥IP20。</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42U机柜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1.尺寸600*600*2000mm，主要材质采用铝锌板和SPCC冷轧板，最薄处≥1.2mm，表面静电喷塑；</w:t>
            </w:r>
            <w:r>
              <w:rPr>
                <w:rFonts w:ascii="仿宋" w:hAnsi="仿宋" w:eastAsia="仿宋" w:cs="宋体"/>
                <w:color w:val="000000"/>
                <w:sz w:val="22"/>
                <w:highlight w:val="none"/>
              </w:rPr>
              <w:br/>
            </w:r>
            <w:r>
              <w:rPr>
                <w:rFonts w:ascii="仿宋" w:hAnsi="仿宋" w:eastAsia="仿宋" w:cs="宋体"/>
                <w:color w:val="000000"/>
                <w:sz w:val="22"/>
                <w:highlight w:val="none"/>
              </w:rPr>
              <w:t xml:space="preserve">2.左右侧门和前后门可拆卸，钢化玻璃前门，前后门配锁，固定板≥3块，散热风扇≥1组；</w:t>
            </w:r>
            <w:r>
              <w:rPr>
                <w:rFonts w:ascii="仿宋" w:hAnsi="仿宋" w:eastAsia="仿宋" w:cs="宋体"/>
                <w:color w:val="000000"/>
                <w:sz w:val="22"/>
                <w:highlight w:val="none"/>
              </w:rPr>
              <w:br/>
            </w:r>
            <w:r>
              <w:rPr>
                <w:rFonts w:ascii="仿宋" w:hAnsi="仿宋" w:eastAsia="仿宋" w:cs="宋体"/>
                <w:color w:val="000000"/>
                <w:sz w:val="22"/>
                <w:highlight w:val="none"/>
              </w:rPr>
              <w:t xml:space="preserve">3.静载≥500KG(带支架)；</w:t>
            </w:r>
            <w:r>
              <w:rPr>
                <w:rFonts w:ascii="仿宋" w:hAnsi="仿宋" w:eastAsia="仿宋" w:cs="宋体"/>
                <w:color w:val="000000"/>
                <w:sz w:val="22"/>
                <w:highlight w:val="none"/>
              </w:rPr>
              <w:br/>
            </w:r>
            <w:r>
              <w:rPr>
                <w:rFonts w:ascii="仿宋" w:hAnsi="仿宋" w:eastAsia="仿宋" w:cs="宋体"/>
                <w:color w:val="000000"/>
                <w:sz w:val="22"/>
                <w:highlight w:val="none"/>
              </w:rPr>
              <w:t xml:space="preserve">4.防护等级≥IP20。</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PDU</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1.孔位≥8个，单孔电流≥10A，额定负载功率≥2500W；</w:t>
            </w:r>
            <w:r>
              <w:rPr>
                <w:rFonts w:ascii="仿宋" w:hAnsi="仿宋" w:eastAsia="仿宋" w:cs="宋体"/>
                <w:color w:val="000000"/>
                <w:sz w:val="22"/>
                <w:highlight w:val="none"/>
              </w:rPr>
              <w:br/>
            </w:r>
            <w:r>
              <w:rPr>
                <w:rFonts w:ascii="仿宋" w:hAnsi="仿宋" w:eastAsia="仿宋" w:cs="宋体"/>
                <w:color w:val="000000"/>
                <w:sz w:val="22"/>
                <w:highlight w:val="none"/>
              </w:rPr>
              <w:t xml:space="preserve">2.配备总控开关，支持过载保护；</w:t>
            </w:r>
            <w:r>
              <w:rPr>
                <w:rFonts w:ascii="仿宋" w:hAnsi="仿宋" w:eastAsia="仿宋" w:cs="宋体"/>
                <w:color w:val="000000"/>
                <w:sz w:val="22"/>
                <w:highlight w:val="none"/>
              </w:rPr>
              <w:br/>
            </w:r>
            <w:r>
              <w:rPr>
                <w:rFonts w:ascii="仿宋" w:hAnsi="仿宋" w:eastAsia="仿宋" w:cs="宋体"/>
                <w:color w:val="000000"/>
                <w:sz w:val="22"/>
                <w:highlight w:val="none"/>
              </w:rPr>
              <w:t xml:space="preserve">3.铝合金外壳，孔位面板采用阻燃ABS塑料，带16A插头线，长度≥1.8米。</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电子围栏合金线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1.采用高强度铝镁合金多股绞合结构，直径≥2.0mm，100米导线电阻≤2.5Ω，单线静态承受拉力≥50kg；采用4线制脉冲电子围栏，合金线长480*4=1920米；</w:t>
            </w:r>
            <w:r>
              <w:rPr>
                <w:rFonts w:ascii="仿宋" w:hAnsi="仿宋" w:eastAsia="仿宋" w:cs="宋体"/>
                <w:color w:val="000000"/>
                <w:sz w:val="22"/>
                <w:highlight w:val="none"/>
              </w:rPr>
              <w:br/>
            </w:r>
            <w:r>
              <w:rPr>
                <w:rFonts w:ascii="仿宋" w:hAnsi="仿宋" w:eastAsia="仿宋" w:cs="宋体"/>
                <w:color w:val="000000"/>
                <w:sz w:val="22"/>
                <w:highlight w:val="none"/>
              </w:rPr>
              <w:t xml:space="preserve">2.采用4线制部署，防区间距≤60米；</w:t>
            </w:r>
            <w:r>
              <w:rPr>
                <w:rFonts w:ascii="仿宋" w:hAnsi="仿宋" w:eastAsia="仿宋" w:cs="宋体"/>
                <w:color w:val="000000"/>
                <w:sz w:val="22"/>
                <w:highlight w:val="none"/>
              </w:rPr>
              <w:br/>
            </w:r>
            <w:r>
              <w:rPr>
                <w:rFonts w:ascii="仿宋" w:hAnsi="仿宋" w:eastAsia="仿宋" w:cs="宋体"/>
                <w:color w:val="000000"/>
                <w:sz w:val="22"/>
                <w:highlight w:val="none"/>
              </w:rPr>
              <w:t xml:space="preserve">3.含拆除破损线以及更新支架等配件。</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室外设备箱</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1.采用304不锈钢材质，规格：400*300*180mm；</w:t>
            </w:r>
            <w:r>
              <w:rPr>
                <w:rFonts w:ascii="仿宋" w:hAnsi="仿宋" w:eastAsia="仿宋" w:cs="宋体"/>
                <w:color w:val="000000"/>
                <w:sz w:val="22"/>
                <w:highlight w:val="none"/>
              </w:rPr>
              <w:br/>
            </w:r>
            <w:r>
              <w:rPr>
                <w:rFonts w:ascii="仿宋" w:hAnsi="仿宋" w:eastAsia="仿宋" w:cs="宋体"/>
                <w:color w:val="000000"/>
                <w:sz w:val="22"/>
                <w:highlight w:val="none"/>
              </w:rPr>
              <w:t xml:space="preserve">2.配套立杆安装，含插排，箱门带锁。</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监控立杆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1.镀锌钢管材质，壁厚≥2.5mm,防锈处理；</w:t>
            </w:r>
            <w:r>
              <w:rPr>
                <w:rFonts w:ascii="仿宋" w:hAnsi="仿宋" w:eastAsia="仿宋" w:cs="宋体"/>
                <w:color w:val="000000"/>
                <w:sz w:val="22"/>
                <w:highlight w:val="none"/>
              </w:rPr>
              <w:br/>
            </w:r>
            <w:r>
              <w:rPr>
                <w:rFonts w:ascii="仿宋" w:hAnsi="仿宋" w:eastAsia="仿宋" w:cs="宋体"/>
                <w:color w:val="000000"/>
                <w:sz w:val="22"/>
                <w:highlight w:val="none"/>
              </w:rPr>
              <w:t xml:space="preserve">2.白色立杆高度2.4米～5米，根据现场环境使用；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3.配备2个支臂成180度，支持多角度调节；</w:t>
            </w:r>
            <w:r>
              <w:rPr>
                <w:rFonts w:ascii="仿宋" w:hAnsi="仿宋" w:eastAsia="仿宋" w:cs="宋体"/>
                <w:color w:val="000000"/>
                <w:sz w:val="22"/>
                <w:highlight w:val="none"/>
              </w:rPr>
              <w:br/>
            </w:r>
            <w:r>
              <w:rPr>
                <w:rFonts w:ascii="仿宋" w:hAnsi="仿宋" w:eastAsia="仿宋" w:cs="宋体"/>
                <w:color w:val="000000"/>
                <w:sz w:val="22"/>
                <w:highlight w:val="none"/>
              </w:rPr>
              <w:t xml:space="preserve">4.预埋钢筋地笼，螺丝固定。</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PE管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1.配管PE材质；</w:t>
            </w:r>
            <w:r>
              <w:rPr>
                <w:rFonts w:ascii="仿宋" w:hAnsi="仿宋" w:eastAsia="仿宋" w:cs="宋体"/>
                <w:color w:val="000000"/>
                <w:sz w:val="22"/>
                <w:highlight w:val="none"/>
              </w:rPr>
              <w:br/>
            </w:r>
            <w:r>
              <w:rPr>
                <w:rFonts w:ascii="仿宋" w:hAnsi="仿宋" w:eastAsia="仿宋" w:cs="宋体"/>
                <w:color w:val="000000"/>
                <w:sz w:val="22"/>
                <w:highlight w:val="none"/>
              </w:rPr>
              <w:t xml:space="preserve">2.口径32/40mm，根据现场环境使用；</w:t>
            </w:r>
            <w:r>
              <w:rPr>
                <w:rFonts w:ascii="仿宋" w:hAnsi="仿宋" w:eastAsia="仿宋" w:cs="宋体"/>
                <w:color w:val="000000"/>
                <w:sz w:val="22"/>
                <w:highlight w:val="none"/>
              </w:rPr>
              <w:br/>
            </w:r>
            <w:r>
              <w:rPr>
                <w:rFonts w:ascii="仿宋" w:hAnsi="仿宋" w:eastAsia="仿宋" w:cs="宋体"/>
                <w:color w:val="000000"/>
                <w:sz w:val="22"/>
                <w:highlight w:val="none"/>
              </w:rPr>
              <w:t xml:space="preserve">3.含开挖，深度≥0.6米，要求原土回填及原路面恢复。</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39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安装辅材</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四所学校监控设备安装使用到的所有辅材，包括各种线缆接头、光纤路线与尾纤、PVC管、管材接头、86盒、接线端子、固定件、标识标签、各类胶带等。</w:t>
            </w:r>
            <w:r/>
          </w:p>
        </w:tc>
      </w:tr>
      <w:tr>
        <w:trPr>
          <w:trHeight w:val="699"/>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40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拆除服务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hint="eastAsia" w:ascii="仿宋" w:hAnsi="仿宋" w:eastAsia="仿宋" w:cs="宋体"/>
                <w:color w:val="000000"/>
                <w:sz w:val="22"/>
                <w:highlight w:val="none"/>
              </w:rPr>
            </w:pPr>
            <w:r>
              <w:rPr>
                <w:rFonts w:ascii="仿宋" w:hAnsi="仿宋" w:eastAsia="仿宋" w:cs="宋体"/>
                <w:color w:val="000000"/>
                <w:sz w:val="22"/>
                <w:highlight w:val="none"/>
              </w:rPr>
              <w:t xml:space="preserve">1.对四所学校内老旧、淘汰、需更换的监控摄像机、接入交换机、硬盘录像机、老旧监控平台终端等前端及中心设备进行拆除作业，同步拆除配套老旧电源线、网络信号线、破损配管及固定辅材；</w:t>
            </w:r>
            <w:r>
              <w:rPr>
                <w:rFonts w:ascii="仿宋" w:hAnsi="仿宋" w:eastAsia="仿宋" w:cs="宋体"/>
                <w:color w:val="000000"/>
                <w:sz w:val="22"/>
                <w:highlight w:val="none"/>
              </w:rPr>
              <w:br/>
            </w:r>
            <w:r>
              <w:rPr>
                <w:rFonts w:ascii="仿宋" w:hAnsi="仿宋" w:eastAsia="仿宋" w:cs="宋体"/>
                <w:color w:val="000000"/>
                <w:sz w:val="22"/>
                <w:highlight w:val="none"/>
              </w:rPr>
              <w:t xml:space="preserve">2.所有拆除的旧设备、旧线缆、废旧管材统一分类整理、清洁搬运至学校指定地点，规范堆放、整齐摆放，做好成品清点及移交备查。</w:t>
            </w:r>
            <w:r/>
          </w:p>
        </w:tc>
      </w:tr>
    </w:tbl>
    <w:p>
      <w:pPr>
        <w:rPr>
          <w:highlight w:val="none"/>
        </w:rPr>
      </w:pPr>
      <w:r>
        <w:rPr>
          <w:highlight w:val="none"/>
        </w:rPr>
      </w:r>
      <w:r/>
    </w:p>
    <w:p>
      <w:pPr>
        <w:pStyle w:val="714"/>
        <w:ind w:firstLine="480"/>
        <w:spacing w:before="0" w:after="0" w:line="400" w:lineRule="exact"/>
        <w:rPr>
          <w:rFonts w:hint="eastAsia" w:ascii="宋体" w:hAnsi="宋体"/>
          <w:color w:val="auto"/>
          <w:highlight w:val="none"/>
        </w:rPr>
      </w:pPr>
      <w:r>
        <w:rPr>
          <w:rFonts w:hint="eastAsia" w:ascii="宋体" w:hAnsi="宋体"/>
          <w:color w:val="000000"/>
          <w:highlight w:val="none"/>
        </w:rPr>
        <w:t xml:space="preserve">★</w:t>
      </w:r>
      <w:r>
        <w:rPr>
          <w:rFonts w:ascii="宋体" w:hAnsi="宋体"/>
          <w:color w:val="auto"/>
          <w:highlight w:val="none"/>
        </w:rPr>
        <w:t xml:space="preserve">2.其他技术要求</w:t>
      </w:r>
      <w:r/>
    </w:p>
    <w:p>
      <w:pPr>
        <w:pStyle w:val="934"/>
        <w:ind w:firstLine="480"/>
        <w:spacing w:line="400" w:lineRule="exact"/>
        <w:rPr>
          <w:rFonts w:hint="eastAsia"/>
          <w:sz w:val="24"/>
          <w:szCs w:val="24"/>
          <w:highlight w:val="none"/>
        </w:rPr>
      </w:pPr>
      <w:r/>
      <w:bookmarkStart w:id="196" w:name="_Toc120614281"/>
      <w:r>
        <w:rPr>
          <w:rFonts w:hint="eastAsia"/>
          <w:sz w:val="24"/>
          <w:szCs w:val="24"/>
          <w:highlight w:val="none"/>
        </w:rPr>
        <w:t xml:space="preserve">（1）</w:t>
      </w:r>
      <w:r>
        <w:rPr>
          <w:sz w:val="24"/>
          <w:szCs w:val="24"/>
          <w:highlight w:val="none"/>
        </w:rPr>
        <w:t xml:space="preserve">对项目利旧的监控设备、管线链路进行全面梳理排查，</w:t>
      </w:r>
      <w:bookmarkStart w:id="197" w:name="OLE_LINK13"/>
      <w:r>
        <w:rPr>
          <w:sz w:val="24"/>
          <w:szCs w:val="24"/>
          <w:highlight w:val="none"/>
        </w:rPr>
        <w:t xml:space="preserve">规整杂乱线缆、优化路由走向，修复松动、破损、不规范线路及安装辅材；统一更新设备、线缆、管路标识标签，做到标识清晰、规范统一、一一对应，满足后期运维管理要求</w:t>
      </w:r>
      <w:r>
        <w:rPr>
          <w:rFonts w:hint="eastAsia"/>
          <w:sz w:val="24"/>
          <w:szCs w:val="24"/>
          <w:highlight w:val="none"/>
        </w:rPr>
        <w:t xml:space="preserve">；</w:t>
      </w:r>
      <w:bookmarkEnd w:id="197"/>
      <w:r/>
      <w:r/>
    </w:p>
    <w:p>
      <w:pPr>
        <w:pStyle w:val="934"/>
        <w:ind w:firstLine="480"/>
        <w:spacing w:line="400" w:lineRule="exact"/>
        <w:rPr>
          <w:rFonts w:hint="eastAsia"/>
          <w:sz w:val="24"/>
          <w:szCs w:val="24"/>
          <w:highlight w:val="none"/>
        </w:rPr>
      </w:pPr>
      <w:r/>
      <w:bookmarkStart w:id="198" w:name="OLE_LINK14"/>
      <w:r>
        <w:rPr>
          <w:rFonts w:hint="eastAsia"/>
          <w:sz w:val="24"/>
          <w:szCs w:val="24"/>
          <w:highlight w:val="none"/>
        </w:rPr>
        <w:t xml:space="preserve">（2）</w:t>
      </w:r>
      <w:r>
        <w:rPr>
          <w:sz w:val="24"/>
          <w:szCs w:val="24"/>
          <w:highlight w:val="none"/>
        </w:rPr>
        <w:t xml:space="preserve">严格按照《综合布线系统工程验收规范》（</w:t>
      </w:r>
      <w:bookmarkStart w:id="199" w:name="OLE_LINK11"/>
      <w:r>
        <w:rPr>
          <w:sz w:val="24"/>
          <w:szCs w:val="24"/>
          <w:highlight w:val="none"/>
        </w:rPr>
        <w:t xml:space="preserve">GB/T 50312</w:t>
      </w:r>
      <w:bookmarkEnd w:id="199"/>
      <w:r>
        <w:rPr>
          <w:rFonts w:hint="eastAsia"/>
          <w:sz w:val="24"/>
          <w:szCs w:val="24"/>
          <w:highlight w:val="none"/>
        </w:rPr>
        <w:t xml:space="preserve">-2016</w:t>
      </w:r>
      <w:r>
        <w:rPr>
          <w:sz w:val="24"/>
          <w:szCs w:val="24"/>
          <w:highlight w:val="none"/>
        </w:rPr>
        <w:t xml:space="preserve">）开展链路测试</w:t>
      </w:r>
      <w:r>
        <w:rPr>
          <w:rFonts w:hint="eastAsia"/>
          <w:sz w:val="24"/>
          <w:szCs w:val="24"/>
          <w:highlight w:val="none"/>
        </w:rPr>
        <w:t xml:space="preserve">并出具测试报告，包括：</w:t>
      </w:r>
      <w:r>
        <w:rPr>
          <w:sz w:val="24"/>
          <w:szCs w:val="24"/>
          <w:highlight w:val="none"/>
        </w:rPr>
        <w:t xml:space="preserve">对所有新建及利旧网络双绞线进行线序、通断、线缆长度、信号衰减测试，所有参数符合现行国家规范；</w:t>
      </w:r>
      <w:bookmarkEnd w:id="198"/>
      <w:r>
        <w:rPr>
          <w:sz w:val="24"/>
          <w:szCs w:val="24"/>
          <w:highlight w:val="none"/>
        </w:rPr>
        <w:t xml:space="preserve">对所有光纤主干链路进行收发光功率、全程插入损耗测试，主干光纤同步完成OTDR曲线检测，所有链路指标满足监控设备稳定运行及业务传输要求</w:t>
      </w:r>
      <w:r>
        <w:rPr>
          <w:rFonts w:hint="eastAsia"/>
          <w:sz w:val="24"/>
          <w:szCs w:val="24"/>
          <w:highlight w:val="none"/>
        </w:rPr>
        <w:t xml:space="preserve">；</w:t>
      </w:r>
      <w:r/>
    </w:p>
    <w:p>
      <w:pPr>
        <w:pStyle w:val="934"/>
        <w:ind w:firstLine="480"/>
        <w:spacing w:line="400" w:lineRule="exact"/>
        <w:rPr>
          <w:rFonts w:hint="eastAsia"/>
          <w:sz w:val="24"/>
          <w:szCs w:val="24"/>
          <w:highlight w:val="none"/>
        </w:rPr>
      </w:pPr>
      <w:r>
        <w:rPr>
          <w:rFonts w:hint="eastAsia"/>
          <w:sz w:val="24"/>
          <w:szCs w:val="24"/>
          <w:highlight w:val="none"/>
        </w:rPr>
        <w:t xml:space="preserve">（3）</w:t>
      </w:r>
      <w:r>
        <w:rPr>
          <w:sz w:val="24"/>
          <w:szCs w:val="24"/>
          <w:highlight w:val="none"/>
        </w:rPr>
        <w:t xml:space="preserve">统一规范所有摄像机通道名称、点位备注，贴合现场实际位置标准化命名；完成监控设备IP地址统一规划、静态固化配置；统一设备时区、时间同步校准，对接监控平台NTP授时服务，确保全网设备、平台录像时间完全一致；根据项目规范及校方运维需求，配置全天候录像存储策略、视频循环覆盖机制、存储留存计划，校验录像回放、视频备份、定时存储功能正常可用</w:t>
      </w:r>
      <w:r>
        <w:rPr>
          <w:rFonts w:hint="eastAsia"/>
          <w:sz w:val="24"/>
          <w:szCs w:val="24"/>
          <w:highlight w:val="none"/>
        </w:rPr>
        <w:t xml:space="preserve">；</w:t>
      </w:r>
      <w:r>
        <w:rPr>
          <w:sz w:val="24"/>
          <w:szCs w:val="24"/>
          <w:highlight w:val="none"/>
        </w:rPr>
        <w:t xml:space="preserve">制作标准化校园网络监控拓扑展板，清晰标注核心、汇聚、接入设备、前端点位及平台链路架构</w:t>
      </w:r>
      <w:r>
        <w:rPr>
          <w:rFonts w:hint="eastAsia"/>
          <w:sz w:val="24"/>
          <w:szCs w:val="24"/>
          <w:highlight w:val="none"/>
        </w:rPr>
        <w:t xml:space="preserve">；配置各学校网络设备通过区城域网</w:t>
      </w:r>
      <w:r>
        <w:rPr>
          <w:rFonts w:hint="eastAsia" w:cs="宋体"/>
          <w:sz w:val="24"/>
          <w:szCs w:val="24"/>
          <w:highlight w:val="none"/>
        </w:rPr>
        <w:t xml:space="preserve">接入区教育局安全监控管理平台</w:t>
      </w:r>
      <w:r>
        <w:rPr>
          <w:sz w:val="24"/>
          <w:szCs w:val="24"/>
          <w:highlight w:val="none"/>
        </w:rPr>
        <w:t xml:space="preserve">。</w:t>
      </w:r>
      <w:r/>
    </w:p>
    <w:p>
      <w:pPr>
        <w:ind w:firstLine="480"/>
        <w:spacing w:line="400" w:lineRule="exact"/>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★（二）商务要求</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（1）供应商应按照合同约定期内的</w:t>
      </w:r>
      <w:r>
        <w:rPr>
          <w:rFonts w:ascii="宋体" w:hAnsi="宋体" w:cs="宋体"/>
          <w:color w:val="000000"/>
          <w:sz w:val="24"/>
          <w:szCs w:val="24"/>
          <w:highlight w:val="none"/>
        </w:rPr>
        <w:t xml:space="preserve">全生命周期成本进行报价</w:t>
      </w:r>
      <w:r>
        <w:rPr>
          <w:rFonts w:hint="eastAsia" w:ascii="宋体" w:hAnsi="宋体" w:cs="宋体"/>
          <w:color w:val="000000"/>
          <w:sz w:val="24"/>
          <w:szCs w:val="24"/>
          <w:highlight w:val="none"/>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sz w:val="24"/>
          <w:szCs w:val="24"/>
          <w:highlight w:val="none"/>
        </w:rPr>
      </w:pPr>
      <w:r/>
      <w:bookmarkStart w:id="200" w:name="OLE_LINK16"/>
      <w:r>
        <w:rPr>
          <w:rFonts w:hint="eastAsia" w:ascii="宋体" w:hAnsi="宋体" w:cs="宋体"/>
          <w:sz w:val="24"/>
          <w:szCs w:val="24"/>
          <w:highlight w:val="none"/>
        </w:rPr>
        <w:t xml:space="preserve">2.实施要求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（1）总体要求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所有变更须由供应商提交书面申请，经</w:t>
      </w:r>
      <w:r>
        <w:rPr>
          <w:rFonts w:hint="eastAsia" w:ascii="宋体" w:hAnsi="宋体" w:cs="宋体"/>
          <w:sz w:val="24"/>
          <w:szCs w:val="24"/>
          <w:highlight w:val="none"/>
        </w:rPr>
        <w:t xml:space="preserve">学校和采购人</w:t>
      </w:r>
      <w:r>
        <w:rPr>
          <w:rFonts w:ascii="宋体" w:hAnsi="宋体" w:cs="宋体"/>
          <w:sz w:val="24"/>
          <w:szCs w:val="24"/>
          <w:highlight w:val="none"/>
        </w:rPr>
        <w:t xml:space="preserve">审批</w:t>
      </w:r>
      <w:r>
        <w:rPr>
          <w:rFonts w:hint="eastAsia" w:ascii="宋体" w:hAnsi="宋体" w:cs="宋体"/>
          <w:sz w:val="24"/>
          <w:szCs w:val="24"/>
          <w:highlight w:val="none"/>
        </w:rPr>
        <w:t xml:space="preserve">确认</w:t>
      </w:r>
      <w:r>
        <w:rPr>
          <w:rFonts w:ascii="宋体" w:hAnsi="宋体" w:cs="宋体"/>
          <w:sz w:val="24"/>
          <w:szCs w:val="24"/>
          <w:highlight w:val="none"/>
        </w:rPr>
        <w:t xml:space="preserve">后执行。变更流程必须符合招标采购的有关制度。</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（2）质量要求</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①供应商提供的</w:t>
      </w:r>
      <w:r>
        <w:rPr>
          <w:rFonts w:hint="eastAsia" w:ascii="宋体" w:hAnsi="宋体" w:cs="宋体"/>
          <w:sz w:val="24"/>
          <w:szCs w:val="24"/>
          <w:highlight w:val="none"/>
        </w:rPr>
        <w:t xml:space="preserve">产品</w:t>
      </w:r>
      <w:r>
        <w:rPr>
          <w:rFonts w:ascii="宋体" w:hAnsi="宋体" w:cs="宋体"/>
          <w:sz w:val="24"/>
          <w:szCs w:val="24"/>
          <w:highlight w:val="none"/>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highlight w:val="none"/>
        </w:rPr>
        <w:t xml:space="preserve">产品</w:t>
      </w:r>
      <w:r>
        <w:rPr>
          <w:rFonts w:ascii="宋体" w:hAnsi="宋体" w:cs="宋体"/>
          <w:sz w:val="24"/>
          <w:szCs w:val="24"/>
          <w:highlight w:val="none"/>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（3）安全施工要求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供应商须按照《中华人民共和国劳动法》规范用工，并加强施工人员安全教育，加强施工现场安全保护，杜绝安全事故发生。</w:t>
      </w:r>
      <w:r>
        <w:rPr>
          <w:rFonts w:ascii="宋体" w:hAnsi="宋体" w:cs="宋体"/>
          <w:sz w:val="24"/>
          <w:szCs w:val="24"/>
          <w:highlight w:val="none"/>
        </w:rPr>
        <w:t xml:space="preserve">因本项目施工产生的施工人员和学校师生人身安全问题由供应商承担全部责任</w:t>
      </w:r>
      <w:r>
        <w:rPr>
          <w:rFonts w:hint="eastAsia" w:ascii="宋体" w:hAnsi="宋体" w:cs="宋体"/>
          <w:sz w:val="24"/>
          <w:szCs w:val="24"/>
          <w:highlight w:val="none"/>
        </w:rPr>
        <w:t xml:space="preserve">；如项目施工过程中，对学校的场地、设备造成损坏，须承担一切责任，并进行相应赔偿。</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（4）验收要求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（5）质保及售后要求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质保期至少3年，质保期自交货验收合格后开始。</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保期内，每年维护保养1次，维护保养及更换损坏件的费用包含在投标总价中。</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质保期外，供应商提供终身服务，在货物的设计使用寿命周期内，供应商能保证采购人更换到</w:t>
      </w:r>
      <w:r>
        <w:rPr>
          <w:rFonts w:hint="eastAsia" w:ascii="宋体" w:hAnsi="宋体" w:cs="宋体"/>
          <w:sz w:val="24"/>
          <w:szCs w:val="24"/>
          <w:highlight w:val="none"/>
        </w:rPr>
        <w:t xml:space="preserve">不高于市场价格的</w:t>
      </w:r>
      <w:r>
        <w:rPr>
          <w:rFonts w:ascii="宋体" w:hAnsi="宋体" w:cs="宋体"/>
          <w:sz w:val="24"/>
          <w:szCs w:val="24"/>
          <w:highlight w:val="none"/>
        </w:rPr>
        <w:t xml:space="preserve">原厂正宗的备件材料，确保产品的正常使用。</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项目管理</w:t>
      </w:r>
      <w:r>
        <w:rPr>
          <w:rFonts w:hint="eastAsia" w:ascii="宋体" w:hAnsi="宋体" w:cs="宋体"/>
          <w:sz w:val="24"/>
          <w:szCs w:val="24"/>
          <w:highlight w:val="none"/>
        </w:rPr>
        <w:t xml:space="preserve">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中标供应商必须接受“南京市教育装备项目管理平台”（平台网址</w:t>
      </w:r>
      <w:r>
        <w:rPr>
          <w:highlight w:val="none"/>
        </w:rPr>
        <w:fldChar w:fldCharType="begin"/>
      </w:r>
      <w:r>
        <w:rPr>
          <w:highlight w:val="none"/>
        </w:rPr>
        <w:instrText xml:space="preserve"> HYPERLINK "http://nj.cneefix.com" </w:instrText>
      </w:r>
      <w:r>
        <w:rPr>
          <w:highlight w:val="none"/>
        </w:rPr>
        <w:fldChar w:fldCharType="separate"/>
      </w:r>
      <w:r>
        <w:rPr>
          <w:rFonts w:hint="eastAsia" w:ascii="宋体" w:hAnsi="宋体"/>
          <w:szCs w:val="24"/>
          <w:highlight w:val="none"/>
        </w:rPr>
        <w:t xml:space="preserve">http://nj.cneefix.com</w:t>
      </w:r>
      <w:r>
        <w:rPr>
          <w:rFonts w:hint="eastAsia" w:ascii="宋体" w:hAnsi="宋体"/>
          <w:szCs w:val="24"/>
          <w:highlight w:val="none"/>
        </w:rPr>
        <w:fldChar w:fldCharType="end"/>
      </w:r>
      <w:r>
        <w:rPr>
          <w:rFonts w:hint="eastAsia" w:ascii="宋体" w:hAnsi="宋体" w:cs="宋体"/>
          <w:sz w:val="24"/>
          <w:szCs w:val="24"/>
          <w:highlight w:val="none"/>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（7）培训要求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付款条件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（1）合同签订后，甲方支付合同总价款的30%作为预付款。</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（2）供货结束并验收合格后，甲方支付合同总价款的70%。</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（3）满足合同约定支付条件的，甲方收到乙方发票后10个工作日内，将资金支付到合同约定的乙方账户。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交付时间及地点</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（1）交付时间：合同签订后</w:t>
      </w:r>
      <w:r>
        <w:rPr>
          <w:rFonts w:hint="eastAsia" w:ascii="宋体" w:hAnsi="宋体" w:cs="宋体"/>
          <w:bCs/>
          <w:sz w:val="24"/>
          <w:szCs w:val="24"/>
          <w:highlight w:val="none"/>
        </w:rPr>
        <w:t xml:space="preserve">45</w:t>
      </w:r>
      <w:r>
        <w:rPr>
          <w:rFonts w:ascii="宋体" w:hAnsi="宋体" w:cs="宋体"/>
          <w:sz w:val="24"/>
          <w:szCs w:val="24"/>
          <w:highlight w:val="none"/>
        </w:rPr>
        <w:t xml:space="preserve">日历天内完成所有设备供货、安装、调试、深化设计、培训并通过验收。</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（2）交付地点：</w:t>
      </w:r>
      <w:r>
        <w:rPr>
          <w:rFonts w:hint="eastAsia" w:ascii="宋体" w:hAnsi="宋体" w:cs="宋体"/>
          <w:sz w:val="24"/>
          <w:szCs w:val="24"/>
          <w:highlight w:val="none"/>
        </w:rPr>
        <w:t xml:space="preserve">采购包中的相关学校。</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5.履约保证金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以第三章合同文本内容为准。</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6.其他要求</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供应商投标文件中，凡涉及列入《强制性产品认证目录描述与界定表（2023 年修订）》的产品</w:t>
      </w:r>
      <w:r>
        <w:rPr>
          <w:rFonts w:hint="eastAsia" w:ascii="宋体" w:hAnsi="宋体" w:cs="宋体"/>
          <w:sz w:val="24"/>
          <w:szCs w:val="24"/>
          <w:highlight w:val="none"/>
        </w:rPr>
        <w:t xml:space="preserve">和</w:t>
      </w:r>
      <w:r>
        <w:rPr>
          <w:rFonts w:ascii="宋体" w:hAnsi="宋体" w:cs="宋体"/>
          <w:sz w:val="24"/>
          <w:szCs w:val="24"/>
          <w:highlight w:val="none"/>
        </w:rPr>
        <w:t xml:space="preserve">列入《节能产品政府采购品目清单》的强制采购节能产品的产品，签订合同时供应商须提供有效的强制性产品认证（CCC）证书</w:t>
      </w:r>
      <w:r>
        <w:rPr>
          <w:rFonts w:hint="eastAsia" w:ascii="宋体" w:hAnsi="宋体" w:cs="宋体"/>
          <w:sz w:val="24"/>
          <w:szCs w:val="24"/>
          <w:highlight w:val="none"/>
        </w:rPr>
        <w:t xml:space="preserve">和</w:t>
      </w:r>
      <w:r>
        <w:rPr>
          <w:rFonts w:ascii="宋体" w:hAnsi="宋体" w:cs="宋体"/>
          <w:sz w:val="24"/>
          <w:szCs w:val="24"/>
          <w:highlight w:val="none"/>
        </w:rPr>
        <w:t xml:space="preserve">有效的节能产品认证证书供采购人核验。供应商未提供或者提供的证</w:t>
      </w:r>
      <w:r>
        <w:rPr>
          <w:rFonts w:hint="eastAsia" w:ascii="宋体" w:hAnsi="宋体" w:cs="宋体"/>
          <w:sz w:val="24"/>
          <w:szCs w:val="24"/>
          <w:highlight w:val="none"/>
        </w:rPr>
        <w:t xml:space="preserve">书</w:t>
      </w:r>
      <w:r>
        <w:rPr>
          <w:rFonts w:ascii="宋体" w:hAnsi="宋体" w:cs="宋体"/>
          <w:sz w:val="24"/>
          <w:szCs w:val="24"/>
          <w:highlight w:val="none"/>
        </w:rPr>
        <w:t xml:space="preserve">不符合要求的，视为提供虚假材料谋取中标，采购人将取消其中标资格。</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（三）深化设计要求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1.深化设计</w:t>
      </w:r>
      <w:r>
        <w:rPr>
          <w:rFonts w:hint="eastAsia" w:ascii="宋体" w:hAnsi="宋体"/>
          <w:sz w:val="24"/>
          <w:szCs w:val="24"/>
          <w:highlight w:val="none"/>
        </w:rPr>
        <w:t xml:space="preserve">内容详见“第五章  评标方法与评标标准”</w:t>
      </w:r>
      <w:r>
        <w:rPr>
          <w:rFonts w:hint="eastAsia" w:ascii="宋体" w:hAnsi="宋体" w:cs="宋体"/>
          <w:sz w:val="24"/>
          <w:szCs w:val="24"/>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学校</w:t>
      </w:r>
      <w:r>
        <w:rPr>
          <w:rFonts w:hint="eastAsia" w:ascii="宋体" w:hAnsi="宋体"/>
          <w:sz w:val="24"/>
          <w:szCs w:val="24"/>
          <w:highlight w:val="none"/>
        </w:rPr>
        <w:t xml:space="preserve">建筑</w:t>
      </w:r>
      <w:r>
        <w:rPr>
          <w:rFonts w:ascii="宋体" w:hAnsi="宋体"/>
          <w:sz w:val="24"/>
          <w:szCs w:val="24"/>
          <w:highlight w:val="none"/>
        </w:rPr>
        <w:t xml:space="preserve">图</w:t>
      </w:r>
      <w:r>
        <w:rPr>
          <w:rFonts w:hint="eastAsia" w:ascii="宋体" w:hAnsi="宋体"/>
          <w:sz w:val="24"/>
          <w:szCs w:val="24"/>
          <w:highlight w:val="none"/>
        </w:rPr>
        <w:t xml:space="preserve">纸</w:t>
      </w:r>
      <w:r>
        <w:rPr>
          <w:rFonts w:ascii="宋体" w:hAnsi="宋体"/>
          <w:sz w:val="24"/>
          <w:szCs w:val="24"/>
          <w:highlight w:val="none"/>
        </w:rPr>
        <w:t xml:space="preserve">见附件</w:t>
      </w:r>
      <w:r>
        <w:rPr>
          <w:rFonts w:hint="eastAsia" w:ascii="宋体" w:hAnsi="宋体"/>
          <w:sz w:val="24"/>
          <w:szCs w:val="24"/>
          <w:highlight w:val="none"/>
        </w:rPr>
        <w:t xml:space="preserve">。</w:t>
      </w:r>
      <w:bookmarkEnd w:id="200"/>
      <w:r/>
      <w:r/>
    </w:p>
    <w:p>
      <w:pPr>
        <w:pStyle w:val="934"/>
        <w:rPr>
          <w:rFonts w:hint="eastAsia"/>
          <w:highlight w:val="none"/>
        </w:rPr>
      </w:pPr>
      <w:r>
        <w:rPr>
          <w:rFonts w:hint="eastAsia"/>
          <w:highlight w:val="none"/>
        </w:rPr>
      </w:r>
      <w:r/>
    </w:p>
    <w:p>
      <w:pPr>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spacing w:line="3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各采购包</w:t>
      </w:r>
      <w:r>
        <w:rPr>
          <w:rFonts w:hint="eastAsia" w:ascii="宋体" w:hAnsi="宋体" w:cs="宋体"/>
          <w:color w:val="000000"/>
          <w:sz w:val="24"/>
          <w:szCs w:val="24"/>
          <w:highlight w:val="none"/>
        </w:rPr>
        <w:t xml:space="preserve">采用综合评分法，评标结果按评审后得分由高到低顺序排列。得分相同的，按投标报价由低到高顺序排列。得分且投标报价相同的，按“四、评标标准中 </w:t>
      </w:r>
      <w:r>
        <w:rPr>
          <w:rFonts w:hint="eastAsia" w:ascii="宋体" w:hAnsi="宋体"/>
          <w:color w:val="000000"/>
          <w:sz w:val="24"/>
          <w:szCs w:val="24"/>
          <w:highlight w:val="none"/>
        </w:rPr>
        <w:t xml:space="preserve">2.技术</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”得分由高到低顺序排列。在投标文件满足招标文件全部实质性要求的供应商中，按照评审得分由高到低推荐</w:t>
      </w:r>
      <w:r>
        <w:rPr>
          <w:rFonts w:hint="eastAsia" w:ascii="宋体" w:hAnsi="宋体"/>
          <w:sz w:val="24"/>
          <w:szCs w:val="24"/>
          <w:highlight w:val="none"/>
        </w:rPr>
        <w:t xml:space="preserve">3名</w:t>
      </w:r>
      <w:r>
        <w:rPr>
          <w:rFonts w:hint="eastAsia" w:ascii="宋体" w:hAnsi="宋体" w:cs="宋体"/>
          <w:color w:val="000000"/>
          <w:sz w:val="24"/>
          <w:szCs w:val="24"/>
          <w:highlight w:val="none"/>
        </w:rPr>
        <w:t xml:space="preserve">中标候选人。</w:t>
      </w:r>
      <w:r/>
    </w:p>
    <w:p>
      <w:pPr>
        <w:ind w:firstLine="480"/>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3.多采购包评审说明</w:t>
      </w:r>
      <w:r/>
    </w:p>
    <w:p>
      <w:pPr>
        <w:ind w:firstLine="480"/>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34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3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p>
    <w:p>
      <w:pPr>
        <w:ind w:firstLine="480"/>
        <w:spacing w:line="3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highlight w:val="none"/>
        </w:rPr>
      </w:pPr>
      <w:r>
        <w:rPr>
          <w:rFonts w:hint="eastAsia" w:ascii="宋体" w:hAnsi="宋体"/>
          <w:color w:val="000000"/>
          <w:sz w:val="24"/>
          <w:szCs w:val="24"/>
          <w:highlight w:val="none"/>
        </w:rPr>
        <w:t xml:space="preserve">2.</w:t>
      </w:r>
      <w:r>
        <w:rPr>
          <w:rFonts w:hint="eastAsia" w:ascii="宋体" w:hAnsi="宋体"/>
          <w:sz w:val="24"/>
          <w:szCs w:val="24"/>
          <w:highlight w:val="none"/>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color w:val="000000"/>
          <w:sz w:val="24"/>
          <w:szCs w:val="24"/>
          <w:highlight w:val="none"/>
        </w:rPr>
      </w:pPr>
      <w:r>
        <w:rPr>
          <w:rFonts w:hint="eastAsia" w:ascii="宋体" w:hAnsi="宋体"/>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highlight w:val="none"/>
        </w:rPr>
        <w:t xml:space="preserve">且供应商在投标（响应）文件中对此作出承诺的（按照采购文件要求在《投标分项报价表》中作出承诺），</w:t>
      </w:r>
      <w:r>
        <w:rPr>
          <w:rFonts w:hint="eastAsia" w:ascii="宋体" w:hAnsi="宋体"/>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highlight w:val="none"/>
        </w:rPr>
        <w:t xml:space="preserve">全部产品是指货物或服务采购项目或采购包中包含的全部货物、服务产品。</w:t>
      </w:r>
      <w:r/>
    </w:p>
    <w:p>
      <w:pPr>
        <w:ind w:firstLine="480"/>
        <w:spacing w:line="3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color w:val="000000"/>
          <w:sz w:val="24"/>
          <w:szCs w:val="24"/>
          <w:highlight w:val="none"/>
        </w:rPr>
      </w:pPr>
      <w:r>
        <w:rPr>
          <w:rFonts w:hint="eastAsia" w:ascii="宋体" w:hAnsi="宋体"/>
          <w:sz w:val="24"/>
          <w:szCs w:val="24"/>
          <w:highlight w:val="none"/>
        </w:rPr>
        <w:t xml:space="preserve">4.</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p>
    <w:p>
      <w:pPr>
        <w:ind w:firstLine="480"/>
        <w:spacing w:line="3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本项目全部货物制造商为小微企业的，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p>
    <w:p>
      <w:pPr>
        <w:ind w:firstLine="480"/>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color w:val="000000"/>
          <w:sz w:val="24"/>
          <w:szCs w:val="24"/>
          <w:highlight w:val="none"/>
        </w:rPr>
      </w:pPr>
      <w:r>
        <w:rPr>
          <w:rFonts w:hint="eastAsia" w:ascii="黑体" w:hAnsi="黑体" w:eastAsia="黑体" w:cs="黑体"/>
          <w:color w:val="000000"/>
          <w:sz w:val="24"/>
          <w:szCs w:val="24"/>
          <w:highlight w:val="none"/>
        </w:rPr>
        <w:t xml:space="preserve">四、评标标准</w:t>
      </w:r>
      <w:r/>
    </w:p>
    <w:p>
      <w:pPr>
        <w:pStyle w:val="713"/>
        <w:rPr>
          <w:rFonts w:hint="eastAsia" w:ascii="宋体" w:hAnsi="宋体"/>
          <w:b/>
          <w:bCs/>
          <w:color w:val="auto"/>
          <w:sz w:val="24"/>
          <w:szCs w:val="24"/>
          <w:highlight w:val="none"/>
        </w:rPr>
      </w:pPr>
      <w:r>
        <w:rPr>
          <w:rFonts w:hint="eastAsia" w:ascii="宋体" w:hAnsi="宋体"/>
          <w:b/>
          <w:bCs/>
          <w:color w:val="auto"/>
          <w:sz w:val="24"/>
          <w:szCs w:val="24"/>
          <w:highlight w:val="none"/>
        </w:rPr>
      </w:r>
      <w:r/>
    </w:p>
    <w:tbl>
      <w:tblPr>
        <w:tblStyle w:val="99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592"/>
        <w:gridCol w:w="955"/>
      </w:tblGrid>
      <w:tr>
        <w:trPr>
          <w:jc w:val="center"/>
          <w:trHeight w:val="793"/>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b/>
                <w:bCs/>
                <w:spacing w:val="-2"/>
                <w:szCs w:val="21"/>
                <w:highlight w:val="none"/>
              </w:rPr>
            </w:pPr>
            <w:r>
              <w:rPr>
                <w:rFonts w:hint="eastAsia" w:ascii="宋体" w:hAnsi="宋体"/>
                <w:b/>
                <w:bCs/>
                <w:spacing w:val="-2"/>
                <w:szCs w:val="21"/>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rPr>
                <w:rFonts w:hint="eastAsia" w:ascii="宋体" w:hAnsi="宋体"/>
                <w:b/>
                <w:bCs/>
                <w:spacing w:val="-2"/>
                <w:szCs w:val="21"/>
                <w:highlight w:val="none"/>
              </w:rPr>
            </w:pPr>
            <w:r>
              <w:rPr>
                <w:rFonts w:hint="eastAsia" w:ascii="宋体" w:hAnsi="宋体"/>
                <w:b/>
                <w:bCs/>
                <w:spacing w:val="-2"/>
                <w:szCs w:val="21"/>
                <w:highlight w:val="none"/>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rPr>
                <w:rFonts w:hint="eastAsia" w:ascii="宋体" w:hAnsi="宋体"/>
                <w:b/>
                <w:bCs/>
                <w:spacing w:val="-2"/>
                <w:szCs w:val="21"/>
                <w:highlight w:val="none"/>
              </w:rPr>
            </w:pPr>
            <w:r>
              <w:rPr>
                <w:rFonts w:hint="eastAsia" w:ascii="宋体" w:hAnsi="宋体"/>
                <w:b/>
                <w:bCs/>
                <w:spacing w:val="-2"/>
                <w:szCs w:val="21"/>
                <w:highlight w:val="none"/>
              </w:rPr>
              <w:t xml:space="preserve">评审细则</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b/>
                <w:bCs/>
                <w:spacing w:val="-2"/>
                <w:szCs w:val="21"/>
                <w:highlight w:val="none"/>
              </w:rPr>
            </w:pPr>
            <w:r>
              <w:rPr>
                <w:rFonts w:hint="eastAsia" w:ascii="宋体" w:hAnsi="宋体"/>
                <w:b/>
                <w:bCs/>
                <w:spacing w:val="-2"/>
                <w:szCs w:val="21"/>
                <w:highlight w:val="none"/>
              </w:rPr>
              <w:t xml:space="preserve">分值</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b/>
                <w:bCs/>
                <w:spacing w:val="-2"/>
                <w:szCs w:val="21"/>
                <w:highlight w:val="none"/>
              </w:rPr>
            </w:pPr>
            <w:r>
              <w:rPr>
                <w:rFonts w:hint="eastAsia" w:ascii="宋体" w:hAnsi="宋体"/>
                <w:b/>
                <w:bCs/>
                <w:spacing w:val="-2"/>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highlight w:val="none"/>
              </w:rPr>
            </w:pPr>
            <w:r>
              <w:rPr>
                <w:rFonts w:hint="eastAsia" w:ascii="宋体" w:hAnsi="宋体"/>
                <w:b/>
                <w:bCs/>
                <w:spacing w:val="-3"/>
                <w:szCs w:val="21"/>
                <w:highlight w:val="none"/>
              </w:rPr>
              <w:t xml:space="preserve">1.价</w:t>
            </w:r>
            <w:r>
              <w:rPr>
                <w:rFonts w:hint="eastAsia" w:ascii="宋体" w:hAnsi="宋体"/>
                <w:b/>
                <w:bCs/>
                <w:spacing w:val="-2"/>
                <w:szCs w:val="21"/>
                <w:highlight w:val="none"/>
              </w:rPr>
              <w:t xml:space="preserve">格</w:t>
            </w:r>
            <w:r/>
          </w:p>
        </w:tc>
      </w:tr>
      <w:tr>
        <w:trPr>
          <w:jc w:val="center"/>
          <w:trHeight w:val="1263"/>
        </w:trPr>
        <w:tc>
          <w:tcPr>
            <w:tcBorders>
              <w:top w:val="single" w:color="000000" w:sz="2" w:space="0"/>
              <w:bottom w:val="single" w:color="000000" w:sz="2" w:space="0"/>
            </w:tcBorders>
            <w:tcW w:w="519"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1.1</w:t>
            </w:r>
            <w:r/>
          </w:p>
        </w:tc>
        <w:tc>
          <w:tcPr>
            <w:tcBorders>
              <w:top w:val="single" w:color="000000" w:sz="2" w:space="0"/>
              <w:bottom w:val="single" w:color="000000" w:sz="2" w:space="0"/>
            </w:tcBorders>
            <w:tcW w:w="1179"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价格分</w:t>
            </w:r>
            <w:r/>
          </w:p>
        </w:tc>
        <w:tc>
          <w:tcPr>
            <w:tcBorders>
              <w:top w:val="single" w:color="000000" w:sz="2" w:space="0"/>
              <w:bottom w:val="single" w:color="000000" w:sz="2" w:space="0"/>
            </w:tcBorders>
            <w:tcW w:w="6330" w:type="dxa"/>
            <w:vAlign w:val="center"/>
            <w:textDirection w:val="lrTb"/>
            <w:noWrap w:val="false"/>
          </w:tcPr>
          <w:p>
            <w:pPr>
              <w:pStyle w:val="1002"/>
              <w:rPr>
                <w:rFonts w:hint="eastAsia"/>
                <w:sz w:val="21"/>
                <w:szCs w:val="21"/>
                <w:highlight w:val="none"/>
                <w:lang w:bidi="ar-SA"/>
              </w:rPr>
            </w:pPr>
            <w:r>
              <w:rPr>
                <w:sz w:val="21"/>
                <w:szCs w:val="21"/>
                <w:highlight w:val="none"/>
                <w:lang w:bidi="ar-SA"/>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Borders>
              <w:top w:val="single" w:color="000000" w:sz="2" w:space="0"/>
              <w:bottom w:val="single" w:color="000000" w:sz="2" w:space="0"/>
            </w:tcBorders>
            <w:tcW w:w="592"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35</w:t>
            </w:r>
            <w:r/>
          </w:p>
        </w:tc>
        <w:tc>
          <w:tcPr>
            <w:tcBorders>
              <w:top w:val="single" w:color="000000" w:sz="2" w:space="0"/>
              <w:bottom w:val="single" w:color="000000" w:sz="2" w:space="0"/>
            </w:tcBorders>
            <w:tcW w:w="955"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highlight w:val="none"/>
              </w:rPr>
            </w:pPr>
            <w:r>
              <w:rPr>
                <w:rFonts w:hint="eastAsia" w:ascii="宋体" w:hAnsi="宋体"/>
                <w:b/>
                <w:bCs/>
                <w:spacing w:val="-3"/>
                <w:szCs w:val="21"/>
                <w:highlight w:val="none"/>
              </w:rPr>
              <w:t xml:space="preserve">2.技术</w:t>
            </w:r>
            <w:r/>
          </w:p>
        </w:tc>
      </w:tr>
      <w:tr>
        <w:trPr>
          <w:jc w:val="center"/>
          <w:trHeight w:val="1384"/>
        </w:trPr>
        <w:tc>
          <w:tcPr>
            <w:tcBorders>
              <w:top w:val="single" w:color="000000" w:sz="2" w:space="0"/>
              <w:bottom w:val="single" w:color="000000" w:sz="2" w:space="0"/>
            </w:tcBorders>
            <w:tcW w:w="519"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2.1</w:t>
            </w:r>
            <w:r/>
          </w:p>
        </w:tc>
        <w:tc>
          <w:tcPr>
            <w:tcBorders>
              <w:top w:val="single" w:color="000000" w:sz="2" w:space="0"/>
              <w:bottom w:val="single" w:color="000000" w:sz="2" w:space="0"/>
            </w:tcBorders>
            <w:tcW w:w="1179"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1002"/>
              <w:rPr>
                <w:rFonts w:hint="eastAsia"/>
                <w:b/>
                <w:bCs/>
                <w:sz w:val="21"/>
                <w:szCs w:val="21"/>
                <w:highlight w:val="none"/>
              </w:rPr>
            </w:pPr>
            <w:r>
              <w:rPr>
                <w:rFonts w:hint="eastAsia"/>
                <w:b/>
                <w:bCs/>
                <w:sz w:val="21"/>
                <w:szCs w:val="21"/>
                <w:highlight w:val="none"/>
              </w:rPr>
              <w:t xml:space="preserve">采购包1：</w:t>
            </w:r>
            <w:r/>
          </w:p>
          <w:p>
            <w:pPr>
              <w:pStyle w:val="1002"/>
              <w:rPr>
                <w:rFonts w:hint="eastAsia"/>
                <w:sz w:val="21"/>
                <w:szCs w:val="21"/>
                <w:highlight w:val="none"/>
              </w:rPr>
            </w:pPr>
            <w:r>
              <w:rPr>
                <w:rFonts w:hint="eastAsia"/>
                <w:sz w:val="21"/>
                <w:szCs w:val="21"/>
                <w:highlight w:val="none"/>
              </w:rPr>
              <w:t xml:space="preserve">产品技术参数全部满足招标要求的得满分24分，▲指标（5项）为重要指标，有1项负偏离扣1分，其余指标有1项负偏离扣0.16分。</w:t>
            </w:r>
            <w:r>
              <w:rPr>
                <w:sz w:val="21"/>
                <w:szCs w:val="21"/>
                <w:highlight w:val="none"/>
              </w:rPr>
              <w:t xml:space="preserve">严重负偏离影响设备性能的经半数以上评委认定，本项得零分。</w:t>
            </w:r>
            <w:r/>
          </w:p>
          <w:p>
            <w:pPr>
              <w:pStyle w:val="1002"/>
              <w:rPr>
                <w:rFonts w:hint="eastAsia"/>
                <w:b/>
                <w:bCs/>
                <w:sz w:val="21"/>
                <w:szCs w:val="21"/>
                <w:highlight w:val="none"/>
              </w:rPr>
            </w:pPr>
            <w:r>
              <w:rPr>
                <w:rFonts w:hint="eastAsia"/>
                <w:b/>
                <w:bCs/>
                <w:sz w:val="21"/>
                <w:szCs w:val="21"/>
                <w:highlight w:val="none"/>
              </w:rPr>
              <w:t xml:space="preserve">采购包2：</w:t>
            </w:r>
            <w:r/>
          </w:p>
          <w:p>
            <w:pPr>
              <w:pStyle w:val="1002"/>
              <w:rPr>
                <w:rFonts w:hint="eastAsia"/>
                <w:sz w:val="21"/>
                <w:szCs w:val="21"/>
                <w:highlight w:val="none"/>
                <w:lang w:bidi="ar-SA"/>
              </w:rPr>
            </w:pPr>
            <w:r>
              <w:rPr>
                <w:rFonts w:hint="eastAsia"/>
                <w:sz w:val="21"/>
                <w:szCs w:val="21"/>
                <w:highlight w:val="none"/>
              </w:rPr>
              <w:t xml:space="preserve">产品技术参数全部满足招标要求的得满分24分，打▲指标（6项）为重要指标，有1项负偏离扣1分，其余指标有1项负偏离扣0.08分。</w:t>
            </w:r>
            <w:r>
              <w:rPr>
                <w:sz w:val="21"/>
                <w:szCs w:val="21"/>
                <w:highlight w:val="none"/>
              </w:rPr>
              <w:t xml:space="preserve">严重负偏离影响设备性能的经半数以上评委认定，本项得零分。</w:t>
            </w:r>
            <w:r/>
          </w:p>
        </w:tc>
        <w:tc>
          <w:tcPr>
            <w:tcBorders>
              <w:top w:val="single" w:color="000000" w:sz="2" w:space="0"/>
              <w:bottom w:val="single" w:color="000000" w:sz="2" w:space="0"/>
            </w:tcBorders>
            <w:tcW w:w="592"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val="en-US" w:bidi="ar-SA"/>
              </w:rPr>
              <w:t xml:space="preserve">24</w:t>
            </w:r>
            <w:r/>
          </w:p>
        </w:tc>
        <w:tc>
          <w:tcPr>
            <w:tcBorders>
              <w:top w:val="single" w:color="000000" w:sz="2" w:space="0"/>
              <w:bottom w:val="single" w:color="000000" w:sz="2" w:space="0"/>
            </w:tcBorders>
            <w:tcW w:w="955"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客观分</w:t>
            </w:r>
            <w:r/>
          </w:p>
        </w:tc>
      </w:tr>
      <w:tr>
        <w:trPr>
          <w:jc w:val="center"/>
          <w:trHeight w:val="1384"/>
        </w:trPr>
        <w:tc>
          <w:tcPr>
            <w:tcBorders>
              <w:top w:val="single" w:color="000000" w:sz="2" w:space="0"/>
              <w:bottom w:val="single" w:color="000000" w:sz="2" w:space="0"/>
            </w:tcBorders>
            <w:tcW w:w="519"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2.2</w:t>
            </w:r>
            <w:r/>
          </w:p>
        </w:tc>
        <w:tc>
          <w:tcPr>
            <w:tcBorders>
              <w:top w:val="single" w:color="000000" w:sz="2" w:space="0"/>
              <w:bottom w:val="single" w:color="000000" w:sz="2" w:space="0"/>
            </w:tcBorders>
            <w:tcW w:w="1179" w:type="dxa"/>
            <w:vAlign w:val="center"/>
            <w:textDirection w:val="lrTb"/>
            <w:noWrap w:val="false"/>
          </w:tcPr>
          <w:p>
            <w:pPr>
              <w:pStyle w:val="1002"/>
              <w:jc w:val="center"/>
              <w:rPr>
                <w:rFonts w:hint="eastAsia"/>
                <w:sz w:val="21"/>
                <w:szCs w:val="21"/>
                <w:highlight w:val="none"/>
                <w:lang w:bidi="ar-SA"/>
              </w:rPr>
            </w:pPr>
            <w:r>
              <w:rPr>
                <w:sz w:val="21"/>
                <w:szCs w:val="21"/>
                <w:highlight w:val="none"/>
                <w:lang w:bidi="ar-SA"/>
              </w:rPr>
              <w:t xml:space="preserve">深化设计方案</w:t>
            </w:r>
            <w:r/>
          </w:p>
        </w:tc>
        <w:tc>
          <w:tcPr>
            <w:tcBorders>
              <w:top w:val="single" w:color="000000" w:sz="2" w:space="0"/>
              <w:bottom w:val="single" w:color="000000" w:sz="2" w:space="0"/>
            </w:tcBorders>
            <w:tcW w:w="6330" w:type="dxa"/>
            <w:vAlign w:val="center"/>
            <w:textDirection w:val="lrTb"/>
            <w:noWrap w:val="false"/>
          </w:tcPr>
          <w:p>
            <w:pPr>
              <w:pStyle w:val="1002"/>
              <w:rPr>
                <w:rFonts w:hint="eastAsia"/>
                <w:sz w:val="21"/>
                <w:szCs w:val="21"/>
                <w:highlight w:val="none"/>
                <w:lang w:val="en-US" w:bidi="ar-SA"/>
              </w:rPr>
            </w:pPr>
            <w:r>
              <w:rPr>
                <w:sz w:val="21"/>
                <w:szCs w:val="21"/>
                <w:highlight w:val="none"/>
              </w:rPr>
              <w:t xml:space="preserve">投标人根据提供的</w:t>
            </w:r>
            <w:r>
              <w:rPr>
                <w:rFonts w:hint="eastAsia"/>
                <w:sz w:val="21"/>
                <w:szCs w:val="21"/>
                <w:highlight w:val="none"/>
              </w:rPr>
              <w:t xml:space="preserve">校园</w:t>
            </w:r>
            <w:r>
              <w:rPr>
                <w:sz w:val="21"/>
                <w:szCs w:val="21"/>
                <w:highlight w:val="none"/>
              </w:rPr>
              <w:t xml:space="preserve">建筑图纸</w:t>
            </w:r>
            <w:r>
              <w:rPr>
                <w:rFonts w:hint="eastAsia"/>
                <w:sz w:val="21"/>
                <w:szCs w:val="21"/>
                <w:highlight w:val="none"/>
              </w:rPr>
              <w:t xml:space="preserve">（</w:t>
            </w:r>
            <w:r>
              <w:rPr>
                <w:sz w:val="21"/>
                <w:szCs w:val="21"/>
                <w:highlight w:val="none"/>
                <w:lang w:val="en-US"/>
              </w:rPr>
              <w:t xml:space="preserve">详情见附件</w:t>
            </w:r>
            <w:r>
              <w:rPr>
                <w:rFonts w:hint="eastAsia"/>
                <w:sz w:val="21"/>
                <w:szCs w:val="21"/>
                <w:highlight w:val="none"/>
                <w:lang w:val="en-US"/>
              </w:rPr>
              <w:t xml:space="preserve">）</w:t>
            </w:r>
            <w:r>
              <w:rPr>
                <w:sz w:val="21"/>
                <w:szCs w:val="21"/>
                <w:highlight w:val="none"/>
              </w:rPr>
              <w:t xml:space="preserve">和采购需求，提供</w:t>
            </w:r>
            <w:r>
              <w:rPr>
                <w:rFonts w:hint="eastAsia"/>
                <w:sz w:val="21"/>
                <w:szCs w:val="21"/>
                <w:highlight w:val="none"/>
              </w:rPr>
              <w:t xml:space="preserve">本项目</w:t>
            </w:r>
            <w:r>
              <w:rPr>
                <w:sz w:val="21"/>
                <w:szCs w:val="21"/>
                <w:highlight w:val="none"/>
              </w:rPr>
              <w:t xml:space="preserve">（针对：</w:t>
            </w:r>
            <w:r>
              <w:rPr>
                <w:rFonts w:hint="eastAsia"/>
                <w:sz w:val="21"/>
                <w:szCs w:val="21"/>
                <w:highlight w:val="none"/>
              </w:rPr>
              <w:t xml:space="preserve">采购</w:t>
            </w:r>
            <w:r>
              <w:rPr>
                <w:sz w:val="21"/>
                <w:szCs w:val="21"/>
                <w:highlight w:val="none"/>
              </w:rPr>
              <w:t xml:space="preserve">包1：六合区双语小学雄州分校；</w:t>
            </w:r>
            <w:r>
              <w:rPr>
                <w:rFonts w:hint="eastAsia"/>
                <w:sz w:val="21"/>
                <w:szCs w:val="21"/>
                <w:highlight w:val="none"/>
              </w:rPr>
              <w:t xml:space="preserve">采购</w:t>
            </w:r>
            <w:r>
              <w:rPr>
                <w:sz w:val="21"/>
                <w:szCs w:val="21"/>
                <w:highlight w:val="none"/>
              </w:rPr>
              <w:t xml:space="preserve">包2：</w:t>
            </w:r>
            <w:r>
              <w:rPr>
                <w:rFonts w:hint="eastAsia"/>
                <w:color w:val="000000"/>
                <w:sz w:val="21"/>
                <w:szCs w:val="21"/>
                <w:highlight w:val="none"/>
              </w:rPr>
              <w:t xml:space="preserve">六合区方州小学</w:t>
            </w:r>
            <w:r>
              <w:rPr>
                <w:sz w:val="21"/>
                <w:szCs w:val="21"/>
                <w:highlight w:val="none"/>
              </w:rPr>
              <w:t xml:space="preserve">）校园监控</w:t>
            </w:r>
            <w:r>
              <w:rPr>
                <w:rFonts w:hint="eastAsia"/>
                <w:sz w:val="21"/>
                <w:szCs w:val="21"/>
                <w:highlight w:val="none"/>
              </w:rPr>
              <w:t xml:space="preserve">系统</w:t>
            </w:r>
            <w:r>
              <w:rPr>
                <w:sz w:val="21"/>
                <w:szCs w:val="21"/>
                <w:highlight w:val="none"/>
              </w:rPr>
              <w:t xml:space="preserve">深化设计方案</w:t>
            </w:r>
            <w:r>
              <w:rPr>
                <w:rFonts w:hint="eastAsia"/>
                <w:sz w:val="21"/>
                <w:szCs w:val="21"/>
                <w:highlight w:val="none"/>
              </w:rPr>
              <w:t xml:space="preserve">，内容包含：1.点位规划设计；2.系统拓扑与网络架构设计；3.存储深化设计；4.前端设备选型适配设计。</w:t>
            </w:r>
            <w:r>
              <w:rPr>
                <w:sz w:val="21"/>
                <w:szCs w:val="21"/>
                <w:highlight w:val="none"/>
                <w:lang w:val="en-US" w:bidi="ar-SA"/>
              </w:rPr>
              <w:t xml:space="preserve">以上每项内容逐项评分：</w:t>
            </w:r>
            <w:r/>
          </w:p>
          <w:p>
            <w:pPr>
              <w:pStyle w:val="1002"/>
              <w:rPr>
                <w:rFonts w:hint="eastAsia"/>
                <w:sz w:val="21"/>
                <w:szCs w:val="21"/>
                <w:highlight w:val="none"/>
                <w:lang w:val="en-US" w:bidi="ar-SA"/>
              </w:rPr>
            </w:pPr>
            <w:r>
              <w:rPr>
                <w:sz w:val="21"/>
                <w:szCs w:val="21"/>
                <w:highlight w:val="none"/>
                <w:lang w:val="en-US" w:bidi="ar-SA"/>
              </w:rPr>
              <w:t xml:space="preserve">内容完整、含量化测算、配套设计图纸，针对性适配中小学场景视为符合</w:t>
            </w:r>
            <w:r>
              <w:rPr>
                <w:rFonts w:hint="eastAsia"/>
                <w:sz w:val="21"/>
                <w:szCs w:val="21"/>
                <w:highlight w:val="none"/>
                <w:lang w:val="en-US" w:bidi="ar-SA"/>
              </w:rPr>
              <w:t xml:space="preserve">；仅有简单文字描述，无测算数据、无配套图纸，仅少量贴合本项目需求视为部分符合；内容缺失、通篇通用模板、未结合学校实际场地视为不符合。</w:t>
            </w:r>
            <w:r/>
          </w:p>
          <w:p>
            <w:pPr>
              <w:pStyle w:val="1002"/>
              <w:rPr>
                <w:rFonts w:hint="eastAsia"/>
                <w:sz w:val="21"/>
                <w:szCs w:val="21"/>
                <w:highlight w:val="none"/>
              </w:rPr>
            </w:pPr>
            <w:r>
              <w:rPr>
                <w:sz w:val="21"/>
                <w:szCs w:val="21"/>
                <w:highlight w:val="none"/>
              </w:rPr>
              <w:t xml:space="preserve">上述每项内容符合得2分；部分符合得1分；不符合或不提供不得分。</w:t>
            </w:r>
            <w:r/>
          </w:p>
        </w:tc>
        <w:tc>
          <w:tcPr>
            <w:tcBorders>
              <w:top w:val="single" w:color="000000" w:sz="2" w:space="0"/>
              <w:bottom w:val="single" w:color="000000" w:sz="2" w:space="0"/>
            </w:tcBorders>
            <w:tcW w:w="592" w:type="dxa"/>
            <w:vAlign w:val="center"/>
            <w:textDirection w:val="lrTb"/>
            <w:noWrap w:val="false"/>
          </w:tcPr>
          <w:p>
            <w:pPr>
              <w:pStyle w:val="1002"/>
              <w:jc w:val="center"/>
              <w:rPr>
                <w:rFonts w:hint="eastAsia"/>
                <w:sz w:val="21"/>
                <w:szCs w:val="21"/>
                <w:highlight w:val="none"/>
                <w:lang w:val="en-US" w:bidi="ar-SA"/>
              </w:rPr>
            </w:pPr>
            <w:r>
              <w:rPr>
                <w:rFonts w:hint="eastAsia"/>
                <w:sz w:val="21"/>
                <w:szCs w:val="21"/>
                <w:highlight w:val="none"/>
                <w:lang w:val="en-US" w:bidi="ar-SA"/>
              </w:rPr>
              <w:t xml:space="preserve">8</w:t>
            </w:r>
            <w:r/>
          </w:p>
        </w:tc>
        <w:tc>
          <w:tcPr>
            <w:tcBorders>
              <w:top w:val="single" w:color="000000" w:sz="2" w:space="0"/>
              <w:bottom w:val="single" w:color="000000" w:sz="2" w:space="0"/>
            </w:tcBorders>
            <w:tcW w:w="955"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主观分</w:t>
            </w:r>
            <w:r/>
          </w:p>
        </w:tc>
      </w:tr>
      <w:tr>
        <w:trPr>
          <w:jc w:val="center"/>
          <w:trHeight w:val="1130"/>
        </w:trPr>
        <w:tc>
          <w:tcPr>
            <w:tcBorders>
              <w:top w:val="single" w:color="000000" w:sz="2" w:space="0"/>
              <w:bottom w:val="single" w:color="000000" w:sz="2" w:space="0"/>
            </w:tcBorders>
            <w:tcW w:w="519" w:type="dxa"/>
            <w:vAlign w:val="center"/>
            <w:textDirection w:val="lrTb"/>
            <w:noWrap w:val="false"/>
          </w:tcPr>
          <w:p>
            <w:pPr>
              <w:pStyle w:val="1002"/>
              <w:jc w:val="center"/>
              <w:rPr>
                <w:rFonts w:hint="eastAsia"/>
                <w:sz w:val="21"/>
                <w:szCs w:val="21"/>
                <w:highlight w:val="none"/>
                <w:lang w:bidi="ar-SA"/>
              </w:rPr>
            </w:pPr>
            <w:r>
              <w:rPr>
                <w:rFonts w:hint="eastAsia"/>
                <w:sz w:val="21"/>
                <w:szCs w:val="21"/>
                <w:highlight w:val="none"/>
                <w:lang w:bidi="ar-SA"/>
              </w:rPr>
              <w:t xml:space="preserve">2.3</w:t>
            </w:r>
            <w:r/>
          </w:p>
        </w:tc>
        <w:tc>
          <w:tcPr>
            <w:tcBorders>
              <w:top w:val="single" w:color="000000" w:sz="2" w:space="0"/>
              <w:bottom w:val="single" w:color="000000" w:sz="2" w:space="0"/>
            </w:tcBorders>
            <w:tcW w:w="1179" w:type="dxa"/>
            <w:vAlign w:val="center"/>
            <w:textDirection w:val="lrTb"/>
            <w:noWrap w:val="false"/>
          </w:tcPr>
          <w:p>
            <w:pPr>
              <w:pStyle w:val="1002"/>
              <w:jc w:val="center"/>
              <w:rPr>
                <w:rFonts w:hint="eastAsia"/>
                <w:sz w:val="21"/>
                <w:szCs w:val="21"/>
                <w:highlight w:val="none"/>
                <w:lang w:val="en-US" w:bidi="ar-SA"/>
              </w:rPr>
            </w:pPr>
            <w:r>
              <w:rPr>
                <w:rFonts w:hint="eastAsia"/>
                <w:sz w:val="21"/>
                <w:szCs w:val="21"/>
                <w:highlight w:val="none"/>
                <w:lang w:val="en-US" w:bidi="ar-SA"/>
              </w:rPr>
              <w:t xml:space="preserve">实施方案</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szCs w:val="21"/>
                <w:highlight w:val="none"/>
              </w:rPr>
            </w:pPr>
            <w:r>
              <w:rPr>
                <w:rFonts w:ascii="宋体" w:hAnsi="宋体"/>
                <w:szCs w:val="21"/>
                <w:highlight w:val="none"/>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以上每项内容逐项评分：</w:t>
            </w:r>
            <w:r/>
          </w:p>
          <w:p>
            <w:pPr>
              <w:jc w:val="left"/>
              <w:rPr>
                <w:rFonts w:hint="eastAsia" w:ascii="宋体" w:hAnsi="宋体"/>
                <w:szCs w:val="21"/>
                <w:highlight w:val="none"/>
              </w:rPr>
            </w:pPr>
            <w:r>
              <w:rPr>
                <w:rFonts w:ascii="宋体" w:hAnsi="宋体"/>
                <w:szCs w:val="21"/>
                <w:highlight w:val="none"/>
              </w:rPr>
              <w:t xml:space="preserve">方案内容完整、论述深入、可行性强，且专门针对本项目，契合采购需求视为符合；方案内容属于通用类，非专门针对本项目，部分契合采购需求视为部分符合；方案内容非专门针对本项目，脱离采购需求视为不符合。</w:t>
            </w:r>
            <w:r/>
          </w:p>
          <w:p>
            <w:pPr>
              <w:pStyle w:val="713"/>
              <w:jc w:val="left"/>
              <w:spacing w:before="0" w:after="0"/>
              <w:rPr>
                <w:rFonts w:hint="eastAsia" w:ascii="宋体" w:hAnsi="宋体"/>
                <w:sz w:val="21"/>
                <w:szCs w:val="21"/>
                <w:highlight w:val="none"/>
              </w:rPr>
            </w:pPr>
            <w:r>
              <w:rPr>
                <w:rFonts w:ascii="宋体" w:hAnsi="宋体"/>
                <w:color w:val="auto"/>
                <w:sz w:val="21"/>
                <w:szCs w:val="21"/>
                <w:highlight w:val="none"/>
              </w:rPr>
              <w:t xml:space="preserve">上述每项内容符合得2分；部分符合得1分；不符合或不提供不得分。</w:t>
            </w:r>
            <w:r/>
          </w:p>
        </w:tc>
        <w:tc>
          <w:tcPr>
            <w:tcBorders>
              <w:top w:val="single" w:color="000000" w:sz="2" w:space="0"/>
              <w:bottom w:val="single" w:color="000000" w:sz="2" w:space="0"/>
            </w:tcBorders>
            <w:tcW w:w="592" w:type="dxa"/>
            <w:vAlign w:val="center"/>
            <w:textDirection w:val="lrTb"/>
            <w:noWrap w:val="false"/>
          </w:tcPr>
          <w:p>
            <w:pPr>
              <w:pStyle w:val="1002"/>
              <w:jc w:val="center"/>
              <w:rPr>
                <w:rFonts w:hint="eastAsia"/>
                <w:sz w:val="21"/>
                <w:szCs w:val="21"/>
                <w:highlight w:val="none"/>
                <w:lang w:val="en-US"/>
              </w:rPr>
            </w:pPr>
            <w:r>
              <w:rPr>
                <w:rFonts w:hint="eastAsia"/>
                <w:sz w:val="21"/>
                <w:szCs w:val="21"/>
                <w:highlight w:val="none"/>
                <w:lang w:val="en-US"/>
              </w:rPr>
              <w:t xml:space="preserve">8</w:t>
            </w:r>
            <w:r/>
          </w:p>
        </w:tc>
        <w:tc>
          <w:tcPr>
            <w:tcBorders>
              <w:top w:val="single" w:color="000000" w:sz="2" w:space="0"/>
              <w:bottom w:val="single" w:color="000000" w:sz="2" w:space="0"/>
            </w:tcBorders>
            <w:tcW w:w="955" w:type="dxa"/>
            <w:vAlign w:val="center"/>
            <w:textDirection w:val="lrTb"/>
            <w:noWrap w:val="false"/>
          </w:tcPr>
          <w:p>
            <w:pPr>
              <w:pStyle w:val="1002"/>
              <w:jc w:val="center"/>
              <w:rPr>
                <w:rFonts w:hint="eastAsia"/>
                <w:sz w:val="21"/>
                <w:szCs w:val="21"/>
                <w:highlight w:val="none"/>
              </w:rPr>
            </w:pPr>
            <w:r>
              <w:rPr>
                <w:rFonts w:hint="eastAsia"/>
                <w:sz w:val="21"/>
                <w:szCs w:val="21"/>
                <w:highlight w:val="none"/>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highlight w:val="none"/>
              </w:rPr>
            </w:pPr>
            <w:r>
              <w:rPr>
                <w:rFonts w:hint="eastAsia" w:ascii="宋体" w:hAnsi="宋体"/>
                <w:b/>
                <w:bCs/>
                <w:spacing w:val="-3"/>
                <w:szCs w:val="21"/>
                <w:highlight w:val="none"/>
              </w:rPr>
              <w:t xml:space="preserve">3.服务</w:t>
            </w:r>
            <w:r/>
          </w:p>
        </w:tc>
      </w:tr>
      <w:tr>
        <w:trPr>
          <w:jc w:val="center"/>
          <w:trHeight w:val="1083"/>
        </w:trPr>
        <w:tc>
          <w:tcPr>
            <w:tcW w:w="519" w:type="dxa"/>
            <w:vAlign w:val="center"/>
            <w:textDirection w:val="lrTb"/>
            <w:noWrap w:val="false"/>
          </w:tcPr>
          <w:p>
            <w:pPr>
              <w:jc w:val="center"/>
              <w:rPr>
                <w:rFonts w:hint="eastAsia" w:ascii="宋体" w:hAnsi="宋体"/>
                <w:spacing w:val="-2"/>
                <w:szCs w:val="21"/>
                <w:highlight w:val="none"/>
              </w:rPr>
            </w:pPr>
            <w:r>
              <w:rPr>
                <w:rFonts w:hint="eastAsia" w:ascii="宋体" w:hAnsi="宋体"/>
                <w:szCs w:val="21"/>
                <w:highlight w:val="none"/>
              </w:rPr>
              <w:t xml:space="preserve">3.1</w:t>
            </w:r>
            <w:r/>
          </w:p>
        </w:tc>
        <w:tc>
          <w:tcPr>
            <w:tcW w:w="1179"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延保服务</w:t>
            </w:r>
            <w:r/>
          </w:p>
        </w:tc>
        <w:tc>
          <w:tcPr>
            <w:tcW w:w="6330" w:type="dxa"/>
            <w:vAlign w:val="center"/>
            <w:textDirection w:val="lrTb"/>
            <w:noWrap w:val="false"/>
          </w:tcPr>
          <w:p>
            <w:pPr>
              <w:pStyle w:val="1002"/>
              <w:rPr>
                <w:rFonts w:hint="eastAsia"/>
                <w:sz w:val="21"/>
                <w:szCs w:val="21"/>
                <w:highlight w:val="none"/>
                <w:lang w:bidi="ar-SA"/>
              </w:rPr>
            </w:pPr>
            <w:r>
              <w:rPr>
                <w:sz w:val="21"/>
                <w:szCs w:val="21"/>
                <w:highlight w:val="none"/>
              </w:rPr>
              <w:t xml:space="preserve">投标人承诺所投产品质量保修期</w:t>
            </w:r>
            <w:r>
              <w:rPr>
                <w:rFonts w:hint="eastAsia"/>
                <w:sz w:val="21"/>
                <w:szCs w:val="21"/>
                <w:highlight w:val="none"/>
              </w:rPr>
              <w:t xml:space="preserve">在</w:t>
            </w:r>
            <w:r>
              <w:rPr>
                <w:sz w:val="21"/>
                <w:szCs w:val="21"/>
                <w:highlight w:val="none"/>
              </w:rPr>
              <w:t xml:space="preserve">三年基础上</w:t>
            </w:r>
            <w:r>
              <w:rPr>
                <w:rFonts w:hint="eastAsia"/>
                <w:sz w:val="21"/>
                <w:szCs w:val="21"/>
                <w:highlight w:val="none"/>
              </w:rPr>
              <w:t xml:space="preserve">，</w:t>
            </w:r>
            <w:r>
              <w:rPr>
                <w:sz w:val="21"/>
                <w:szCs w:val="21"/>
                <w:highlight w:val="none"/>
              </w:rPr>
              <w:t xml:space="preserve">每</w:t>
            </w:r>
            <w:r>
              <w:rPr>
                <w:rFonts w:hint="eastAsia"/>
                <w:sz w:val="21"/>
                <w:szCs w:val="21"/>
                <w:highlight w:val="none"/>
              </w:rPr>
              <w:t xml:space="preserve">延长</w:t>
            </w:r>
            <w:r>
              <w:rPr>
                <w:sz w:val="21"/>
                <w:szCs w:val="21"/>
                <w:highlight w:val="none"/>
              </w:rPr>
              <w:t xml:space="preserve">一年质保期得2分，最多得</w:t>
            </w:r>
            <w:r>
              <w:rPr>
                <w:rFonts w:hint="eastAsia"/>
                <w:sz w:val="21"/>
                <w:szCs w:val="21"/>
                <w:highlight w:val="none"/>
              </w:rPr>
              <w:t xml:space="preserve">6</w:t>
            </w:r>
            <w:r>
              <w:rPr>
                <w:sz w:val="21"/>
                <w:szCs w:val="21"/>
                <w:highlight w:val="none"/>
              </w:rPr>
              <w:t xml:space="preserve">分。（质保期从系统验收合格起算，出具承诺书）</w:t>
            </w:r>
            <w:r/>
          </w:p>
        </w:tc>
        <w:tc>
          <w:tcPr>
            <w:tcW w:w="592"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6</w:t>
            </w:r>
            <w:r/>
          </w:p>
        </w:tc>
        <w:tc>
          <w:tcPr>
            <w:tcW w:w="955" w:type="dxa"/>
            <w:vAlign w:val="center"/>
            <w:textDirection w:val="lrTb"/>
            <w:noWrap w:val="false"/>
          </w:tcPr>
          <w:p>
            <w:pPr>
              <w:jc w:val="center"/>
              <w:rPr>
                <w:rFonts w:hint="eastAsia" w:ascii="宋体" w:hAnsi="宋体"/>
                <w:spacing w:val="-6"/>
                <w:szCs w:val="21"/>
                <w:highlight w:val="none"/>
              </w:rPr>
            </w:pPr>
            <w:r>
              <w:rPr>
                <w:rFonts w:hint="eastAsia" w:ascii="宋体" w:hAnsi="宋体"/>
                <w:szCs w:val="21"/>
                <w:highlight w:val="none"/>
              </w:rPr>
              <w:t xml:space="preserve">客观分</w:t>
            </w:r>
            <w:r/>
          </w:p>
        </w:tc>
      </w:tr>
      <w:tr>
        <w:trPr>
          <w:jc w:val="center"/>
          <w:trHeight w:val="3361"/>
        </w:trPr>
        <w:tc>
          <w:tcPr>
            <w:tcW w:w="519" w:type="dxa"/>
            <w:vAlign w:val="center"/>
            <w:textDirection w:val="lrTb"/>
            <w:noWrap w:val="false"/>
          </w:tcPr>
          <w:p>
            <w:pPr>
              <w:jc w:val="center"/>
              <w:rPr>
                <w:rFonts w:hint="eastAsia" w:ascii="宋体" w:hAnsi="宋体"/>
                <w:spacing w:val="-2"/>
                <w:szCs w:val="21"/>
                <w:highlight w:val="none"/>
              </w:rPr>
            </w:pPr>
            <w:r>
              <w:rPr>
                <w:rFonts w:hint="eastAsia" w:ascii="宋体" w:hAnsi="宋体"/>
                <w:szCs w:val="21"/>
                <w:highlight w:val="none"/>
              </w:rPr>
              <w:t xml:space="preserve">3.2</w:t>
            </w:r>
            <w:r/>
          </w:p>
        </w:tc>
        <w:tc>
          <w:tcPr>
            <w:tcW w:w="1179" w:type="dxa"/>
            <w:vAlign w:val="center"/>
            <w:textDirection w:val="lrTb"/>
            <w:noWrap w:val="false"/>
          </w:tcPr>
          <w:p>
            <w:pPr>
              <w:pStyle w:val="1002"/>
              <w:jc w:val="center"/>
              <w:rPr>
                <w:rFonts w:hint="eastAsia"/>
                <w:sz w:val="21"/>
                <w:szCs w:val="21"/>
                <w:highlight w:val="none"/>
                <w:lang w:val="en-US" w:bidi="ar-SA"/>
              </w:rPr>
            </w:pPr>
            <w:r>
              <w:rPr>
                <w:rFonts w:hint="eastAsia"/>
                <w:sz w:val="21"/>
                <w:szCs w:val="21"/>
                <w:highlight w:val="none"/>
              </w:rPr>
              <w:t xml:space="preserve">售后服务方案</w:t>
            </w:r>
            <w:r/>
          </w:p>
        </w:tc>
        <w:tc>
          <w:tcPr>
            <w:tcW w:w="6330" w:type="dxa"/>
            <w:vAlign w:val="center"/>
            <w:textDirection w:val="lrTb"/>
            <w:noWrap w:val="false"/>
          </w:tcPr>
          <w:p>
            <w:pPr>
              <w:jc w:val="left"/>
              <w:rPr>
                <w:rFonts w:hint="eastAsia" w:ascii="宋体" w:hAnsi="宋体"/>
                <w:color w:val="000000"/>
                <w:szCs w:val="21"/>
                <w:highlight w:val="none"/>
              </w:rPr>
            </w:pPr>
            <w:r>
              <w:rPr>
                <w:rFonts w:hint="eastAsia" w:ascii="宋体" w:hAnsi="宋体"/>
                <w:color w:val="000000"/>
                <w:szCs w:val="21"/>
                <w:highlight w:val="none"/>
              </w:rPr>
              <w:t xml:space="preserve">根据本项目采购需求及相关要求编制方案，内容包括：</w:t>
            </w:r>
            <w:r>
              <w:rPr>
                <w:rFonts w:ascii="宋体" w:hAnsi="宋体"/>
                <w:color w:val="000000"/>
                <w:szCs w:val="21"/>
                <w:highlight w:val="none"/>
              </w:rPr>
              <w:t xml:space="preserve">1.</w:t>
            </w:r>
            <w:r>
              <w:rPr>
                <w:rFonts w:hint="eastAsia" w:ascii="宋体" w:hAnsi="宋体"/>
                <w:color w:val="000000"/>
                <w:szCs w:val="21"/>
                <w:highlight w:val="none"/>
              </w:rPr>
              <w:t xml:space="preserve">技术支持与设备维护服务方案，内容包括技术支持服务内容、服务响应方式、故障分级、响应时限、问题诊断、软件维护、硬件维护、现场服务和服务闭环记录等相关内容；</w:t>
            </w:r>
            <w:r>
              <w:rPr>
                <w:rFonts w:ascii="宋体" w:hAnsi="宋体"/>
                <w:color w:val="000000"/>
                <w:szCs w:val="21"/>
                <w:highlight w:val="none"/>
              </w:rPr>
              <w:t xml:space="preserve">2.</w:t>
            </w:r>
            <w:r>
              <w:rPr>
                <w:rFonts w:hint="eastAsia" w:ascii="宋体" w:hAnsi="宋体"/>
                <w:color w:val="000000"/>
                <w:szCs w:val="21"/>
                <w:highlight w:val="none"/>
              </w:rPr>
              <w:t xml:space="preserve">备品备件方案（包括但不限于备品备件清单、价格）。以上每项内容逐条阐述。</w:t>
            </w:r>
            <w:r>
              <w:rPr>
                <w:rFonts w:ascii="宋体" w:hAnsi="宋体"/>
                <w:color w:val="000000"/>
                <w:szCs w:val="21"/>
                <w:highlight w:val="none"/>
              </w:rPr>
              <w:t xml:space="preserve"> </w:t>
            </w:r>
            <w:r/>
          </w:p>
          <w:p>
            <w:pPr>
              <w:jc w:val="left"/>
              <w:rPr>
                <w:rFonts w:hint="eastAsia" w:ascii="宋体" w:hAnsi="宋体"/>
                <w:color w:val="000000"/>
                <w:szCs w:val="21"/>
                <w:highlight w:val="none"/>
              </w:rPr>
            </w:pPr>
            <w:r>
              <w:rPr>
                <w:rFonts w:hint="eastAsia" w:ascii="宋体" w:hAnsi="宋体"/>
                <w:color w:val="000000"/>
                <w:szCs w:val="21"/>
                <w:highlight w:val="none"/>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pStyle w:val="1002"/>
              <w:rPr>
                <w:rFonts w:hint="eastAsia"/>
                <w:sz w:val="21"/>
                <w:szCs w:val="21"/>
                <w:highlight w:val="none"/>
                <w:lang w:val="en-US" w:bidi="ar-SA"/>
              </w:rPr>
            </w:pPr>
            <w:r>
              <w:rPr>
                <w:rFonts w:hint="eastAsia"/>
                <w:sz w:val="21"/>
                <w:szCs w:val="21"/>
                <w:highlight w:val="none"/>
              </w:rPr>
              <w:t xml:space="preserve">上述每项内容符合得</w:t>
            </w:r>
            <w:r>
              <w:rPr>
                <w:sz w:val="21"/>
                <w:szCs w:val="21"/>
                <w:highlight w:val="none"/>
              </w:rPr>
              <w:t xml:space="preserve">2</w:t>
            </w:r>
            <w:r>
              <w:rPr>
                <w:rFonts w:hint="eastAsia"/>
                <w:sz w:val="21"/>
                <w:szCs w:val="21"/>
                <w:highlight w:val="none"/>
              </w:rPr>
              <w:t xml:space="preserve">分；部分符合得</w:t>
            </w:r>
            <w:r>
              <w:rPr>
                <w:sz w:val="21"/>
                <w:szCs w:val="21"/>
                <w:highlight w:val="none"/>
              </w:rPr>
              <w:t xml:space="preserve">1</w:t>
            </w:r>
            <w:r>
              <w:rPr>
                <w:rFonts w:hint="eastAsia"/>
                <w:sz w:val="21"/>
                <w:szCs w:val="21"/>
                <w:highlight w:val="none"/>
              </w:rPr>
              <w:t xml:space="preserve">分；不符合或不提供不得分。</w:t>
            </w:r>
            <w:r/>
          </w:p>
        </w:tc>
        <w:tc>
          <w:tcPr>
            <w:tcW w:w="592"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4</w:t>
            </w:r>
            <w:r/>
          </w:p>
        </w:tc>
        <w:tc>
          <w:tcPr>
            <w:tcW w:w="955" w:type="dxa"/>
            <w:vAlign w:val="center"/>
            <w:textDirection w:val="lrTb"/>
            <w:noWrap w:val="false"/>
          </w:tcPr>
          <w:p>
            <w:pPr>
              <w:jc w:val="center"/>
              <w:rPr>
                <w:rFonts w:hint="eastAsia" w:ascii="宋体" w:hAnsi="宋体"/>
                <w:spacing w:val="-6"/>
                <w:szCs w:val="21"/>
                <w:highlight w:val="none"/>
              </w:rPr>
            </w:pPr>
            <w:r>
              <w:rPr>
                <w:rFonts w:hint="eastAsia" w:ascii="宋体" w:hAnsi="宋体"/>
                <w:szCs w:val="21"/>
                <w:highlight w:val="none"/>
              </w:rPr>
              <w:t xml:space="preserve">主观分</w:t>
            </w:r>
            <w:r/>
          </w:p>
        </w:tc>
      </w:tr>
      <w:tr>
        <w:trPr>
          <w:jc w:val="center"/>
          <w:trHeight w:val="1280"/>
        </w:trPr>
        <w:tc>
          <w:tcPr>
            <w:tcW w:w="51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3.3</w:t>
            </w:r>
            <w:r/>
          </w:p>
        </w:tc>
        <w:tc>
          <w:tcPr>
            <w:tcW w:w="1179" w:type="dxa"/>
            <w:vAlign w:val="center"/>
            <w:textDirection w:val="lrTb"/>
            <w:noWrap w:val="false"/>
          </w:tcPr>
          <w:p>
            <w:pPr>
              <w:pStyle w:val="1002"/>
              <w:jc w:val="center"/>
              <w:rPr>
                <w:rFonts w:hint="eastAsia"/>
                <w:sz w:val="21"/>
                <w:szCs w:val="21"/>
                <w:highlight w:val="none"/>
              </w:rPr>
            </w:pPr>
            <w:r>
              <w:rPr>
                <w:rFonts w:hint="eastAsia"/>
                <w:sz w:val="21"/>
                <w:szCs w:val="21"/>
                <w:highlight w:val="none"/>
                <w:lang w:val="en-US"/>
              </w:rPr>
              <w:t xml:space="preserve">本地化服务</w:t>
            </w:r>
            <w:r/>
          </w:p>
        </w:tc>
        <w:tc>
          <w:tcPr>
            <w:tcW w:w="6330" w:type="dxa"/>
            <w:vAlign w:val="center"/>
            <w:textDirection w:val="lrTb"/>
            <w:noWrap w:val="false"/>
          </w:tcPr>
          <w:p>
            <w:pPr>
              <w:jc w:val="left"/>
              <w:rPr>
                <w:rFonts w:hint="eastAsia" w:ascii="宋体" w:hAnsi="宋体"/>
                <w:color w:val="000000"/>
                <w:szCs w:val="21"/>
                <w:highlight w:val="none"/>
              </w:rPr>
            </w:pPr>
            <w:r>
              <w:rPr>
                <w:rFonts w:hint="eastAsia" w:ascii="宋体" w:hAnsi="宋体"/>
                <w:color w:val="000000"/>
                <w:szCs w:val="21"/>
                <w:highlight w:val="none"/>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W w:w="592"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p>
        </w:tc>
        <w:tc>
          <w:tcPr>
            <w:tcW w:w="955"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highlight w:val="none"/>
              </w:rPr>
            </w:pPr>
            <w:r>
              <w:rPr>
                <w:rFonts w:hint="eastAsia" w:ascii="宋体" w:hAnsi="宋体"/>
                <w:b/>
                <w:bCs/>
                <w:spacing w:val="-3"/>
                <w:szCs w:val="21"/>
                <w:highlight w:val="none"/>
              </w:rPr>
              <w:t xml:space="preserve">4.业绩</w:t>
            </w:r>
            <w:r/>
          </w:p>
        </w:tc>
      </w:tr>
      <w:tr>
        <w:trPr>
          <w:jc w:val="center"/>
          <w:trHeight w:val="1386"/>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spacing w:val="-2"/>
                <w:szCs w:val="21"/>
                <w:highlight w:val="none"/>
              </w:rPr>
            </w:pPr>
            <w:r>
              <w:rPr>
                <w:rFonts w:hint="eastAsia" w:ascii="宋体" w:hAnsi="宋体"/>
                <w:spacing w:val="-2"/>
                <w:szCs w:val="21"/>
                <w:highlight w:val="none"/>
              </w:rPr>
              <w:t xml:space="preserve">4.1</w:t>
            </w:r>
            <w:r/>
          </w:p>
        </w:tc>
        <w:tc>
          <w:tcPr>
            <w:tcBorders>
              <w:top w:val="single" w:color="000000" w:sz="2" w:space="0"/>
              <w:bottom w:val="single" w:color="000000" w:sz="2" w:space="0"/>
            </w:tcBorders>
            <w:tcW w:w="1179" w:type="dxa"/>
            <w:vAlign w:val="center"/>
            <w:textDirection w:val="lrTb"/>
            <w:noWrap w:val="false"/>
          </w:tcPr>
          <w:p>
            <w:pPr>
              <w:jc w:val="center"/>
              <w:rPr>
                <w:rFonts w:hint="eastAsia" w:ascii="宋体" w:hAnsi="宋体"/>
                <w:spacing w:val="-2"/>
                <w:szCs w:val="21"/>
                <w:highlight w:val="none"/>
              </w:rPr>
            </w:pPr>
            <w:r>
              <w:rPr>
                <w:rFonts w:hint="eastAsia" w:ascii="宋体" w:hAnsi="宋体"/>
                <w:spacing w:val="-1"/>
                <w:szCs w:val="2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jc w:val="left"/>
              <w:rPr>
                <w:rFonts w:hint="eastAsia" w:ascii="宋体" w:hAnsi="宋体"/>
                <w:szCs w:val="21"/>
                <w:highlight w:val="none"/>
              </w:rPr>
            </w:pPr>
            <w:r>
              <w:rPr>
                <w:rFonts w:ascii="宋体" w:hAnsi="宋体"/>
                <w:szCs w:val="21"/>
                <w:highlight w:val="none"/>
              </w:rPr>
              <w:t xml:space="preserve">投标人提供202</w:t>
            </w:r>
            <w:r>
              <w:rPr>
                <w:rFonts w:hint="eastAsia" w:ascii="宋体" w:hAnsi="宋体"/>
                <w:szCs w:val="21"/>
                <w:highlight w:val="none"/>
              </w:rPr>
              <w:t xml:space="preserve">3</w:t>
            </w:r>
            <w:r>
              <w:rPr>
                <w:rFonts w:ascii="宋体" w:hAnsi="宋体"/>
                <w:szCs w:val="21"/>
                <w:highlight w:val="none"/>
              </w:rPr>
              <w:t xml:space="preserve">年</w:t>
            </w:r>
            <w:r>
              <w:rPr>
                <w:rFonts w:hint="eastAsia" w:ascii="宋体" w:hAnsi="宋体"/>
                <w:szCs w:val="21"/>
                <w:highlight w:val="none"/>
              </w:rPr>
              <w:t xml:space="preserve">5</w:t>
            </w:r>
            <w:r>
              <w:rPr>
                <w:rFonts w:ascii="宋体" w:hAnsi="宋体"/>
                <w:szCs w:val="21"/>
                <w:highlight w:val="none"/>
              </w:rPr>
              <w:t xml:space="preserve">月1日（含）以来类似项目业绩（单个业绩至少包含网络摄像机、视频存储），每提供一个业绩得2分，最高得6分。（时间以合同签订时间为准，提供合同、供货清单、发票和验收材料，未提供或提供材料不全不得分。）</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6</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szCs w:val="21"/>
                <w:highlight w:val="none"/>
              </w:rPr>
            </w:pPr>
            <w:r>
              <w:rPr>
                <w:rFonts w:hint="eastAsia" w:ascii="宋体" w:hAnsi="宋体"/>
                <w:spacing w:val="-6"/>
                <w:szCs w:val="21"/>
                <w:highlight w:val="none"/>
              </w:rPr>
              <w:t xml:space="preserve">客</w:t>
            </w:r>
            <w:r>
              <w:rPr>
                <w:rFonts w:hint="eastAsia" w:ascii="宋体" w:hAnsi="宋体"/>
                <w:spacing w:val="-4"/>
                <w:szCs w:val="21"/>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zCs w:val="21"/>
                <w:highlight w:val="none"/>
              </w:rPr>
            </w:pPr>
            <w:r>
              <w:rPr>
                <w:rFonts w:hint="eastAsia" w:ascii="宋体" w:hAnsi="宋体"/>
                <w:b/>
                <w:bCs/>
                <w:spacing w:val="-3"/>
                <w:szCs w:val="21"/>
                <w:highlight w:val="none"/>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rPr>
                <w:rFonts w:hint="eastAsia" w:ascii="宋体" w:hAnsi="宋体"/>
                <w:spacing w:val="-2"/>
                <w:szCs w:val="21"/>
                <w:highlight w:val="none"/>
              </w:rPr>
            </w:pPr>
            <w:r>
              <w:rPr>
                <w:rFonts w:hint="eastAsia" w:ascii="宋体" w:hAnsi="宋体"/>
                <w:spacing w:val="-2"/>
                <w:szCs w:val="21"/>
                <w:highlight w:val="none"/>
              </w:rPr>
              <w:t xml:space="preserve">5.1</w:t>
            </w:r>
            <w:r/>
          </w:p>
        </w:tc>
        <w:tc>
          <w:tcPr>
            <w:tcW w:w="1179" w:type="dxa"/>
            <w:vAlign w:val="center"/>
            <w:textDirection w:val="lrTb"/>
            <w:noWrap w:val="false"/>
          </w:tcPr>
          <w:p>
            <w:pPr>
              <w:jc w:val="center"/>
              <w:rPr>
                <w:rFonts w:hint="eastAsia" w:ascii="宋体" w:hAnsi="宋体"/>
                <w:spacing w:val="-1"/>
                <w:szCs w:val="21"/>
                <w:highlight w:val="none"/>
              </w:rPr>
            </w:pPr>
            <w:r>
              <w:rPr>
                <w:rFonts w:hint="eastAsia" w:ascii="宋体" w:hAnsi="宋体"/>
                <w:szCs w:val="21"/>
                <w:highlight w:val="none"/>
              </w:rPr>
              <w:t xml:space="preserve">项目团队能力</w:t>
            </w:r>
            <w:r/>
          </w:p>
        </w:tc>
        <w:tc>
          <w:tcPr>
            <w:tcW w:w="6330" w:type="dxa"/>
            <w:vAlign w:val="center"/>
            <w:textDirection w:val="lrTb"/>
            <w:noWrap w:val="false"/>
          </w:tcPr>
          <w:p>
            <w:pPr>
              <w:jc w:val="left"/>
              <w:widowControl/>
              <w:rPr>
                <w:rFonts w:hint="eastAsia" w:ascii="宋体" w:hAnsi="宋体"/>
                <w:szCs w:val="21"/>
                <w:highlight w:val="none"/>
              </w:rPr>
            </w:pPr>
            <w:r>
              <w:rPr>
                <w:rFonts w:hint="eastAsia" w:ascii="宋体" w:hAnsi="宋体"/>
                <w:szCs w:val="21"/>
                <w:highlight w:val="none"/>
              </w:rPr>
              <w:t xml:space="preserve">1、投标人拟投入本项目的项目经理具有</w:t>
            </w:r>
            <w:r>
              <w:rPr>
                <w:rFonts w:ascii="宋体" w:hAnsi="宋体"/>
                <w:szCs w:val="21"/>
                <w:highlight w:val="none"/>
              </w:rPr>
              <w:t xml:space="preserve">ITSS服务项目经理证书</w:t>
            </w:r>
            <w:r>
              <w:rPr>
                <w:rFonts w:hint="eastAsia" w:ascii="宋体" w:hAnsi="宋体"/>
                <w:szCs w:val="21"/>
                <w:highlight w:val="none"/>
              </w:rPr>
              <w:t xml:space="preserve">，得1分；</w:t>
            </w:r>
            <w:r/>
          </w:p>
          <w:p>
            <w:pPr>
              <w:jc w:val="left"/>
              <w:widowControl/>
              <w:rPr>
                <w:rFonts w:hint="eastAsia" w:ascii="宋体" w:hAnsi="宋体"/>
                <w:szCs w:val="21"/>
                <w:highlight w:val="none"/>
              </w:rPr>
            </w:pPr>
            <w:r>
              <w:rPr>
                <w:rFonts w:hint="eastAsia" w:ascii="宋体" w:hAnsi="宋体"/>
                <w:szCs w:val="21"/>
                <w:highlight w:val="none"/>
              </w:rPr>
              <w:t xml:space="preserve">2、投标人拟投入本项目的项目技术负责人具有信息安全保障人员认证证书（CISAW）,得1分；</w:t>
            </w:r>
            <w:r/>
          </w:p>
          <w:p>
            <w:pPr>
              <w:jc w:val="left"/>
              <w:rPr>
                <w:rFonts w:hint="eastAsia" w:ascii="宋体" w:hAnsi="宋体"/>
                <w:szCs w:val="21"/>
                <w:highlight w:val="none"/>
              </w:rPr>
            </w:pPr>
            <w:r>
              <w:rPr>
                <w:rFonts w:hint="eastAsia" w:ascii="宋体" w:hAnsi="宋体"/>
                <w:szCs w:val="21"/>
                <w:highlight w:val="none"/>
              </w:rPr>
              <w:t xml:space="preserve">3、投标人拟投入本项目的团队成员具有计算机技术与软件专业技术资格证书（网络工程师），每提供一个得1分，最多得2分。</w:t>
            </w:r>
            <w:r/>
          </w:p>
          <w:p>
            <w:pPr>
              <w:jc w:val="left"/>
              <w:rPr>
                <w:rFonts w:hint="eastAsia" w:ascii="宋体" w:hAnsi="宋体"/>
                <w:szCs w:val="21"/>
                <w:highlight w:val="none"/>
              </w:rPr>
            </w:pPr>
            <w:r>
              <w:rPr>
                <w:rFonts w:hint="eastAsia" w:ascii="宋体" w:hAnsi="宋体"/>
                <w:szCs w:val="21"/>
                <w:highlight w:val="none"/>
              </w:rPr>
              <w:t xml:space="preserve">备注：</w:t>
            </w:r>
            <w:r>
              <w:rPr>
                <w:rFonts w:hint="eastAsia" w:ascii="宋体" w:hAnsi="宋体"/>
                <w:spacing w:val="-2"/>
                <w:szCs w:val="21"/>
                <w:highlight w:val="none"/>
              </w:rPr>
              <w:t xml:space="preserve">以上人员不可重复计分，</w:t>
            </w:r>
            <w:r>
              <w:rPr>
                <w:rFonts w:ascii="宋体" w:hAnsi="宋体"/>
                <w:spacing w:val="-2"/>
                <w:szCs w:val="21"/>
                <w:highlight w:val="none"/>
              </w:rPr>
              <w:t xml:space="preserve">需提供人员有效证书</w:t>
            </w:r>
            <w:r>
              <w:rPr>
                <w:rFonts w:hint="eastAsia" w:ascii="宋体" w:hAnsi="宋体"/>
                <w:spacing w:val="-2"/>
                <w:szCs w:val="21"/>
                <w:highlight w:val="none"/>
              </w:rPr>
              <w:t xml:space="preserve">及</w:t>
            </w:r>
            <w:r>
              <w:rPr>
                <w:rFonts w:ascii="宋体" w:hAnsi="宋体"/>
                <w:spacing w:val="-2"/>
                <w:szCs w:val="21"/>
                <w:highlight w:val="none"/>
              </w:rPr>
              <w:t xml:space="preserve">202</w:t>
            </w:r>
            <w:r>
              <w:rPr>
                <w:rFonts w:hint="eastAsia" w:ascii="宋体" w:hAnsi="宋体"/>
                <w:spacing w:val="-2"/>
                <w:szCs w:val="21"/>
                <w:highlight w:val="none"/>
              </w:rPr>
              <w:t xml:space="preserve">6</w:t>
            </w:r>
            <w:r>
              <w:rPr>
                <w:rFonts w:ascii="宋体" w:hAnsi="宋体"/>
                <w:spacing w:val="-2"/>
                <w:szCs w:val="21"/>
                <w:highlight w:val="none"/>
              </w:rPr>
              <w:t xml:space="preserve">年1月以来任意一个月</w:t>
            </w:r>
            <w:r>
              <w:rPr>
                <w:rFonts w:hint="eastAsia" w:ascii="宋体" w:hAnsi="宋体"/>
                <w:spacing w:val="-2"/>
                <w:szCs w:val="21"/>
                <w:highlight w:val="none"/>
              </w:rPr>
              <w:t xml:space="preserve">投标人</w:t>
            </w:r>
            <w:r>
              <w:rPr>
                <w:rFonts w:ascii="宋体" w:hAnsi="宋体"/>
                <w:spacing w:val="-2"/>
                <w:szCs w:val="21"/>
                <w:highlight w:val="none"/>
              </w:rPr>
              <w:t xml:space="preserve">为其缴纳的社保证明</w:t>
            </w:r>
            <w:r>
              <w:rPr>
                <w:rFonts w:hint="eastAsia" w:ascii="宋体" w:hAnsi="宋体"/>
                <w:spacing w:val="-2"/>
                <w:szCs w:val="21"/>
                <w:highlight w:val="none"/>
              </w:rPr>
              <w:t xml:space="preserve">，</w:t>
            </w:r>
            <w:r>
              <w:rPr>
                <w:rFonts w:ascii="宋体" w:hAnsi="宋体"/>
                <w:spacing w:val="-2"/>
                <w:szCs w:val="21"/>
                <w:highlight w:val="none"/>
              </w:rPr>
              <w:t xml:space="preserve">证明材料缺项或未提供的不得分</w:t>
            </w:r>
            <w:r>
              <w:rPr>
                <w:rFonts w:hint="eastAsia" w:ascii="宋体" w:hAnsi="宋体"/>
                <w:spacing w:val="-2"/>
                <w:szCs w:val="21"/>
                <w:highlight w:val="none"/>
              </w:rPr>
              <w:t xml:space="preserve">。</w:t>
            </w:r>
            <w:r/>
          </w:p>
        </w:tc>
        <w:tc>
          <w:tcPr>
            <w:tcBorders>
              <w:top w:val="single" w:color="000000" w:sz="2" w:space="0"/>
              <w:bottom w:val="single" w:color="000000" w:sz="2" w:space="0"/>
            </w:tcBorders>
            <w:tcW w:w="592"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4</w:t>
            </w:r>
            <w:r/>
          </w:p>
        </w:tc>
        <w:tc>
          <w:tcPr>
            <w:tcBorders>
              <w:top w:val="single" w:color="000000" w:sz="2" w:space="0"/>
              <w:bottom w:val="single" w:color="000000" w:sz="2" w:space="0"/>
            </w:tcBorders>
            <w:tcW w:w="955" w:type="dxa"/>
            <w:vAlign w:val="center"/>
            <w:textDirection w:val="lrTb"/>
            <w:noWrap w:val="false"/>
          </w:tcPr>
          <w:p>
            <w:pPr>
              <w:jc w:val="center"/>
              <w:rPr>
                <w:rFonts w:hint="eastAsia" w:ascii="宋体" w:hAnsi="宋体"/>
                <w:szCs w:val="21"/>
                <w:highlight w:val="none"/>
              </w:rPr>
            </w:pPr>
            <w:r>
              <w:rPr>
                <w:rFonts w:hint="eastAsia" w:ascii="宋体" w:hAnsi="宋体"/>
                <w:spacing w:val="-6"/>
                <w:szCs w:val="21"/>
                <w:highlight w:val="none"/>
              </w:rPr>
              <w:t xml:space="preserve">客</w:t>
            </w:r>
            <w:r>
              <w:rPr>
                <w:rFonts w:hint="eastAsia" w:ascii="宋体" w:hAnsi="宋体"/>
                <w:spacing w:val="-4"/>
                <w:szCs w:val="21"/>
                <w:highlight w:val="none"/>
              </w:rPr>
              <w:t xml:space="preserve">观分</w:t>
            </w:r>
            <w:r/>
          </w:p>
        </w:tc>
      </w:tr>
      <w:tr>
        <w:trPr>
          <w:jc w:val="center"/>
          <w:trHeight w:val="387"/>
        </w:trPr>
        <w:tc>
          <w:tcPr>
            <w:gridSpan w:val="5"/>
            <w:tcBorders>
              <w:top w:val="single" w:color="000000" w:sz="2" w:space="0"/>
              <w:bottom w:val="single" w:color="000000" w:sz="2" w:space="0"/>
            </w:tcBorders>
            <w:tcW w:w="9575" w:type="dxa"/>
            <w:vAlign w:val="center"/>
            <w:textDirection w:val="lrTb"/>
            <w:noWrap w:val="false"/>
          </w:tcPr>
          <w:p>
            <w:pPr>
              <w:jc w:val="left"/>
              <w:rPr>
                <w:rFonts w:hint="eastAsia" w:ascii="宋体" w:hAnsi="宋体"/>
                <w:b/>
                <w:bCs/>
                <w:spacing w:val="-6"/>
                <w:szCs w:val="21"/>
                <w:highlight w:val="none"/>
              </w:rPr>
            </w:pPr>
            <w:r>
              <w:rPr>
                <w:rFonts w:hint="eastAsia" w:ascii="宋体" w:hAnsi="宋体"/>
                <w:b/>
                <w:bCs/>
                <w:spacing w:val="-6"/>
                <w:szCs w:val="21"/>
                <w:highlight w:val="none"/>
              </w:rPr>
              <w:t xml:space="preserve">6.节能环保</w:t>
            </w:r>
            <w:r/>
          </w:p>
        </w:tc>
      </w:tr>
      <w:tr>
        <w:trPr>
          <w:jc w:val="center"/>
          <w:trHeight w:val="387"/>
        </w:trPr>
        <w:tc>
          <w:tcPr>
            <w:tcW w:w="519" w:type="dxa"/>
            <w:vAlign w:val="center"/>
            <w:textDirection w:val="lrTb"/>
            <w:noWrap w:val="false"/>
          </w:tcPr>
          <w:p>
            <w:pPr>
              <w:jc w:val="center"/>
              <w:rPr>
                <w:rFonts w:hint="eastAsia" w:ascii="宋体" w:hAnsi="宋体"/>
                <w:b/>
                <w:bCs/>
                <w:spacing w:val="-2"/>
                <w:szCs w:val="21"/>
                <w:highlight w:val="none"/>
              </w:rPr>
            </w:pPr>
            <w:r>
              <w:rPr>
                <w:rFonts w:hint="eastAsia" w:ascii="宋体" w:hAnsi="宋体"/>
                <w:spacing w:val="-2"/>
                <w:szCs w:val="21"/>
                <w:highlight w:val="none"/>
              </w:rPr>
              <w:t xml:space="preserve">6</w:t>
            </w:r>
            <w:r>
              <w:rPr>
                <w:rFonts w:hint="eastAsia" w:ascii="宋体" w:hAnsi="宋体" w:cs="宋体"/>
                <w:spacing w:val="-2"/>
                <w:szCs w:val="21"/>
                <w:highlight w:val="none"/>
              </w:rPr>
              <w:t xml:space="preserve">.1</w:t>
            </w:r>
            <w:r/>
          </w:p>
        </w:tc>
        <w:tc>
          <w:tcPr>
            <w:tcW w:w="1179" w:type="dxa"/>
            <w:vAlign w:val="center"/>
            <w:textDirection w:val="lrTb"/>
            <w:noWrap w:val="false"/>
          </w:tcPr>
          <w:p>
            <w:pPr>
              <w:jc w:val="center"/>
              <w:rPr>
                <w:rFonts w:hint="eastAsia" w:ascii="宋体" w:hAnsi="宋体"/>
                <w:b/>
                <w:bCs/>
                <w:szCs w:val="21"/>
                <w:highlight w:val="none"/>
              </w:rPr>
            </w:pPr>
            <w:r>
              <w:rPr>
                <w:rFonts w:hint="eastAsia" w:ascii="宋体" w:hAnsi="宋体" w:cs="宋体"/>
                <w:color w:val="000000"/>
                <w:spacing w:val="-1"/>
                <w:szCs w:val="21"/>
                <w:highlight w:val="none"/>
              </w:rPr>
              <w:t xml:space="preserve">节能环保</w:t>
            </w:r>
            <w:r/>
          </w:p>
        </w:tc>
        <w:tc>
          <w:tcPr>
            <w:tcW w:w="633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1.投标产品属于财政部、国家发改委公布的</w:t>
            </w:r>
            <w:r>
              <w:rPr>
                <w:rFonts w:ascii="宋体" w:hAnsi="宋体" w:cs="宋体"/>
                <w:szCs w:val="21"/>
                <w:highlight w:val="none"/>
              </w:rPr>
              <w:t xml:space="preserve">《节能产品政府采购品目清单》（财库〔2019〕19号）</w:t>
            </w:r>
            <w:r>
              <w:rPr>
                <w:rFonts w:hint="eastAsia" w:ascii="宋体" w:hAnsi="宋体" w:cs="宋体"/>
                <w:szCs w:val="21"/>
                <w:highlight w:val="none"/>
              </w:rPr>
              <w:t xml:space="preserve">范围内（政府强制采购产品除外）的，投标人提供国家确定的认证机构出具的、处于有效期之内的该节能产品认证证书的，有1个得0.5分，最多得1分。</w:t>
            </w:r>
            <w:r/>
          </w:p>
          <w:p>
            <w:pPr>
              <w:jc w:val="left"/>
              <w:widowControl/>
              <w:rPr>
                <w:rFonts w:hint="eastAsia" w:ascii="宋体" w:hAnsi="宋体"/>
                <w:szCs w:val="21"/>
                <w:highlight w:val="none"/>
              </w:rPr>
            </w:pPr>
            <w:r>
              <w:rPr>
                <w:rFonts w:hint="eastAsia" w:ascii="宋体" w:hAnsi="宋体" w:cs="宋体"/>
                <w:szCs w:val="21"/>
                <w:highlight w:val="none"/>
              </w:rPr>
              <w:t xml:space="preserve">2.投标产品属于财政部、生态环境部公布的《环境</w:t>
            </w:r>
            <w:r>
              <w:rPr>
                <w:rFonts w:ascii="宋体" w:hAnsi="宋体" w:cs="宋体"/>
                <w:szCs w:val="21"/>
                <w:highlight w:val="none"/>
              </w:rPr>
              <w:t xml:space="preserve">标志产品品目清单</w:t>
            </w:r>
            <w:r>
              <w:rPr>
                <w:rFonts w:hint="eastAsia" w:ascii="宋体" w:hAnsi="宋体" w:cs="宋体"/>
                <w:szCs w:val="21"/>
                <w:highlight w:val="none"/>
              </w:rPr>
              <w:t xml:space="preserve">》</w:t>
            </w:r>
            <w:r>
              <w:rPr>
                <w:rFonts w:ascii="宋体" w:hAnsi="宋体" w:cs="宋体"/>
                <w:szCs w:val="21"/>
                <w:highlight w:val="none"/>
              </w:rPr>
              <w:t xml:space="preserve">（财库〔2019〕1</w:t>
            </w:r>
            <w:r>
              <w:rPr>
                <w:rFonts w:hint="eastAsia" w:ascii="宋体" w:hAnsi="宋体" w:cs="宋体"/>
                <w:szCs w:val="21"/>
                <w:highlight w:val="none"/>
              </w:rPr>
              <w:t xml:space="preserve">8</w:t>
            </w:r>
            <w:r>
              <w:rPr>
                <w:rFonts w:ascii="宋体" w:hAnsi="宋体" w:cs="宋体"/>
                <w:szCs w:val="21"/>
                <w:highlight w:val="none"/>
              </w:rPr>
              <w:t xml:space="preserve">号）</w:t>
            </w:r>
            <w:r>
              <w:rPr>
                <w:rFonts w:hint="eastAsia" w:ascii="宋体" w:hAnsi="宋体" w:cs="宋体"/>
                <w:szCs w:val="21"/>
                <w:highlight w:val="none"/>
              </w:rPr>
              <w:t xml:space="preserve">范围内的，投标人提供国家确定的认证机构出具的、处于有效期内的该环境标志产品认证证书的，有1个得0.5分，最多得1分。</w:t>
            </w:r>
            <w:r/>
          </w:p>
        </w:tc>
        <w:tc>
          <w:tcPr>
            <w:tcW w:w="592" w:type="dxa"/>
            <w:vAlign w:val="center"/>
            <w:textDirection w:val="lrTb"/>
            <w:noWrap w:val="false"/>
          </w:tcPr>
          <w:p>
            <w:pPr>
              <w:jc w:val="center"/>
              <w:rPr>
                <w:rFonts w:hint="eastAsia" w:ascii="宋体" w:hAnsi="宋体"/>
                <w:szCs w:val="21"/>
                <w:highlight w:val="none"/>
              </w:rPr>
            </w:pPr>
            <w:r>
              <w:rPr>
                <w:rFonts w:hint="eastAsia" w:ascii="宋体" w:hAnsi="宋体" w:cs="宋体"/>
                <w:szCs w:val="21"/>
                <w:highlight w:val="none"/>
              </w:rPr>
              <w:t xml:space="preserve">2</w:t>
            </w:r>
            <w:r/>
          </w:p>
        </w:tc>
        <w:tc>
          <w:tcPr>
            <w:tcW w:w="955" w:type="dxa"/>
            <w:vAlign w:val="center"/>
            <w:textDirection w:val="lrTb"/>
            <w:noWrap w:val="false"/>
          </w:tcPr>
          <w:p>
            <w:pPr>
              <w:jc w:val="center"/>
              <w:rPr>
                <w:rFonts w:hint="eastAsia" w:ascii="宋体" w:hAnsi="宋体"/>
                <w:spacing w:val="-6"/>
                <w:szCs w:val="21"/>
                <w:highlight w:val="none"/>
              </w:rPr>
            </w:pPr>
            <w:r>
              <w:rPr>
                <w:rFonts w:hint="eastAsia" w:ascii="宋体" w:hAnsi="宋体" w:cs="宋体"/>
                <w:spacing w:val="-6"/>
                <w:szCs w:val="21"/>
                <w:highlight w:val="none"/>
              </w:rPr>
              <w:t xml:space="preserve">客观分</w:t>
            </w:r>
            <w:r/>
          </w:p>
        </w:tc>
      </w:tr>
      <w:tr>
        <w:trPr>
          <w:jc w:val="center"/>
          <w:trHeight w:val="544"/>
        </w:trPr>
        <w:tc>
          <w:tcPr>
            <w:tcBorders>
              <w:top w:val="single" w:color="000000" w:sz="2" w:space="0"/>
              <w:bottom w:val="single" w:color="000000" w:sz="2" w:space="0"/>
            </w:tcBorders>
            <w:tcW w:w="519" w:type="dxa"/>
            <w:vAlign w:val="center"/>
            <w:textDirection w:val="lrTb"/>
            <w:noWrap w:val="false"/>
          </w:tcPr>
          <w:p>
            <w:pPr>
              <w:jc w:val="left"/>
              <w:rPr>
                <w:rFonts w:hint="eastAsia" w:ascii="宋体" w:hAnsi="宋体"/>
                <w:b/>
                <w:bCs/>
                <w:color w:val="ff0000"/>
                <w:szCs w:val="21"/>
                <w:highlight w:val="none"/>
              </w:rPr>
            </w:pPr>
            <w:r>
              <w:rPr>
                <w:rFonts w:hint="eastAsia" w:ascii="宋体" w:hAnsi="宋体"/>
                <w:b/>
                <w:bCs/>
                <w:spacing w:val="-3"/>
                <w:szCs w:val="21"/>
                <w:highlight w:val="none"/>
              </w:rPr>
              <w:t xml:space="preserve">合</w:t>
            </w:r>
            <w:r>
              <w:rPr>
                <w:rFonts w:hint="eastAsia" w:ascii="宋体" w:hAnsi="宋体"/>
                <w:b/>
                <w:bCs/>
                <w:spacing w:val="-2"/>
                <w:szCs w:val="21"/>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jc w:val="left"/>
              <w:rPr>
                <w:rFonts w:hint="eastAsia" w:ascii="宋体" w:hAnsi="宋体"/>
                <w:b/>
                <w:bCs/>
                <w:color w:val="ff0000"/>
                <w:spacing w:val="-2"/>
                <w:szCs w:val="21"/>
                <w:highlight w:val="none"/>
              </w:rPr>
            </w:pPr>
            <w:r>
              <w:rPr>
                <w:rFonts w:hint="eastAsia" w:ascii="宋体" w:hAnsi="宋体"/>
                <w:b/>
                <w:bCs/>
                <w:color w:val="ff0000"/>
                <w:spacing w:val="-2"/>
                <w:szCs w:val="21"/>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rPr>
                <w:rFonts w:hint="eastAsia" w:ascii="宋体" w:hAnsi="宋体"/>
                <w:b/>
                <w:bCs/>
                <w:szCs w:val="21"/>
                <w:highlight w:val="none"/>
              </w:rPr>
            </w:pPr>
            <w:r>
              <w:rPr>
                <w:rFonts w:hint="eastAsia" w:ascii="宋体" w:hAnsi="宋体"/>
                <w:b/>
                <w:bCs/>
                <w:szCs w:val="21"/>
                <w:highlight w:val="none"/>
              </w:rPr>
              <w:t xml:space="preserve">100</w:t>
            </w:r>
            <w:r/>
          </w:p>
        </w:tc>
      </w:tr>
    </w:tbl>
    <w:p>
      <w:pPr>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192"/>
      <w:r/>
      <w:bookmarkEnd w:id="193"/>
      <w:r/>
      <w:bookmarkEnd w:id="196"/>
      <w:r>
        <w:rPr>
          <w:rFonts w:hint="eastAsia" w:ascii="方正小标宋简体" w:hAnsi="方正小标宋简体" w:eastAsia="方正小标宋简体" w:cs="方正小标宋简体"/>
          <w:color w:val="000000"/>
          <w:sz w:val="36"/>
          <w:szCs w:val="36"/>
          <w:highlight w:val="none"/>
        </w:rPr>
        <w:t xml:space="preserve">文件格式 </w:t>
      </w:r>
      <w:r/>
    </w:p>
    <w:p>
      <w:pPr>
        <w:jc w:val="center"/>
        <w:rPr>
          <w:rFonts w:hint="eastAsia" w:ascii="宋体" w:hAnsi="宋体"/>
          <w:b/>
          <w:color w:val="000000"/>
          <w:sz w:val="72"/>
          <w:szCs w:val="21"/>
          <w:highlight w:val="none"/>
        </w:rPr>
      </w:pPr>
      <w:r/>
      <w:bookmarkStart w:id="201" w:name="_Hlt26671244"/>
      <w:r/>
      <w:bookmarkEnd w:id="201"/>
      <w:r/>
      <w:bookmarkStart w:id="202" w:name="_Hlt26955039"/>
      <w:r/>
      <w:bookmarkEnd w:id="202"/>
      <w:r/>
      <w:bookmarkStart w:id="203" w:name="_Toc49090576"/>
      <w:r/>
      <w:bookmarkStart w:id="204" w:name="_Toc120614282"/>
      <w:r/>
      <w:bookmarkStart w:id="205"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hint="eastAsia" w:ascii="宋体" w:hAnsi="宋体"/>
          <w:color w:val="000000"/>
          <w:szCs w:val="21"/>
          <w:highlight w:val="none"/>
        </w:rPr>
      </w:pPr>
      <w:r>
        <w:rPr>
          <w:rFonts w:hint="eastAsia" w:ascii="宋体" w:hAnsi="宋体"/>
          <w:color w:val="000000"/>
          <w:szCs w:val="21"/>
          <w:highlight w:val="none"/>
        </w:rPr>
      </w:r>
      <w:r/>
    </w:p>
    <w:p>
      <w:pPr>
        <w:jc w:val="center"/>
        <w:rPr>
          <w:rFonts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89"/>
      <w:r/>
      <w:bookmarkEnd w:id="190"/>
      <w:r/>
      <w:bookmarkEnd w:id="203"/>
      <w:r/>
      <w:bookmarkEnd w:id="204"/>
      <w:r/>
      <w:bookmarkEnd w:id="205"/>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color w:val="000000"/>
          <w:sz w:val="28"/>
          <w:szCs w:val="28"/>
          <w:highlight w:val="none"/>
        </w:rPr>
      </w:pPr>
      <w:r/>
      <w:bookmarkStart w:id="206" w:name="_Toc120614284"/>
      <w:r>
        <w:rPr>
          <w:rFonts w:hint="eastAsia" w:ascii="宋体" w:hAnsi="宋体" w:cs="宋体"/>
          <w:color w:val="000000"/>
          <w:sz w:val="28"/>
          <w:szCs w:val="28"/>
          <w:highlight w:val="none"/>
        </w:rPr>
        <w:t xml:space="preserve">一、供应商信用承诺函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十二、关于符合本国产品标准的声明函（如有）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999"/>
        <w:rPr>
          <w:rFonts w:hint="eastAsia"/>
          <w:color w:val="000000"/>
          <w:sz w:val="24"/>
          <w:highlight w:val="none"/>
        </w:rPr>
      </w:pPr>
      <w:r>
        <w:rPr>
          <w:rFonts w:hint="eastAsia"/>
          <w:color w:val="000000"/>
          <w:sz w:val="24"/>
          <w:highlight w:val="none"/>
        </w:rPr>
      </w:r>
      <w:r/>
    </w:p>
    <w:p>
      <w:pPr>
        <w:pStyle w:val="999"/>
        <w:rPr>
          <w:rFonts w:hint="eastAsia"/>
          <w:color w:val="000000"/>
          <w:sz w:val="24"/>
          <w:highlight w:val="none"/>
        </w:rPr>
      </w:pPr>
      <w:r>
        <w:rPr>
          <w:rFonts w:hint="eastAsia"/>
          <w:color w:val="000000"/>
          <w:sz w:val="24"/>
          <w:highlight w:val="none"/>
        </w:rPr>
      </w:r>
      <w:r/>
    </w:p>
    <w:p>
      <w:pPr>
        <w:pStyle w:val="999"/>
        <w:rPr>
          <w:rFonts w:hint="eastAsia"/>
          <w:color w:val="000000"/>
          <w:sz w:val="24"/>
          <w:highlight w:val="none"/>
        </w:rPr>
      </w:pPr>
      <w:r>
        <w:rPr>
          <w:rFonts w:hint="eastAsia"/>
          <w:color w:val="000000"/>
          <w:sz w:val="24"/>
          <w:highlight w:val="none"/>
        </w:rPr>
      </w:r>
      <w:r/>
    </w:p>
    <w:p>
      <w:pPr>
        <w:pStyle w:val="999"/>
        <w:rPr>
          <w:rFonts w:hint="eastAsia"/>
          <w:color w:val="000000"/>
          <w:sz w:val="24"/>
          <w:highlight w:val="none"/>
        </w:rPr>
      </w:pPr>
      <w:r>
        <w:rPr>
          <w:rFonts w:hint="eastAsia"/>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sz w:val="24"/>
          <w:szCs w:val="24"/>
          <w:highlight w:val="none"/>
        </w:rPr>
        <w:t xml:space="preserve">六合分中心</w:t>
      </w:r>
      <w:r>
        <w:rPr>
          <w:rFonts w:hint="eastAsia" w:ascii="宋体" w:hAnsi="宋体"/>
          <w:color w:val="000000"/>
          <w:sz w:val="24"/>
          <w:szCs w:val="24"/>
          <w:highlight w:val="none"/>
        </w:rPr>
        <w:t xml:space="preserve">：</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0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p>
    <w:p>
      <w:pPr>
        <w:pStyle w:val="971"/>
        <w:ind w:firstLine="480"/>
        <w:rPr>
          <w:color w:val="000000"/>
          <w:sz w:val="24"/>
          <w:szCs w:val="24"/>
          <w:highlight w:val="none"/>
        </w:rPr>
      </w:pPr>
      <w:r>
        <w:rPr>
          <w:rFonts w:hint="eastAsia"/>
          <w:color w:val="000000"/>
          <w:sz w:val="24"/>
          <w:szCs w:val="24"/>
          <w:highlight w:val="none"/>
        </w:rPr>
        <w:t xml:space="preserve">本项目申请人的特定资格要求中要求提供的材料。</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1"/>
        <w:rPr>
          <w:color w:val="000000"/>
          <w:highlight w:val="none"/>
          <w:lang w:eastAsia="zh-CN"/>
        </w:rPr>
      </w:pPr>
      <w:r>
        <w:rPr>
          <w:color w:val="000000"/>
          <w:highlight w:val="none"/>
          <w:lang w:eastAsia="zh-CN"/>
        </w:rPr>
      </w:r>
      <w:r/>
    </w:p>
    <w:p>
      <w:pPr>
        <w:rPr>
          <w:color w:val="000000"/>
          <w:highlight w:val="none"/>
        </w:rPr>
      </w:pPr>
      <w:r>
        <w:rPr>
          <w:color w:val="000000"/>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p>
    <w:p>
      <w:pPr>
        <w:pStyle w:val="971"/>
        <w:ind w:firstLine="480"/>
        <w:spacing w:line="420" w:lineRule="exact"/>
        <w:rPr>
          <w:color w:val="000000"/>
          <w:sz w:val="24"/>
          <w:szCs w:val="24"/>
          <w:highlight w:val="none"/>
        </w:rPr>
      </w:pPr>
      <w:r>
        <w:rPr>
          <w:color w:val="000000"/>
          <w:sz w:val="24"/>
          <w:szCs w:val="24"/>
          <w:highlight w:val="none"/>
        </w:rPr>
      </w:r>
      <w:r/>
    </w:p>
    <w:p>
      <w:pPr>
        <w:pStyle w:val="971"/>
        <w:ind w:firstLine="480"/>
        <w:spacing w:line="480" w:lineRule="exact"/>
        <w:rPr>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p>
    <w:p>
      <w:pPr>
        <w:pStyle w:val="971"/>
        <w:ind w:firstLine="480"/>
        <w:spacing w:line="480" w:lineRule="exact"/>
        <w:rPr>
          <w:color w:val="000000"/>
          <w:sz w:val="24"/>
          <w:szCs w:val="24"/>
          <w:highlight w:val="none"/>
        </w:rPr>
      </w:pPr>
      <w:r>
        <w:rPr>
          <w:rFonts w:hint="eastAsia"/>
          <w:color w:val="000000"/>
          <w:sz w:val="24"/>
          <w:szCs w:val="24"/>
          <w:highlight w:val="none"/>
        </w:rPr>
        <w:t xml:space="preserve">本授权书自______年____月____日起生效，特此声明。</w:t>
      </w:r>
      <w:r/>
    </w:p>
    <w:p>
      <w:pPr>
        <w:pStyle w:val="971"/>
        <w:ind w:firstLine="480"/>
        <w:spacing w:line="480" w:lineRule="exact"/>
        <w:rPr>
          <w:color w:val="000000"/>
          <w:sz w:val="24"/>
          <w:szCs w:val="24"/>
          <w:highlight w:val="none"/>
        </w:rPr>
      </w:pPr>
      <w:r>
        <w:rPr>
          <w:rFonts w:hint="eastAsia"/>
          <w:color w:val="000000"/>
          <w:sz w:val="24"/>
          <w:szCs w:val="24"/>
          <w:highlight w:val="none"/>
        </w:rPr>
        <w:t xml:space="preserve">被授权人身份证号码：</w:t>
      </w:r>
      <w:r/>
    </w:p>
    <w:p>
      <w:pPr>
        <w:pStyle w:val="971"/>
        <w:ind w:firstLine="480"/>
        <w:spacing w:line="480" w:lineRule="exact"/>
        <w:rPr>
          <w:color w:val="000000"/>
          <w:sz w:val="24"/>
          <w:szCs w:val="24"/>
          <w:highlight w:val="none"/>
          <w:u w:val="single"/>
        </w:rPr>
      </w:pPr>
      <w:r>
        <w:rPr>
          <w:rFonts w:hint="eastAsia"/>
          <w:color w:val="000000"/>
          <w:sz w:val="24"/>
          <w:szCs w:val="24"/>
          <w:highlight w:val="none"/>
        </w:rPr>
        <w:t xml:space="preserve">被授权人联系电话：（手机）</w:t>
      </w:r>
      <w:r/>
    </w:p>
    <w:p>
      <w:pPr>
        <w:pStyle w:val="971"/>
        <w:spacing w:line="480" w:lineRule="exact"/>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p>
    <w:p>
      <w:pPr>
        <w:pStyle w:val="971"/>
        <w:ind w:firstLine="480"/>
        <w:spacing w:line="480" w:lineRule="exact"/>
        <w:rPr>
          <w:color w:val="000000"/>
          <w:sz w:val="24"/>
          <w:szCs w:val="24"/>
          <w:highlight w:val="none"/>
          <w:u w:val="single"/>
        </w:rPr>
      </w:pPr>
      <w:r>
        <w:rPr>
          <w:rFonts w:hint="eastAsia"/>
          <w:color w:val="000000"/>
          <w:sz w:val="24"/>
          <w:szCs w:val="24"/>
          <w:highlight w:val="none"/>
        </w:rPr>
        <w:t xml:space="preserve">单位地址：</w:t>
      </w:r>
      <w:r/>
    </w:p>
    <w:p>
      <w:pPr>
        <w:pStyle w:val="971"/>
        <w:ind w:firstLine="480"/>
        <w:spacing w:line="480" w:lineRule="exact"/>
        <w:rPr>
          <w:color w:val="000000"/>
          <w:sz w:val="24"/>
          <w:szCs w:val="24"/>
          <w:highlight w:val="none"/>
        </w:rPr>
      </w:pPr>
      <w:r>
        <w:rPr>
          <w:rFonts w:hint="eastAsia"/>
          <w:color w:val="000000"/>
          <w:sz w:val="24"/>
          <w:szCs w:val="24"/>
          <w:highlight w:val="none"/>
        </w:rPr>
        <w:t xml:space="preserve">日    期：</w:t>
      </w:r>
      <w:bookmarkStart w:id="207" w:name="_Hlt26671380"/>
      <w:r/>
      <w:bookmarkEnd w:id="207"/>
      <w:r/>
      <w:bookmarkStart w:id="208" w:name="_格式3__银行出具的资信证明"/>
      <w:r/>
      <w:bookmarkEnd w:id="208"/>
      <w:r/>
      <w:bookmarkStart w:id="209" w:name="_Hlt26955070"/>
      <w:r/>
      <w:bookmarkEnd w:id="209"/>
      <w:r/>
      <w:r/>
    </w:p>
    <w:p>
      <w:pPr>
        <w:pStyle w:val="726"/>
        <w:rPr>
          <w:i/>
          <w:color w:val="000000"/>
          <w:sz w:val="24"/>
          <w:szCs w:val="24"/>
          <w:highlight w:val="none"/>
          <w:u w:val="single"/>
        </w:rPr>
      </w:pPr>
      <w:r>
        <w:rPr>
          <w:i/>
          <w:color w:val="000000"/>
          <w:sz w:val="24"/>
          <w:szCs w:val="24"/>
          <w:highlight w:val="none"/>
          <w:u w:val="single"/>
        </w:rPr>
      </w:r>
      <w:r/>
    </w:p>
    <w:p>
      <w:pPr>
        <w:pStyle w:val="726"/>
        <w:ind w:firstLine="0"/>
        <w:rPr>
          <w:color w:val="000000"/>
          <w:highlight w:val="none"/>
        </w:rPr>
      </w:pPr>
      <w:r>
        <w:rPr>
          <w:color w:val="000000"/>
          <w:highlight w:val="none"/>
        </w:rPr>
      </w:r>
      <w:r/>
    </w:p>
    <w:p>
      <w:pPr>
        <w:spacing w:line="460" w:lineRule="exact"/>
        <w:rPr>
          <w:rFonts w:ascii="楷体" w:hAnsi="楷体" w:eastAsia="楷体"/>
          <w:bCs/>
          <w:color w:val="000000"/>
          <w:sz w:val="24"/>
          <w:szCs w:val="24"/>
          <w:highlight w:val="none"/>
        </w:rPr>
      </w:pPr>
      <w:r>
        <w:rPr>
          <w:rFonts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9"/>
        <w:rPr>
          <w:rFonts w:hint="eastAsia"/>
          <w:bCs/>
          <w:color w:val="000000"/>
          <w:sz w:val="24"/>
          <w:highlight w:val="none"/>
        </w:rPr>
      </w:pPr>
      <w:r>
        <w:rPr>
          <w:rFonts w:hint="eastAsia"/>
          <w:bCs/>
          <w:color w:val="000000"/>
          <w:sz w:val="24"/>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rFonts w:hint="eastAsia" w:ascii="宋体" w:hAnsi="宋体"/>
          <w:highlight w:val="none"/>
        </w:rPr>
        <w:t xml:space="preserve">六合分中心</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97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97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97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p>
    <w:p>
      <w:pPr>
        <w:pStyle w:val="97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p>
    <w:p>
      <w:pPr>
        <w:pStyle w:val="97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p>
    <w:p>
      <w:pPr>
        <w:pStyle w:val="97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97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采购包号：</w:t>
      </w:r>
      <w:r/>
    </w:p>
    <w:tbl>
      <w:tblPr>
        <w:tblStyle w:val="720"/>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973"/>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4"/>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4"/>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核心产品品牌一览表</w:t>
      </w:r>
      <w:r/>
    </w:p>
    <w:tbl>
      <w:tblPr>
        <w:tblStyle w:val="720"/>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ascii="宋体" w:hAnsi="宋体" w:cs="宋体"/>
                <w:color w:val="000000"/>
                <w:szCs w:val="21"/>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158" w:type="dxa"/>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601" w:type="dxa"/>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r>
    </w:tbl>
    <w:p>
      <w:pPr>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七、投标分项报价表</w:t>
      </w:r>
      <w:r/>
    </w:p>
    <w:p>
      <w:pPr>
        <w:jc w:val="center"/>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投标分项报价表</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w:t>
      </w:r>
      <w:r/>
    </w:p>
    <w:tbl>
      <w:tblPr>
        <w:tblStyle w:val="720"/>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highlight w:val="none"/>
              </w:rPr>
            </w:pPr>
            <w:r>
              <w:rPr>
                <w:rFonts w:hint="eastAsia" w:ascii="宋体" w:hAnsi="宋体"/>
                <w:b/>
                <w:bCs/>
                <w:sz w:val="24"/>
                <w:szCs w:val="24"/>
                <w:highlight w:val="none"/>
              </w:rPr>
              <w:t xml:space="preserve">本采购包中本公司（单位）提供的符合本国产品标准的产品成本之和 </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是 </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否 </w:t>
            </w:r>
            <w:r>
              <w:rPr>
                <w:rFonts w:hint="eastAsia" w:ascii="宋体" w:hAnsi="宋体"/>
                <w:b/>
                <w:bCs/>
                <w:sz w:val="24"/>
                <w:szCs w:val="24"/>
                <w:highlight w:val="none"/>
              </w:rPr>
              <w:t xml:space="preserve">达到提供的全部产品成本之和的80%以上。</w:t>
            </w:r>
            <w:r/>
          </w:p>
        </w:tc>
      </w:tr>
    </w:tbl>
    <w:p>
      <w:pPr>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754"/>
        <w:ind w:firstLine="480"/>
        <w:jc w:val="both"/>
        <w:spacing w:before="0" w:beforeAutospacing="0" w:after="0" w:afterAutospacing="0" w:line="360" w:lineRule="auto"/>
        <w:rPr>
          <w:rFonts w:hint="eastAsia"/>
          <w:color w:val="000000"/>
          <w:highlight w:val="none"/>
        </w:rPr>
      </w:pPr>
      <w:r>
        <w:rPr>
          <w:color w:val="000000"/>
          <w:highlight w:val="none"/>
        </w:rPr>
        <w:t xml:space="preserve">备注： </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w:t>
      </w:r>
      <w:r>
        <w:rPr>
          <w:rFonts w:hint="eastAsia"/>
          <w:highlight w:val="none"/>
        </w:rPr>
        <w:t xml:space="preserve">“项目清单”中分项仅为一项的，此表无需提供。</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4.行数不够，可自行添加。</w:t>
      </w:r>
      <w:r/>
    </w:p>
    <w:p>
      <w:pPr>
        <w:pStyle w:val="75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八、技术要求响应及偏离表</w:t>
      </w:r>
      <w:r/>
    </w:p>
    <w:p>
      <w:pPr>
        <w:jc w:val="center"/>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754"/>
        <w:ind w:firstLine="480"/>
        <w:jc w:val="both"/>
        <w:spacing w:before="0" w:beforeAutospacing="0" w:after="0" w:afterAutospacing="0"/>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r>
      <w:r/>
    </w:p>
    <w:p>
      <w:pPr>
        <w:pStyle w:val="754"/>
        <w:ind w:firstLine="480"/>
        <w:jc w:val="both"/>
        <w:spacing w:before="0" w:beforeAutospacing="0" w:after="0" w:afterAutospacing="0" w:line="360" w:lineRule="auto"/>
        <w:rPr>
          <w:rFonts w:hint="eastAsia"/>
          <w:color w:val="000000"/>
          <w:highlight w:val="none"/>
        </w:rPr>
      </w:pPr>
      <w:r>
        <w:rPr>
          <w:color w:val="000000"/>
          <w:highlight w:val="none"/>
        </w:rPr>
        <w:t xml:space="preserve">备注： </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color w:val="000000"/>
          <w:highlight w:val="none"/>
        </w:rPr>
      </w:pPr>
      <w:r>
        <w:rPr>
          <w:color w:val="000000"/>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九、商务要求响应及偏离表</w:t>
      </w:r>
      <w:r/>
    </w:p>
    <w:p>
      <w:pPr>
        <w:jc w:val="center"/>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p>
    <w:p>
      <w:pPr>
        <w:pStyle w:val="75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ascii="仿宋_GB2312" w:hAnsi="Arial"/>
          <w:color w:val="000000"/>
          <w:sz w:val="30"/>
          <w:szCs w:val="21"/>
          <w:highlight w:val="none"/>
        </w:rPr>
      </w:pPr>
      <w:r>
        <w:rPr>
          <w:rFonts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62"/>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color w:val="000000"/>
          <w:highlight w:val="none"/>
        </w:rPr>
      </w:pPr>
      <w:r>
        <w:rPr>
          <w:color w:val="000000"/>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pStyle w:val="962"/>
        <w:spacing w:line="336" w:lineRule="auto"/>
        <w:rPr>
          <w:rFonts w:ascii="宋体" w:hAnsi="宋体"/>
          <w:color w:val="000000"/>
          <w:sz w:val="24"/>
          <w:szCs w:val="24"/>
          <w:highlight w:val="none"/>
        </w:rPr>
      </w:pPr>
      <w:r>
        <w:rPr>
          <w:rFonts w:ascii="宋体" w:hAnsi="宋体"/>
          <w:color w:val="000000"/>
          <w:sz w:val="24"/>
          <w:szCs w:val="24"/>
          <w:highlight w:val="none"/>
        </w:rPr>
      </w:r>
      <w:r/>
    </w:p>
    <w:p>
      <w:pPr>
        <w:spacing w:line="336" w:lineRule="auto"/>
        <w:rPr>
          <w:color w:val="000000"/>
          <w:highlight w:val="none"/>
        </w:rPr>
      </w:pPr>
      <w:r>
        <w:rPr>
          <w:color w:val="000000"/>
          <w:highlight w:val="none"/>
        </w:rPr>
      </w:r>
      <w:r/>
    </w:p>
    <w:p>
      <w:pPr>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w:t>
      </w:r>
      <w:r>
        <w:rPr>
          <w:rFonts w:hint="eastAsia" w:ascii="宋体" w:hAnsi="宋体"/>
          <w:b/>
          <w:bCs/>
          <w:color w:val="000000"/>
          <w:sz w:val="24"/>
          <w:szCs w:val="24"/>
          <w:highlight w:val="none"/>
        </w:rPr>
        <w:t xml:space="preserve">项目清单中列示的所有货物，投标人须在声明函中逐项列示并明确制造商的企业类型，如有缺失将按“不提供声明函”处理。</w:t>
      </w:r>
      <w:r>
        <w:rPr>
          <w:rFonts w:hint="eastAsia" w:ascii="宋体" w:hAnsi="宋体"/>
          <w:color w:val="000000"/>
          <w:sz w:val="24"/>
          <w:szCs w:val="24"/>
          <w:highlight w:val="none"/>
        </w:rPr>
        <w:t xml:space="preserve">此声明函将随中标结果同时公告，接受社会监督。4.货物采购项目中，货物的制造商应当为中小企业</w:t>
      </w:r>
      <w:r>
        <w:rPr>
          <w:rFonts w:hint="eastAsia" w:ascii="宋体" w:hAnsi="宋体"/>
          <w:b/>
          <w:bCs/>
          <w:color w:val="000000"/>
          <w:sz w:val="24"/>
          <w:szCs w:val="24"/>
          <w:highlight w:val="none"/>
        </w:rPr>
        <w:t xml:space="preserve">（货物由中小企业制造，即货物由中小企业生产且使用该中小企业商号或者注册商标）</w:t>
      </w:r>
      <w:r>
        <w:rPr>
          <w:rFonts w:hint="eastAsia" w:ascii="宋体" w:hAnsi="宋体"/>
          <w:color w:val="000000"/>
          <w:sz w:val="24"/>
          <w:szCs w:val="24"/>
          <w:highlight w:val="none"/>
        </w:rPr>
        <w:t xml:space="preserve">，不对其中涉及的服务的承接商、工程的承建商作出要求。</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pStyle w:val="962"/>
        <w:rPr>
          <w:rFonts w:ascii="宋体" w:hAnsi="宋体"/>
          <w:color w:val="000000"/>
          <w:sz w:val="24"/>
          <w:szCs w:val="24"/>
          <w:highlight w:val="none"/>
        </w:rPr>
      </w:pPr>
      <w:r>
        <w:rPr>
          <w:rFonts w:ascii="宋体" w:hAnsi="宋体"/>
          <w:color w:val="000000"/>
          <w:sz w:val="24"/>
          <w:szCs w:val="24"/>
          <w:highlight w:val="none"/>
        </w:rPr>
      </w:r>
      <w:r/>
    </w:p>
    <w:p>
      <w:pPr>
        <w:rPr>
          <w:color w:val="000000"/>
          <w:highlight w:val="none"/>
        </w:rPr>
      </w:pPr>
      <w:r>
        <w:rPr>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9"/>
        <w:rPr>
          <w:rFonts w:hint="eastAsia"/>
          <w:color w:val="000000"/>
          <w:highlight w:val="none"/>
        </w:rPr>
      </w:pPr>
      <w:r>
        <w:rPr>
          <w:rFonts w:hint="eastAsia"/>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75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62"/>
          <w:rFonts w:hint="eastAsia"/>
          <w:i w:val="0"/>
          <w:highlight w:val="none"/>
          <w:u w:val="single"/>
          <w:shd w:val="clear" w:color="auto" w:fill="ffffff"/>
        </w:rPr>
        <w:t xml:space="preserve">（产品名称1）</w:t>
      </w:r>
      <w:r>
        <w:rPr>
          <w:rStyle w:val="762"/>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62"/>
          <w:rFonts w:hint="eastAsia"/>
          <w:i w:val="0"/>
          <w:highlight w:val="none"/>
          <w:u w:val="single"/>
          <w:shd w:val="clear" w:color="auto" w:fill="ffffff"/>
        </w:rPr>
        <w:t xml:space="preserve">（厂名）</w:t>
      </w:r>
      <w:r>
        <w:rPr>
          <w:rStyle w:val="76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6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62"/>
          <w:rFonts w:hint="eastAsia"/>
          <w:highlight w:val="none"/>
          <w:u w:val="single"/>
          <w:shd w:val="clear" w:color="auto" w:fill="ffffff"/>
        </w:rPr>
        <w:t xml:space="preserve">（产品名称1）</w:t>
      </w:r>
      <w:r>
        <w:rPr>
          <w:rFonts w:hint="eastAsia"/>
          <w:highlight w:val="none"/>
          <w:shd w:val="clear" w:color="auto" w:fill="ffffff"/>
        </w:rPr>
        <w:t xml:space="preserve">的中国境内生产的组件成本占比≥</w:t>
      </w:r>
      <w:r>
        <w:rPr>
          <w:rStyle w:val="762"/>
          <w:rFonts w:hint="eastAsia"/>
          <w:highlight w:val="none"/>
          <w:u w:val="single"/>
          <w:shd w:val="clear" w:color="auto" w:fill="ffffff"/>
        </w:rPr>
        <w:t xml:space="preserve">（规定比例）</w:t>
      </w:r>
      <w:r>
        <w:rPr>
          <w:rStyle w:val="762"/>
          <w:rFonts w:hint="eastAsia"/>
          <w:i w:val="0"/>
          <w:highlight w:val="none"/>
          <w:shd w:val="clear" w:color="auto" w:fill="ffffff"/>
          <w:vertAlign w:val="superscript"/>
        </w:rPr>
        <w:t xml:space="preserve">3</w:t>
      </w:r>
      <w:r>
        <w:rPr>
          <w:rFonts w:hint="eastAsia"/>
          <w:highlight w:val="none"/>
          <w:shd w:val="clear" w:color="auto" w:fill="ffffff"/>
        </w:rPr>
        <w:t xml:space="preserve">。</w:t>
      </w:r>
      <w:r>
        <w:rPr>
          <w:rStyle w:val="762"/>
          <w:rFonts w:hint="eastAsia"/>
          <w:highlight w:val="none"/>
          <w:u w:val="single"/>
          <w:shd w:val="clear" w:color="auto" w:fill="ffffff"/>
        </w:rPr>
        <w:t xml:space="preserve">（产品名称1）</w:t>
      </w:r>
      <w:r>
        <w:rPr>
          <w:rFonts w:hint="eastAsia"/>
          <w:highlight w:val="none"/>
          <w:shd w:val="clear" w:color="auto" w:fill="ffffff"/>
        </w:rPr>
        <w:t xml:space="preserve">的</w:t>
      </w:r>
      <w:r>
        <w:rPr>
          <w:rStyle w:val="762"/>
          <w:rFonts w:hint="eastAsia"/>
          <w:highlight w:val="none"/>
          <w:u w:val="single"/>
          <w:shd w:val="clear" w:color="auto" w:fill="ffffff"/>
        </w:rPr>
        <w:t xml:space="preserve">（关键组件）</w:t>
      </w:r>
      <w:r>
        <w:rPr>
          <w:rStyle w:val="762"/>
          <w:rFonts w:hint="eastAsia"/>
          <w:i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762"/>
          <w:rFonts w:hint="eastAsia"/>
          <w:highlight w:val="none"/>
          <w:u w:val="single"/>
          <w:shd w:val="clear" w:color="auto" w:fill="ffffff"/>
        </w:rPr>
        <w:t xml:space="preserve">（产品名称1）</w:t>
      </w:r>
      <w:r>
        <w:rPr>
          <w:rFonts w:hint="eastAsia"/>
          <w:highlight w:val="none"/>
          <w:shd w:val="clear" w:color="auto" w:fill="ffffff"/>
        </w:rPr>
        <w:t xml:space="preserve">的</w:t>
      </w:r>
      <w:r>
        <w:rPr>
          <w:rStyle w:val="762"/>
          <w:rFonts w:hint="eastAsia"/>
          <w:highlight w:val="none"/>
          <w:u w:val="single"/>
          <w:shd w:val="clear" w:color="auto" w:fill="ffffff"/>
        </w:rPr>
        <w:t xml:space="preserve">（关键工序）</w:t>
      </w:r>
      <w:r>
        <w:rPr>
          <w:rStyle w:val="762"/>
          <w:rFonts w:hint="eastAsia"/>
          <w:i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75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2.</w:t>
      </w:r>
      <w:r>
        <w:rPr>
          <w:rStyle w:val="76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6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6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62"/>
          <w:rFonts w:hint="eastAsia"/>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762"/>
          <w:rFonts w:hint="eastAsia"/>
          <w:highlight w:val="none"/>
          <w:u w:val="single"/>
          <w:shd w:val="clear" w:color="auto" w:fill="ffffff"/>
        </w:rPr>
        <w:t xml:space="preserve">（规定比例）</w:t>
      </w:r>
      <w:r>
        <w:rPr>
          <w:rFonts w:hint="eastAsia"/>
          <w:highlight w:val="none"/>
          <w:shd w:val="clear" w:color="auto" w:fill="ffffff"/>
        </w:rPr>
        <w:t xml:space="preserve">。</w:t>
      </w:r>
      <w:r>
        <w:rPr>
          <w:rStyle w:val="762"/>
          <w:rFonts w:hint="eastAsia"/>
          <w:highlight w:val="none"/>
          <w:u w:val="single"/>
          <w:shd w:val="clear" w:color="auto" w:fill="ffffff"/>
        </w:rPr>
        <w:t xml:space="preserve">（产品名称2）</w:t>
      </w:r>
      <w:r>
        <w:rPr>
          <w:rFonts w:hint="eastAsia"/>
          <w:highlight w:val="none"/>
          <w:shd w:val="clear" w:color="auto" w:fill="ffffff"/>
        </w:rPr>
        <w:t xml:space="preserve">的</w:t>
      </w:r>
      <w:r>
        <w:rPr>
          <w:rStyle w:val="762"/>
          <w:rFonts w:hint="eastAsia"/>
          <w:highlight w:val="none"/>
          <w:u w:val="single"/>
          <w:shd w:val="clear" w:color="auto" w:fill="ffffff"/>
        </w:rPr>
        <w:t xml:space="preserve">（关键组件）</w:t>
      </w:r>
      <w:r>
        <w:rPr>
          <w:rFonts w:hint="eastAsia"/>
          <w:highlight w:val="none"/>
          <w:shd w:val="clear" w:color="auto" w:fill="ffffff"/>
        </w:rPr>
        <w:t xml:space="preserve">在中国境内生产。</w:t>
      </w:r>
      <w:r>
        <w:rPr>
          <w:rStyle w:val="762"/>
          <w:rFonts w:hint="eastAsia"/>
          <w:highlight w:val="none"/>
          <w:u w:val="single"/>
          <w:shd w:val="clear" w:color="auto" w:fill="ffffff"/>
        </w:rPr>
        <w:t xml:space="preserve">（产品名称2）</w:t>
      </w:r>
      <w:r>
        <w:rPr>
          <w:rFonts w:hint="eastAsia"/>
          <w:highlight w:val="none"/>
          <w:shd w:val="clear" w:color="auto" w:fill="ffffff"/>
        </w:rPr>
        <w:t xml:space="preserve">的</w:t>
      </w:r>
      <w:r>
        <w:rPr>
          <w:rStyle w:val="762"/>
          <w:rFonts w:hint="eastAsia"/>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75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54"/>
        <w:ind w:firstLine="420"/>
        <w:spacing w:before="24" w:beforeAutospacing="0" w:after="24" w:afterAutospacing="0" w:line="360" w:lineRule="auto"/>
        <w:shd w:val="clear" w:color="auto" w:fill="ffffff"/>
        <w:rPr>
          <w:rFonts w:hint="eastAsia"/>
          <w:highlight w:val="none"/>
        </w:rPr>
      </w:pPr>
      <w:r/>
      <w:bookmarkStart w:id="210" w:name="OLE_LINK6"/>
      <w:r>
        <w:rPr>
          <w:rFonts w:hint="eastAsia"/>
          <w:highlight w:val="none"/>
          <w:shd w:val="clear" w:color="auto" w:fill="ffffff"/>
        </w:rPr>
        <w:t xml:space="preserve">本公司（单位）</w:t>
      </w:r>
      <w:bookmarkEnd w:id="210"/>
      <w:r>
        <w:rPr>
          <w:rFonts w:hint="eastAsia"/>
          <w:highlight w:val="none"/>
          <w:shd w:val="clear" w:color="auto" w:fill="ffffff"/>
        </w:rPr>
        <w:t xml:space="preserve">对上述声明内容的真实性负责。如有虚假，愿承担相应法律责任。</w:t>
      </w:r>
      <w:r/>
    </w:p>
    <w:p>
      <w:pPr>
        <w:pStyle w:val="75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5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5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5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5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5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3.该产品的中国境内生产的组件成本占比相关要求实施前，“规定比例”栏可不填。</w:t>
      </w:r>
      <w:r/>
    </w:p>
    <w:p>
      <w:pPr>
        <w:pStyle w:val="754"/>
        <w:ind w:firstLine="420"/>
        <w:spacing w:before="24" w:beforeAutospacing="0" w:after="24"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4.该产品的关键组件要求实施前，“关键组件”栏可不填。</w:t>
      </w:r>
      <w:r/>
    </w:p>
    <w:p>
      <w:pPr>
        <w:pStyle w:val="754"/>
        <w:ind w:firstLine="420"/>
        <w:spacing w:before="24" w:beforeAutospacing="0" w:after="24" w:afterAutospacing="0" w:line="360" w:lineRule="auto"/>
        <w:shd w:val="clear" w:color="auto" w:fill="ffffff"/>
        <w:rPr>
          <w:rFonts w:hint="eastAsia"/>
          <w:b/>
          <w:bCs/>
          <w:sz w:val="21"/>
          <w:szCs w:val="21"/>
          <w:highlight w:val="none"/>
          <w:shd w:val="clear" w:color="auto" w:fill="ffffff"/>
        </w:rPr>
      </w:pPr>
      <w:r>
        <w:rPr>
          <w:rFonts w:hint="eastAsia"/>
          <w:sz w:val="21"/>
          <w:szCs w:val="21"/>
          <w:highlight w:val="none"/>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color w:val="000000"/>
          <w:sz w:val="32"/>
          <w:szCs w:val="32"/>
          <w:highlight w:val="none"/>
        </w:rPr>
      </w:pPr>
      <w:r>
        <w:rPr>
          <w:color w:val="000000"/>
          <w:highlight w:val="none"/>
        </w:rPr>
        <w:br w:type="page" w:clear="all"/>
      </w:r>
      <w:bookmarkEnd w:id="206"/>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签  字(签章)：                                 公  章：                      </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日  期：    </w:t>
      </w:r>
      <w:r/>
    </w:p>
    <w:p>
      <w:pPr>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相关说明：</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rPr>
          <w:highlight w:val="none"/>
        </w:rPr>
      </w:pPr>
      <w:r>
        <w:rPr>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41"/>
                            <w:tabs>
                              <w:tab w:val="clear" w:pos="4153" w:leader="none"/>
                              <w:tab w:val="clear" w:pos="8306" w:leader="none"/>
                            </w:tabs>
                            <w:rPr>
                              <w:rStyle w:val="761"/>
                              <w:rFonts w:hint="eastAsia" w:ascii="宋体" w:hAnsi="宋体"/>
                            </w:rPr>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41"/>
                      <w:tabs>
                        <w:tab w:val="clear" w:pos="4153" w:leader="none"/>
                        <w:tab w:val="clear" w:pos="8306" w:leader="none"/>
                      </w:tabs>
                      <w:rPr>
                        <w:rStyle w:val="761"/>
                        <w:rFonts w:hint="eastAsia" w:ascii="宋体" w:hAnsi="宋体"/>
                      </w:rPr>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9" w:default="1">
    <w:name w:val="Normal"/>
    <w:next w:val="721"/>
    <w:uiPriority w:val="0"/>
    <w:qFormat/>
    <w:pPr>
      <w:jc w:val="both"/>
      <w:widowControl w:val="off"/>
    </w:pPr>
    <w:rPr>
      <w:rFonts w:ascii="Times New Roman" w:hAnsi="Times New Roman" w:eastAsia="宋体" w:cs="Times New Roman"/>
      <w:sz w:val="21"/>
      <w:szCs w:val="22"/>
      <w:lang w:val="en-US" w:eastAsia="zh-CN" w:bidi="ar-SA"/>
    </w:rPr>
  </w:style>
  <w:style w:type="paragraph" w:styleId="710">
    <w:name w:val="Heading 1"/>
    <w:basedOn w:val="709"/>
    <w:next w:val="709"/>
    <w:link w:val="792"/>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11">
    <w:name w:val="Heading 2"/>
    <w:basedOn w:val="709"/>
    <w:next w:val="709"/>
    <w:link w:val="793"/>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12">
    <w:name w:val="Heading 3"/>
    <w:basedOn w:val="709"/>
    <w:next w:val="709"/>
    <w:link w:val="794"/>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13">
    <w:name w:val="Heading 4"/>
    <w:basedOn w:val="709"/>
    <w:next w:val="709"/>
    <w:link w:val="795"/>
    <w:uiPriority w:val="0"/>
    <w:unhideWhenUsed/>
    <w:qFormat/>
    <w:pPr>
      <w:keepLines/>
      <w:keepNext/>
      <w:spacing w:before="80" w:after="40"/>
      <w:outlineLvl w:val="3"/>
    </w:pPr>
    <w:rPr>
      <w:rFonts w:cstheme="majorBidi"/>
      <w:color w:val="104862" w:themeColor="accent1" w:themeShade="BF"/>
      <w:sz w:val="28"/>
      <w:szCs w:val="28"/>
    </w:rPr>
  </w:style>
  <w:style w:type="paragraph" w:styleId="714">
    <w:name w:val="Heading 5"/>
    <w:basedOn w:val="709"/>
    <w:next w:val="709"/>
    <w:link w:val="796"/>
    <w:uiPriority w:val="0"/>
    <w:unhideWhenUsed/>
    <w:qFormat/>
    <w:pPr>
      <w:keepLines/>
      <w:keepNext/>
      <w:spacing w:before="80" w:after="40"/>
      <w:outlineLvl w:val="4"/>
    </w:pPr>
    <w:rPr>
      <w:rFonts w:cstheme="majorBidi"/>
      <w:color w:val="104862" w:themeColor="accent1" w:themeShade="BF"/>
      <w:sz w:val="24"/>
      <w:szCs w:val="24"/>
    </w:rPr>
  </w:style>
  <w:style w:type="paragraph" w:styleId="715">
    <w:name w:val="Heading 6"/>
    <w:basedOn w:val="709"/>
    <w:next w:val="709"/>
    <w:link w:val="797"/>
    <w:uiPriority w:val="0"/>
    <w:unhideWhenUsed/>
    <w:qFormat/>
    <w:pPr>
      <w:keepLines/>
      <w:keepNext/>
      <w:spacing w:before="40"/>
      <w:outlineLvl w:val="5"/>
    </w:pPr>
    <w:rPr>
      <w:rFonts w:cstheme="majorBidi"/>
      <w:b/>
      <w:bCs/>
      <w:color w:val="104862" w:themeColor="accent1" w:themeShade="BF"/>
    </w:rPr>
  </w:style>
  <w:style w:type="paragraph" w:styleId="716">
    <w:name w:val="Heading 7"/>
    <w:basedOn w:val="709"/>
    <w:next w:val="709"/>
    <w:link w:val="798"/>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17">
    <w:name w:val="Heading 8"/>
    <w:basedOn w:val="709"/>
    <w:next w:val="709"/>
    <w:link w:val="799"/>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18">
    <w:name w:val="Heading 9"/>
    <w:basedOn w:val="709"/>
    <w:next w:val="709"/>
    <w:link w:val="800"/>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19" w:default="1">
    <w:name w:val="Default Paragraph Font"/>
    <w:uiPriority w:val="1"/>
    <w:semiHidden/>
    <w:unhideWhenUsed/>
  </w:style>
  <w:style w:type="table" w:styleId="720" w:default="1">
    <w:name w:val="Normal Table"/>
    <w:uiPriority w:val="99"/>
    <w:semiHidden/>
    <w:unhideWhenUsed/>
    <w:tblPr>
      <w:tblCellMar>
        <w:left w:w="108" w:type="dxa"/>
        <w:top w:w="0" w:type="dxa"/>
        <w:right w:w="108" w:type="dxa"/>
        <w:bottom w:w="0" w:type="dxa"/>
      </w:tblCellMar>
    </w:tblPr>
  </w:style>
  <w:style w:type="paragraph" w:styleId="721">
    <w:name w:val="Body Text First Indent 2"/>
    <w:basedOn w:val="722"/>
    <w:next w:val="709"/>
    <w:link w:val="1006"/>
    <w:uiPriority w:val="0"/>
    <w:qFormat/>
    <w:pPr>
      <w:ind w:left="0" w:firstLine="420"/>
      <w:spacing w:after="0" w:line="360" w:lineRule="auto"/>
    </w:pPr>
    <w:rPr>
      <w:rFonts w:ascii="宋体" w:hAnsi="宋体"/>
      <w:sz w:val="20"/>
      <w:szCs w:val="20"/>
      <w:lang w:eastAsia="en-US"/>
    </w:rPr>
  </w:style>
  <w:style w:type="paragraph" w:styleId="722">
    <w:name w:val="Body Text Indent"/>
    <w:basedOn w:val="709"/>
    <w:next w:val="723"/>
    <w:link w:val="935"/>
    <w:uiPriority w:val="0"/>
    <w:unhideWhenUsed/>
    <w:qFormat/>
    <w:pPr>
      <w:ind w:left="420"/>
      <w:spacing w:after="120"/>
    </w:pPr>
  </w:style>
  <w:style w:type="paragraph" w:styleId="723">
    <w:name w:val="envelope return"/>
    <w:basedOn w:val="709"/>
    <w:uiPriority w:val="0"/>
    <w:qFormat/>
    <w:rPr>
      <w:rFonts w:ascii="Arial" w:hAnsi="Arial" w:cs="宋体"/>
    </w:rPr>
  </w:style>
  <w:style w:type="paragraph" w:styleId="724">
    <w:name w:val="List 3"/>
    <w:basedOn w:val="709"/>
    <w:uiPriority w:val="0"/>
    <w:qFormat/>
    <w:pPr>
      <w:ind w:left="100" w:hanging="200"/>
    </w:pPr>
    <w:rPr>
      <w:szCs w:val="21"/>
    </w:rPr>
  </w:style>
  <w:style w:type="paragraph" w:styleId="725">
    <w:name w:val="toc 7"/>
    <w:basedOn w:val="709"/>
    <w:next w:val="709"/>
    <w:uiPriority w:val="39"/>
    <w:unhideWhenUsed/>
    <w:qFormat/>
    <w:pPr>
      <w:ind w:left="1701"/>
      <w:spacing w:after="57"/>
    </w:pPr>
  </w:style>
  <w:style w:type="paragraph" w:styleId="726">
    <w:name w:val="Normal Indent"/>
    <w:basedOn w:val="709"/>
    <w:link w:val="937"/>
    <w:uiPriority w:val="0"/>
    <w:qFormat/>
    <w:pPr>
      <w:ind w:firstLine="420"/>
    </w:pPr>
    <w:rPr>
      <w:szCs w:val="21"/>
    </w:rPr>
  </w:style>
  <w:style w:type="paragraph" w:styleId="727">
    <w:name w:val="Caption"/>
    <w:basedOn w:val="709"/>
    <w:next w:val="709"/>
    <w:uiPriority w:val="35"/>
    <w:semiHidden/>
    <w:unhideWhenUsed/>
    <w:qFormat/>
    <w:pPr>
      <w:spacing w:line="276" w:lineRule="auto"/>
    </w:pPr>
    <w:rPr>
      <w:b/>
      <w:bCs/>
      <w:color w:val="4f81bd"/>
      <w:sz w:val="18"/>
      <w:szCs w:val="18"/>
    </w:rPr>
  </w:style>
  <w:style w:type="paragraph" w:styleId="728">
    <w:name w:val="Document Map"/>
    <w:basedOn w:val="709"/>
    <w:link w:val="939"/>
    <w:uiPriority w:val="0"/>
    <w:semiHidden/>
    <w:qFormat/>
    <w:pPr>
      <w:shd w:val="clear" w:color="auto" w:fill="000080"/>
    </w:pPr>
    <w:rPr>
      <w:szCs w:val="21"/>
    </w:rPr>
  </w:style>
  <w:style w:type="paragraph" w:styleId="729">
    <w:name w:val="annotation text"/>
    <w:basedOn w:val="709"/>
    <w:link w:val="941"/>
    <w:uiPriority w:val="0"/>
    <w:unhideWhenUsed/>
    <w:qFormat/>
    <w:pPr>
      <w:jc w:val="left"/>
    </w:pPr>
    <w:rPr>
      <w:rFonts w:ascii="Calibri" w:hAnsi="Calibri"/>
      <w:szCs w:val="24"/>
    </w:rPr>
  </w:style>
  <w:style w:type="paragraph" w:styleId="730">
    <w:name w:val="Body Text 3"/>
    <w:basedOn w:val="709"/>
    <w:link w:val="942"/>
    <w:uiPriority w:val="0"/>
    <w:qFormat/>
    <w:rPr>
      <w:rFonts w:ascii="仿宋_GB2312" w:hAnsi="Arial" w:eastAsia="仿宋_GB2312"/>
      <w:sz w:val="32"/>
      <w:szCs w:val="32"/>
    </w:rPr>
  </w:style>
  <w:style w:type="paragraph" w:styleId="731">
    <w:name w:val="Body Text"/>
    <w:basedOn w:val="709"/>
    <w:link w:val="943"/>
    <w:uiPriority w:val="0"/>
    <w:qFormat/>
    <w:rPr>
      <w:rFonts w:ascii="楷体_GB2312" w:hAnsi="Arial" w:eastAsia="楷体_GB2312"/>
      <w:sz w:val="28"/>
      <w:szCs w:val="28"/>
    </w:rPr>
  </w:style>
  <w:style w:type="paragraph" w:styleId="732">
    <w:name w:val="List 2"/>
    <w:basedOn w:val="709"/>
    <w:uiPriority w:val="0"/>
    <w:qFormat/>
    <w:pPr>
      <w:ind w:left="100" w:hanging="200"/>
    </w:pPr>
    <w:rPr>
      <w:szCs w:val="21"/>
    </w:rPr>
  </w:style>
  <w:style w:type="paragraph" w:styleId="733">
    <w:name w:val="toc 5"/>
    <w:basedOn w:val="709"/>
    <w:next w:val="709"/>
    <w:uiPriority w:val="39"/>
    <w:unhideWhenUsed/>
    <w:qFormat/>
    <w:pPr>
      <w:ind w:left="1134"/>
      <w:spacing w:after="57"/>
    </w:pPr>
  </w:style>
  <w:style w:type="paragraph" w:styleId="734">
    <w:name w:val="toc 3"/>
    <w:basedOn w:val="709"/>
    <w:next w:val="709"/>
    <w:uiPriority w:val="39"/>
    <w:unhideWhenUsed/>
    <w:qFormat/>
    <w:pPr>
      <w:ind w:left="567"/>
      <w:spacing w:after="57"/>
    </w:pPr>
  </w:style>
  <w:style w:type="paragraph" w:styleId="735">
    <w:name w:val="Plain Text"/>
    <w:basedOn w:val="709"/>
    <w:link w:val="946"/>
    <w:uiPriority w:val="0"/>
    <w:qFormat/>
    <w:rPr>
      <w:rFonts w:ascii="宋体" w:hAnsi="Courier New" w:cs="Courier New"/>
      <w:szCs w:val="21"/>
    </w:rPr>
  </w:style>
  <w:style w:type="paragraph" w:styleId="736">
    <w:name w:val="toc 8"/>
    <w:basedOn w:val="709"/>
    <w:next w:val="709"/>
    <w:uiPriority w:val="39"/>
    <w:unhideWhenUsed/>
    <w:qFormat/>
    <w:pPr>
      <w:ind w:left="1984"/>
      <w:spacing w:after="57"/>
    </w:pPr>
  </w:style>
  <w:style w:type="paragraph" w:styleId="737">
    <w:name w:val="Date"/>
    <w:basedOn w:val="709"/>
    <w:next w:val="709"/>
    <w:link w:val="948"/>
    <w:uiPriority w:val="0"/>
    <w:qFormat/>
    <w:rPr>
      <w:sz w:val="24"/>
      <w:szCs w:val="24"/>
    </w:rPr>
  </w:style>
  <w:style w:type="paragraph" w:styleId="738">
    <w:name w:val="Body Text Indent 2"/>
    <w:basedOn w:val="709"/>
    <w:link w:val="949"/>
    <w:uiPriority w:val="0"/>
    <w:qFormat/>
    <w:pPr>
      <w:ind w:left="630" w:firstLine="645"/>
    </w:pPr>
    <w:rPr>
      <w:rFonts w:ascii="Arial" w:hAnsi="Arial" w:eastAsia="仿宋_GB2312" w:cs="Arial"/>
      <w:sz w:val="32"/>
      <w:szCs w:val="32"/>
    </w:rPr>
  </w:style>
  <w:style w:type="paragraph" w:styleId="739">
    <w:name w:val="endnote text"/>
    <w:basedOn w:val="709"/>
    <w:link w:val="932"/>
    <w:uiPriority w:val="99"/>
    <w:semiHidden/>
    <w:unhideWhenUsed/>
    <w:qFormat/>
    <w:rPr>
      <w:sz w:val="20"/>
    </w:rPr>
  </w:style>
  <w:style w:type="paragraph" w:styleId="740">
    <w:name w:val="Balloon Text"/>
    <w:basedOn w:val="709"/>
    <w:link w:val="950"/>
    <w:uiPriority w:val="0"/>
    <w:semiHidden/>
    <w:qFormat/>
    <w:rPr>
      <w:sz w:val="18"/>
      <w:szCs w:val="18"/>
    </w:rPr>
  </w:style>
  <w:style w:type="paragraph" w:styleId="741">
    <w:name w:val="Footer"/>
    <w:basedOn w:val="709"/>
    <w:link w:val="822"/>
    <w:uiPriority w:val="0"/>
    <w:qFormat/>
    <w:pPr>
      <w:jc w:val="left"/>
      <w:tabs>
        <w:tab w:val="center" w:pos="4153" w:leader="none"/>
        <w:tab w:val="right" w:pos="8306" w:leader="none"/>
      </w:tabs>
    </w:pPr>
    <w:rPr>
      <w:sz w:val="18"/>
      <w:szCs w:val="18"/>
    </w:rPr>
  </w:style>
  <w:style w:type="paragraph" w:styleId="742">
    <w:name w:val="Header"/>
    <w:basedOn w:val="709"/>
    <w:link w:val="820"/>
    <w:uiPriority w:val="0"/>
    <w:qFormat/>
    <w:pPr>
      <w:jc w:val="center"/>
      <w:tabs>
        <w:tab w:val="center" w:pos="4153" w:leader="none"/>
        <w:tab w:val="right" w:pos="8306" w:leader="none"/>
      </w:tabs>
      <w:pBdr>
        <w:bottom w:val="single" w:color="000000" w:sz="6" w:space="1"/>
      </w:pBdr>
    </w:pPr>
    <w:rPr>
      <w:sz w:val="18"/>
      <w:szCs w:val="18"/>
    </w:rPr>
  </w:style>
  <w:style w:type="paragraph" w:styleId="743">
    <w:name w:val="toc 1"/>
    <w:basedOn w:val="709"/>
    <w:next w:val="709"/>
    <w:uiPriority w:val="39"/>
    <w:unhideWhenUsed/>
    <w:qFormat/>
    <w:pPr>
      <w:spacing w:after="57"/>
    </w:pPr>
  </w:style>
  <w:style w:type="paragraph" w:styleId="744">
    <w:name w:val="toc 4"/>
    <w:basedOn w:val="709"/>
    <w:next w:val="709"/>
    <w:uiPriority w:val="39"/>
    <w:unhideWhenUsed/>
    <w:qFormat/>
    <w:pPr>
      <w:ind w:left="850"/>
      <w:spacing w:after="57"/>
    </w:pPr>
  </w:style>
  <w:style w:type="paragraph" w:styleId="745">
    <w:name w:val="Subtitle"/>
    <w:basedOn w:val="709"/>
    <w:next w:val="709"/>
    <w:link w:val="802"/>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46">
    <w:name w:val="List"/>
    <w:basedOn w:val="709"/>
    <w:uiPriority w:val="0"/>
    <w:qFormat/>
    <w:pPr>
      <w:ind w:left="200" w:hanging="200"/>
    </w:pPr>
    <w:rPr>
      <w:szCs w:val="21"/>
    </w:rPr>
  </w:style>
  <w:style w:type="paragraph" w:styleId="747">
    <w:name w:val="footnote text"/>
    <w:basedOn w:val="709"/>
    <w:link w:val="931"/>
    <w:uiPriority w:val="99"/>
    <w:semiHidden/>
    <w:unhideWhenUsed/>
    <w:qFormat/>
    <w:pPr>
      <w:spacing w:after="40"/>
    </w:pPr>
    <w:rPr>
      <w:sz w:val="18"/>
    </w:rPr>
  </w:style>
  <w:style w:type="paragraph" w:styleId="748">
    <w:name w:val="toc 6"/>
    <w:basedOn w:val="709"/>
    <w:next w:val="709"/>
    <w:uiPriority w:val="39"/>
    <w:unhideWhenUsed/>
    <w:qFormat/>
    <w:pPr>
      <w:ind w:left="1417"/>
      <w:spacing w:after="57"/>
    </w:pPr>
  </w:style>
  <w:style w:type="paragraph" w:styleId="749">
    <w:name w:val="Body Text Indent 3"/>
    <w:basedOn w:val="709"/>
    <w:link w:val="954"/>
    <w:uiPriority w:val="0"/>
    <w:qFormat/>
    <w:pPr>
      <w:ind w:left="645" w:firstLine="645"/>
    </w:pPr>
    <w:rPr>
      <w:rFonts w:ascii="Arial" w:hAnsi="Arial" w:eastAsia="仿宋_GB2312" w:cs="Arial"/>
      <w:color w:val="ffff00"/>
      <w:sz w:val="32"/>
      <w:szCs w:val="32"/>
    </w:rPr>
  </w:style>
  <w:style w:type="paragraph" w:styleId="750">
    <w:name w:val="table of figures"/>
    <w:basedOn w:val="709"/>
    <w:next w:val="709"/>
    <w:uiPriority w:val="0"/>
    <w:semiHidden/>
    <w:qFormat/>
    <w:pPr>
      <w:ind w:left="840" w:hanging="420"/>
    </w:pPr>
    <w:rPr>
      <w:szCs w:val="21"/>
    </w:rPr>
  </w:style>
  <w:style w:type="paragraph" w:styleId="751">
    <w:name w:val="toc 2"/>
    <w:basedOn w:val="709"/>
    <w:next w:val="709"/>
    <w:uiPriority w:val="39"/>
    <w:unhideWhenUsed/>
    <w:pPr>
      <w:ind w:left="283"/>
      <w:spacing w:after="57"/>
    </w:pPr>
  </w:style>
  <w:style w:type="paragraph" w:styleId="752">
    <w:name w:val="toc 9"/>
    <w:basedOn w:val="709"/>
    <w:next w:val="709"/>
    <w:uiPriority w:val="39"/>
    <w:unhideWhenUsed/>
    <w:qFormat/>
    <w:pPr>
      <w:ind w:left="2268"/>
      <w:spacing w:after="57"/>
    </w:pPr>
  </w:style>
  <w:style w:type="paragraph" w:styleId="753">
    <w:name w:val="Body Text 2"/>
    <w:basedOn w:val="709"/>
    <w:link w:val="957"/>
    <w:uiPriority w:val="0"/>
    <w:qFormat/>
    <w:pPr>
      <w:jc w:val="center"/>
      <w:widowControl/>
    </w:pPr>
    <w:rPr>
      <w:rFonts w:ascii="楷体_GB2312" w:eastAsia="楷体_GB2312"/>
      <w:sz w:val="28"/>
      <w:szCs w:val="28"/>
    </w:rPr>
  </w:style>
  <w:style w:type="paragraph" w:styleId="754">
    <w:name w:val="Normal (Web)"/>
    <w:basedOn w:val="709"/>
    <w:uiPriority w:val="99"/>
    <w:qFormat/>
    <w:pPr>
      <w:jc w:val="left"/>
      <w:spacing w:before="100" w:beforeAutospacing="1" w:after="100" w:afterAutospacing="1"/>
      <w:widowControl/>
    </w:pPr>
    <w:rPr>
      <w:rFonts w:ascii="宋体" w:hAnsi="宋体" w:cs="宋体"/>
      <w:sz w:val="24"/>
      <w:szCs w:val="24"/>
    </w:rPr>
  </w:style>
  <w:style w:type="paragraph" w:styleId="755">
    <w:name w:val="index 1"/>
    <w:basedOn w:val="709"/>
    <w:next w:val="709"/>
    <w:uiPriority w:val="0"/>
    <w:semiHidden/>
    <w:qFormat/>
    <w:pPr>
      <w:spacing w:line="240" w:lineRule="atLeast"/>
    </w:pPr>
    <w:rPr>
      <w:b/>
      <w:bCs/>
      <w:szCs w:val="21"/>
    </w:rPr>
  </w:style>
  <w:style w:type="paragraph" w:styleId="756">
    <w:name w:val="Title"/>
    <w:basedOn w:val="709"/>
    <w:next w:val="709"/>
    <w:link w:val="801"/>
    <w:uiPriority w:val="10"/>
    <w:qFormat/>
    <w:pPr>
      <w:contextualSpacing/>
      <w:jc w:val="center"/>
      <w:spacing w:after="80"/>
    </w:pPr>
    <w:rPr>
      <w:rFonts w:asciiTheme="majorHAnsi" w:hAnsiTheme="majorHAnsi" w:eastAsiaTheme="majorEastAsia" w:cstheme="majorBidi"/>
      <w:spacing w:val="-10"/>
      <w:sz w:val="56"/>
      <w:szCs w:val="56"/>
    </w:rPr>
  </w:style>
  <w:style w:type="paragraph" w:styleId="757">
    <w:name w:val="annotation subject"/>
    <w:basedOn w:val="729"/>
    <w:next w:val="729"/>
    <w:link w:val="958"/>
    <w:uiPriority w:val="0"/>
    <w:semiHidden/>
    <w:rPr>
      <w:rFonts w:ascii="Times New Roman" w:hAnsi="Times New Roman"/>
      <w:b/>
      <w:bCs/>
      <w:szCs w:val="21"/>
    </w:rPr>
  </w:style>
  <w:style w:type="table" w:styleId="758">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22"/>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Emphasis"/>
    <w:uiPriority w:val="0"/>
    <w:qFormat/>
    <w:rPr>
      <w:i/>
    </w:rPr>
  </w:style>
  <w:style w:type="character" w:styleId="763">
    <w:name w:val="Hyperlink"/>
    <w:uiPriority w:val="0"/>
    <w:qFormat/>
    <w:rPr>
      <w:color w:val="0000ff"/>
      <w:u w:val="single"/>
    </w:rPr>
  </w:style>
  <w:style w:type="character" w:styleId="764">
    <w:name w:val="annotation reference"/>
    <w:uiPriority w:val="0"/>
    <w:semiHidden/>
    <w:rPr>
      <w:sz w:val="21"/>
      <w:szCs w:val="21"/>
    </w:rPr>
  </w:style>
  <w:style w:type="character" w:styleId="765">
    <w:name w:val="footnote reference"/>
    <w:uiPriority w:val="99"/>
    <w:unhideWhenUsed/>
    <w:rPr>
      <w:vertAlign w:val="superscript"/>
    </w:rPr>
  </w:style>
  <w:style w:type="character" w:styleId="766" w:customStyle="1">
    <w:name w:val="Title Char"/>
    <w:basedOn w:val="719"/>
    <w:uiPriority w:val="10"/>
    <w:qFormat/>
    <w:rPr>
      <w:sz w:val="48"/>
      <w:szCs w:val="48"/>
    </w:rPr>
  </w:style>
  <w:style w:type="character" w:styleId="767" w:customStyle="1">
    <w:name w:val="Subtitle Char"/>
    <w:basedOn w:val="719"/>
    <w:uiPriority w:val="11"/>
    <w:rPr>
      <w:sz w:val="24"/>
      <w:szCs w:val="24"/>
    </w:rPr>
  </w:style>
  <w:style w:type="character" w:styleId="768" w:customStyle="1">
    <w:name w:val="Quote Char"/>
    <w:uiPriority w:val="29"/>
    <w:qFormat/>
    <w:rPr>
      <w:i/>
    </w:rPr>
  </w:style>
  <w:style w:type="character" w:styleId="769" w:customStyle="1">
    <w:name w:val="Intense Quote Char"/>
    <w:uiPriority w:val="30"/>
    <w:qFormat/>
    <w:rPr>
      <w:i/>
    </w:rPr>
  </w:style>
  <w:style w:type="table" w:styleId="770" w:customStyle="1">
    <w:name w:val="无格式表格 11"/>
    <w:basedOn w:val="72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72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72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72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72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72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72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网格表 31"/>
    <w:basedOn w:val="72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72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网格表 5 深色1"/>
    <w:basedOn w:val="72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网格表 6 彩色1"/>
    <w:basedOn w:val="72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网格表 7 彩色1"/>
    <w:basedOn w:val="720"/>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清单表 1 浅色1"/>
    <w:basedOn w:val="72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清单表 21"/>
    <w:basedOn w:val="720"/>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清单表 31"/>
    <w:basedOn w:val="720"/>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41"/>
    <w:basedOn w:val="72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5 深色1"/>
    <w:basedOn w:val="720"/>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basedOn w:val="720"/>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清单表 7 彩色1"/>
    <w:basedOn w:val="720"/>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rPr>
      <w:rFonts w:ascii="Times New Roman" w:hAnsi="Times New Roman" w:eastAsia="宋体" w:cs="Times New Roman"/>
      <w:lang w:val="en-US" w:eastAsia="zh-CN" w:bidi="ar-SA"/>
    </w:rPr>
  </w:style>
  <w:style w:type="character" w:styleId="792" w:customStyle="1">
    <w:name w:val="标题 1 字符"/>
    <w:basedOn w:val="719"/>
    <w:link w:val="710"/>
    <w:uiPriority w:val="0"/>
    <w:qFormat/>
    <w:rPr>
      <w:rFonts w:asciiTheme="majorHAnsi" w:hAnsiTheme="majorHAnsi" w:eastAsiaTheme="majorEastAsia" w:cstheme="majorBidi"/>
      <w:color w:val="104862" w:themeColor="accent1" w:themeShade="BF"/>
      <w:sz w:val="48"/>
      <w:szCs w:val="48"/>
    </w:rPr>
  </w:style>
  <w:style w:type="character" w:styleId="793" w:customStyle="1">
    <w:name w:val="标题 2 字符"/>
    <w:basedOn w:val="719"/>
    <w:link w:val="711"/>
    <w:uiPriority w:val="0"/>
    <w:qFormat/>
    <w:rPr>
      <w:rFonts w:asciiTheme="majorHAnsi" w:hAnsiTheme="majorHAnsi" w:eastAsiaTheme="majorEastAsia" w:cstheme="majorBidi"/>
      <w:color w:val="104862" w:themeColor="accent1" w:themeShade="BF"/>
      <w:sz w:val="40"/>
      <w:szCs w:val="40"/>
    </w:rPr>
  </w:style>
  <w:style w:type="character" w:styleId="794" w:customStyle="1">
    <w:name w:val="标题 3 字符"/>
    <w:basedOn w:val="719"/>
    <w:link w:val="712"/>
    <w:uiPriority w:val="0"/>
    <w:qFormat/>
    <w:rPr>
      <w:rFonts w:asciiTheme="majorHAnsi" w:hAnsiTheme="majorHAnsi" w:eastAsiaTheme="majorEastAsia" w:cstheme="majorBidi"/>
      <w:color w:val="104862" w:themeColor="accent1" w:themeShade="BF"/>
      <w:sz w:val="32"/>
      <w:szCs w:val="32"/>
    </w:rPr>
  </w:style>
  <w:style w:type="character" w:styleId="795" w:customStyle="1">
    <w:name w:val="标题 4 字符"/>
    <w:basedOn w:val="719"/>
    <w:link w:val="713"/>
    <w:uiPriority w:val="0"/>
    <w:qFormat/>
    <w:rPr>
      <w:rFonts w:cstheme="majorBidi"/>
      <w:color w:val="104862" w:themeColor="accent1" w:themeShade="BF"/>
      <w:sz w:val="28"/>
      <w:szCs w:val="28"/>
    </w:rPr>
  </w:style>
  <w:style w:type="character" w:styleId="796" w:customStyle="1">
    <w:name w:val="标题 5 字符"/>
    <w:basedOn w:val="719"/>
    <w:link w:val="714"/>
    <w:uiPriority w:val="0"/>
    <w:qFormat/>
    <w:rPr>
      <w:rFonts w:cstheme="majorBidi"/>
      <w:color w:val="104862" w:themeColor="accent1" w:themeShade="BF"/>
      <w:sz w:val="24"/>
      <w:szCs w:val="24"/>
    </w:rPr>
  </w:style>
  <w:style w:type="character" w:styleId="797" w:customStyle="1">
    <w:name w:val="标题 6 字符"/>
    <w:basedOn w:val="719"/>
    <w:link w:val="715"/>
    <w:uiPriority w:val="0"/>
    <w:qFormat/>
    <w:rPr>
      <w:rFonts w:cstheme="majorBidi"/>
      <w:b/>
      <w:bCs/>
      <w:color w:val="104862" w:themeColor="accent1" w:themeShade="BF"/>
    </w:rPr>
  </w:style>
  <w:style w:type="character" w:styleId="798" w:customStyle="1">
    <w:name w:val="标题 7 字符"/>
    <w:basedOn w:val="719"/>
    <w:link w:val="716"/>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799" w:customStyle="1">
    <w:name w:val="标题 8 字符"/>
    <w:basedOn w:val="719"/>
    <w:link w:val="717"/>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00" w:customStyle="1">
    <w:name w:val="标题 9 字符"/>
    <w:basedOn w:val="719"/>
    <w:link w:val="718"/>
    <w:uiPriority w:val="0"/>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01" w:customStyle="1">
    <w:name w:val="标题 字符"/>
    <w:basedOn w:val="719"/>
    <w:link w:val="756"/>
    <w:uiPriority w:val="10"/>
    <w:qFormat/>
    <w:rPr>
      <w:rFonts w:asciiTheme="majorHAnsi" w:hAnsiTheme="majorHAnsi" w:eastAsiaTheme="majorEastAsia" w:cstheme="majorBidi"/>
      <w:spacing w:val="-10"/>
      <w:sz w:val="56"/>
      <w:szCs w:val="56"/>
    </w:rPr>
  </w:style>
  <w:style w:type="character" w:styleId="802" w:customStyle="1">
    <w:name w:val="副标题 字符"/>
    <w:basedOn w:val="719"/>
    <w:link w:val="74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03">
    <w:name w:val="Quote"/>
    <w:basedOn w:val="709"/>
    <w:next w:val="709"/>
    <w:link w:val="804"/>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04" w:customStyle="1">
    <w:name w:val="引用 字符"/>
    <w:basedOn w:val="719"/>
    <w:link w:val="803"/>
    <w:uiPriority w:val="29"/>
    <w:qFormat/>
    <w:rPr>
      <w:i/>
      <w:iCs/>
      <w:color w:val="404040" w:themeColor="text1" w:themeTint="BF"/>
      <w14:textFill>
        <w14:solidFill>
          <w14:schemeClr w14:val="tx1">
            <w14:lumMod w14:val="75000"/>
            <w14:lumOff w14:val="25000"/>
          </w14:schemeClr>
        </w14:solidFill>
      </w14:textFill>
    </w:rPr>
  </w:style>
  <w:style w:type="paragraph" w:styleId="805">
    <w:name w:val="List Paragraph"/>
    <w:basedOn w:val="709"/>
    <w:uiPriority w:val="34"/>
    <w:qFormat/>
    <w:pPr>
      <w:contextualSpacing/>
      <w:ind w:left="720"/>
    </w:pPr>
  </w:style>
  <w:style w:type="character" w:styleId="806" w:customStyle="1">
    <w:name w:val="明显强调1"/>
    <w:basedOn w:val="719"/>
    <w:uiPriority w:val="21"/>
    <w:qFormat/>
    <w:rPr>
      <w:i/>
      <w:iCs/>
      <w:color w:val="104862" w:themeColor="accent1" w:themeShade="BF"/>
    </w:rPr>
  </w:style>
  <w:style w:type="paragraph" w:styleId="807">
    <w:name w:val="Intense Quote"/>
    <w:basedOn w:val="709"/>
    <w:next w:val="709"/>
    <w:link w:val="808"/>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08" w:customStyle="1">
    <w:name w:val="明显引用 字符"/>
    <w:basedOn w:val="719"/>
    <w:link w:val="807"/>
    <w:uiPriority w:val="30"/>
    <w:qFormat/>
    <w:rPr>
      <w:i/>
      <w:iCs/>
      <w:color w:val="104862" w:themeColor="accent1" w:themeShade="BF"/>
    </w:rPr>
  </w:style>
  <w:style w:type="character" w:styleId="809" w:customStyle="1">
    <w:name w:val="明显参考1"/>
    <w:basedOn w:val="719"/>
    <w:uiPriority w:val="32"/>
    <w:qFormat/>
    <w:rPr>
      <w:b/>
      <w:bCs/>
      <w:smallCaps/>
      <w:color w:val="104862" w:themeColor="accent1" w:themeShade="BF"/>
      <w:spacing w:val="5"/>
    </w:rPr>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qFormat/>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Heading 8 Char"/>
    <w:uiPriority w:val="9"/>
    <w:qFormat/>
    <w:rPr>
      <w:rFonts w:ascii="Arial" w:hAnsi="Arial" w:eastAsia="Arial" w:cs="Arial"/>
      <w:i/>
      <w:iCs/>
      <w:sz w:val="22"/>
      <w:szCs w:val="22"/>
    </w:rPr>
  </w:style>
  <w:style w:type="character" w:styleId="818" w:customStyle="1">
    <w:name w:val="Heading 9 Char"/>
    <w:uiPriority w:val="9"/>
    <w:qFormat/>
    <w:rPr>
      <w:rFonts w:ascii="Arial" w:hAnsi="Arial" w:eastAsia="Arial" w:cs="Arial"/>
      <w:i/>
      <w:iCs/>
      <w:sz w:val="21"/>
      <w:szCs w:val="21"/>
    </w:rPr>
  </w:style>
  <w:style w:type="paragraph" w:styleId="819">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0" w:customStyle="1">
    <w:name w:val="页眉 字符"/>
    <w:basedOn w:val="719"/>
    <w:link w:val="742"/>
    <w:uiPriority w:val="0"/>
    <w:qFormat/>
    <w:rPr>
      <w:rFonts w:ascii="Times New Roman" w:hAnsi="Times New Roman" w:eastAsia="宋体" w:cs="Times New Roman"/>
      <w:sz w:val="18"/>
      <w:szCs w:val="18"/>
      <w14:ligatures w14:val="none"/>
    </w:rPr>
  </w:style>
  <w:style w:type="character" w:styleId="821" w:customStyle="1">
    <w:name w:val="Header Char"/>
    <w:uiPriority w:val="99"/>
    <w:qFormat/>
  </w:style>
  <w:style w:type="character" w:styleId="822" w:customStyle="1">
    <w:name w:val="页脚 字符"/>
    <w:basedOn w:val="719"/>
    <w:link w:val="741"/>
    <w:uiPriority w:val="0"/>
    <w:qFormat/>
    <w:rPr>
      <w:rFonts w:ascii="Times New Roman" w:hAnsi="Times New Roman" w:eastAsia="宋体" w:cs="Times New Roman"/>
      <w:sz w:val="18"/>
      <w:szCs w:val="18"/>
      <w14:ligatures w14:val="none"/>
    </w:rPr>
  </w:style>
  <w:style w:type="character" w:styleId="823" w:customStyle="1">
    <w:name w:val="Footer Char"/>
    <w:uiPriority w:val="99"/>
    <w:qFormat/>
  </w:style>
  <w:style w:type="character" w:styleId="824" w:customStyle="1">
    <w:name w:val="Caption Char"/>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List Table 1 Light - Accent 1"/>
    <w:uiPriority w:val="99"/>
    <w:tblPr>
      <w:tblCellMar>
        <w:left w:w="0" w:type="dxa"/>
        <w:top w:w="0" w:type="dxa"/>
        <w:right w:w="0" w:type="dxa"/>
        <w:bottom w:w="0" w:type="dxa"/>
      </w:tblCellMar>
    </w:tblPr>
  </w:style>
  <w:style w:type="table" w:styleId="869" w:customStyle="1">
    <w:name w:val="List Table 1 Light - Accent 2"/>
    <w:uiPriority w:val="99"/>
    <w:qFormat/>
    <w:tblPr>
      <w:tblCellMar>
        <w:left w:w="0" w:type="dxa"/>
        <w:top w:w="0" w:type="dxa"/>
        <w:right w:w="0" w:type="dxa"/>
        <w:bottom w:w="0" w:type="dxa"/>
      </w:tblCellMar>
    </w:tblPr>
  </w:style>
  <w:style w:type="table" w:styleId="870" w:customStyle="1">
    <w:name w:val="List Table 1 Light - Accent 3"/>
    <w:uiPriority w:val="99"/>
    <w:qFormat/>
    <w:tblPr>
      <w:tblCellMar>
        <w:left w:w="0" w:type="dxa"/>
        <w:top w:w="0" w:type="dxa"/>
        <w:right w:w="0" w:type="dxa"/>
        <w:bottom w:w="0" w:type="dxa"/>
      </w:tblCellMar>
    </w:tblPr>
  </w:style>
  <w:style w:type="table" w:styleId="871" w:customStyle="1">
    <w:name w:val="List Table 1 Light - Accent 4"/>
    <w:uiPriority w:val="99"/>
    <w:qFormat/>
    <w:tblPr>
      <w:tblCellMar>
        <w:left w:w="0" w:type="dxa"/>
        <w:top w:w="0" w:type="dxa"/>
        <w:right w:w="0" w:type="dxa"/>
        <w:bottom w:w="0" w:type="dxa"/>
      </w:tblCellMar>
    </w:tblPr>
  </w:style>
  <w:style w:type="table" w:styleId="872" w:customStyle="1">
    <w:name w:val="List Table 1 Light - Accent 5"/>
    <w:uiPriority w:val="99"/>
    <w:qFormat/>
    <w:tblPr>
      <w:tblCellMar>
        <w:left w:w="0" w:type="dxa"/>
        <w:top w:w="0" w:type="dxa"/>
        <w:right w:w="0" w:type="dxa"/>
        <w:bottom w:w="0" w:type="dxa"/>
      </w:tblCellMar>
    </w:tblPr>
  </w:style>
  <w:style w:type="table" w:styleId="873" w:customStyle="1">
    <w:name w:val="List Table 1 Light - Accent 6"/>
    <w:uiPriority w:val="99"/>
    <w:qFormat/>
    <w:tblPr>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3"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0" w:customStyle="1">
    <w:name w:val="Lined - Accent"/>
    <w:uiPriority w:val="99"/>
    <w:qFormat/>
    <w:rPr>
      <w:color w:val="404040"/>
    </w:rPr>
    <w:tblPr>
      <w:tblCellMar>
        <w:left w:w="0" w:type="dxa"/>
        <w:top w:w="0" w:type="dxa"/>
        <w:right w:w="0" w:type="dxa"/>
        <w:bottom w:w="0" w:type="dxa"/>
      </w:tblCellMar>
    </w:tblPr>
  </w:style>
  <w:style w:type="table" w:styleId="911" w:customStyle="1">
    <w:name w:val="Lined - Accent 1"/>
    <w:uiPriority w:val="99"/>
    <w:qFormat/>
    <w:rPr>
      <w:color w:val="404040"/>
    </w:rPr>
    <w:tblPr>
      <w:tblCellMar>
        <w:left w:w="0" w:type="dxa"/>
        <w:top w:w="0" w:type="dxa"/>
        <w:right w:w="0" w:type="dxa"/>
        <w:bottom w:w="0" w:type="dxa"/>
      </w:tblCellMar>
    </w:tblPr>
  </w:style>
  <w:style w:type="table" w:styleId="912" w:customStyle="1">
    <w:name w:val="Lined - Accent 2"/>
    <w:uiPriority w:val="99"/>
    <w:qFormat/>
    <w:rPr>
      <w:color w:val="404040"/>
    </w:rPr>
    <w:tblPr>
      <w:tblCellMar>
        <w:left w:w="0" w:type="dxa"/>
        <w:top w:w="0" w:type="dxa"/>
        <w:right w:w="0" w:type="dxa"/>
        <w:bottom w:w="0" w:type="dxa"/>
      </w:tblCellMar>
    </w:tblPr>
  </w:style>
  <w:style w:type="table" w:styleId="913" w:customStyle="1">
    <w:name w:val="Lined - Accent 3"/>
    <w:uiPriority w:val="99"/>
    <w:qFormat/>
    <w:rPr>
      <w:color w:val="404040"/>
    </w:rPr>
    <w:tblPr>
      <w:tblCellMar>
        <w:left w:w="0" w:type="dxa"/>
        <w:top w:w="0" w:type="dxa"/>
        <w:right w:w="0" w:type="dxa"/>
        <w:bottom w:w="0" w:type="dxa"/>
      </w:tblCellMar>
    </w:tblPr>
  </w:style>
  <w:style w:type="table" w:styleId="914" w:customStyle="1">
    <w:name w:val="Lined - Accent 4"/>
    <w:uiPriority w:val="99"/>
    <w:qFormat/>
    <w:rPr>
      <w:color w:val="404040"/>
    </w:rPr>
    <w:tblPr>
      <w:tblCellMar>
        <w:left w:w="0" w:type="dxa"/>
        <w:top w:w="0" w:type="dxa"/>
        <w:right w:w="0" w:type="dxa"/>
        <w:bottom w:w="0" w:type="dxa"/>
      </w:tblCellMar>
    </w:tblPr>
  </w:style>
  <w:style w:type="table" w:styleId="915" w:customStyle="1">
    <w:name w:val="Lined - Accent 5"/>
    <w:uiPriority w:val="99"/>
    <w:qFormat/>
    <w:rPr>
      <w:color w:val="404040"/>
    </w:rPr>
    <w:tblPr>
      <w:tblCellMar>
        <w:left w:w="0" w:type="dxa"/>
        <w:top w:w="0" w:type="dxa"/>
        <w:right w:w="0" w:type="dxa"/>
        <w:bottom w:w="0" w:type="dxa"/>
      </w:tblCellMar>
    </w:tblPr>
  </w:style>
  <w:style w:type="table" w:styleId="916" w:customStyle="1">
    <w:name w:val="Lined - Accent 6"/>
    <w:uiPriority w:val="99"/>
    <w:qFormat/>
    <w:rPr>
      <w:color w:val="404040"/>
    </w:rPr>
    <w:tblPr>
      <w:tblCellMar>
        <w:left w:w="0" w:type="dxa"/>
        <w:top w:w="0" w:type="dxa"/>
        <w:right w:w="0" w:type="dxa"/>
        <w:bottom w:w="0" w:type="dxa"/>
      </w:tblCellMar>
    </w:tbl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1" w:customStyle="1">
    <w:name w:val="脚注文本 字符"/>
    <w:basedOn w:val="719"/>
    <w:link w:val="747"/>
    <w:uiPriority w:val="99"/>
    <w:semiHidden/>
    <w:qFormat/>
    <w:rPr>
      <w:rFonts w:ascii="Times New Roman" w:hAnsi="Times New Roman" w:eastAsia="宋体" w:cs="Times New Roman"/>
      <w:sz w:val="18"/>
      <w14:ligatures w14:val="none"/>
    </w:rPr>
  </w:style>
  <w:style w:type="character" w:styleId="932" w:customStyle="1">
    <w:name w:val="尾注文本 字符"/>
    <w:basedOn w:val="719"/>
    <w:link w:val="739"/>
    <w:uiPriority w:val="99"/>
    <w:semiHidden/>
    <w:qFormat/>
    <w:rPr>
      <w:rFonts w:ascii="Times New Roman" w:hAnsi="Times New Roman" w:eastAsia="宋体" w:cs="Times New Roman"/>
      <w:sz w:val="20"/>
      <w14:ligatures w14:val="none"/>
    </w:rPr>
  </w:style>
  <w:style w:type="paragraph" w:styleId="933" w:customStyle="1">
    <w:name w:val="TOC 标题11"/>
    <w:uiPriority w:val="39"/>
    <w:unhideWhenUsed/>
    <w:qFormat/>
    <w:rPr>
      <w:rFonts w:ascii="Times New Roman" w:hAnsi="Times New Roman" w:eastAsia="宋体" w:cs="Times New Roman"/>
      <w:lang w:val="en-US" w:eastAsia="zh-CN" w:bidi="ar-SA"/>
    </w:rPr>
  </w:style>
  <w:style w:type="paragraph" w:styleId="934" w:customStyle="1">
    <w:name w:val="正文首行缩进 211"/>
    <w:basedOn w:val="722"/>
    <w:next w:val="709"/>
    <w:link w:val="936"/>
    <w:uiPriority w:val="0"/>
    <w:qFormat/>
    <w:pPr>
      <w:ind w:left="0" w:firstLine="420"/>
      <w:spacing w:after="0" w:line="360" w:lineRule="auto"/>
    </w:pPr>
    <w:rPr>
      <w:rFonts w:ascii="宋体" w:hAnsi="宋体"/>
      <w:szCs w:val="20"/>
    </w:rPr>
  </w:style>
  <w:style w:type="character" w:styleId="935" w:customStyle="1">
    <w:name w:val="正文文本缩进 字符"/>
    <w:basedOn w:val="719"/>
    <w:link w:val="722"/>
    <w:uiPriority w:val="0"/>
    <w:qFormat/>
    <w:rPr>
      <w:rFonts w:ascii="Times New Roman" w:hAnsi="Times New Roman" w:eastAsia="宋体" w:cs="Times New Roman"/>
      <w14:ligatures w14:val="none"/>
    </w:rPr>
  </w:style>
  <w:style w:type="character" w:styleId="936" w:customStyle="1">
    <w:name w:val="正文首行缩进 2 Char"/>
    <w:link w:val="934"/>
    <w:uiPriority w:val="0"/>
    <w:qFormat/>
    <w:rPr>
      <w:rFonts w:ascii="宋体" w:hAnsi="宋体" w:eastAsia="宋体" w:cs="Times New Roman"/>
      <w:szCs w:val="20"/>
      <w14:ligatures w14:val="none"/>
    </w:rPr>
  </w:style>
  <w:style w:type="character" w:styleId="937" w:customStyle="1">
    <w:name w:val="正文缩进 字符"/>
    <w:link w:val="726"/>
    <w:uiPriority w:val="0"/>
    <w:qFormat/>
    <w:rPr>
      <w:rFonts w:ascii="Times New Roman" w:hAnsi="Times New Roman" w:eastAsia="宋体" w:cs="Times New Roman"/>
      <w:szCs w:val="21"/>
      <w14:ligatures w14:val="none"/>
    </w:rPr>
  </w:style>
  <w:style w:type="paragraph" w:styleId="938" w:customStyle="1">
    <w:name w:val="目录 71"/>
    <w:basedOn w:val="709"/>
    <w:next w:val="709"/>
    <w:uiPriority w:val="0"/>
    <w:semiHidden/>
    <w:qFormat/>
    <w:pPr>
      <w:ind w:left="1260"/>
      <w:jc w:val="left"/>
    </w:pPr>
    <w:rPr>
      <w:szCs w:val="21"/>
    </w:rPr>
  </w:style>
  <w:style w:type="character" w:styleId="939" w:customStyle="1">
    <w:name w:val="文档结构图 字符"/>
    <w:basedOn w:val="719"/>
    <w:link w:val="728"/>
    <w:uiPriority w:val="0"/>
    <w:semiHidden/>
    <w:qFormat/>
    <w:rPr>
      <w:rFonts w:ascii="Times New Roman" w:hAnsi="Times New Roman" w:eastAsia="宋体" w:cs="Times New Roman"/>
      <w:szCs w:val="21"/>
      <w:shd w:val="clear" w:color="auto" w:fill="000080"/>
      <w14:ligatures w14:val="none"/>
    </w:rPr>
  </w:style>
  <w:style w:type="character" w:styleId="940" w:customStyle="1">
    <w:name w:val="批注文字 字符"/>
    <w:basedOn w:val="719"/>
    <w:uiPriority w:val="0"/>
    <w:qFormat/>
    <w:rPr>
      <w:rFonts w:ascii="Times New Roman" w:hAnsi="Times New Roman" w:eastAsia="宋体" w:cs="Times New Roman"/>
      <w14:ligatures w14:val="none"/>
    </w:rPr>
  </w:style>
  <w:style w:type="character" w:styleId="941" w:customStyle="1">
    <w:name w:val="批注文字 字符1"/>
    <w:basedOn w:val="719"/>
    <w:link w:val="729"/>
    <w:uiPriority w:val="0"/>
    <w:qFormat/>
    <w:rPr>
      <w:rFonts w:ascii="Calibri" w:hAnsi="Calibri" w:eastAsia="宋体" w:cs="Times New Roman"/>
      <w:szCs w:val="24"/>
      <w14:ligatures w14:val="none"/>
    </w:rPr>
  </w:style>
  <w:style w:type="character" w:styleId="942" w:customStyle="1">
    <w:name w:val="正文文本 3 字符"/>
    <w:basedOn w:val="719"/>
    <w:link w:val="730"/>
    <w:uiPriority w:val="0"/>
    <w:qFormat/>
    <w:rPr>
      <w:rFonts w:ascii="仿宋_GB2312" w:hAnsi="Arial" w:eastAsia="仿宋_GB2312" w:cs="Times New Roman"/>
      <w:sz w:val="32"/>
      <w:szCs w:val="32"/>
      <w14:ligatures w14:val="none"/>
    </w:rPr>
  </w:style>
  <w:style w:type="character" w:styleId="943" w:customStyle="1">
    <w:name w:val="正文文本 字符"/>
    <w:basedOn w:val="719"/>
    <w:link w:val="731"/>
    <w:uiPriority w:val="0"/>
    <w:qFormat/>
    <w:rPr>
      <w:rFonts w:ascii="楷体_GB2312" w:hAnsi="Arial" w:eastAsia="楷体_GB2312" w:cs="Times New Roman"/>
      <w:sz w:val="28"/>
      <w:szCs w:val="28"/>
      <w14:ligatures w14:val="none"/>
    </w:rPr>
  </w:style>
  <w:style w:type="paragraph" w:styleId="944" w:customStyle="1">
    <w:name w:val="目录 51"/>
    <w:basedOn w:val="709"/>
    <w:next w:val="709"/>
    <w:uiPriority w:val="0"/>
    <w:semiHidden/>
    <w:qFormat/>
    <w:pPr>
      <w:ind w:left="840"/>
      <w:jc w:val="left"/>
    </w:pPr>
    <w:rPr>
      <w:szCs w:val="21"/>
    </w:rPr>
  </w:style>
  <w:style w:type="paragraph" w:styleId="945" w:customStyle="1">
    <w:name w:val="目录 31"/>
    <w:basedOn w:val="709"/>
    <w:next w:val="709"/>
    <w:uiPriority w:val="0"/>
    <w:semiHidden/>
    <w:qFormat/>
    <w:pPr>
      <w:ind w:left="420"/>
      <w:jc w:val="left"/>
    </w:pPr>
    <w:rPr>
      <w:i/>
      <w:iCs/>
      <w:szCs w:val="24"/>
    </w:rPr>
  </w:style>
  <w:style w:type="character" w:styleId="946" w:customStyle="1">
    <w:name w:val="纯文本 字符"/>
    <w:basedOn w:val="719"/>
    <w:link w:val="735"/>
    <w:uiPriority w:val="0"/>
    <w:qFormat/>
    <w:rPr>
      <w:rFonts w:ascii="宋体" w:hAnsi="Courier New" w:eastAsia="宋体" w:cs="Courier New"/>
      <w:szCs w:val="21"/>
      <w14:ligatures w14:val="none"/>
    </w:rPr>
  </w:style>
  <w:style w:type="paragraph" w:styleId="947" w:customStyle="1">
    <w:name w:val="目录 81"/>
    <w:basedOn w:val="709"/>
    <w:next w:val="709"/>
    <w:uiPriority w:val="0"/>
    <w:semiHidden/>
    <w:qFormat/>
    <w:pPr>
      <w:ind w:left="1470"/>
      <w:jc w:val="left"/>
    </w:pPr>
    <w:rPr>
      <w:szCs w:val="21"/>
    </w:rPr>
  </w:style>
  <w:style w:type="character" w:styleId="948" w:customStyle="1">
    <w:name w:val="日期 字符"/>
    <w:basedOn w:val="719"/>
    <w:link w:val="737"/>
    <w:uiPriority w:val="0"/>
    <w:qFormat/>
    <w:rPr>
      <w:rFonts w:ascii="Times New Roman" w:hAnsi="Times New Roman" w:eastAsia="宋体" w:cs="Times New Roman"/>
      <w:sz w:val="24"/>
      <w:szCs w:val="24"/>
      <w14:ligatures w14:val="none"/>
    </w:rPr>
  </w:style>
  <w:style w:type="character" w:styleId="949" w:customStyle="1">
    <w:name w:val="正文文本缩进 2 字符"/>
    <w:basedOn w:val="719"/>
    <w:link w:val="738"/>
    <w:uiPriority w:val="0"/>
    <w:qFormat/>
    <w:rPr>
      <w:rFonts w:ascii="Arial" w:hAnsi="Arial" w:eastAsia="仿宋_GB2312" w:cs="Arial"/>
      <w:sz w:val="32"/>
      <w:szCs w:val="32"/>
      <w14:ligatures w14:val="none"/>
    </w:rPr>
  </w:style>
  <w:style w:type="character" w:styleId="950" w:customStyle="1">
    <w:name w:val="批注框文本 字符"/>
    <w:basedOn w:val="719"/>
    <w:link w:val="740"/>
    <w:uiPriority w:val="0"/>
    <w:semiHidden/>
    <w:qFormat/>
    <w:rPr>
      <w:rFonts w:ascii="Times New Roman" w:hAnsi="Times New Roman" w:eastAsia="宋体" w:cs="Times New Roman"/>
      <w:sz w:val="18"/>
      <w:szCs w:val="18"/>
      <w14:ligatures w14:val="none"/>
    </w:rPr>
  </w:style>
  <w:style w:type="paragraph" w:styleId="951" w:customStyle="1">
    <w:name w:val="目录 11"/>
    <w:basedOn w:val="709"/>
    <w:next w:val="709"/>
    <w:uiPriority w:val="0"/>
    <w:semiHidden/>
    <w:qFormat/>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09"/>
    <w:next w:val="709"/>
    <w:uiPriority w:val="0"/>
    <w:semiHidden/>
    <w:qFormat/>
    <w:pPr>
      <w:ind w:left="630"/>
      <w:jc w:val="left"/>
    </w:pPr>
    <w:rPr>
      <w:szCs w:val="21"/>
    </w:rPr>
  </w:style>
  <w:style w:type="paragraph" w:styleId="953" w:customStyle="1">
    <w:name w:val="目录 61"/>
    <w:basedOn w:val="709"/>
    <w:next w:val="709"/>
    <w:uiPriority w:val="0"/>
    <w:semiHidden/>
    <w:qFormat/>
    <w:pPr>
      <w:ind w:left="1050"/>
      <w:jc w:val="left"/>
    </w:pPr>
    <w:rPr>
      <w:szCs w:val="21"/>
    </w:rPr>
  </w:style>
  <w:style w:type="character" w:styleId="954" w:customStyle="1">
    <w:name w:val="正文文本缩进 3 字符"/>
    <w:basedOn w:val="719"/>
    <w:link w:val="749"/>
    <w:uiPriority w:val="0"/>
    <w:qFormat/>
    <w:rPr>
      <w:rFonts w:ascii="Arial" w:hAnsi="Arial" w:eastAsia="仿宋_GB2312" w:cs="Arial"/>
      <w:color w:val="ffff00"/>
      <w:sz w:val="32"/>
      <w:szCs w:val="32"/>
      <w14:ligatures w14:val="none"/>
    </w:rPr>
  </w:style>
  <w:style w:type="paragraph" w:styleId="955" w:customStyle="1">
    <w:name w:val="目录 21"/>
    <w:basedOn w:val="709"/>
    <w:next w:val="709"/>
    <w:uiPriority w:val="0"/>
    <w:semiHidden/>
    <w:qFormat/>
    <w:pPr>
      <w:ind w:left="210"/>
      <w:jc w:val="left"/>
    </w:pPr>
    <w:rPr>
      <w:smallCaps/>
      <w:szCs w:val="24"/>
    </w:rPr>
  </w:style>
  <w:style w:type="paragraph" w:styleId="956" w:customStyle="1">
    <w:name w:val="目录 91"/>
    <w:basedOn w:val="709"/>
    <w:next w:val="709"/>
    <w:uiPriority w:val="0"/>
    <w:semiHidden/>
    <w:qFormat/>
    <w:pPr>
      <w:ind w:left="1680"/>
      <w:jc w:val="left"/>
    </w:pPr>
    <w:rPr>
      <w:szCs w:val="21"/>
    </w:rPr>
  </w:style>
  <w:style w:type="character" w:styleId="957" w:customStyle="1">
    <w:name w:val="正文文本 2 字符"/>
    <w:basedOn w:val="719"/>
    <w:link w:val="753"/>
    <w:uiPriority w:val="0"/>
    <w:qFormat/>
    <w:rPr>
      <w:rFonts w:ascii="楷体_GB2312" w:hAnsi="Times New Roman" w:eastAsia="楷体_GB2312" w:cs="Times New Roman"/>
      <w:sz w:val="28"/>
      <w:szCs w:val="28"/>
      <w14:ligatures w14:val="none"/>
    </w:rPr>
  </w:style>
  <w:style w:type="character" w:styleId="958" w:customStyle="1">
    <w:name w:val="批注主题 字符"/>
    <w:basedOn w:val="940"/>
    <w:link w:val="757"/>
    <w:uiPriority w:val="0"/>
    <w:semiHidden/>
    <w:qFormat/>
    <w:rPr>
      <w:rFonts w:ascii="Times New Roman" w:hAnsi="Times New Roman" w:eastAsia="宋体" w:cs="Times New Roman"/>
      <w:b/>
      <w:bCs/>
      <w:szCs w:val="21"/>
      <w14:ligatures w14:val="none"/>
    </w:rPr>
  </w:style>
  <w:style w:type="paragraph" w:styleId="959" w:customStyle="1">
    <w:name w:val="正文首行缩进1"/>
    <w:basedOn w:val="709"/>
    <w:link w:val="960"/>
    <w:uiPriority w:val="0"/>
    <w:qFormat/>
    <w:pPr>
      <w:ind w:firstLine="200"/>
      <w:spacing w:line="360" w:lineRule="auto"/>
    </w:pPr>
    <w:rPr>
      <w:rFonts w:ascii="仿宋_GB2312" w:eastAsia="仿宋_GB2312"/>
      <w:sz w:val="30"/>
      <w:szCs w:val="30"/>
    </w:rPr>
  </w:style>
  <w:style w:type="character" w:styleId="960" w:customStyle="1">
    <w:name w:val="正文首行缩进 Char"/>
    <w:link w:val="959"/>
    <w:uiPriority w:val="0"/>
    <w:qFormat/>
    <w:rPr>
      <w:rFonts w:ascii="仿宋_GB2312" w:hAnsi="Times New Roman" w:eastAsia="仿宋_GB2312" w:cs="Times New Roman"/>
      <w:sz w:val="30"/>
      <w:szCs w:val="30"/>
      <w14:ligatures w14:val="none"/>
    </w:rPr>
  </w:style>
  <w:style w:type="character" w:styleId="961" w:customStyle="1">
    <w:name w:val="已访问的超链接1"/>
    <w:uiPriority w:val="0"/>
    <w:qFormat/>
    <w:rPr>
      <w:color w:val="800080"/>
      <w:u w:val="single"/>
    </w:rPr>
  </w:style>
  <w:style w:type="paragraph" w:styleId="962" w:customStyle="1">
    <w:name w:val="索引 41"/>
    <w:basedOn w:val="709"/>
    <w:next w:val="709"/>
    <w:uiPriority w:val="0"/>
    <w:semiHidden/>
    <w:qFormat/>
    <w:pPr>
      <w:ind w:left="1260"/>
    </w:pPr>
    <w:rPr>
      <w:rFonts w:ascii="Calibri" w:hAnsi="Calibri" w:eastAsia="Calibri" w:cs="宋体"/>
      <w:sz w:val="20"/>
      <w:lang w:val="zh-CN"/>
    </w:rPr>
  </w:style>
  <w:style w:type="character" w:styleId="963" w:customStyle="1">
    <w:name w:val="font5 Char"/>
    <w:uiPriority w:val="0"/>
    <w:qFormat/>
    <w:rPr>
      <w:rFonts w:ascii="宋体" w:hAnsi="宋体" w:eastAsia="宋体"/>
      <w:sz w:val="28"/>
      <w:szCs w:val="28"/>
      <w:lang w:val="en-US" w:eastAsia="zh-CN" w:bidi="ar-SA"/>
    </w:rPr>
  </w:style>
  <w:style w:type="character" w:styleId="964" w:customStyle="1">
    <w:name w:val="二级目录 Char"/>
    <w:link w:val="965"/>
    <w:uiPriority w:val="0"/>
    <w:qFormat/>
    <w:rPr>
      <w:b/>
      <w:sz w:val="30"/>
      <w:szCs w:val="28"/>
    </w:rPr>
  </w:style>
  <w:style w:type="paragraph" w:styleId="965" w:customStyle="1">
    <w:name w:val="二级目录"/>
    <w:next w:val="709"/>
    <w:link w:val="964"/>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709"/>
    <w:link w:val="966"/>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968" w:customStyle="1">
    <w:name w:val="Body Text(ch)"/>
    <w:basedOn w:val="709"/>
    <w:next w:val="731"/>
    <w:uiPriority w:val="0"/>
    <w:qFormat/>
    <w:pPr>
      <w:spacing w:after="120"/>
    </w:pPr>
    <w:rPr>
      <w:rFonts w:ascii="宋体" w:hAnsi="Arial"/>
      <w:bCs/>
      <w:iCs/>
      <w:szCs w:val="24"/>
    </w:rPr>
  </w:style>
  <w:style w:type="paragraph" w:styleId="969" w:customStyle="1">
    <w:name w:val="xl27"/>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709"/>
    <w:uiPriority w:val="0"/>
    <w:qFormat/>
    <w:pPr>
      <w:ind w:firstLine="200"/>
      <w:tabs>
        <w:tab w:val="left" w:pos="360" w:leader="none"/>
      </w:tabs>
    </w:pPr>
    <w:rPr>
      <w:sz w:val="28"/>
      <w:szCs w:val="30"/>
    </w:rPr>
  </w:style>
  <w:style w:type="paragraph" w:styleId="972" w:customStyle="1">
    <w:name w:val="Char1"/>
    <w:basedOn w:val="728"/>
    <w:uiPriority w:val="0"/>
    <w:qFormat/>
    <w:rPr>
      <w:rFonts w:ascii="Tahoma" w:hAnsi="Tahoma"/>
      <w:sz w:val="24"/>
      <w:szCs w:val="24"/>
    </w:rPr>
  </w:style>
  <w:style w:type="paragraph" w:styleId="973"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74" w:customStyle="1">
    <w:name w:val="table_lines"/>
    <w:basedOn w:val="709"/>
    <w:uiPriority w:val="0"/>
    <w:qFormat/>
    <w:pPr>
      <w:jc w:val="left"/>
      <w:widowControl/>
    </w:pPr>
    <w:rPr>
      <w:sz w:val="20"/>
      <w:szCs w:val="20"/>
      <w:lang w:val="de-DE" w:eastAsia="de-DE"/>
    </w:rPr>
  </w:style>
  <w:style w:type="paragraph" w:styleId="97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6" w:customStyle="1">
    <w:name w:val="font7"/>
    <w:basedOn w:val="709"/>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Char Char Char Char"/>
    <w:basedOn w:val="728"/>
    <w:uiPriority w:val="0"/>
    <w:qFormat/>
    <w:pPr>
      <w:spacing w:line="360" w:lineRule="auto"/>
    </w:pPr>
    <w:rPr>
      <w:rFonts w:ascii="Tahoma" w:hAnsi="Tahoma"/>
      <w:sz w:val="24"/>
      <w:szCs w:val="24"/>
    </w:rPr>
  </w:style>
  <w:style w:type="paragraph" w:styleId="978" w:customStyle="1">
    <w:name w:val="列出段落"/>
    <w:basedOn w:val="709"/>
    <w:uiPriority w:val="0"/>
    <w:qFormat/>
    <w:pPr>
      <w:contextualSpacing/>
      <w:ind w:left="720"/>
      <w:jc w:val="left"/>
      <w:widowControl/>
    </w:pPr>
    <w:rPr>
      <w:rFonts w:ascii="Calibri" w:hAnsi="Calibri"/>
      <w:sz w:val="24"/>
      <w:szCs w:val="24"/>
      <w:lang w:eastAsia="en-US" w:bidi="en-US"/>
    </w:rPr>
  </w:style>
  <w:style w:type="paragraph" w:styleId="979" w:customStyle="1">
    <w:name w:val="4"/>
    <w:basedOn w:val="709"/>
    <w:next w:val="749"/>
    <w:uiPriority w:val="0"/>
    <w:qFormat/>
    <w:pPr>
      <w:ind w:firstLine="420"/>
      <w:spacing w:line="360" w:lineRule="auto"/>
    </w:pPr>
    <w:rPr>
      <w:color w:val="ff0000"/>
      <w:sz w:val="24"/>
      <w:szCs w:val="24"/>
    </w:rPr>
  </w:style>
  <w:style w:type="paragraph" w:styleId="980" w:customStyle="1">
    <w:name w:val="普通 (Web)"/>
    <w:basedOn w:val="709"/>
    <w:uiPriority w:val="0"/>
    <w:qFormat/>
    <w:pPr>
      <w:jc w:val="left"/>
      <w:spacing w:before="100" w:beforeAutospacing="1" w:after="100" w:afterAutospacing="1"/>
      <w:widowControl/>
    </w:pPr>
    <w:rPr>
      <w:rFonts w:ascii="宋体" w:hAnsi="宋体"/>
      <w:sz w:val="24"/>
      <w:szCs w:val="24"/>
    </w:rPr>
  </w:style>
  <w:style w:type="paragraph" w:styleId="981" w:customStyle="1">
    <w:name w:val="Char Char Char Char Char Char Char Char Char Char"/>
    <w:basedOn w:val="709"/>
    <w:uiPriority w:val="0"/>
    <w:qFormat/>
    <w:pPr>
      <w:spacing w:line="360" w:lineRule="auto"/>
    </w:pPr>
    <w:rPr>
      <w:sz w:val="24"/>
      <w:szCs w:val="20"/>
    </w:rPr>
  </w:style>
  <w:style w:type="paragraph" w:styleId="982" w:customStyle="1">
    <w:name w:val="样式1"/>
    <w:basedOn w:val="709"/>
    <w:uiPriority w:val="0"/>
    <w:qFormat/>
    <w:pPr>
      <w:numPr>
        <w:ilvl w:val="0"/>
        <w:numId w:val="2"/>
      </w:numPr>
    </w:pPr>
    <w:rPr>
      <w:rFonts w:ascii="宋体" w:hAnsi="宋体"/>
      <w:szCs w:val="21"/>
    </w:rPr>
  </w:style>
  <w:style w:type="paragraph" w:styleId="983" w:customStyle="1">
    <w:name w:val="font6"/>
    <w:basedOn w:val="709"/>
    <w:uiPriority w:val="0"/>
    <w:qFormat/>
    <w:pPr>
      <w:jc w:val="left"/>
      <w:spacing w:before="100" w:beforeAutospacing="1" w:after="100" w:afterAutospacing="1"/>
      <w:widowControl/>
    </w:pPr>
    <w:rPr>
      <w:rFonts w:hint="eastAsia" w:ascii="宋体" w:hAnsi="宋体"/>
      <w:sz w:val="28"/>
      <w:szCs w:val="28"/>
      <w:u w:val="single"/>
    </w:rPr>
  </w:style>
  <w:style w:type="paragraph" w:styleId="984" w:customStyle="1">
    <w:name w:val="xl25"/>
    <w:basedOn w:val="7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图标"/>
    <w:basedOn w:val="709"/>
    <w:next w:val="70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customStyle="1">
    <w:name w:val="标题3"/>
    <w:basedOn w:val="709"/>
    <w:next w:val="709"/>
    <w:uiPriority w:val="0"/>
    <w:qFormat/>
    <w:pPr>
      <w:ind w:firstLine="624"/>
      <w:spacing w:line="590" w:lineRule="atLeast"/>
    </w:pPr>
    <w:rPr>
      <w:rFonts w:ascii="方正黑体_GBK" w:eastAsia="方正黑体_GBK"/>
      <w:sz w:val="32"/>
      <w:szCs w:val="32"/>
    </w:rPr>
  </w:style>
  <w:style w:type="paragraph" w:styleId="987" w:customStyle="1">
    <w:name w:val="xl24"/>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990" w:customStyle="1">
    <w:name w:val="xl28"/>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Char Char Char Char Char Char Char Char1"/>
    <w:basedOn w:val="709"/>
    <w:uiPriority w:val="0"/>
    <w:qFormat/>
    <w:pPr>
      <w:jc w:val="left"/>
      <w:spacing w:after="160" w:line="240" w:lineRule="exact"/>
      <w:widowControl/>
    </w:pPr>
    <w:rPr>
      <w:rFonts w:ascii="Verdana" w:hAnsi="Verdana"/>
      <w:sz w:val="20"/>
      <w:szCs w:val="20"/>
      <w:lang w:eastAsia="en-US"/>
    </w:rPr>
  </w:style>
  <w:style w:type="paragraph" w:styleId="992" w:customStyle="1">
    <w:name w:val="xl30"/>
    <w:basedOn w:val="709"/>
    <w:uiPriority w:val="0"/>
    <w:qFormat/>
    <w:pPr>
      <w:jc w:val="center"/>
      <w:spacing w:before="100" w:beforeAutospacing="1" w:after="100" w:afterAutospacing="1"/>
      <w:widowControl/>
    </w:pPr>
    <w:rPr>
      <w:rFonts w:ascii="宋体" w:hAnsi="宋体"/>
      <w:b/>
      <w:bCs/>
      <w:sz w:val="36"/>
      <w:szCs w:val="36"/>
    </w:rPr>
  </w:style>
  <w:style w:type="paragraph" w:styleId="993" w:customStyle="1">
    <w:name w:val="Char Char Char Char1"/>
    <w:basedOn w:val="728"/>
    <w:uiPriority w:val="0"/>
    <w:qFormat/>
    <w:pPr>
      <w:spacing w:line="360" w:lineRule="auto"/>
    </w:pPr>
    <w:rPr>
      <w:rFonts w:ascii="Tahoma" w:hAnsi="Tahoma"/>
      <w:sz w:val="24"/>
      <w:szCs w:val="24"/>
    </w:rPr>
  </w:style>
  <w:style w:type="paragraph" w:styleId="994" w:customStyle="1">
    <w:name w:val="table_1stline"/>
    <w:basedOn w:val="709"/>
    <w:uiPriority w:val="0"/>
    <w:qFormat/>
    <w:pPr>
      <w:jc w:val="left"/>
      <w:spacing w:before="120"/>
      <w:widowControl/>
    </w:pPr>
    <w:rPr>
      <w:bCs/>
      <w:sz w:val="20"/>
      <w:szCs w:val="20"/>
      <w:lang w:val="de-DE" w:eastAsia="de-DE"/>
    </w:rPr>
  </w:style>
  <w:style w:type="paragraph" w:styleId="995" w:customStyle="1">
    <w:name w:val="font5"/>
    <w:basedOn w:val="709"/>
    <w:uiPriority w:val="0"/>
    <w:qFormat/>
    <w:pPr>
      <w:jc w:val="left"/>
      <w:spacing w:before="100" w:beforeAutospacing="1" w:after="100" w:afterAutospacing="1"/>
      <w:widowControl/>
    </w:pPr>
    <w:rPr>
      <w:rFonts w:hint="eastAsia" w:ascii="宋体" w:hAnsi="宋体"/>
      <w:sz w:val="28"/>
      <w:szCs w:val="28"/>
    </w:rPr>
  </w:style>
  <w:style w:type="paragraph" w:styleId="996" w:customStyle="1">
    <w:name w:val="标题1"/>
    <w:basedOn w:val="709"/>
    <w:next w:val="70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customStyle="1">
    <w:name w:val="修订1"/>
    <w:uiPriority w:val="99"/>
    <w:semiHidden/>
    <w:qFormat/>
    <w:rPr>
      <w:rFonts w:ascii="Times New Roman" w:hAnsi="Times New Roman" w:eastAsia="宋体" w:cs="Times New Roman"/>
      <w:sz w:val="21"/>
      <w:szCs w:val="21"/>
      <w:lang w:val="en-US" w:eastAsia="zh-CN" w:bidi="ar-SA"/>
    </w:rPr>
  </w:style>
  <w:style w:type="table" w:styleId="998" w:customStyle="1">
    <w:name w:val="Table Normal"/>
    <w:uiPriority w:val="2"/>
    <w:qFormat/>
    <w:tblPr>
      <w:tblCellMar>
        <w:left w:w="0" w:type="dxa"/>
        <w:top w:w="0" w:type="dxa"/>
        <w:right w:w="0" w:type="dxa"/>
        <w:bottom w:w="0" w:type="dxa"/>
      </w:tblCellMar>
    </w:tblPr>
  </w:style>
  <w:style w:type="paragraph" w:styleId="999" w:customStyle="1">
    <w:name w:val="正文文本12"/>
    <w:basedOn w:val="709"/>
    <w:uiPriority w:val="1"/>
    <w:qFormat/>
    <w:pPr>
      <w:ind w:left="120"/>
    </w:pPr>
    <w:rPr>
      <w:rFonts w:ascii="宋体" w:hAnsi="宋体" w:cs="宋体"/>
      <w:szCs w:val="21"/>
      <w:lang w:val="zh-CN" w:bidi="zh-CN"/>
    </w:rPr>
  </w:style>
  <w:style w:type="paragraph" w:styleId="1000" w:customStyle="1">
    <w:name w:val="正文文本 211"/>
    <w:basedOn w:val="709"/>
    <w:uiPriority w:val="99"/>
    <w:qFormat/>
    <w:pPr>
      <w:jc w:val="center"/>
    </w:pPr>
    <w:rPr>
      <w:b/>
      <w:bCs/>
      <w:sz w:val="20"/>
      <w:szCs w:val="20"/>
    </w:rPr>
  </w:style>
  <w:style w:type="paragraph" w:styleId="1001" w:customStyle="1">
    <w:name w:val="正文文本1"/>
    <w:basedOn w:val="709"/>
    <w:next w:val="709"/>
    <w:uiPriority w:val="0"/>
    <w:semiHidden/>
    <w:qFormat/>
    <w:rPr>
      <w:rFonts w:ascii="Arial" w:hAnsi="Arial" w:eastAsia="Arial" w:cs="Arial"/>
      <w:szCs w:val="21"/>
      <w:lang w:eastAsia="en-US"/>
    </w:rPr>
  </w:style>
  <w:style w:type="paragraph" w:styleId="1002" w:customStyle="1">
    <w:name w:val="Table Paragraph"/>
    <w:basedOn w:val="709"/>
    <w:uiPriority w:val="1"/>
    <w:qFormat/>
    <w:pPr>
      <w:jc w:val="left"/>
    </w:pPr>
    <w:rPr>
      <w:rFonts w:ascii="宋体" w:hAnsi="宋体" w:cs="宋体"/>
      <w:sz w:val="22"/>
      <w:lang w:val="zh-CN" w:bidi="zh-CN"/>
    </w:rPr>
  </w:style>
  <w:style w:type="table" w:styleId="1003" w:customStyle="1">
    <w:name w:val="网格型1"/>
    <w:basedOn w:val="1004"/>
    <w:uiPriority w:val="0"/>
    <w:qFormat/>
    <w:pPr>
      <w:jc w:val="both"/>
      <w:widowControl w:val="off"/>
    </w:pPr>
    <w:tblPr/>
  </w:style>
  <w:style w:type="table" w:styleId="1004" w:customStyle="1">
    <w:name w:val="普通表格1"/>
    <w:uiPriority w:val="99"/>
    <w:unhideWhenUsed/>
    <w:qFormat/>
    <w:tblPr>
      <w:tblCellMar>
        <w:left w:w="0" w:type="dxa"/>
        <w:top w:w="0" w:type="dxa"/>
        <w:right w:w="0" w:type="dxa"/>
        <w:bottom w:w="0" w:type="dxa"/>
      </w:tblCellMar>
    </w:tblPr>
  </w:style>
  <w:style w:type="paragraph" w:styleId="1005" w:customStyle="1">
    <w:name w:val="正文文本缩进1"/>
    <w:basedOn w:val="709"/>
    <w:next w:val="721"/>
    <w:uiPriority w:val="0"/>
    <w:unhideWhenUsed/>
    <w:qFormat/>
    <w:pPr>
      <w:ind w:left="420"/>
      <w:spacing w:after="120"/>
    </w:pPr>
  </w:style>
  <w:style w:type="character" w:styleId="1006" w:customStyle="1">
    <w:name w:val="正文文本首行缩进 2 字符"/>
    <w:basedOn w:val="935"/>
    <w:link w:val="721"/>
    <w:uiPriority w:val="0"/>
    <w:qFormat/>
    <w:rPr>
      <w:rFonts w:ascii="宋体" w:hAnsi="宋体" w:eastAsia="宋体" w:cs="Times New Roman"/>
      <w:sz w:val="20"/>
      <w:szCs w:val="20"/>
      <w:lang w:eastAsia="en-US"/>
      <w14:ligatures w14:val="none"/>
    </w:rPr>
  </w:style>
  <w:style w:type="table" w:styleId="1007" w:customStyle="1">
    <w:name w:val="Table Normal_0"/>
    <w:uiPriority w:val="0"/>
    <w:qFormat/>
    <w:tblPr>
      <w:tblCellMar>
        <w:left w:w="0" w:type="dxa"/>
        <w:top w:w="0" w:type="dxa"/>
        <w:right w:w="0" w:type="dxa"/>
        <w:bottom w:w="0" w:type="dxa"/>
      </w:tblCellMar>
    </w:tblPr>
  </w:style>
  <w:style w:type="paragraph" w:styleId="1008" w:customStyle="1">
    <w:name w:val="纯文本1"/>
    <w:basedOn w:val="709"/>
    <w:uiPriority w:val="0"/>
    <w:qFormat/>
    <w:rPr>
      <w:rFonts w:ascii="宋体" w:hAnsi="Courier New" w:cs="Courier New"/>
      <w:szCs w:val="21"/>
    </w:rPr>
  </w:style>
  <w:style w:type="paragraph" w:styleId="1009" w:customStyle="1">
    <w:name w:val="正文首行缩进 21"/>
    <w:basedOn w:val="1010"/>
    <w:next w:val="709"/>
    <w:uiPriority w:val="0"/>
    <w:qFormat/>
    <w:pPr>
      <w:ind w:left="0" w:firstLine="420"/>
      <w:spacing w:after="0" w:line="360" w:lineRule="auto"/>
    </w:pPr>
    <w:rPr>
      <w:rFonts w:ascii="宋体" w:hAnsi="宋体"/>
      <w:szCs w:val="20"/>
    </w:rPr>
  </w:style>
  <w:style w:type="paragraph" w:styleId="1010" w:customStyle="1">
    <w:name w:val="正文文本缩进11"/>
    <w:basedOn w:val="709"/>
    <w:next w:val="1011"/>
    <w:uiPriority w:val="0"/>
    <w:unhideWhenUsed/>
    <w:qFormat/>
    <w:pPr>
      <w:ind w:left="420"/>
      <w:spacing w:after="120"/>
    </w:pPr>
  </w:style>
  <w:style w:type="paragraph" w:styleId="1011" w:customStyle="1">
    <w:name w:val="寄信人地址1"/>
    <w:basedOn w:val="709"/>
    <w:uiPriority w:val="0"/>
    <w:qFormat/>
    <w:rPr>
      <w:rFonts w:ascii="Arial" w:hAnsi="Arial" w:cs="宋体"/>
    </w:rPr>
  </w:style>
  <w:style w:type="numbering" w:styleId="16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张群姗</cp:lastModifiedBy>
  <cp:revision>30</cp:revision>
  <dcterms:created xsi:type="dcterms:W3CDTF">2026-06-18T01:28:00Z</dcterms:created>
  <dcterms:modified xsi:type="dcterms:W3CDTF">2026-08-06T07:27:12Z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eyJoZGlkIjoiOTM4NDlhMmU2Y2NiNjQ1NjRlNGEzNmUxMTdhYmE4NDMiLCJ1c2VySWQiOiI4MDQ0ODg3NDkifQ==</vt:lpwstr>
  </property>
  <property fmtid="{D5CDD505-2E9C-101B-9397-08002B2CF9AE}" pid="3" name="KSOProductBuildVer">
    <vt:lpwstr>2052-12.1.0.28043</vt:lpwstr>
  </property>
  <property fmtid="{D5CDD505-2E9C-101B-9397-08002B2CF9AE}" pid="4" name="ICV">
    <vt:lpwstr>FA8C25F0F42D4C8088365E7EFA8F33B2_12</vt:lpwstr>
  </property>
</Properties>
</file>