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jc w:val="both"/>
        <w:rPr>
          <w:rFonts w:hint="default" w:ascii="Times New Roman" w:hAnsi="Times New Roman" w:eastAsia="黑体" w:cs="Times New Roman"/>
          <w:b/>
          <w:bCs/>
          <w:color w:val="auto"/>
          <w:sz w:val="84"/>
          <w:highlight w:val="none"/>
          <w:shd w:val="clear" w:color="auto" w:fill="auto"/>
        </w:rPr>
      </w:pPr>
      <w:r>
        <w:rPr>
          <w:rFonts w:hint="default" w:ascii="Times New Roman" w:hAnsi="Times New Roman" w:eastAsia="黑体" w:cs="Times New Roman"/>
          <w:b/>
          <w:bCs/>
          <w:color w:val="auto"/>
          <w:sz w:val="84"/>
          <w:highlight w:val="none"/>
          <w:shd w:val="clear" w:color="auto" w:fill="auto"/>
        </w:rPr>
      </w:r>
      <w:r/>
    </w:p>
    <w:p>
      <w:pPr>
        <w:pStyle w:val="987"/>
        <w:ind w:firstLine="0"/>
        <w:jc w:val="center"/>
        <w:rPr>
          <w:rFonts w:hint="default" w:ascii="Times New Roman" w:hAnsi="Times New Roman" w:eastAsia="黑体" w:cs="Times New Roman"/>
          <w:b/>
          <w:bCs/>
          <w:color w:val="auto"/>
          <w:sz w:val="84"/>
          <w:highlight w:val="none"/>
          <w:shd w:val="clear" w:color="auto" w:fill="auto"/>
        </w:rPr>
      </w:pPr>
      <w:r>
        <w:rPr>
          <w:rFonts w:hint="default" w:ascii="Times New Roman" w:hAnsi="Times New Roman" w:eastAsia="黑体" w:cs="Times New Roman"/>
          <w:b/>
          <w:bCs/>
          <w:color w:val="auto"/>
          <w:sz w:val="84"/>
          <w:highlight w:val="none"/>
          <w:shd w:val="clear" w:color="auto" w:fill="auto"/>
        </w:rPr>
        <w:t xml:space="preserve">招　标　文　件</w:t>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641"/>
        <w:jc w:val="both"/>
        <w:keepLines w:val="0"/>
        <w:keepNext w:val="0"/>
        <w:pageBreakBefore w:val="0"/>
        <w:spacing w:before="0" w:after="0" w:line="360" w:lineRule="auto"/>
        <w:widowControl w:val="off"/>
        <w:rPr>
          <w:rFonts w:hint="default" w:ascii="Times New Roman" w:hAnsi="Times New Roman" w:eastAsia="宋体" w:cs="Times New Roman"/>
          <w:b/>
          <w:bCs/>
          <w:color w:val="auto"/>
          <w:spacing w:val="-6"/>
          <w:sz w:val="32"/>
          <w:highlight w:val="none"/>
          <w:shd w:val="clear" w:color="auto" w:fill="auto"/>
        </w:rPr>
      </w:pPr>
      <w:r>
        <w:rPr>
          <w:rFonts w:hint="default" w:ascii="Times New Roman" w:hAnsi="Times New Roman" w:cs="Times New Roman"/>
          <w:b/>
          <w:bCs/>
          <w:color w:val="auto"/>
          <w:sz w:val="32"/>
          <w:highlight w:val="none"/>
          <w:shd w:val="clear" w:color="auto" w:fill="auto"/>
        </w:rPr>
        <w:t xml:space="preserve">项目名称：</w:t>
      </w:r>
      <w:r>
        <w:rPr>
          <w:rFonts w:hint="default" w:ascii="Times New Roman" w:hAnsi="Times New Roman" w:cs="Times New Roman"/>
          <w:b/>
          <w:bCs/>
          <w:color w:val="auto"/>
          <w:spacing w:val="-6"/>
          <w:sz w:val="32"/>
          <w:highlight w:val="none"/>
          <w:shd w:val="clear" w:color="auto" w:fill="auto"/>
          <w:lang w:eastAsia="zh-CN"/>
        </w:rPr>
        <w:t xml:space="preserve">古泊善后河流域取用水监测计量能力提升重点项目</w:t>
      </w:r>
      <w:r/>
    </w:p>
    <w:p>
      <w:pPr>
        <w:ind w:firstLine="641"/>
        <w:keepLines w:val="0"/>
        <w:keepNext w:val="0"/>
        <w:pageBreakBefore w:val="0"/>
        <w:spacing w:line="360" w:lineRule="auto"/>
        <w:widowControl w:val="off"/>
        <w:rPr>
          <w:rFonts w:hint="default" w:ascii="Times New Roman" w:hAnsi="Times New Roman" w:eastAsia="宋体" w:cs="Times New Roman"/>
          <w:b/>
          <w:color w:val="auto"/>
          <w:sz w:val="30"/>
          <w:szCs w:val="30"/>
          <w:highlight w:val="none"/>
          <w:shd w:val="clear" w:color="auto" w:fill="auto"/>
          <w:lang w:val="en-US" w:eastAsia="zh-CN"/>
        </w:rPr>
      </w:pPr>
      <w:r>
        <w:rPr>
          <w:rFonts w:hint="default" w:ascii="Times New Roman" w:hAnsi="Times New Roman" w:cs="Times New Roman"/>
          <w:b/>
          <w:bCs/>
          <w:color w:val="auto"/>
          <w:sz w:val="32"/>
          <w:highlight w:val="none"/>
          <w:shd w:val="clear" w:color="auto" w:fill="auto"/>
        </w:rPr>
        <w:t xml:space="preserve">项目编号：</w:t>
      </w:r>
      <w:r>
        <w:rPr>
          <w:rFonts w:hint="eastAsia" w:cs="Times New Roman"/>
          <w:b/>
          <w:bCs/>
          <w:color w:val="auto"/>
          <w:sz w:val="32"/>
          <w:highlight w:val="none"/>
          <w:shd w:val="clear" w:color="auto" w:fill="auto"/>
          <w:lang w:val="en-US" w:eastAsia="zh-CN"/>
        </w:rPr>
        <w:t xml:space="preserve">JSZC-320700-HCCG-G2026-0047</w:t>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ind w:firstLine="912"/>
        <w:keepLines w:val="0"/>
        <w:keepNext w:val="0"/>
        <w:pageBreakBefore w:val="0"/>
        <w:spacing w:line="360" w:lineRule="auto"/>
        <w:widowControl w:val="off"/>
        <w:rPr>
          <w:rFonts w:hint="default" w:ascii="Times New Roman" w:hAnsi="Times New Roman" w:eastAsia="宋体" w:cs="Times New Roman"/>
          <w:bCs/>
          <w:color w:val="auto"/>
          <w:sz w:val="32"/>
          <w:szCs w:val="32"/>
          <w:highlight w:val="none"/>
          <w:shd w:val="clear" w:color="auto" w:fill="auto"/>
          <w:lang w:eastAsia="zh-CN"/>
        </w:rPr>
      </w:pPr>
      <w:r>
        <w:rPr>
          <w:rFonts w:hint="default" w:ascii="Times New Roman" w:hAnsi="Times New Roman" w:cs="Times New Roman"/>
          <w:bCs/>
          <w:color w:val="auto"/>
          <w:sz w:val="32"/>
          <w:szCs w:val="32"/>
          <w:highlight w:val="none"/>
          <w:shd w:val="clear" w:color="auto" w:fill="auto"/>
        </w:rPr>
        <w:t xml:space="preserve">采   购   人：</w:t>
      </w:r>
      <w:r>
        <w:rPr>
          <w:rFonts w:hint="default" w:ascii="Times New Roman" w:hAnsi="Times New Roman" w:cs="Times New Roman"/>
          <w:bCs/>
          <w:color w:val="auto"/>
          <w:sz w:val="32"/>
          <w:szCs w:val="32"/>
          <w:highlight w:val="none"/>
          <w:shd w:val="clear" w:color="auto" w:fill="auto"/>
          <w:lang w:eastAsia="zh-CN"/>
        </w:rPr>
        <w:t xml:space="preserve">连云港市水利局</w:t>
      </w:r>
      <w:r/>
    </w:p>
    <w:p>
      <w:pPr>
        <w:ind w:firstLine="912"/>
        <w:keepLines w:val="0"/>
        <w:keepNext w:val="0"/>
        <w:pageBreakBefore w:val="0"/>
        <w:spacing w:line="360" w:lineRule="auto"/>
        <w:widowControl w:val="off"/>
        <w:rPr>
          <w:rFonts w:hint="default" w:ascii="Times New Roman" w:hAnsi="Times New Roman" w:eastAsia="宋体" w:cs="Times New Roman"/>
          <w:bCs/>
          <w:color w:val="auto"/>
          <w:sz w:val="32"/>
          <w:szCs w:val="32"/>
          <w:highlight w:val="none"/>
          <w:shd w:val="clear" w:color="auto" w:fill="auto"/>
          <w:lang w:eastAsia="zh-CN"/>
        </w:rPr>
      </w:pPr>
      <w:r>
        <w:rPr>
          <w:rFonts w:hint="default" w:ascii="Times New Roman" w:hAnsi="Times New Roman" w:cs="Times New Roman"/>
          <w:bCs/>
          <w:color w:val="auto"/>
          <w:sz w:val="32"/>
          <w:szCs w:val="32"/>
          <w:highlight w:val="none"/>
          <w:shd w:val="clear" w:color="auto" w:fill="auto"/>
        </w:rPr>
        <w:t xml:space="preserve">采购代理机构：</w:t>
      </w:r>
      <w:r>
        <w:rPr>
          <w:rFonts w:hint="default" w:ascii="Times New Roman" w:hAnsi="Times New Roman" w:cs="Times New Roman"/>
          <w:bCs/>
          <w:color w:val="auto"/>
          <w:sz w:val="32"/>
          <w:szCs w:val="32"/>
          <w:highlight w:val="none"/>
          <w:shd w:val="clear" w:color="auto" w:fill="auto"/>
          <w:lang w:eastAsia="zh-CN"/>
        </w:rPr>
        <w:t xml:space="preserve">江苏鸿成工程项目管理有限公司</w:t>
      </w:r>
      <w:r/>
    </w:p>
    <w:p>
      <w:pPr>
        <w:pStyle w:val="987"/>
        <w:ind w:firstLine="0"/>
        <w:jc w:val="center"/>
        <w:keepLines w:val="0"/>
        <w:keepNext w:val="0"/>
        <w:pageBreakBefore w:val="0"/>
        <w:spacing w:before="0" w:after="0"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eastAsia="宋体" w:cs="Times New Roman"/>
          <w:bCs/>
          <w:color w:val="auto"/>
          <w:sz w:val="32"/>
          <w:szCs w:val="32"/>
          <w:highlight w:val="none"/>
          <w:shd w:val="clear" w:color="auto" w:fill="auto"/>
          <w:lang w:val="en-US" w:eastAsia="zh-CN"/>
        </w:rPr>
        <w:t xml:space="preserve">202</w:t>
      </w:r>
      <w:r>
        <w:rPr>
          <w:rFonts w:hint="default" w:ascii="Times New Roman" w:hAnsi="Times New Roman" w:cs="Times New Roman"/>
          <w:bCs/>
          <w:color w:val="auto"/>
          <w:sz w:val="32"/>
          <w:szCs w:val="32"/>
          <w:highlight w:val="none"/>
          <w:shd w:val="clear" w:color="auto" w:fill="auto"/>
          <w:lang w:val="en-US" w:eastAsia="zh-CN"/>
        </w:rPr>
        <w:t xml:space="preserve">6</w:t>
      </w:r>
      <w:r>
        <w:rPr>
          <w:rFonts w:hint="default" w:ascii="Times New Roman" w:hAnsi="Times New Roman" w:eastAsia="宋体" w:cs="Times New Roman"/>
          <w:bCs/>
          <w:color w:val="auto"/>
          <w:sz w:val="32"/>
          <w:szCs w:val="32"/>
          <w:highlight w:val="none"/>
          <w:shd w:val="clear" w:color="auto" w:fill="auto"/>
        </w:rPr>
        <w:t xml:space="preserve">年</w:t>
      </w:r>
      <w:r>
        <w:rPr>
          <w:rFonts w:hint="default" w:ascii="Times New Roman" w:hAnsi="Times New Roman" w:cs="Times New Roman"/>
          <w:bCs/>
          <w:color w:val="auto"/>
          <w:sz w:val="32"/>
          <w:szCs w:val="32"/>
          <w:highlight w:val="none"/>
          <w:shd w:val="clear" w:color="auto" w:fill="auto"/>
          <w:lang w:val="en-US" w:eastAsia="zh-CN"/>
        </w:rPr>
        <w:t xml:space="preserve">8</w:t>
      </w:r>
      <w:r>
        <w:rPr>
          <w:rFonts w:hint="default" w:ascii="Times New Roman" w:hAnsi="Times New Roman" w:eastAsia="宋体" w:cs="Times New Roman"/>
          <w:bCs/>
          <w:color w:val="auto"/>
          <w:sz w:val="32"/>
          <w:szCs w:val="32"/>
          <w:highlight w:val="none"/>
          <w:shd w:val="clear" w:color="auto" w:fill="auto"/>
        </w:rPr>
        <w:t xml:space="preserve">月</w:t>
      </w:r>
      <w:r>
        <w:rPr>
          <w:rFonts w:hint="default" w:ascii="Times New Roman" w:hAnsi="Times New Roman" w:cs="Times New Roman"/>
          <w:color w:val="auto"/>
          <w:highlight w:val="none"/>
          <w:shd w:val="clear" w:color="auto" w:fill="auto"/>
        </w:rPr>
        <w:t xml:space="preserve">                        </w:t>
      </w:r>
      <w:r/>
    </w:p>
    <w:p>
      <w:pPr>
        <w:jc w:val="center"/>
        <w:keepLines w:val="0"/>
        <w:keepNext w:val="0"/>
        <w:pageBreakBefore w:val="0"/>
        <w:spacing w:line="360" w:lineRule="auto"/>
        <w:widowControl w:val="off"/>
        <w:rPr>
          <w:rFonts w:hint="default" w:ascii="Times New Roman" w:hAnsi="Times New Roman" w:cs="Times New Roman"/>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
    </w:p>
    <w:p>
      <w:pPr>
        <w:ind w:left="0"/>
        <w:jc w:val="center"/>
        <w:keepLines w:val="0"/>
        <w:keepNext w:val="0"/>
        <w:pageBreakBefore w:val="0"/>
        <w:spacing w:line="480" w:lineRule="auto"/>
        <w:widowControl w:val="off"/>
        <w:rPr>
          <w:rFonts w:hint="default" w:ascii="Times New Roman" w:hAnsi="Times New Roman" w:eastAsia="黑体" w:cs="Times New Roman"/>
          <w:b/>
          <w:color w:val="auto"/>
          <w:sz w:val="44"/>
          <w:highlight w:val="none"/>
          <w:shd w:val="clear" w:color="auto" w:fill="auto"/>
        </w:rPr>
        <w:outlineLvl w:val="0"/>
      </w:pPr>
      <w:r>
        <w:rPr>
          <w:rFonts w:hint="default" w:ascii="Times New Roman" w:hAnsi="Times New Roman" w:cs="Times New Roman"/>
          <w:color w:val="auto"/>
          <w:highlight w:val="none"/>
          <w:shd w:val="clear" w:color="auto" w:fill="auto"/>
        </w:rPr>
        <w:t xml:space="preserve"> </w:t>
      </w:r>
      <w:bookmarkStart w:id="6" w:name="_Toc3486"/>
      <w:r/>
      <w:bookmarkStart w:id="7" w:name="_Toc2559"/>
      <w:r/>
      <w:bookmarkStart w:id="8" w:name="_Toc9045"/>
      <w:r>
        <w:rPr>
          <w:rFonts w:hint="default" w:ascii="Times New Roman" w:hAnsi="Times New Roman" w:eastAsia="黑体" w:cs="Times New Roman"/>
          <w:b/>
          <w:color w:val="auto"/>
          <w:sz w:val="44"/>
          <w:highlight w:val="none"/>
          <w:shd w:val="clear" w:color="auto" w:fill="auto"/>
        </w:rPr>
        <w:t xml:space="preserve">总  目  录</w:t>
      </w:r>
      <w:bookmarkEnd w:id="6"/>
      <w:r/>
      <w:bookmarkEnd w:id="7"/>
      <w:r/>
      <w:bookmarkEnd w:id="8"/>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b/>
          <w:color w:val="auto"/>
          <w:sz w:val="28"/>
          <w:highlight w:val="none"/>
          <w:shd w:val="clear" w:color="auto" w:fill="auto"/>
        </w:rPr>
        <w:fldChar w:fldCharType="begin"/>
      </w:r>
      <w:r>
        <w:rPr>
          <w:rFonts w:hint="default" w:ascii="Times New Roman" w:hAnsi="Times New Roman" w:eastAsia="仿宋_GB2312" w:cs="Times New Roman"/>
          <w:b/>
          <w:color w:val="auto"/>
          <w:sz w:val="28"/>
          <w:highlight w:val="none"/>
          <w:shd w:val="clear" w:color="auto" w:fill="auto"/>
        </w:rPr>
        <w:instrText xml:space="preserve">TOC \o "1-3" \h \u </w:instrText>
      </w:r>
      <w:r>
        <w:rPr>
          <w:rFonts w:hint="default" w:ascii="Times New Roman" w:hAnsi="Times New Roman" w:eastAsia="仿宋_GB2312" w:cs="Times New Roman"/>
          <w:b/>
          <w:color w:val="auto"/>
          <w:sz w:val="28"/>
          <w:highlight w:val="none"/>
          <w:shd w:val="clear" w:color="auto" w:fill="auto"/>
        </w:rPr>
        <w:fldChar w:fldCharType="separate"/>
      </w: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_Toc2801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第一章  投标邀请</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_Toc2801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1</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40"/>
        <w:ind w:left="0" w:firstLine="0"/>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_Toc6975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bCs w:val="0"/>
          <w:color w:val="auto"/>
          <w:szCs w:val="44"/>
          <w:highlight w:val="none"/>
          <w:shd w:val="clear" w:color="auto" w:fill="auto"/>
          <w:lang w:val="en-US" w:eastAsia="zh-CN" w:bidi="ar-SA"/>
        </w:rPr>
        <w:t xml:space="preserve">第二章  投标人须知</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_Toc6975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5</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_Toc581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bCs/>
          <w:color w:val="auto"/>
          <w:szCs w:val="44"/>
          <w:highlight w:val="none"/>
        </w:rPr>
        <w:t xml:space="preserve">第三章  合同文本</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_Toc581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19</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_Toc4663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lang w:val="en-US" w:eastAsia="zh-CN" w:bidi="ar-SA"/>
        </w:rPr>
        <w:t xml:space="preserve">第四章  采购需求</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_Toc4663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20</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_Toc19583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第五章  评标方法与评标标准</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_Toc19583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24</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_Toc19647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第六章  投标文件格式</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_Toc19647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60</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ind w:left="0"/>
        <w:keepLines w:val="0"/>
        <w:keepNext w:val="0"/>
        <w:pageBreakBefore w:val="0"/>
        <w:spacing w:line="480" w:lineRule="auto"/>
        <w:widowControl w:val="off"/>
        <w:rPr>
          <w:rFonts w:hint="default" w:ascii="Times New Roman" w:hAnsi="Times New Roman" w:eastAsia="仿宋_GB2312" w:cs="Times New Roman"/>
          <w:b/>
          <w:color w:val="auto"/>
          <w:sz w:val="28"/>
          <w:highlight w:val="none"/>
          <w:shd w:val="clear" w:color="auto" w:fill="auto"/>
        </w:rPr>
      </w:pPr>
      <w:r>
        <w:rPr>
          <w:rFonts w:hint="default" w:ascii="Times New Roman" w:hAnsi="Times New Roman" w:eastAsia="仿宋_GB2312" w:cs="Times New Roman"/>
          <w:color w:val="auto"/>
          <w:highlight w:val="none"/>
          <w:shd w:val="clear" w:color="auto" w:fill="auto"/>
        </w:rPr>
        <w:fldChar w:fldCharType="end"/>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01"/>
        <w:rPr>
          <w:rFonts w:hint="default" w:ascii="Times New Roman" w:hAnsi="Times New Roman" w:eastAsia="黑体" w:cs="Times New Roman"/>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01"/>
        <w:jc w:val="center"/>
        <w:pageBreakBefore w:val="0"/>
        <w:spacing w:line="360" w:lineRule="auto"/>
        <w:rPr>
          <w:rFonts w:hint="default" w:ascii="Times New Roman" w:hAnsi="Times New Roman" w:eastAsia="黑体" w:cs="Times New Roman"/>
          <w:bCs/>
          <w:color w:val="auto"/>
          <w:sz w:val="44"/>
          <w:szCs w:val="44"/>
          <w:highlight w:val="none"/>
          <w:shd w:val="clear" w:color="auto" w:fill="auto"/>
        </w:rPr>
      </w:pPr>
      <w:r/>
      <w:bookmarkStart w:id="10" w:name="_Toc2801"/>
      <w:r>
        <w:rPr>
          <w:rFonts w:hint="default" w:ascii="Times New Roman" w:hAnsi="Times New Roman" w:eastAsia="黑体" w:cs="Times New Roman"/>
          <w:color w:val="auto"/>
          <w:sz w:val="44"/>
          <w:szCs w:val="44"/>
          <w:highlight w:val="none"/>
          <w:shd w:val="clear" w:color="auto" w:fill="auto"/>
        </w:rPr>
        <w:t xml:space="preserve">第一章  </w:t>
      </w:r>
      <w:bookmarkEnd w:id="0"/>
      <w:r>
        <w:rPr>
          <w:rFonts w:hint="default" w:ascii="Times New Roman" w:hAnsi="Times New Roman" w:eastAsia="黑体" w:cs="Times New Roman"/>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受</w:t>
      </w:r>
      <w:r>
        <w:rPr>
          <w:rFonts w:hint="default" w:ascii="Times New Roman" w:hAnsi="Times New Roman" w:cs="Times New Roman"/>
          <w:color w:val="auto"/>
          <w:sz w:val="24"/>
          <w:szCs w:val="24"/>
          <w:highlight w:val="none"/>
          <w:u w:val="single"/>
          <w:shd w:val="clear" w:color="auto" w:fill="auto"/>
          <w:lang w:eastAsia="zh-CN"/>
        </w:rPr>
        <w:t xml:space="preserve">连云港市水利局</w:t>
      </w:r>
      <w:r>
        <w:rPr>
          <w:rFonts w:hint="default" w:ascii="Times New Roman" w:hAnsi="Times New Roman" w:cs="Times New Roman"/>
          <w:color w:val="auto"/>
          <w:sz w:val="24"/>
          <w:szCs w:val="24"/>
          <w:highlight w:val="none"/>
          <w:shd w:val="clear" w:color="auto" w:fill="auto"/>
        </w:rPr>
        <w:t xml:space="preserve">的委托，</w:t>
      </w:r>
      <w:r>
        <w:rPr>
          <w:rFonts w:hint="default" w:ascii="Times New Roman" w:hAnsi="Times New Roman" w:cs="Times New Roman"/>
          <w:color w:val="auto"/>
          <w:sz w:val="24"/>
          <w:szCs w:val="24"/>
          <w:highlight w:val="none"/>
          <w:u w:val="single"/>
          <w:shd w:val="clear" w:color="auto" w:fill="auto"/>
          <w:lang w:eastAsia="zh-CN"/>
        </w:rPr>
        <w:t xml:space="preserve">江苏鸿成工程项目管理有限公司</w:t>
      </w:r>
      <w:r>
        <w:rPr>
          <w:rFonts w:hint="default" w:ascii="Times New Roman" w:hAnsi="Times New Roman" w:cs="Times New Roman"/>
          <w:color w:val="auto"/>
          <w:sz w:val="24"/>
          <w:szCs w:val="24"/>
          <w:highlight w:val="none"/>
          <w:shd w:val="clear" w:color="auto" w:fill="auto"/>
        </w:rPr>
        <w:t xml:space="preserve">就</w:t>
      </w:r>
      <w:r>
        <w:rPr>
          <w:rFonts w:hint="default" w:ascii="Times New Roman" w:hAnsi="Times New Roman" w:cs="Times New Roman"/>
          <w:color w:val="auto"/>
          <w:sz w:val="24"/>
          <w:szCs w:val="24"/>
          <w:highlight w:val="none"/>
          <w:u w:val="single"/>
          <w:shd w:val="clear" w:color="auto" w:fill="auto"/>
          <w:lang w:eastAsia="zh-CN"/>
        </w:rPr>
        <w:t xml:space="preserve">古泊善后河流域取用水监测计量能力提升重点项目</w:t>
      </w:r>
      <w:r>
        <w:rPr>
          <w:rFonts w:hint="default" w:ascii="Times New Roman" w:hAnsi="Times New Roman" w:cs="Times New Roman"/>
          <w:color w:val="auto"/>
          <w:sz w:val="24"/>
          <w:szCs w:val="24"/>
          <w:highlight w:val="none"/>
          <w:shd w:val="clear" w:color="auto" w:fill="auto"/>
        </w:rPr>
        <w:t xml:space="preserve">(项目编号</w:t>
      </w:r>
      <w:r>
        <w:rPr>
          <w:rFonts w:hint="default" w:ascii="Times New Roman" w:hAnsi="Times New Roman" w:cs="Times New Roman"/>
          <w:color w:val="auto"/>
          <w:sz w:val="24"/>
          <w:szCs w:val="24"/>
          <w:highlight w:val="none"/>
          <w:shd w:val="clear" w:color="auto" w:fill="auto"/>
          <w:lang w:eastAsia="zh-CN"/>
        </w:rPr>
        <w:t xml:space="preserve">：</w:t>
      </w:r>
      <w:r>
        <w:rPr>
          <w:rFonts w:hint="eastAsia" w:cs="Times New Roman"/>
          <w:color w:val="auto"/>
          <w:sz w:val="24"/>
          <w:szCs w:val="24"/>
          <w:highlight w:val="none"/>
          <w:shd w:val="clear" w:color="auto" w:fill="auto"/>
          <w:lang w:val="en-US" w:eastAsia="zh-CN"/>
        </w:rPr>
        <w:t xml:space="preserve">JSZC-320700-HCCG-G2026-0047</w:t>
      </w:r>
      <w:r>
        <w:rPr>
          <w:rFonts w:hint="default" w:ascii="Times New Roman" w:hAnsi="Times New Roman" w:cs="Times New Roman"/>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shd w:val="clear" w:color="auto" w:fill="auto"/>
        </w:rPr>
        <w:t xml:space="preserve">项目概况</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shd w:val="clear" w:color="auto" w:fill="auto"/>
          <w:lang w:eastAsia="zh-CN"/>
        </w:rPr>
        <w:t xml:space="preserve">古泊善后河流域取用水监测计量能力提升重点项目</w:t>
      </w:r>
      <w:r>
        <w:rPr>
          <w:rFonts w:hint="default" w:ascii="Times New Roman" w:hAnsi="Times New Roman" w:cs="Times New Roman"/>
          <w:color w:val="auto"/>
          <w:sz w:val="24"/>
          <w:szCs w:val="24"/>
          <w:highlight w:val="none"/>
          <w:shd w:val="clear" w:color="auto" w:fill="auto"/>
        </w:rPr>
        <w:t xml:space="preserve">招标项目的潜在投标人可在</w:t>
      </w:r>
      <w:r>
        <w:rPr>
          <w:rFonts w:hint="default" w:ascii="Times New Roman" w:hAnsi="Times New Roman" w:cs="Times New Roman"/>
          <w:color w:val="auto"/>
          <w:sz w:val="24"/>
          <w:szCs w:val="24"/>
          <w:highlight w:val="none"/>
          <w:u w:val="single"/>
          <w:shd w:val="clear" w:color="auto" w:fill="auto"/>
        </w:rPr>
        <w:t xml:space="preserve">“江苏政府采购网”自行免费下载</w:t>
      </w:r>
      <w:r>
        <w:rPr>
          <w:rFonts w:hint="default" w:ascii="Times New Roman" w:hAnsi="Times New Roman" w:cs="Times New Roman"/>
          <w:color w:val="auto"/>
          <w:sz w:val="24"/>
          <w:szCs w:val="24"/>
          <w:highlight w:val="none"/>
          <w:shd w:val="clear" w:color="auto" w:fill="auto"/>
        </w:rPr>
        <w:t xml:space="preserve">招标文件，并于</w:t>
      </w:r>
      <w:r>
        <w:rPr>
          <w:rFonts w:hint="default" w:ascii="Times New Roman" w:hAnsi="Times New Roman" w:cs="Times New Roman"/>
          <w:color w:val="auto"/>
          <w:sz w:val="24"/>
          <w:szCs w:val="24"/>
          <w:highlight w:val="none"/>
          <w:u w:val="single"/>
          <w:shd w:val="clear" w:color="auto" w:fill="auto"/>
          <w:lang w:val="en-US" w:eastAsia="zh-CN"/>
        </w:rPr>
        <w:t xml:space="preserve">2026</w:t>
      </w:r>
      <w:r>
        <w:rPr>
          <w:rFonts w:hint="default" w:ascii="Times New Roman" w:hAnsi="Times New Roman" w:cs="Times New Roman"/>
          <w:color w:val="auto"/>
          <w:sz w:val="24"/>
          <w:szCs w:val="24"/>
          <w:highlight w:val="none"/>
          <w:u w:val="single"/>
          <w:shd w:val="clear" w:color="auto" w:fill="auto"/>
        </w:rPr>
        <w:t xml:space="preserve">年</w:t>
      </w:r>
      <w:r>
        <w:rPr>
          <w:rFonts w:hint="default" w:ascii="Times New Roman" w:hAnsi="Times New Roman" w:cs="Times New Roman"/>
          <w:color w:val="auto"/>
          <w:sz w:val="24"/>
          <w:szCs w:val="24"/>
          <w:highlight w:val="none"/>
          <w:u w:val="single"/>
          <w:shd w:val="clear" w:color="auto" w:fill="auto"/>
          <w:lang w:val="en-US" w:eastAsia="zh-CN"/>
        </w:rPr>
        <w:t xml:space="preserve">8</w:t>
      </w:r>
      <w:r>
        <w:rPr>
          <w:rFonts w:hint="default" w:ascii="Times New Roman" w:hAnsi="Times New Roman" w:eastAsia="宋体" w:cs="Times New Roman"/>
          <w:color w:val="auto"/>
          <w:sz w:val="24"/>
          <w:szCs w:val="24"/>
          <w:highlight w:val="none"/>
          <w:u w:val="single"/>
          <w:shd w:val="clear" w:color="auto" w:fill="auto"/>
          <w:lang w:val="en-US" w:eastAsia="zh-CN"/>
        </w:rPr>
        <w:t xml:space="preserve">月</w:t>
      </w:r>
      <w:r>
        <w:rPr>
          <w:rFonts w:hint="default" w:ascii="Times New Roman" w:hAnsi="Times New Roman" w:eastAsia="宋体" w:cs="Times New Roman"/>
          <w:color w:val="auto"/>
          <w:sz w:val="24"/>
          <w:szCs w:val="24"/>
          <w:highlight w:val="none"/>
          <w:u w:val="single"/>
          <w:shd w:val="clear" w:color="auto" w:fill="auto"/>
          <w:lang w:val="en-US" w:eastAsia="zh-CN"/>
        </w:rPr>
        <w:t xml:space="preserve">31日</w:t>
      </w:r>
      <w:r>
        <w:rPr>
          <w:rFonts w:hint="default" w:ascii="Times New Roman" w:hAnsi="Times New Roman" w:cs="Times New Roman"/>
          <w:color w:val="auto"/>
          <w:sz w:val="24"/>
          <w:szCs w:val="24"/>
          <w:highlight w:val="none"/>
          <w:u w:val="single"/>
          <w:shd w:val="clear" w:color="auto" w:fill="auto"/>
          <w:lang w:val="en-US" w:eastAsia="zh-CN"/>
        </w:rPr>
        <w:t xml:space="preserve">09</w:t>
      </w:r>
      <w:r>
        <w:rPr>
          <w:rFonts w:hint="default" w:ascii="Times New Roman" w:hAnsi="Times New Roman" w:cs="Times New Roman"/>
          <w:bCs/>
          <w:color w:val="auto"/>
          <w:sz w:val="24"/>
          <w:szCs w:val="24"/>
          <w:highlight w:val="none"/>
          <w:u w:val="single"/>
          <w:shd w:val="clear" w:color="auto" w:fill="auto"/>
        </w:rPr>
        <w:t xml:space="preserve">点</w:t>
      </w:r>
      <w:r>
        <w:rPr>
          <w:rFonts w:hint="default" w:ascii="Times New Roman" w:hAnsi="Times New Roman" w:cs="Times New Roman"/>
          <w:bCs/>
          <w:color w:val="auto"/>
          <w:sz w:val="24"/>
          <w:szCs w:val="24"/>
          <w:highlight w:val="none"/>
          <w:u w:val="single"/>
          <w:shd w:val="clear" w:color="auto" w:fill="auto"/>
          <w:lang w:val="en-US" w:eastAsia="zh-CN"/>
        </w:rPr>
        <w:t xml:space="preserve">00</w:t>
      </w:r>
      <w:r>
        <w:rPr>
          <w:rFonts w:hint="default" w:ascii="Times New Roman" w:hAnsi="Times New Roman" w:cs="Times New Roman"/>
          <w:bCs/>
          <w:color w:val="auto"/>
          <w:sz w:val="24"/>
          <w:szCs w:val="24"/>
          <w:highlight w:val="none"/>
          <w:u w:val="single"/>
          <w:shd w:val="clear" w:color="auto" w:fill="auto"/>
        </w:rPr>
        <w:t xml:space="preserve">分（</w:t>
      </w:r>
      <w:r>
        <w:rPr>
          <w:rFonts w:hint="default" w:ascii="Times New Roman" w:hAnsi="Times New Roman" w:cs="Times New Roman"/>
          <w:bCs/>
          <w:color w:val="auto"/>
          <w:sz w:val="24"/>
          <w:szCs w:val="24"/>
          <w:highlight w:val="none"/>
          <w:shd w:val="clear" w:color="auto" w:fill="auto"/>
        </w:rPr>
        <w:t xml:space="preserve">北京时间）前递交投标文件</w:t>
      </w:r>
      <w:r>
        <w:rPr>
          <w:rFonts w:hint="default" w:ascii="Times New Roman" w:hAnsi="Times New Roman" w:cs="Times New Roman"/>
          <w:color w:val="auto"/>
          <w:sz w:val="24"/>
          <w:szCs w:val="24"/>
          <w:highlight w:val="none"/>
          <w:shd w:val="clear" w:color="auto" w:fill="auto"/>
        </w:rPr>
        <w:t xml:space="preserve">。</w:t>
      </w:r>
      <w:r/>
    </w:p>
    <w:p>
      <w:pPr>
        <w:pStyle w:val="903"/>
        <w:ind w:firstLine="498"/>
        <w:pageBreakBefore w:val="0"/>
        <w:spacing w:before="0" w:after="0" w:line="360" w:lineRule="auto"/>
        <w:rPr>
          <w:rFonts w:hint="default" w:ascii="Times New Roman" w:hAnsi="Times New Roman" w:cs="Times New Roman"/>
          <w:color w:val="auto"/>
          <w:highlight w:val="none"/>
          <w:shd w:val="clear" w:color="auto" w:fill="auto"/>
        </w:rPr>
      </w:pPr>
      <w:r/>
      <w:bookmarkStart w:id="11" w:name="_Toc28359079"/>
      <w:r/>
      <w:bookmarkStart w:id="12" w:name="_Toc35393621"/>
      <w:r/>
      <w:bookmarkStart w:id="13" w:name="_Toc35393790"/>
      <w:r/>
      <w:bookmarkStart w:id="14" w:name="_Toc21136"/>
      <w:r/>
      <w:bookmarkStart w:id="15" w:name="_Toc16002"/>
      <w:r/>
      <w:bookmarkStart w:id="16" w:name="_Toc28359002"/>
      <w:r/>
      <w:bookmarkStart w:id="17" w:name="_Hlk24379207"/>
      <w:r/>
      <w:bookmarkStart w:id="18" w:name="_Toc38985263"/>
      <w:r/>
      <w:bookmarkStart w:id="19" w:name="_Toc2245"/>
      <w:r>
        <w:rPr>
          <w:rFonts w:hint="default" w:ascii="Times New Roman" w:hAnsi="Times New Roman" w:cs="Times New Roman"/>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1.项目编号：</w:t>
      </w:r>
      <w:r>
        <w:rPr>
          <w:rFonts w:hint="eastAsia" w:cs="Times New Roman"/>
          <w:color w:val="auto"/>
          <w:sz w:val="24"/>
          <w:szCs w:val="24"/>
          <w:highlight w:val="none"/>
          <w:shd w:val="clear" w:color="auto" w:fill="auto"/>
          <w:lang w:val="en-US" w:eastAsia="zh-CN"/>
        </w:rPr>
        <w:t xml:space="preserve">JSZC-320700-HCCG-G2026-0047</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2.项目名称：</w:t>
      </w:r>
      <w:r>
        <w:rPr>
          <w:rFonts w:hint="default" w:ascii="Times New Roman" w:hAnsi="Times New Roman" w:cs="Times New Roman"/>
          <w:color w:val="auto"/>
          <w:sz w:val="24"/>
          <w:szCs w:val="24"/>
          <w:highlight w:val="none"/>
          <w:shd w:val="clear" w:color="auto" w:fill="auto"/>
          <w:lang w:eastAsia="zh-CN"/>
        </w:rPr>
        <w:t xml:space="preserve">古泊善后河流域取用水监测计量能力提升重点项目</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3.预算金额：</w:t>
      </w:r>
      <w:r>
        <w:rPr>
          <w:rFonts w:hint="default" w:ascii="Times New Roman" w:hAnsi="Times New Roman" w:cs="Times New Roman"/>
          <w:color w:val="auto"/>
          <w:sz w:val="24"/>
          <w:szCs w:val="24"/>
          <w:highlight w:val="none"/>
          <w:shd w:val="clear" w:color="auto" w:fill="auto"/>
          <w:lang w:val="en-US" w:eastAsia="zh-CN"/>
        </w:rPr>
        <w:t xml:space="preserve">904万元</w:t>
      </w:r>
      <w:r/>
    </w:p>
    <w:p>
      <w:pPr>
        <w:ind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4.</w:t>
      </w:r>
      <w:r>
        <w:rPr>
          <w:rFonts w:hint="default" w:ascii="Times New Roman" w:hAnsi="Times New Roman" w:cs="Times New Roman"/>
          <w:color w:val="auto"/>
          <w:sz w:val="24"/>
          <w:szCs w:val="24"/>
          <w:highlight w:val="none"/>
          <w:shd w:val="clear" w:color="auto" w:fill="auto"/>
          <w:lang w:val="en-US" w:eastAsia="zh-CN"/>
        </w:rPr>
        <w:t xml:space="preserve">最高限价：本项目</w:t>
      </w:r>
      <w:r>
        <w:rPr>
          <w:rFonts w:hint="default" w:ascii="Times New Roman" w:hAnsi="Times New Roman" w:cs="Times New Roman"/>
          <w:color w:val="auto"/>
          <w:sz w:val="24"/>
          <w:szCs w:val="24"/>
          <w:highlight w:val="none"/>
          <w:u w:val="single"/>
          <w:shd w:val="clear" w:color="auto" w:fill="auto"/>
          <w:lang w:val="en-US" w:eastAsia="zh-CN"/>
        </w:rPr>
        <w:t xml:space="preserve"> 设定 </w:t>
      </w:r>
      <w:r>
        <w:rPr>
          <w:rFonts w:hint="default" w:ascii="Times New Roman" w:hAnsi="Times New Roman" w:cs="Times New Roman"/>
          <w:color w:val="auto"/>
          <w:sz w:val="24"/>
          <w:szCs w:val="24"/>
          <w:highlight w:val="none"/>
          <w:shd w:val="clear" w:color="auto" w:fill="auto"/>
          <w:lang w:val="en-US" w:eastAsia="zh-CN"/>
        </w:rPr>
        <w:t xml:space="preserve">（设定/不设定）最高限价，最高限价为人</w:t>
      </w:r>
      <w:bookmarkStart w:id="286" w:name="_GoBack"/>
      <w:r/>
      <w:bookmarkEnd w:id="286"/>
      <w:r>
        <w:rPr>
          <w:rFonts w:hint="default" w:ascii="Times New Roman" w:hAnsi="Times New Roman" w:cs="Times New Roman"/>
          <w:color w:val="auto"/>
          <w:sz w:val="24"/>
          <w:szCs w:val="24"/>
          <w:highlight w:val="none"/>
          <w:shd w:val="clear" w:color="auto" w:fill="auto"/>
          <w:lang w:val="en-US" w:eastAsia="zh-CN"/>
        </w:rPr>
        <w:t xml:space="preserve">民币904万元，投标人所报的投标报价超过最高限价的投标无效</w:t>
      </w:r>
      <w:r>
        <w:rPr>
          <w:rFonts w:hint="default" w:ascii="Times New Roman" w:hAnsi="Times New Roman" w:cs="Times New Roman"/>
          <w:color w:val="auto"/>
          <w:sz w:val="24"/>
          <w:szCs w:val="24"/>
          <w:highlight w:val="none"/>
          <w:shd w:val="clear" w:color="auto" w:fill="auto"/>
        </w:rPr>
        <w:t xml:space="preserve">。</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lang w:eastAsia="zh-CN"/>
        </w:rPr>
      </w:pPr>
      <w:r>
        <w:rPr>
          <w:rFonts w:hint="default" w:ascii="Times New Roman" w:hAnsi="Times New Roman" w:cs="Times New Roman"/>
          <w:color w:val="auto"/>
          <w:sz w:val="24"/>
          <w:szCs w:val="24"/>
          <w:highlight w:val="none"/>
          <w:shd w:val="clear" w:color="auto" w:fill="auto"/>
        </w:rPr>
        <w:t xml:space="preserve">5.采购需求（简介）：取水在线计量设施建设、典型片区在线计量设施建设、取水计量数据质量提升、取水计量数据融合应用。其中取水在线计量设施建设共26处；典型计量设施建设包括3处典型田块全口径取水计量，全面分析研究典型田块农作物的全生命周期用水规律、亩均用水量、灌溉定额修正；取水计量数据质量提升包括已装计量的21个泵站加装数据采集设备，升级改造为在线计量</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对流域涉及的40处已建的农业计量设施进行检定（比测率定）</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要求</w:t>
      </w:r>
      <w:r>
        <w:rPr>
          <w:rFonts w:hint="default" w:ascii="Times New Roman" w:hAnsi="Times New Roman" w:cs="Times New Roman"/>
          <w:color w:val="auto"/>
          <w:sz w:val="24"/>
          <w:szCs w:val="24"/>
          <w:highlight w:val="none"/>
          <w:shd w:val="clear" w:color="auto" w:fill="auto"/>
        </w:rPr>
        <w:t xml:space="preserve">规模以上取水在线计量数据到报率≥95%，保障数据传输的连续性和稳定性；取水计量数据融合应用，</w:t>
      </w:r>
      <w:r>
        <w:rPr>
          <w:rFonts w:hint="default" w:ascii="Times New Roman" w:hAnsi="Times New Roman" w:cs="Times New Roman"/>
          <w:color w:val="auto"/>
          <w:sz w:val="24"/>
          <w:szCs w:val="24"/>
          <w:highlight w:val="none"/>
          <w:shd w:val="clear" w:color="auto" w:fill="auto"/>
          <w:lang w:val="en-US" w:eastAsia="zh-CN"/>
        </w:rPr>
        <w:t xml:space="preserve">以多源数据整合、融合监管应用为核心</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开展农灌高峰期用水监测、流域年度取用水量核算、水资源承载能力评价，并在指定平台</w:t>
      </w:r>
      <w:r>
        <w:rPr>
          <w:rFonts w:hint="default" w:ascii="Times New Roman" w:hAnsi="Times New Roman" w:cs="Times New Roman"/>
          <w:color w:val="auto"/>
          <w:sz w:val="24"/>
          <w:szCs w:val="24"/>
          <w:highlight w:val="none"/>
          <w:shd w:val="clear" w:color="auto" w:fill="auto"/>
          <w:lang w:eastAsia="zh-CN"/>
        </w:rPr>
        <w:t xml:space="preserve">部署应用，</w:t>
      </w:r>
      <w:r>
        <w:rPr>
          <w:rFonts w:hint="default" w:ascii="Times New Roman" w:hAnsi="Times New Roman" w:cs="Times New Roman"/>
          <w:color w:val="auto"/>
          <w:sz w:val="24"/>
          <w:szCs w:val="24"/>
          <w:highlight w:val="none"/>
          <w:shd w:val="clear" w:color="auto" w:fill="auto"/>
          <w:lang w:val="en-US" w:eastAsia="zh-CN"/>
        </w:rPr>
        <w:t xml:space="preserve">实现</w:t>
      </w:r>
      <w:r>
        <w:rPr>
          <w:rFonts w:hint="default" w:ascii="Times New Roman" w:hAnsi="Times New Roman" w:eastAsia="Segoe UI" w:cs="Times New Roman"/>
          <w:i w:val="0"/>
          <w:iCs w:val="0"/>
          <w:caps w:val="0"/>
          <w:color w:val="auto"/>
          <w:spacing w:val="0"/>
          <w:sz w:val="24"/>
          <w:szCs w:val="24"/>
          <w:highlight w:val="none"/>
          <w:shd w:val="clear" w:color="auto" w:fill="ffffff"/>
        </w:rPr>
        <w:t xml:space="preserve">可视化管控与决策支持</w:t>
      </w:r>
      <w:r>
        <w:rPr>
          <w:rFonts w:hint="default" w:ascii="Times New Roman" w:hAnsi="Times New Roman" w:cs="Times New Roman"/>
          <w:color w:val="auto"/>
          <w:sz w:val="24"/>
          <w:szCs w:val="24"/>
          <w:highlight w:val="none"/>
          <w:shd w:val="clear" w:color="auto" w:fill="auto"/>
          <w:lang w:val="en-US" w:eastAsia="zh-CN"/>
        </w:rPr>
        <w:t xml:space="preserve">。</w:t>
      </w:r>
      <w:r>
        <w:rPr>
          <w:rFonts w:hint="default" w:ascii="Times New Roman" w:hAnsi="Times New Roman" w:cs="Times New Roman"/>
          <w:color w:val="auto"/>
          <w:sz w:val="24"/>
          <w:szCs w:val="24"/>
          <w:highlight w:val="none"/>
          <w:shd w:val="clear" w:color="auto" w:fill="auto"/>
        </w:rPr>
        <w:t xml:space="preserve">详细内容见本招标文件第四章</w:t>
      </w:r>
      <w:r>
        <w:rPr>
          <w:rFonts w:hint="default" w:ascii="Times New Roman" w:hAnsi="Times New Roman" w:cs="Times New Roman"/>
          <w:color w:val="auto"/>
          <w:sz w:val="24"/>
          <w:szCs w:val="24"/>
          <w:highlight w:val="none"/>
          <w:shd w:val="clear" w:color="auto" w:fill="auto"/>
          <w:lang w:eastAsia="zh-CN"/>
        </w:rPr>
        <w:t xml:space="preserve">。</w:t>
      </w:r>
      <w:r/>
    </w:p>
    <w:p>
      <w:pPr>
        <w:ind w:firstLine="482"/>
        <w:pageBreakBefore w:val="0"/>
        <w:spacing w:line="360" w:lineRule="auto"/>
        <w:rPr>
          <w:rFonts w:hint="default" w:ascii="Times New Roman" w:hAnsi="Times New Roman" w:cs="Times New Roman"/>
          <w:color w:val="auto"/>
          <w:sz w:val="24"/>
          <w:szCs w:val="24"/>
          <w:highlight w:val="none"/>
          <w:shd w:val="clear" w:color="auto" w:fill="auto"/>
          <w:lang w:eastAsia="zh-CN"/>
        </w:rPr>
      </w:pPr>
      <w:r>
        <w:rPr>
          <w:rFonts w:hint="default" w:ascii="Times New Roman" w:hAnsi="Times New Roman" w:cs="Times New Roman"/>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6.合同履行期限</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服务期限</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lang w:val="en-US" w:eastAsia="zh-CN"/>
        </w:rPr>
        <w:t xml:space="preserve">70</w:t>
      </w:r>
      <w:r>
        <w:rPr>
          <w:rFonts w:hint="default" w:ascii="Times New Roman" w:hAnsi="Times New Roman" w:cs="Times New Roman"/>
          <w:color w:val="auto"/>
          <w:sz w:val="24"/>
          <w:szCs w:val="24"/>
          <w:highlight w:val="none"/>
          <w:shd w:val="clear" w:color="auto" w:fill="auto"/>
        </w:rPr>
        <w:t xml:space="preserve">日历天，自合同约定之日起算。</w:t>
      </w:r>
      <w:r/>
    </w:p>
    <w:p>
      <w:pPr>
        <w:pStyle w:val="903"/>
        <w:ind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0" w:name="_Toc13820"/>
      <w:r/>
      <w:bookmarkStart w:id="21" w:name="_Toc28359003"/>
      <w:r/>
      <w:bookmarkStart w:id="22" w:name="_Toc3796"/>
      <w:r/>
      <w:bookmarkStart w:id="23" w:name="_Toc1258"/>
      <w:r/>
      <w:bookmarkStart w:id="24" w:name="_Toc35393791"/>
      <w:r/>
      <w:bookmarkStart w:id="25" w:name="_Toc28359080"/>
      <w:r/>
      <w:bookmarkStart w:id="26" w:name="_Toc38985264"/>
      <w:r/>
      <w:bookmarkStart w:id="27" w:name="_Toc35393622"/>
      <w:r>
        <w:rPr>
          <w:rFonts w:hint="default" w:ascii="Times New Roman" w:hAnsi="Times New Roman" w:cs="Times New Roman"/>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28" w:name="_Toc28359081"/>
      <w:r/>
      <w:bookmarkStart w:id="29" w:name="_Toc38985265"/>
      <w:r/>
      <w:bookmarkStart w:id="30" w:name="_Toc35393623"/>
      <w:r/>
      <w:bookmarkStart w:id="31" w:name="_Toc35393792"/>
      <w:r/>
      <w:bookmarkStart w:id="32" w:name="_Toc28359004"/>
      <w:r>
        <w:rPr>
          <w:rFonts w:hint="default" w:ascii="Times New Roman" w:hAnsi="Times New Roman" w:cs="Times New Roman"/>
          <w:color w:val="auto"/>
          <w:sz w:val="24"/>
          <w:szCs w:val="24"/>
          <w:highlight w:val="none"/>
          <w:shd w:val="clear" w:color="auto" w:fill="auto"/>
        </w:rPr>
        <w:t xml:space="preserve">（一）通用资格要求</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1</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上一年度的财务状况报告（成立不满一年不需提供）</w:t>
      </w:r>
      <w:r>
        <w:rPr>
          <w:rFonts w:hint="default" w:ascii="Times New Roman" w:hAnsi="Times New Roman" w:cs="Times New Roman"/>
          <w:color w:val="auto"/>
          <w:sz w:val="24"/>
          <w:szCs w:val="24"/>
          <w:highlight w:val="none"/>
          <w:shd w:val="clear" w:color="auto" w:fill="auto"/>
        </w:rPr>
        <w:t xml:space="preserve">；</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4</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5</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
          <w:bCs/>
          <w:color w:val="auto"/>
          <w:sz w:val="24"/>
          <w:szCs w:val="24"/>
          <w:highlight w:val="none"/>
          <w:shd w:val="clear" w:color="auto" w:fill="auto"/>
        </w:rPr>
        <w:t xml:space="preserve">根据连财购〔2023〕4号、连财购（2023）9号文件精神，第</w:t>
      </w:r>
      <w:r>
        <w:rPr>
          <w:rFonts w:hint="default" w:ascii="Times New Roman" w:hAnsi="Times New Roman" w:cs="Times New Roman"/>
          <w:b/>
          <w:bCs/>
          <w:color w:val="auto"/>
          <w:sz w:val="24"/>
          <w:szCs w:val="24"/>
          <w:highlight w:val="none"/>
          <w:shd w:val="clear" w:color="auto" w:fill="auto"/>
          <w:lang w:val="en-US" w:eastAsia="zh-CN"/>
        </w:rPr>
        <w:t xml:space="preserve">（2）</w:t>
      </w:r>
      <w:r>
        <w:rPr>
          <w:rFonts w:hint="default" w:ascii="Times New Roman" w:hAnsi="Times New Roman" w:cs="Times New Roman"/>
          <w:b/>
          <w:bCs/>
          <w:color w:val="auto"/>
          <w:sz w:val="24"/>
          <w:szCs w:val="24"/>
          <w:highlight w:val="none"/>
          <w:shd w:val="clear" w:color="auto" w:fill="auto"/>
        </w:rPr>
        <w:t xml:space="preserve">、</w:t>
      </w:r>
      <w:r>
        <w:rPr>
          <w:rFonts w:hint="default" w:ascii="Times New Roman" w:hAnsi="Times New Roman" w:cs="Times New Roman"/>
          <w:b/>
          <w:bCs/>
          <w:color w:val="auto"/>
          <w:sz w:val="24"/>
          <w:szCs w:val="24"/>
          <w:highlight w:val="none"/>
          <w:shd w:val="clear" w:color="auto" w:fill="auto"/>
          <w:lang w:val="en-US" w:eastAsia="zh-CN"/>
        </w:rPr>
        <w:t xml:space="preserve">（3）</w:t>
      </w:r>
      <w:r>
        <w:rPr>
          <w:rFonts w:hint="default" w:ascii="Times New Roman" w:hAnsi="Times New Roman" w:cs="Times New Roman"/>
          <w:b/>
          <w:bCs/>
          <w:color w:val="auto"/>
          <w:sz w:val="24"/>
          <w:szCs w:val="24"/>
          <w:highlight w:val="none"/>
          <w:shd w:val="clear" w:color="auto" w:fill="auto"/>
        </w:rPr>
        <w:t xml:space="preserve">项可以提供《财务状况报告及税收、社会保障资金缴纳情况承诺函》，</w:t>
      </w:r>
      <w:r>
        <w:rPr>
          <w:rFonts w:hint="default" w:ascii="Times New Roman" w:hAnsi="Times New Roman" w:cs="Times New Roman"/>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default" w:ascii="Times New Roman" w:hAnsi="Times New Roman" w:cs="Times New Roman"/>
          <w:b/>
          <w:bCs/>
          <w:color w:val="auto"/>
          <w:sz w:val="24"/>
          <w:szCs w:val="24"/>
          <w:highlight w:val="none"/>
          <w:shd w:val="clear" w:color="auto" w:fill="auto"/>
        </w:rPr>
        <w:t xml:space="preserve">详见</w:t>
      </w:r>
      <w:r>
        <w:rPr>
          <w:rFonts w:hint="default" w:ascii="Times New Roman" w:hAnsi="Times New Roman" w:cs="Times New Roman"/>
          <w:b/>
          <w:bCs/>
          <w:color w:val="auto"/>
          <w:sz w:val="24"/>
          <w:szCs w:val="24"/>
          <w:highlight w:val="none"/>
          <w:shd w:val="clear" w:color="auto" w:fill="auto"/>
          <w:lang w:val="en-US" w:eastAsia="zh-CN"/>
        </w:rPr>
        <w:t xml:space="preserve">招标文件</w:t>
      </w:r>
      <w:r>
        <w:rPr>
          <w:rFonts w:hint="default" w:ascii="Times New Roman" w:hAnsi="Times New Roman" w:cs="Times New Roman"/>
          <w:b/>
          <w:bCs/>
          <w:color w:val="auto"/>
          <w:sz w:val="24"/>
          <w:szCs w:val="24"/>
          <w:highlight w:val="none"/>
          <w:shd w:val="clear" w:color="auto" w:fill="auto"/>
        </w:rPr>
        <w:t xml:space="preserve">第六章</w:t>
      </w:r>
      <w:r>
        <w:rPr>
          <w:rFonts w:hint="default" w:ascii="Times New Roman" w:hAnsi="Times New Roman" w:cs="Times New Roman"/>
          <w:b/>
          <w:bCs/>
          <w:color w:val="auto"/>
          <w:sz w:val="24"/>
          <w:szCs w:val="24"/>
          <w:highlight w:val="none"/>
          <w:shd w:val="clear" w:color="auto" w:fill="auto"/>
          <w:lang w:val="en-US" w:eastAsia="zh-CN"/>
        </w:rPr>
        <w:t xml:space="preserve">投标</w:t>
      </w:r>
      <w:r>
        <w:rPr>
          <w:rFonts w:hint="default" w:ascii="Times New Roman" w:hAnsi="Times New Roman" w:cs="Times New Roman"/>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default" w:ascii="Times New Roman" w:hAnsi="Times New Roman" w:eastAsia="华文新魏" w:cs="Times New Roman"/>
          <w:color w:val="auto"/>
          <w:sz w:val="36"/>
          <w:szCs w:val="36"/>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.本项目</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u w:val="single"/>
          <w:shd w:val="clear" w:color="auto" w:fill="auto"/>
          <w:lang w:val="en-US" w:eastAsia="zh-CN"/>
        </w:rPr>
        <w:t xml:space="preserve">不</w:t>
      </w:r>
      <w:r>
        <w:rPr>
          <w:rFonts w:hint="default" w:ascii="Times New Roman" w:hAnsi="Times New Roman" w:cs="Times New Roman"/>
          <w:color w:val="auto"/>
          <w:sz w:val="24"/>
          <w:szCs w:val="24"/>
          <w:highlight w:val="none"/>
          <w:u w:val="single"/>
          <w:shd w:val="clear" w:color="auto" w:fill="auto"/>
        </w:rPr>
        <w:t xml:space="preserve">接受 </w:t>
      </w:r>
      <w:r>
        <w:rPr>
          <w:rFonts w:hint="default" w:ascii="Times New Roman" w:hAnsi="Times New Roman" w:cs="Times New Roman"/>
          <w:color w:val="auto"/>
          <w:sz w:val="24"/>
          <w:szCs w:val="24"/>
          <w:highlight w:val="none"/>
          <w:shd w:val="clear" w:color="auto" w:fill="auto"/>
        </w:rPr>
        <w:t xml:space="preserve">联合体投标</w:t>
      </w:r>
      <w:r>
        <w:rPr>
          <w:rFonts w:hint="default" w:ascii="Times New Roman" w:hAnsi="Times New Roman" w:cs="Times New Roman"/>
          <w:color w:val="auto"/>
          <w:sz w:val="24"/>
          <w:szCs w:val="24"/>
          <w:highlight w:val="none"/>
          <w:shd w:val="clear" w:color="auto" w:fill="auto"/>
          <w:lang w:val="en-US" w:eastAsia="zh-CN"/>
        </w:rPr>
        <w:t xml:space="preserve">。</w:t>
      </w:r>
      <w:r/>
    </w:p>
    <w:p>
      <w:pPr>
        <w:ind w:left="0" w:firstLine="48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w:t>
      </w:r>
      <w:r>
        <w:rPr>
          <w:rFonts w:hint="default" w:ascii="Times New Roman" w:hAnsi="Times New Roman" w:cs="Times New Roman"/>
          <w:color w:val="auto"/>
          <w:sz w:val="24"/>
          <w:szCs w:val="24"/>
          <w:highlight w:val="none"/>
          <w:shd w:val="clear" w:color="auto" w:fill="auto"/>
        </w:rPr>
        <w:t xml:space="preserve">.落实政府采购政策需满足的资格要求：</w:t>
      </w:r>
      <w:r>
        <w:rPr>
          <w:rFonts w:hint="default" w:ascii="Times New Roman" w:hAnsi="Times New Roman" w:cs="Times New Roman"/>
          <w:color w:val="auto"/>
          <w:sz w:val="24"/>
          <w:highlight w:val="none"/>
        </w:rPr>
        <w:t xml:space="preserve">无</w:t>
      </w:r>
      <w:r>
        <w:rPr>
          <w:rFonts w:hint="default" w:ascii="Times New Roman" w:hAnsi="Times New Roman" w:cs="Times New Roman"/>
          <w:color w:val="auto"/>
          <w:sz w:val="24"/>
          <w:highlight w:val="none"/>
          <w:lang w:eastAsia="zh-CN"/>
        </w:rPr>
        <w:t xml:space="preserve">。</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cs="Times New Roman"/>
          <w:color w:val="auto"/>
          <w:sz w:val="24"/>
          <w:szCs w:val="24"/>
          <w:highlight w:val="none"/>
          <w:shd w:val="clear" w:color="auto" w:fill="auto"/>
        </w:rPr>
        <w:t xml:space="preserve">（二）本项目的特定资格要求</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无</w:t>
      </w:r>
      <w:r>
        <w:rPr>
          <w:rFonts w:hint="default" w:ascii="Times New Roman" w:hAnsi="Times New Roman" w:cs="Times New Roman"/>
          <w:color w:val="auto"/>
          <w:sz w:val="24"/>
          <w:highlight w:val="none"/>
          <w:shd w:val="clear" w:color="auto" w:fill="auto"/>
          <w:lang w:eastAsia="zh-CN"/>
        </w:rPr>
        <w:t xml:space="preserve">。</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default" w:ascii="Times New Roman" w:hAnsi="Times New Roman" w:cs="Times New Roman"/>
          <w:color w:val="auto"/>
          <w:spacing w:val="-6"/>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1.单</w:t>
      </w:r>
      <w:r>
        <w:rPr>
          <w:rFonts w:hint="default" w:ascii="Times New Roman" w:hAnsi="Times New Roman" w:cs="Times New Roman"/>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pacing w:val="-6"/>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lang w:val="en-US" w:eastAsia="zh-CN"/>
        </w:rPr>
        <w:t xml:space="preserve">法律、法规规定的其他条件。</w:t>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33" w:name="_Toc22630"/>
      <w:r/>
      <w:bookmarkStart w:id="34" w:name="_Toc21470"/>
      <w:r/>
      <w:bookmarkStart w:id="35" w:name="_Toc11308"/>
      <w:r>
        <w:rPr>
          <w:rFonts w:hint="default" w:ascii="Times New Roman" w:hAnsi="Times New Roman" w:cs="Times New Roman"/>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36" w:name="_Toc28359082"/>
      <w:r/>
      <w:bookmarkStart w:id="37" w:name="_Toc28359005"/>
      <w:r/>
      <w:bookmarkStart w:id="38" w:name="_Toc35393624"/>
      <w:r/>
      <w:bookmarkStart w:id="39" w:name="_Toc35393793"/>
      <w:r/>
      <w:bookmarkStart w:id="40" w:name="_Toc38985266"/>
      <w:r>
        <w:rPr>
          <w:rFonts w:hint="default" w:ascii="Times New Roman" w:hAnsi="Times New Roman" w:cs="Times New Roman"/>
          <w:color w:val="auto"/>
          <w:sz w:val="24"/>
          <w:szCs w:val="24"/>
          <w:highlight w:val="none"/>
          <w:shd w:val="clear" w:color="auto" w:fill="auto"/>
        </w:rPr>
        <w:t xml:space="preserve">1.时间：</w:t>
      </w:r>
      <w:r>
        <w:rPr>
          <w:rFonts w:hint="default" w:ascii="Times New Roman" w:hAnsi="Times New Roman" w:cs="Times New Roman"/>
          <w:color w:val="auto"/>
          <w:sz w:val="24"/>
          <w:szCs w:val="24"/>
          <w:highlight w:val="none"/>
          <w:shd w:val="clear" w:color="auto" w:fill="auto"/>
          <w:lang w:val="en-US" w:eastAsia="zh-CN"/>
        </w:rPr>
        <w:t xml:space="preserve">自招标公告发布之日起至2026年8</w:t>
      </w:r>
      <w:r>
        <w:rPr>
          <w:rFonts w:hint="default" w:ascii="Times New Roman" w:hAnsi="Times New Roman" w:eastAsia="宋体" w:cs="Times New Roman"/>
          <w:color w:val="auto"/>
          <w:sz w:val="24"/>
          <w:szCs w:val="24"/>
          <w:highlight w:val="none"/>
          <w:shd w:val="clear" w:color="auto" w:fill="auto"/>
          <w:lang w:val="en-US" w:eastAsia="zh-CN"/>
        </w:rPr>
        <w:t xml:space="preserve">月</w:t>
      </w:r>
      <w:r>
        <w:rPr>
          <w:rFonts w:hint="default" w:ascii="Times New Roman" w:hAnsi="Times New Roman" w:eastAsia="宋体" w:cs="Times New Roman"/>
          <w:color w:val="auto"/>
          <w:sz w:val="24"/>
          <w:szCs w:val="24"/>
          <w:highlight w:val="none"/>
          <w:shd w:val="clear" w:color="auto" w:fill="auto"/>
          <w:lang w:val="en-US" w:eastAsia="zh-CN"/>
        </w:rPr>
        <w:t xml:space="preserve">17日23:59分</w:t>
      </w:r>
      <w:r>
        <w:rPr>
          <w:rFonts w:hint="default" w:ascii="Times New Roman" w:hAnsi="Times New Roman" w:cs="Times New Roman"/>
          <w:color w:val="auto"/>
          <w:sz w:val="24"/>
          <w:szCs w:val="24"/>
          <w:highlight w:val="none"/>
          <w:shd w:val="clear" w:color="auto" w:fill="auto"/>
          <w:lang w:val="en-US" w:eastAsia="zh-CN"/>
        </w:rPr>
        <w:t xml:space="preserve">止（北京时间）</w:t>
      </w:r>
      <w:r>
        <w:rPr>
          <w:rFonts w:hint="default" w:ascii="Times New Roman" w:hAnsi="Times New Roman" w:cs="Times New Roman"/>
          <w:color w:val="auto"/>
          <w:sz w:val="24"/>
          <w:szCs w:val="24"/>
          <w:highlight w:val="none"/>
          <w:shd w:val="clear" w:color="auto" w:fill="auto"/>
        </w:rPr>
        <w:t xml:space="preserve">。</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3.方式：</w:t>
      </w:r>
      <w:r>
        <w:rPr>
          <w:rFonts w:hint="default" w:ascii="Times New Roman" w:hAnsi="Times New Roman" w:cs="Times New Roman"/>
          <w:color w:val="auto"/>
          <w:sz w:val="24"/>
          <w:szCs w:val="24"/>
          <w:highlight w:val="none"/>
          <w:shd w:val="clear" w:color="auto" w:fill="auto"/>
        </w:rPr>
        <w:t xml:space="preserve">登录http://jszfcg.jsczt.cn</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或进入</w:t>
      </w:r>
      <w:r>
        <w:rPr>
          <w:rFonts w:hint="default" w:ascii="Times New Roman" w:hAnsi="Times New Roman" w:cs="Times New Roman"/>
          <w:color w:val="auto"/>
          <w:sz w:val="24"/>
          <w:szCs w:val="24"/>
          <w:highlight w:val="none"/>
          <w:shd w:val="clear" w:color="auto" w:fill="auto"/>
          <w:lang w:val="en-US" w:eastAsia="zh-CN"/>
        </w:rPr>
        <w:t xml:space="preserve">江苏</w:t>
      </w:r>
      <w:r>
        <w:rPr>
          <w:rFonts w:hint="default" w:ascii="Times New Roman" w:hAnsi="Times New Roman" w:cs="Times New Roman"/>
          <w:color w:val="auto"/>
          <w:sz w:val="24"/>
          <w:szCs w:val="24"/>
          <w:highlight w:val="none"/>
          <w:shd w:val="clear" w:color="auto" w:fill="auto"/>
        </w:rPr>
        <w:t xml:space="preserve">政府采购网，点击“苏采云”进入系统</w:t>
      </w:r>
      <w:r>
        <w:rPr>
          <w:rFonts w:hint="default" w:ascii="Times New Roman" w:hAnsi="Times New Roman" w:cs="Times New Roman"/>
          <w:color w:val="auto"/>
          <w:sz w:val="24"/>
          <w:szCs w:val="24"/>
          <w:highlight w:val="none"/>
          <w:shd w:val="clear" w:color="auto" w:fill="auto"/>
          <w:lang w:eastAsia="zh-CN"/>
        </w:rPr>
        <w:t xml:space="preserve">，自行免费下载招标文件</w:t>
      </w:r>
      <w:r>
        <w:rPr>
          <w:rFonts w:hint="default" w:ascii="Times New Roman" w:hAnsi="Times New Roman" w:cs="Times New Roman"/>
          <w:color w:val="auto"/>
          <w:sz w:val="24"/>
          <w:szCs w:val="24"/>
          <w:highlight w:val="none"/>
          <w:shd w:val="clear" w:color="auto" w:fill="auto"/>
        </w:rPr>
        <w:t xml:space="preserve">。</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4.售价：0.00元</w:t>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41" w:name="_Toc19306"/>
      <w:r/>
      <w:bookmarkStart w:id="42" w:name="_Toc20677"/>
      <w:r/>
      <w:bookmarkStart w:id="43" w:name="_Toc14926"/>
      <w:r>
        <w:rPr>
          <w:rFonts w:hint="default" w:ascii="Times New Roman" w:hAnsi="Times New Roman" w:cs="Times New Roman"/>
          <w:color w:val="auto"/>
          <w:highlight w:val="none"/>
          <w:shd w:val="clear" w:color="auto" w:fill="auto"/>
        </w:rPr>
        <w:t xml:space="preserve">四、提交投标文件</w:t>
      </w:r>
      <w:bookmarkEnd w:id="36"/>
      <w:r/>
      <w:bookmarkEnd w:id="37"/>
      <w:r>
        <w:rPr>
          <w:rFonts w:hint="default" w:ascii="Times New Roman" w:hAnsi="Times New Roman" w:cs="Times New Roman"/>
          <w:color w:val="auto"/>
          <w:highlight w:val="none"/>
          <w:shd w:val="clear" w:color="auto" w:fill="auto"/>
        </w:rPr>
        <w:t xml:space="preserve">截止时间、</w:t>
      </w:r>
      <w:r>
        <w:rPr>
          <w:rFonts w:hint="default" w:ascii="Times New Roman" w:hAnsi="Times New Roman" w:cs="Times New Roman"/>
          <w:color w:val="auto"/>
          <w:highlight w:val="none"/>
          <w:shd w:val="clear" w:color="auto" w:fill="auto"/>
          <w:lang w:val="en-US" w:eastAsia="zh-CN"/>
        </w:rPr>
        <w:t xml:space="preserve">开启</w:t>
      </w:r>
      <w:r>
        <w:rPr>
          <w:rFonts w:hint="default" w:ascii="Times New Roman" w:hAnsi="Times New Roman" w:cs="Times New Roman"/>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hint="default" w:ascii="Times New Roman" w:hAnsi="Times New Roman" w:cs="Times New Roman"/>
          <w:bCs/>
          <w:color w:val="auto"/>
          <w:sz w:val="24"/>
          <w:szCs w:val="24"/>
          <w:highlight w:val="none"/>
          <w:u w:val="single"/>
          <w:shd w:val="clear" w:color="auto" w:fill="auto"/>
        </w:rPr>
      </w:pPr>
      <w:r>
        <w:rPr>
          <w:rFonts w:hint="default" w:ascii="Times New Roman" w:hAnsi="Times New Roman" w:cs="Times New Roman"/>
          <w:bCs/>
          <w:color w:val="auto"/>
          <w:sz w:val="24"/>
          <w:szCs w:val="24"/>
          <w:highlight w:val="none"/>
          <w:u w:val="none"/>
          <w:shd w:val="clear" w:color="auto" w:fill="auto"/>
        </w:rPr>
        <w:t xml:space="preserve">1.</w:t>
      </w:r>
      <w:r>
        <w:rPr>
          <w:rFonts w:hint="default" w:ascii="Times New Roman" w:hAnsi="Times New Roman" w:cs="Times New Roman"/>
          <w:bCs/>
          <w:color w:val="auto"/>
          <w:sz w:val="24"/>
          <w:szCs w:val="24"/>
          <w:highlight w:val="none"/>
          <w:u w:val="none"/>
          <w:shd w:val="clear" w:color="auto" w:fill="auto"/>
          <w:lang w:val="en-US" w:eastAsia="zh-CN"/>
        </w:rPr>
        <w:t xml:space="preserve">提交投标文件截止时间：2026</w:t>
      </w:r>
      <w:r>
        <w:rPr>
          <w:rFonts w:hint="default" w:ascii="Times New Roman" w:hAnsi="Times New Roman" w:cs="Times New Roman"/>
          <w:bCs/>
          <w:color w:val="auto"/>
          <w:sz w:val="24"/>
          <w:szCs w:val="24"/>
          <w:highlight w:val="none"/>
          <w:u w:val="none"/>
          <w:shd w:val="clear" w:color="auto" w:fill="auto"/>
        </w:rPr>
        <w:t xml:space="preserve">年</w:t>
      </w:r>
      <w:r>
        <w:rPr>
          <w:rFonts w:hint="default" w:ascii="Times New Roman" w:hAnsi="Times New Roman" w:cs="Times New Roman"/>
          <w:bCs/>
          <w:color w:val="auto"/>
          <w:sz w:val="24"/>
          <w:szCs w:val="24"/>
          <w:highlight w:val="none"/>
          <w:u w:val="none"/>
          <w:shd w:val="clear" w:color="auto" w:fill="auto"/>
          <w:lang w:val="en-US" w:eastAsia="zh-CN"/>
        </w:rPr>
        <w:t xml:space="preserve">8</w:t>
      </w:r>
      <w:r>
        <w:rPr>
          <w:rFonts w:hint="default" w:ascii="Times New Roman" w:hAnsi="Times New Roman" w:eastAsia="宋体" w:cs="Times New Roman"/>
          <w:color w:val="auto"/>
          <w:sz w:val="24"/>
          <w:szCs w:val="24"/>
          <w:highlight w:val="none"/>
          <w:shd w:val="clear" w:color="auto" w:fill="auto"/>
          <w:lang w:val="en-US" w:eastAsia="zh-CN"/>
        </w:rPr>
        <w:t xml:space="preserve">月</w:t>
      </w:r>
      <w:r>
        <w:rPr>
          <w:rFonts w:hint="default" w:ascii="Times New Roman" w:hAnsi="Times New Roman" w:eastAsia="宋体" w:cs="Times New Roman"/>
          <w:color w:val="auto"/>
          <w:sz w:val="24"/>
          <w:szCs w:val="24"/>
          <w:highlight w:val="none"/>
          <w:shd w:val="clear" w:color="auto" w:fill="auto"/>
          <w:lang w:val="en-US" w:eastAsia="zh-CN"/>
        </w:rPr>
        <w:t xml:space="preserve">31日</w:t>
      </w:r>
      <w:r>
        <w:rPr>
          <w:rFonts w:hint="default" w:ascii="Times New Roman" w:hAnsi="Times New Roman" w:cs="Times New Roman"/>
          <w:color w:val="auto"/>
          <w:sz w:val="24"/>
          <w:szCs w:val="24"/>
          <w:highlight w:val="none"/>
          <w:shd w:val="clear" w:color="auto" w:fill="auto"/>
          <w:lang w:val="en-US" w:eastAsia="zh-CN"/>
        </w:rPr>
        <w:t xml:space="preserve">09</w:t>
      </w:r>
      <w:r>
        <w:rPr>
          <w:rFonts w:hint="default" w:ascii="Times New Roman" w:hAnsi="Times New Roman" w:eastAsia="宋体" w:cs="Times New Roman"/>
          <w:color w:val="auto"/>
          <w:sz w:val="24"/>
          <w:szCs w:val="24"/>
          <w:highlight w:val="none"/>
          <w:shd w:val="clear" w:color="auto" w:fill="auto"/>
          <w:lang w:val="en-US" w:eastAsia="zh-CN"/>
        </w:rPr>
        <w:t xml:space="preserve">:00:00</w:t>
      </w:r>
      <w:r>
        <w:rPr>
          <w:rFonts w:hint="default" w:ascii="Times New Roman" w:hAnsi="Times New Roman" w:cs="Times New Roman"/>
          <w:bCs/>
          <w:color w:val="auto"/>
          <w:sz w:val="24"/>
          <w:szCs w:val="24"/>
          <w:highlight w:val="none"/>
          <w:shd w:val="clear" w:color="auto" w:fill="auto"/>
        </w:rPr>
        <w:t xml:space="preserve">（北京时间）</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2.</w:t>
      </w:r>
      <w:r>
        <w:rPr>
          <w:rFonts w:hint="default" w:ascii="Times New Roman" w:hAnsi="Times New Roman" w:cs="Times New Roman"/>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default" w:ascii="Times New Roman" w:hAnsi="Times New Roman" w:cs="Times New Roman"/>
          <w:bCs/>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地点：“苏采云”政府采购交易系统网上开标大厅。</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44" w:name="_Toc28359084"/>
      <w:r/>
      <w:bookmarkStart w:id="45" w:name="_Toc28359007"/>
      <w:r/>
      <w:bookmarkStart w:id="46" w:name="_Toc16196"/>
      <w:r/>
      <w:bookmarkStart w:id="47" w:name="_Toc35393625"/>
      <w:r/>
      <w:bookmarkStart w:id="48" w:name="_Toc38985267"/>
      <w:r/>
      <w:bookmarkStart w:id="49" w:name="_Toc14305"/>
      <w:r/>
      <w:bookmarkStart w:id="50" w:name="_Toc5821"/>
      <w:r/>
      <w:bookmarkStart w:id="51" w:name="_Toc35393794"/>
      <w:r>
        <w:rPr>
          <w:rFonts w:hint="default" w:ascii="Times New Roman" w:hAnsi="Times New Roman" w:cs="Times New Roman"/>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bookmarkStart w:id="52" w:name="_Toc38985268"/>
      <w:r/>
      <w:bookmarkStart w:id="53" w:name="_Toc35393626"/>
      <w:r/>
      <w:bookmarkStart w:id="54" w:name="_Toc35393795"/>
      <w:r>
        <w:rPr>
          <w:rFonts w:hint="default" w:ascii="Times New Roman" w:hAnsi="Times New Roman" w:cs="Times New Roman"/>
          <w:color w:val="auto"/>
          <w:sz w:val="24"/>
          <w:szCs w:val="24"/>
          <w:highlight w:val="none"/>
          <w:shd w:val="clear" w:color="auto" w:fill="auto"/>
        </w:rPr>
        <w:t xml:space="preserve">自本公告发布之日起5个工作日。</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55" w:name="_Toc22483"/>
      <w:r/>
      <w:bookmarkStart w:id="56" w:name="_Toc19730"/>
      <w:r/>
      <w:bookmarkStart w:id="57" w:name="_Toc24066"/>
      <w:r>
        <w:rPr>
          <w:rFonts w:hint="default" w:ascii="Times New Roman" w:hAnsi="Times New Roman" w:cs="Times New Roman"/>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lang w:val="en-US" w:eastAsia="zh-CN"/>
        </w:rPr>
        <w:t xml:space="preserve">1</w:t>
      </w:r>
      <w:r>
        <w:rPr>
          <w:rFonts w:hint="default" w:ascii="Times New Roman" w:hAnsi="Times New Roman" w:cs="Times New Roman"/>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4.根据江苏</w:t>
      </w:r>
      <w:r>
        <w:rPr>
          <w:rFonts w:hint="default" w:ascii="Times New Roman" w:hAnsi="Times New Roman" w:cs="Times New Roman"/>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58" w:name="_Toc26205"/>
      <w:r/>
      <w:bookmarkStart w:id="59" w:name="_Toc28359008"/>
      <w:r/>
      <w:bookmarkStart w:id="60" w:name="_Toc28359085"/>
      <w:r/>
      <w:bookmarkStart w:id="61" w:name="_Toc35393627"/>
      <w:r/>
      <w:bookmarkStart w:id="62" w:name="_Toc35393796"/>
      <w:r/>
      <w:bookmarkStart w:id="63" w:name="_Toc5783"/>
      <w:r/>
      <w:bookmarkStart w:id="64" w:name="_Toc1500"/>
      <w:r/>
      <w:bookmarkStart w:id="65" w:name="_Toc38985269"/>
      <w:r>
        <w:rPr>
          <w:rFonts w:hint="default" w:ascii="Times New Roman" w:hAnsi="Times New Roman" w:cs="Times New Roman"/>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名称：</w:t>
      </w:r>
      <w:r>
        <w:rPr>
          <w:rFonts w:hint="default" w:ascii="Times New Roman" w:hAnsi="Times New Roman" w:cs="Times New Roman"/>
          <w:color w:val="auto"/>
          <w:sz w:val="24"/>
          <w:szCs w:val="24"/>
          <w:highlight w:val="none"/>
          <w:u w:val="none"/>
          <w:shd w:val="clear" w:color="auto" w:fill="auto"/>
          <w:lang w:eastAsia="zh-CN"/>
        </w:rPr>
        <w:t xml:space="preserve">连云港市水利局</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eastAsia="zh-CN"/>
        </w:rPr>
      </w:pPr>
      <w:r>
        <w:rPr>
          <w:rFonts w:hint="default" w:ascii="Times New Roman" w:hAnsi="Times New Roman" w:eastAsia="宋体" w:cs="Times New Roman"/>
          <w:color w:val="auto"/>
          <w:sz w:val="24"/>
          <w:szCs w:val="24"/>
          <w:highlight w:val="none"/>
          <w:u w:val="none"/>
          <w:shd w:val="clear" w:color="auto" w:fill="auto"/>
        </w:rPr>
        <w:t xml:space="preserve">地址：</w:t>
      </w:r>
      <w:r>
        <w:rPr>
          <w:rFonts w:hint="default" w:ascii="Times New Roman" w:hAnsi="Times New Roman" w:cs="Times New Roman"/>
          <w:color w:val="auto"/>
          <w:sz w:val="24"/>
          <w:szCs w:val="24"/>
          <w:highlight w:val="none"/>
          <w:u w:val="none"/>
          <w:shd w:val="clear" w:color="auto" w:fill="auto"/>
          <w:lang w:eastAsia="zh-CN"/>
        </w:rPr>
        <w:t xml:space="preserve">连云港市海州区凌州东路9号</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t xml:space="preserve">联系人：孔女士</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eastAsia="zh-CN"/>
        </w:rPr>
      </w:pPr>
      <w:r>
        <w:rPr>
          <w:rFonts w:hint="default" w:ascii="Times New Roman" w:hAnsi="Times New Roman" w:eastAsia="宋体" w:cs="Times New Roman"/>
          <w:color w:val="auto"/>
          <w:sz w:val="24"/>
          <w:szCs w:val="24"/>
          <w:highlight w:val="none"/>
          <w:u w:val="none"/>
          <w:shd w:val="clear" w:color="auto" w:fill="auto"/>
        </w:rPr>
        <w:t xml:space="preserve">联系方式：</w:t>
      </w:r>
      <w:bookmarkStart w:id="66" w:name="_Toc28359086"/>
      <w:r/>
      <w:bookmarkStart w:id="67" w:name="_Toc28359009"/>
      <w:r>
        <w:rPr>
          <w:rFonts w:hint="default" w:ascii="Times New Roman" w:hAnsi="Times New Roman" w:cs="Times New Roman"/>
          <w:color w:val="auto"/>
          <w:sz w:val="24"/>
          <w:szCs w:val="24"/>
          <w:highlight w:val="none"/>
          <w:u w:val="none"/>
          <w:shd w:val="clear" w:color="auto" w:fill="auto"/>
          <w:lang w:eastAsia="zh-CN"/>
        </w:rPr>
        <w:t xml:space="preserve">0518-80826128</w:t>
      </w:r>
      <w:r/>
    </w:p>
    <w:p>
      <w:pPr>
        <w:ind w:left="0" w:firstLine="72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u w:val="none"/>
          <w:shd w:val="clear" w:color="auto" w:fill="auto"/>
        </w:rPr>
      </w:pPr>
      <w:r>
        <w:rPr>
          <w:rFonts w:hint="default" w:ascii="Times New Roman" w:hAnsi="Times New Roman" w:eastAsia="宋体" w:cs="Times New Roman"/>
          <w:color w:val="auto"/>
          <w:sz w:val="24"/>
          <w:szCs w:val="24"/>
          <w:highlight w:val="none"/>
          <w:u w:val="none"/>
          <w:shd w:val="clear" w:color="auto" w:fill="auto"/>
        </w:rPr>
        <w:t xml:space="preserve">2.</w:t>
      </w:r>
      <w:bookmarkEnd w:id="66"/>
      <w:r/>
      <w:bookmarkEnd w:id="67"/>
      <w:r>
        <w:rPr>
          <w:rFonts w:hint="default" w:ascii="Times New Roman" w:hAnsi="Times New Roman" w:eastAsia="宋体" w:cs="Times New Roman"/>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名称：</w:t>
      </w:r>
      <w:r>
        <w:rPr>
          <w:rFonts w:hint="default" w:ascii="Times New Roman" w:hAnsi="Times New Roman" w:cs="Times New Roman"/>
          <w:color w:val="auto"/>
          <w:sz w:val="24"/>
          <w:szCs w:val="24"/>
          <w:highlight w:val="none"/>
          <w:u w:val="none"/>
          <w:shd w:val="clear" w:color="auto" w:fill="auto"/>
          <w:lang w:eastAsia="zh-CN"/>
        </w:rPr>
        <w:t xml:space="preserve">江苏鸿成工程项目管理有限公司</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地址：连云港市海州区郁州北路9号瀛洲大厦2楼209室</w:t>
      </w:r>
      <w:r/>
    </w:p>
    <w:p>
      <w:pPr>
        <w:ind w:left="0" w:firstLine="720"/>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联系人：</w:t>
      </w:r>
      <w:r>
        <w:rPr>
          <w:rFonts w:hint="default" w:ascii="Times New Roman" w:hAnsi="Times New Roman" w:cs="Times New Roman"/>
          <w:color w:val="auto"/>
          <w:sz w:val="24"/>
          <w:szCs w:val="24"/>
          <w:highlight w:val="none"/>
          <w:u w:val="none"/>
          <w:shd w:val="clear" w:color="auto" w:fill="auto"/>
          <w:lang w:val="en-US" w:eastAsia="zh-CN"/>
        </w:rPr>
        <w:t xml:space="preserve">王盼</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联系方式：</w:t>
      </w:r>
      <w:bookmarkStart w:id="68" w:name="_Toc28359087"/>
      <w:r/>
      <w:bookmarkStart w:id="69" w:name="_Toc28359010"/>
      <w:r>
        <w:rPr>
          <w:rFonts w:hint="default" w:ascii="Times New Roman" w:hAnsi="Times New Roman" w:cs="Times New Roman"/>
          <w:color w:val="auto"/>
          <w:sz w:val="24"/>
          <w:szCs w:val="24"/>
          <w:highlight w:val="none"/>
          <w:u w:val="none"/>
          <w:shd w:val="clear" w:color="auto" w:fill="auto"/>
        </w:rPr>
        <w:t xml:space="preserve">0518-81061799</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3.项目联系方式</w:t>
      </w:r>
      <w:r/>
    </w:p>
    <w:p>
      <w:pPr>
        <w:ind w:left="0" w:firstLine="720"/>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项目联系人：</w:t>
      </w:r>
      <w:r>
        <w:rPr>
          <w:rFonts w:hint="default" w:ascii="Times New Roman" w:hAnsi="Times New Roman" w:cs="Times New Roman"/>
          <w:color w:val="auto"/>
          <w:sz w:val="24"/>
          <w:szCs w:val="24"/>
          <w:highlight w:val="none"/>
          <w:u w:val="none"/>
          <w:shd w:val="clear" w:color="auto" w:fill="auto"/>
          <w:lang w:val="en-US" w:eastAsia="zh-CN"/>
        </w:rPr>
        <w:t xml:space="preserve">王盼</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电话：0518-81061799</w:t>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bookmarkEnd w:id="68"/>
      <w:bookmarkEnd w:id="69"/>
      <w:r/>
    </w:p>
    <w:p>
      <w:pPr>
        <w:pStyle w:val="902"/>
        <w:ind w:left="0" w:firstLine="0"/>
        <w:jc w:val="center"/>
        <w:pageBreakBefore w:val="0"/>
        <w:spacing w:before="0" w:after="0" w:line="360" w:lineRule="auto"/>
        <w:widowControl w:val="off"/>
        <w:rPr>
          <w:rFonts w:hint="default" w:ascii="Times New Roman" w:hAnsi="Times New Roman" w:eastAsia="黑体" w:cs="Times New Roman"/>
          <w:b w:val="0"/>
          <w:bCs w:val="0"/>
          <w:color w:val="auto"/>
          <w:highlight w:val="none"/>
          <w:shd w:val="clear" w:color="auto" w:fill="auto"/>
        </w:rPr>
      </w:pPr>
      <w:r/>
      <w:bookmarkStart w:id="70" w:name="_Toc120614211"/>
      <w:r/>
      <w:bookmarkStart w:id="71" w:name="_Toc6975"/>
      <w:r/>
      <w:bookmarkStart w:id="72" w:name="_Toc18854"/>
      <w:r>
        <w:rPr>
          <w:rFonts w:hint="default" w:ascii="Times New Roman"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16938518"/>
      <w:r/>
      <w:bookmarkStart w:id="74" w:name="_Toc120614213"/>
      <w:r/>
      <w:bookmarkStart w:id="75" w:name="_Toc20823274"/>
      <w:r/>
      <w:bookmarkStart w:id="76" w:name="_Toc513029202"/>
      <w:r>
        <w:rPr>
          <w:rFonts w:hint="default" w:ascii="Times New Roman"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77" w:name="_Toc16938519"/>
      <w:r/>
      <w:bookmarkStart w:id="78" w:name="_Toc20823275"/>
      <w:r/>
      <w:bookmarkStart w:id="79" w:name="_Toc6848"/>
      <w:r/>
      <w:bookmarkStart w:id="80" w:name="_Toc10415"/>
      <w:r/>
      <w:bookmarkStart w:id="81" w:name="_Toc120614214"/>
      <w:r/>
      <w:bookmarkStart w:id="82" w:name="_Toc513029203"/>
      <w:r/>
      <w:bookmarkStart w:id="83" w:name="_Toc1598"/>
      <w:r>
        <w:rPr>
          <w:rFonts w:hint="default" w:ascii="Times New Roman" w:hAnsi="Times New Roman" w:cs="Times New Roman"/>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84" w:name="_Hlt16619475"/>
      <w:r/>
      <w:bookmarkEnd w:id="84"/>
      <w:r/>
      <w:bookmarkStart w:id="85" w:name="_Toc458694821"/>
      <w:r/>
      <w:bookmarkStart w:id="86" w:name="_Toc20823276"/>
      <w:r/>
      <w:bookmarkStart w:id="87" w:name="_Toc16938520"/>
      <w:r/>
      <w:bookmarkStart w:id="88" w:name="_Toc513029204"/>
      <w:r>
        <w:rPr>
          <w:rFonts w:hint="default" w:ascii="Times New Roman" w:hAnsi="Times New Roman" w:cs="Times New Roman"/>
          <w:b w:val="0"/>
          <w:bCs w:val="0"/>
          <w:color w:val="auto"/>
          <w:highlight w:val="none"/>
          <w:shd w:val="clear" w:color="auto" w:fill="auto"/>
        </w:rPr>
        <w:t xml:space="preserve">1</w:t>
      </w:r>
      <w:bookmarkEnd w:id="85"/>
      <w:r>
        <w:rPr>
          <w:rFonts w:hint="default" w:ascii="Times New Roman" w:hAnsi="Times New Roman" w:cs="Times New Roman"/>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1.1 本次招标采取公开招标方式，本招标文件仅适用于招标公告中所述项目。</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89" w:name="_Toc20823277"/>
      <w:r/>
      <w:bookmarkStart w:id="90" w:name="_Toc513029205"/>
      <w:r/>
      <w:bookmarkStart w:id="91" w:name="_Toc16938521"/>
      <w:r>
        <w:rPr>
          <w:rFonts w:hint="default" w:ascii="Times New Roman" w:hAnsi="Times New Roman" w:cs="Times New Roman"/>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 满足本文件实质性要求和条件的规定。</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92" w:name="_Toc20823278"/>
      <w:r/>
      <w:bookmarkStart w:id="93" w:name="_Toc513029206"/>
      <w:r/>
      <w:bookmarkStart w:id="94" w:name="_Toc16938522"/>
      <w:r>
        <w:rPr>
          <w:rFonts w:hint="default" w:ascii="Times New Roman" w:hAnsi="Times New Roman" w:cs="Times New Roman"/>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3.1 本次招标及由此产生的合同受中华人民共和国有关的法律法规制约和保护。</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95" w:name="_Toc16938523"/>
      <w:r/>
      <w:bookmarkStart w:id="96" w:name="_Toc513029207"/>
      <w:r/>
      <w:bookmarkStart w:id="97" w:name="_Toc462564067"/>
      <w:r/>
      <w:bookmarkStart w:id="98" w:name="_Toc20823279"/>
      <w:r>
        <w:rPr>
          <w:rFonts w:hint="default" w:ascii="Times New Roman" w:hAnsi="Times New Roman" w:cs="Times New Roman"/>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4.1 投标人应自行承担所有与参加投标有关的费用，无论投标过程中的做法和结果如何，</w:t>
      </w:r>
      <w:r>
        <w:rPr>
          <w:rFonts w:hint="default" w:ascii="Times New Roman" w:hAnsi="Times New Roman" w:eastAsia="宋体" w:cs="Times New Roman"/>
          <w:color w:val="auto"/>
          <w:sz w:val="24"/>
          <w:highlight w:val="none"/>
          <w:shd w:val="clear" w:color="auto" w:fill="auto"/>
          <w:lang w:eastAsia="zh-CN"/>
        </w:rPr>
        <w:t xml:space="preserve">江苏鸿成工程项目管理有限公司</w:t>
      </w:r>
      <w:r>
        <w:rPr>
          <w:rFonts w:hint="default" w:ascii="Times New Roman" w:hAnsi="Times New Roman" w:eastAsia="宋体" w:cs="Times New Roman"/>
          <w:color w:val="auto"/>
          <w:sz w:val="24"/>
          <w:highlight w:val="none"/>
          <w:shd w:val="clear" w:color="auto" w:fill="auto"/>
        </w:rPr>
        <w:t xml:space="preserve">（以下简称</w:t>
      </w:r>
      <w:r>
        <w:rPr>
          <w:rFonts w:hint="default" w:ascii="Times New Roman" w:hAnsi="Times New Roman" w:eastAsia="宋体" w:cs="Times New Roman"/>
          <w:color w:val="auto"/>
          <w:sz w:val="24"/>
          <w:highlight w:val="none"/>
          <w:shd w:val="clear" w:color="auto" w:fill="auto"/>
          <w:lang w:val="en-US" w:eastAsia="zh-CN"/>
        </w:rPr>
        <w:t xml:space="preserve">采购代理机构</w:t>
      </w:r>
      <w:r>
        <w:rPr>
          <w:rFonts w:hint="default" w:ascii="Times New Roman" w:hAnsi="Times New Roman" w:eastAsia="宋体" w:cs="Times New Roman"/>
          <w:color w:val="auto"/>
          <w:sz w:val="24"/>
          <w:highlight w:val="none"/>
          <w:shd w:val="clear" w:color="auto" w:fill="auto"/>
        </w:rPr>
        <w:t xml:space="preserve">）</w:t>
      </w:r>
      <w:r>
        <w:rPr>
          <w:rFonts w:hint="default" w:ascii="Times New Roman" w:hAnsi="Times New Roman" w:eastAsia="宋体" w:cs="Times New Roman"/>
          <w:color w:val="auto"/>
          <w:sz w:val="24"/>
          <w:highlight w:val="none"/>
          <w:shd w:val="clear" w:color="auto" w:fill="auto"/>
          <w:lang w:val="en-US" w:eastAsia="zh-CN"/>
        </w:rPr>
        <w:t xml:space="preserve">及</w:t>
      </w:r>
      <w:r>
        <w:rPr>
          <w:rFonts w:hint="default" w:ascii="Times New Roman" w:hAnsi="Times New Roman" w:cs="Times New Roman"/>
          <w:color w:val="auto"/>
          <w:sz w:val="24"/>
          <w:highlight w:val="none"/>
          <w:shd w:val="clear" w:color="auto" w:fill="auto"/>
          <w:lang w:val="en-US" w:eastAsia="zh-CN"/>
        </w:rPr>
        <w:t xml:space="preserve">连云港市水利局</w:t>
      </w:r>
      <w:r>
        <w:rPr>
          <w:rFonts w:hint="default" w:ascii="Times New Roman" w:hAnsi="Times New Roman" w:cs="Times New Roman"/>
          <w:color w:val="auto"/>
          <w:sz w:val="24"/>
          <w:highlight w:val="none"/>
          <w:shd w:val="clear" w:color="auto" w:fill="auto"/>
        </w:rPr>
        <w:t xml:space="preserve">（以下简称采购人）</w:t>
      </w:r>
      <w:r>
        <w:rPr>
          <w:rFonts w:hint="default" w:ascii="Times New Roman" w:hAnsi="Times New Roman"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4.2</w:t>
      </w:r>
      <w:r>
        <w:rPr>
          <w:rFonts w:hint="default" w:ascii="Times New Roman" w:hAnsi="Times New Roman" w:eastAsia="宋体" w:cs="Times New Roman"/>
          <w:color w:val="auto"/>
          <w:sz w:val="24"/>
          <w:highlight w:val="none"/>
          <w:shd w:val="clear" w:color="auto" w:fill="auto"/>
          <w:lang w:val="en-US" w:eastAsia="zh-CN"/>
        </w:rPr>
        <w:t xml:space="preserve"> </w:t>
      </w:r>
      <w:r>
        <w:rPr>
          <w:rFonts w:hint="default" w:ascii="Times New Roman" w:hAnsi="Times New Roman" w:eastAsia="宋体" w:cs="Times New Roman"/>
          <w:color w:val="auto"/>
          <w:sz w:val="24"/>
          <w:highlight w:val="none"/>
          <w:shd w:val="clear" w:color="auto" w:fill="auto"/>
        </w:rPr>
        <w:t xml:space="preserve">本次招标</w:t>
      </w:r>
      <w:r>
        <w:rPr>
          <w:rFonts w:hint="default" w:ascii="Times New Roman" w:hAnsi="Times New Roman" w:eastAsia="宋体" w:cs="Times New Roman"/>
          <w:color w:val="auto"/>
          <w:sz w:val="24"/>
          <w:highlight w:val="none"/>
          <w:shd w:val="clear" w:color="auto" w:fill="auto"/>
          <w:lang w:eastAsia="zh-CN"/>
        </w:rPr>
        <w:t xml:space="preserve">采购代理</w:t>
      </w:r>
      <w:r>
        <w:rPr>
          <w:rFonts w:hint="default" w:ascii="Times New Roman" w:hAnsi="Times New Roman" w:eastAsia="宋体" w:cs="Times New Roman"/>
          <w:color w:val="auto"/>
          <w:sz w:val="24"/>
          <w:highlight w:val="none"/>
          <w:shd w:val="clear" w:color="auto" w:fill="auto"/>
        </w:rPr>
        <w:t xml:space="preserve">服务费</w:t>
      </w:r>
      <w:r>
        <w:rPr>
          <w:rFonts w:hint="default" w:ascii="Times New Roman" w:hAnsi="Times New Roman" w:eastAsia="宋体"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按照江苏省招标投标协会《江苏省招标代理服务收费的指导意见》苏招协〔2022〕2号标准的60%计取；以上费用最终由</w:t>
      </w:r>
      <w:r>
        <w:rPr>
          <w:rFonts w:hint="default" w:ascii="Times New Roman" w:hAnsi="Times New Roman" w:eastAsia="宋体" w:cs="Times New Roman"/>
          <w:color w:val="auto"/>
          <w:sz w:val="24"/>
          <w:highlight w:val="none"/>
          <w:shd w:val="clear" w:color="auto" w:fill="auto"/>
          <w:lang w:val="en-US" w:eastAsia="zh-CN"/>
        </w:rPr>
        <w:t xml:space="preserve">中标人</w:t>
      </w:r>
      <w:r>
        <w:rPr>
          <w:rFonts w:hint="default" w:ascii="Times New Roman" w:hAnsi="Times New Roman" w:eastAsia="宋体" w:cs="Times New Roman"/>
          <w:color w:val="auto"/>
          <w:sz w:val="24"/>
          <w:highlight w:val="none"/>
          <w:shd w:val="clear" w:color="auto" w:fill="auto"/>
        </w:rPr>
        <w:t xml:space="preserve">在领取</w:t>
      </w:r>
      <w:r>
        <w:rPr>
          <w:rFonts w:hint="default" w:ascii="Times New Roman" w:hAnsi="Times New Roman" w:eastAsia="宋体" w:cs="Times New Roman"/>
          <w:color w:val="auto"/>
          <w:sz w:val="24"/>
          <w:highlight w:val="none"/>
          <w:shd w:val="clear" w:color="auto" w:fill="auto"/>
          <w:lang w:val="en-US" w:eastAsia="zh-CN"/>
        </w:rPr>
        <w:t xml:space="preserve">中标</w:t>
      </w:r>
      <w:r>
        <w:rPr>
          <w:rFonts w:hint="default" w:ascii="Times New Roman" w:hAnsi="Times New Roman" w:eastAsia="宋体" w:cs="Times New Roman"/>
          <w:color w:val="auto"/>
          <w:sz w:val="24"/>
          <w:highlight w:val="none"/>
          <w:shd w:val="clear" w:color="auto" w:fill="auto"/>
        </w:rPr>
        <w:t xml:space="preserve">通知书时一次性支付，投标人须将此部分费用综合考虑在报价中，不得单列。</w:t>
      </w:r>
      <w:r/>
    </w:p>
    <w:p>
      <w:pPr>
        <w:pStyle w:val="905"/>
        <w:ind w:left="0" w:firstLine="602"/>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color w:val="auto"/>
          <w:sz w:val="30"/>
          <w:highlight w:val="none"/>
          <w:shd w:val="clear" w:color="auto" w:fill="auto"/>
        </w:rPr>
        <w:t xml:space="preserve">5、</w:t>
      </w:r>
      <w:r>
        <w:rPr>
          <w:rFonts w:hint="default" w:ascii="Times New Roman" w:hAnsi="Times New Roman" w:cs="Times New Roman"/>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5.1 投标人一旦参加本项目采购活动，即被认为接受了本招标文件的规定和约束。</w:t>
      </w:r>
      <w:r/>
    </w:p>
    <w:p>
      <w:pPr>
        <w:pStyle w:val="903"/>
        <w:ind w:left="0" w:firstLine="321"/>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99" w:name="_Toc2081"/>
      <w:r/>
      <w:bookmarkStart w:id="100" w:name="_Toc31300"/>
      <w:r/>
      <w:bookmarkStart w:id="101" w:name="_Toc16938525"/>
      <w:r/>
      <w:bookmarkStart w:id="102" w:name="_Toc120614215"/>
      <w:r/>
      <w:bookmarkStart w:id="103" w:name="_Toc20823281"/>
      <w:r/>
      <w:bookmarkStart w:id="104" w:name="_Toc13550"/>
      <w:r/>
      <w:bookmarkStart w:id="105" w:name="_Toc513029209"/>
      <w:r>
        <w:rPr>
          <w:rFonts w:hint="default" w:ascii="Times New Roman" w:hAnsi="Times New Roman" w:cs="Times New Roman"/>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06" w:name="_Toc513029210"/>
      <w:r/>
      <w:bookmarkStart w:id="107" w:name="_Toc20823282"/>
      <w:r/>
      <w:bookmarkStart w:id="108" w:name="_Toc16938526"/>
      <w:r>
        <w:rPr>
          <w:rFonts w:hint="default" w:ascii="Times New Roman" w:hAnsi="Times New Roman" w:cs="Times New Roman"/>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请仔细检查招标文件是否齐全，如有缺漏请立即与</w:t>
      </w:r>
      <w:r>
        <w:rPr>
          <w:rFonts w:hint="default" w:ascii="Times New Roman" w:hAnsi="Times New Roman" w:cs="Times New Roman"/>
          <w:color w:val="auto"/>
          <w:sz w:val="24"/>
          <w:szCs w:val="21"/>
          <w:highlight w:val="none"/>
          <w:shd w:val="clear" w:color="auto" w:fill="auto"/>
          <w:lang w:eastAsia="zh-CN"/>
        </w:rPr>
        <w:t xml:space="preserve">采购代理机构</w:t>
      </w:r>
      <w:r>
        <w:rPr>
          <w:rFonts w:hint="default" w:ascii="Times New Roman" w:hAnsi="Times New Roman"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left="0" w:firstLine="56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09" w:name="_Toc462564070"/>
      <w:r/>
      <w:bookmarkStart w:id="110" w:name="_Toc16938527"/>
      <w:r/>
      <w:bookmarkStart w:id="111" w:name="_Toc513029211"/>
      <w:r/>
      <w:bookmarkStart w:id="112" w:name="_Toc20823283"/>
      <w:r>
        <w:rPr>
          <w:rFonts w:hint="default" w:ascii="Times New Roman" w:hAnsi="Times New Roman" w:cs="Times New Roman"/>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Cs/>
          <w:color w:val="auto"/>
          <w:sz w:val="24"/>
          <w:highlight w:val="none"/>
          <w:shd w:val="clear" w:color="auto" w:fill="auto"/>
        </w:rPr>
        <w:t xml:space="preserve">7.1</w:t>
      </w:r>
      <w:r>
        <w:rPr>
          <w:rFonts w:hint="default" w:ascii="Times New Roman" w:hAnsi="Times New Roman" w:cs="Times New Roman"/>
          <w:color w:val="auto"/>
          <w:sz w:val="24"/>
          <w:highlight w:val="none"/>
          <w:shd w:val="clear" w:color="auto" w:fill="auto"/>
        </w:rPr>
        <w:t xml:space="preserve"> 任何要求对招标文件进行澄清的投标人，应在投标截止期</w:t>
      </w:r>
      <w:r>
        <w:rPr>
          <w:rFonts w:hint="default" w:ascii="Times New Roman" w:hAnsi="Times New Roman" w:cs="Times New Roman"/>
          <w:b/>
          <w:color w:val="auto"/>
          <w:sz w:val="24"/>
          <w:szCs w:val="24"/>
          <w:highlight w:val="none"/>
          <w:shd w:val="clear" w:color="auto" w:fill="auto"/>
        </w:rPr>
        <w:t xml:space="preserve">十日</w:t>
      </w:r>
      <w:r>
        <w:rPr>
          <w:rFonts w:hint="default" w:ascii="Times New Roman" w:hAnsi="Times New Roman" w:cs="Times New Roman"/>
          <w:color w:val="auto"/>
          <w:sz w:val="24"/>
          <w:szCs w:val="24"/>
          <w:highlight w:val="none"/>
          <w:shd w:val="clear" w:color="auto" w:fill="auto"/>
        </w:rPr>
        <w:t xml:space="preserve">前</w:t>
      </w:r>
      <w:r>
        <w:rPr>
          <w:rFonts w:hint="default" w:ascii="Times New Roman" w:hAnsi="Times New Roman" w:cs="Times New Roman"/>
          <w:color w:val="auto"/>
          <w:sz w:val="24"/>
          <w:highlight w:val="none"/>
          <w:shd w:val="clear" w:color="auto" w:fill="auto"/>
        </w:rPr>
        <w:t xml:space="preserve">按招标公告中的通讯地址，以书面形式通知</w:t>
      </w:r>
      <w:r>
        <w:rPr>
          <w:rFonts w:hint="default" w:ascii="Times New Roman" w:hAnsi="Times New Roman" w:cs="Times New Roman"/>
          <w:color w:val="auto"/>
          <w:sz w:val="24"/>
          <w:szCs w:val="21"/>
          <w:highlight w:val="none"/>
          <w:shd w:val="clear" w:color="auto" w:fill="auto"/>
          <w:lang w:eastAsia="zh-CN"/>
        </w:rPr>
        <w:t xml:space="preserve">采购代理机构</w:t>
      </w:r>
      <w:r>
        <w:rPr>
          <w:rFonts w:hint="default" w:ascii="Times New Roman" w:hAnsi="Times New Roman" w:cs="Times New Roman"/>
          <w:color w:val="auto"/>
          <w:sz w:val="24"/>
          <w:szCs w:val="21"/>
          <w:highlight w:val="none"/>
          <w:shd w:val="clear" w:color="auto" w:fill="auto"/>
          <w:lang w:val="en-US" w:eastAsia="zh-CN"/>
        </w:rPr>
        <w:t xml:space="preserve">或采购人</w:t>
      </w:r>
      <w:r>
        <w:rPr>
          <w:rFonts w:hint="default" w:ascii="Times New Roman" w:hAnsi="Times New Roman" w:cs="Times New Roman"/>
          <w:color w:val="auto"/>
          <w:sz w:val="24"/>
          <w:highlight w:val="none"/>
          <w:shd w:val="clear" w:color="auto" w:fill="auto"/>
        </w:rPr>
        <w:t xml:space="preserve">。</w:t>
      </w:r>
      <w:r/>
    </w:p>
    <w:p>
      <w:pPr>
        <w:pStyle w:val="905"/>
        <w:ind w:left="0" w:firstLine="56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13" w:name="_Toc20823284"/>
      <w:r/>
      <w:bookmarkStart w:id="114" w:name="_Toc513029212"/>
      <w:r/>
      <w:bookmarkStart w:id="115" w:name="_Toc16938528"/>
      <w:r/>
      <w:bookmarkStart w:id="116" w:name="_Toc462564071"/>
      <w:r>
        <w:rPr>
          <w:rFonts w:hint="default" w:ascii="Times New Roman" w:hAnsi="Times New Roman" w:cs="Times New Roman"/>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8.1 在投标截止时间前，</w:t>
      </w:r>
      <w:r>
        <w:rPr>
          <w:rFonts w:hint="default" w:ascii="Times New Roman" w:hAnsi="Times New Roman" w:cs="Times New Roman"/>
          <w:color w:val="auto"/>
          <w:sz w:val="24"/>
          <w:szCs w:val="21"/>
          <w:highlight w:val="none"/>
          <w:shd w:val="clear" w:color="auto" w:fill="auto"/>
          <w:lang w:val="en-US" w:eastAsia="zh-CN"/>
        </w:rPr>
        <w:t xml:space="preserve">采购人</w:t>
      </w:r>
      <w:r>
        <w:rPr>
          <w:rFonts w:hint="default" w:ascii="Times New Roman" w:hAnsi="Times New Roman"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8.2 </w:t>
      </w:r>
      <w:r>
        <w:rPr>
          <w:rFonts w:hint="default" w:ascii="Times New Roman" w:hAnsi="Times New Roman" w:cs="Times New Roman"/>
          <w:color w:val="auto"/>
          <w:sz w:val="24"/>
          <w:szCs w:val="21"/>
          <w:highlight w:val="none"/>
          <w:shd w:val="clear" w:color="auto" w:fill="auto"/>
          <w:lang w:val="en-US" w:eastAsia="zh-CN"/>
        </w:rPr>
        <w:t xml:space="preserve">采购人</w:t>
      </w:r>
      <w:r>
        <w:rPr>
          <w:rFonts w:hint="default" w:ascii="Times New Roman" w:hAnsi="Times New Roman"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17" w:name="_Toc20823285"/>
      <w:r/>
      <w:bookmarkStart w:id="118" w:name="_Toc18017"/>
      <w:r/>
      <w:bookmarkStart w:id="119" w:name="_Toc120614216"/>
      <w:r/>
      <w:bookmarkStart w:id="120" w:name="_Toc462564072"/>
      <w:r/>
      <w:bookmarkStart w:id="121" w:name="_Toc18646"/>
      <w:r/>
      <w:bookmarkStart w:id="122" w:name="_Toc513029213"/>
      <w:r/>
      <w:bookmarkStart w:id="123" w:name="_Toc16938529"/>
      <w:r/>
      <w:bookmarkStart w:id="124" w:name="_Toc12231"/>
      <w:r>
        <w:rPr>
          <w:rFonts w:hint="default" w:ascii="Times New Roman" w:hAnsi="Times New Roman" w:cs="Times New Roman"/>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905"/>
        <w:ind w:left="0" w:firstLine="560"/>
        <w:pageBreakBefore w:val="0"/>
        <w:spacing w:before="0" w:after="0" w:line="360" w:lineRule="auto"/>
        <w:widowControl w:val="off"/>
        <w:rPr>
          <w:rFonts w:hint="default" w:ascii="Times New Roman" w:hAnsi="Times New Roman" w:cs="Times New Roman"/>
          <w:bCs w:val="0"/>
          <w:color w:val="auto"/>
          <w:highlight w:val="none"/>
          <w:shd w:val="clear" w:color="auto" w:fill="auto"/>
        </w:rPr>
      </w:pPr>
      <w:r/>
      <w:bookmarkStart w:id="125" w:name="_Toc462564073"/>
      <w:r/>
      <w:bookmarkStart w:id="126" w:name="_Toc513029214"/>
      <w:r/>
      <w:bookmarkStart w:id="127" w:name="_Toc20823286"/>
      <w:r/>
      <w:bookmarkStart w:id="128" w:name="_Toc16938530"/>
      <w:r>
        <w:rPr>
          <w:rFonts w:hint="default" w:ascii="Times New Roman" w:hAnsi="Times New Roman" w:cs="Times New Roman"/>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9.1</w:t>
      </w:r>
      <w:r>
        <w:rPr>
          <w:rFonts w:hint="default" w:ascii="Times New Roman" w:hAnsi="Times New Roman" w:cs="Times New Roman"/>
          <w:color w:val="auto"/>
          <w:sz w:val="24"/>
          <w:highlight w:val="none"/>
          <w:shd w:val="clear" w:color="auto" w:fill="auto"/>
        </w:rPr>
        <w:t xml:space="preserve"> 投标人提交的投标文件以及投标人与</w:t>
      </w:r>
      <w:r>
        <w:rPr>
          <w:rFonts w:hint="default" w:ascii="Times New Roman" w:hAnsi="Times New Roman" w:cs="Times New Roman"/>
          <w:color w:val="auto"/>
          <w:sz w:val="24"/>
          <w:szCs w:val="21"/>
          <w:highlight w:val="none"/>
          <w:shd w:val="clear" w:color="auto" w:fill="auto"/>
          <w:lang w:val="en-US" w:eastAsia="zh-CN"/>
        </w:rPr>
        <w:t xml:space="preserve">采购人、采购代理机构</w:t>
      </w:r>
      <w:r>
        <w:rPr>
          <w:rFonts w:hint="default" w:ascii="Times New Roman" w:hAnsi="Times New Roman" w:cs="Times New Roman"/>
          <w:color w:val="auto"/>
          <w:sz w:val="24"/>
          <w:highlight w:val="none"/>
          <w:shd w:val="clear" w:color="auto" w:fill="auto"/>
        </w:rPr>
        <w:t xml:space="preserve">就有关投标的所有来往通知、函件和文件均应使用</w:t>
      </w:r>
      <w:r>
        <w:rPr>
          <w:rFonts w:hint="default" w:ascii="Times New Roman" w:hAnsi="Times New Roman" w:cs="Times New Roman"/>
          <w:b/>
          <w:bCs/>
          <w:color w:val="auto"/>
          <w:sz w:val="24"/>
          <w:highlight w:val="none"/>
          <w:shd w:val="clear" w:color="auto" w:fill="auto"/>
        </w:rPr>
        <w:t xml:space="preserve">简体中文</w:t>
      </w:r>
      <w:r>
        <w:rPr>
          <w:rFonts w:hint="default" w:ascii="Times New Roman" w:hAnsi="Times New Roman"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29" w:name="_Toc20823287"/>
      <w:r/>
      <w:bookmarkStart w:id="130" w:name="_Toc513029215"/>
      <w:r/>
      <w:bookmarkStart w:id="131" w:name="_Toc462564074"/>
      <w:r/>
      <w:bookmarkStart w:id="132" w:name="_Toc16938531"/>
      <w:r>
        <w:rPr>
          <w:rFonts w:hint="default" w:ascii="Times New Roman" w:hAnsi="Times New Roman" w:cs="Times New Roman"/>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10.1 投标人编写的投标文件应包括资格证明文件、符合性证明文件、投标分项报价表、</w:t>
      </w:r>
      <w:r>
        <w:rPr>
          <w:rFonts w:hint="default" w:ascii="Times New Roman" w:hAnsi="Times New Roman" w:cs="Times New Roman"/>
          <w:color w:val="auto"/>
          <w:sz w:val="24"/>
          <w:szCs w:val="21"/>
          <w:highlight w:val="none"/>
          <w:shd w:val="clear" w:color="auto" w:fill="auto"/>
        </w:rPr>
        <w:t xml:space="preserve">技术要求响应及偏离表、</w:t>
      </w:r>
      <w:r>
        <w:rPr>
          <w:rFonts w:hint="default" w:ascii="Times New Roman" w:hAnsi="Times New Roman" w:cs="Times New Roman"/>
          <w:color w:val="auto"/>
          <w:sz w:val="24"/>
          <w:highlight w:val="none"/>
          <w:shd w:val="clear" w:color="auto" w:fill="auto"/>
        </w:rPr>
        <w:t xml:space="preserve">商务要求响应及偏离表、</w:t>
      </w:r>
      <w:r>
        <w:rPr>
          <w:rFonts w:hint="default" w:ascii="Times New Roman" w:hAnsi="Times New Roman"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33" w:name="_Hlt26668975"/>
      <w:r/>
      <w:bookmarkEnd w:id="133"/>
      <w:r/>
      <w:bookmarkStart w:id="134" w:name="_Hlt26954838"/>
      <w:r/>
      <w:bookmarkEnd w:id="134"/>
      <w:r/>
      <w:bookmarkStart w:id="135" w:name="_Hlt26670360"/>
      <w:r/>
      <w:bookmarkEnd w:id="135"/>
      <w:r/>
      <w:bookmarkStart w:id="136" w:name="_Toc513029216"/>
      <w:r/>
      <w:bookmarkStart w:id="137" w:name="_Toc513029219"/>
      <w:r/>
      <w:bookmarkStart w:id="138" w:name="_Toc49090507"/>
      <w:r/>
      <w:bookmarkStart w:id="139" w:name="_Toc14577354"/>
      <w:r/>
      <w:bookmarkStart w:id="140" w:name="_Toc49090509"/>
      <w:r/>
      <w:bookmarkStart w:id="141" w:name="_Toc14577357"/>
      <w:r>
        <w:rPr>
          <w:rFonts w:hint="default" w:ascii="Times New Roman" w:hAnsi="Times New Roman" w:cs="Times New Roman"/>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142" w:name="_Toc14577355"/>
      <w:r/>
      <w:bookmarkStart w:id="143" w:name="_Toc49090508"/>
      <w:r>
        <w:rPr>
          <w:rFonts w:hint="default" w:ascii="Times New Roman" w:hAnsi="Times New Roman"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12、投标分项报价</w:t>
      </w:r>
      <w:bookmarkEnd w:id="142"/>
      <w:r/>
      <w:bookmarkStart w:id="144" w:name="_Hlt26670373"/>
      <w:r/>
      <w:bookmarkEnd w:id="144"/>
      <w:r>
        <w:rPr>
          <w:rFonts w:hint="default" w:ascii="Times New Roman" w:hAnsi="Times New Roman" w:cs="Times New Roman"/>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12.1 投</w:t>
      </w:r>
      <w:bookmarkStart w:id="145" w:name="_Hlt26954840"/>
      <w:r/>
      <w:bookmarkEnd w:id="145"/>
      <w:r>
        <w:rPr>
          <w:rFonts w:hint="default" w:ascii="Times New Roman" w:hAnsi="Times New Roman"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47" w:name="_Hlt26670403"/>
      <w:r/>
      <w:bookmarkEnd w:id="147"/>
      <w:r/>
      <w:bookmarkStart w:id="148" w:name="_Hlt26670482"/>
      <w:r/>
      <w:bookmarkEnd w:id="148"/>
      <w:r/>
      <w:bookmarkStart w:id="149" w:name="_Hlt26670486"/>
      <w:r/>
      <w:bookmarkEnd w:id="149"/>
      <w:r/>
      <w:bookmarkStart w:id="150" w:name="_Hlt26954731"/>
      <w:r/>
      <w:bookmarkEnd w:id="150"/>
      <w:r/>
      <w:bookmarkStart w:id="151" w:name="_Hlt26670425"/>
      <w:r/>
      <w:bookmarkEnd w:id="151"/>
      <w:r/>
      <w:bookmarkStart w:id="152" w:name="_Hlt26954846"/>
      <w:r/>
      <w:bookmarkEnd w:id="152"/>
      <w:r/>
      <w:bookmarkStart w:id="153" w:name="_Hlt26668983"/>
      <w:r/>
      <w:bookmarkEnd w:id="153"/>
      <w:r/>
      <w:bookmarkStart w:id="154" w:name="_Hlt26954842"/>
      <w:r/>
      <w:bookmarkEnd w:id="154"/>
      <w:r/>
      <w:bookmarkStart w:id="155" w:name="_Hlt26954848"/>
      <w:r/>
      <w:bookmarkEnd w:id="155"/>
      <w:r/>
      <w:bookmarkStart w:id="156" w:name="_Hlt26954844"/>
      <w:r/>
      <w:bookmarkEnd w:id="156"/>
      <w:r>
        <w:rPr>
          <w:rFonts w:hint="default" w:ascii="Times New Roman" w:hAnsi="Times New Roman" w:cs="Times New Roman"/>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lang w:val="zh-CN"/>
        </w:rPr>
      </w:pPr>
      <w:r>
        <w:rPr>
          <w:rFonts w:hint="default" w:ascii="Times New Roman" w:hAnsi="Times New Roman"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lang w:val="zh-CN"/>
        </w:rPr>
      </w:pPr>
      <w:r>
        <w:rPr>
          <w:rFonts w:hint="default" w:ascii="Times New Roman" w:hAnsi="Times New Roman" w:eastAsia="宋体" w:cs="Times New Roman"/>
          <w:color w:val="auto"/>
          <w:sz w:val="24"/>
          <w:highlight w:val="none"/>
          <w:shd w:val="clear" w:color="auto" w:fill="auto"/>
          <w:lang w:val="zh-CN"/>
        </w:rPr>
        <w:t xml:space="preserve">13.2 投标人可在投标文件中提供认为需要的其他技术文件或说明。</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57" w:name="_Toc49090510"/>
      <w:r/>
      <w:bookmarkStart w:id="158" w:name="_Toc14577359"/>
      <w:r>
        <w:rPr>
          <w:rFonts w:hint="default" w:ascii="Times New Roman" w:hAnsi="Times New Roman" w:cs="Times New Roman"/>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59" w:name="_Hlt26954850"/>
      <w:r/>
      <w:bookmarkEnd w:id="159"/>
      <w:r/>
      <w:bookmarkStart w:id="160" w:name="_Hlt26670489"/>
      <w:r/>
      <w:bookmarkEnd w:id="160"/>
      <w:r/>
      <w:bookmarkStart w:id="161" w:name="_Hlt26954734"/>
      <w:r/>
      <w:bookmarkEnd w:id="161"/>
      <w:r/>
      <w:bookmarkStart w:id="162" w:name="_Toc49090511"/>
      <w:r/>
      <w:bookmarkStart w:id="163" w:name="_Toc14577360"/>
      <w:r>
        <w:rPr>
          <w:rFonts w:hint="default" w:ascii="Times New Roman" w:hAnsi="Times New Roman" w:cs="Times New Roman"/>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15.1</w:t>
      </w:r>
      <w:r>
        <w:rPr>
          <w:rFonts w:hint="default" w:ascii="Times New Roman" w:hAnsi="Times New Roman" w:cs="Times New Roman"/>
          <w:bCs/>
          <w:color w:val="auto"/>
          <w:sz w:val="24"/>
          <w:highlight w:val="none"/>
          <w:shd w:val="clear" w:color="auto" w:fill="auto"/>
        </w:rPr>
        <w:t xml:space="preserve"> 投标有效期为</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cs="Times New Roman"/>
          <w:bCs/>
          <w:color w:val="auto"/>
          <w:sz w:val="24"/>
          <w:highlight w:val="none"/>
          <w:shd w:val="clear" w:color="auto" w:fill="auto"/>
        </w:rPr>
        <w:t xml:space="preserve">规定的开标之日后</w:t>
      </w:r>
      <w:r>
        <w:rPr>
          <w:rFonts w:hint="default" w:ascii="Times New Roman" w:hAnsi="Times New Roman" w:cs="Times New Roman"/>
          <w:b/>
          <w:color w:val="auto"/>
          <w:sz w:val="24"/>
          <w:highlight w:val="none"/>
          <w:u w:val="single"/>
          <w:shd w:val="clear" w:color="auto" w:fill="auto"/>
        </w:rPr>
        <w:t xml:space="preserve">六十（60）天</w:t>
      </w:r>
      <w:r>
        <w:rPr>
          <w:rFonts w:hint="default" w:ascii="Times New Roman" w:hAnsi="Times New Roman" w:cs="Times New Roman"/>
          <w:bCs/>
          <w:color w:val="auto"/>
          <w:sz w:val="24"/>
          <w:highlight w:val="none"/>
          <w:shd w:val="clear" w:color="auto" w:fill="auto"/>
        </w:rPr>
        <w:t xml:space="preserve">。投标有效期比规定短的将被视为未实质性响应招标文件而予以拒绝。</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16.1 在特殊情况下，</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64" w:name="_Hlt26954852"/>
      <w:r/>
      <w:bookmarkEnd w:id="164"/>
      <w:r/>
      <w:bookmarkStart w:id="165" w:name="_Hlt26954739"/>
      <w:r/>
      <w:bookmarkEnd w:id="165"/>
      <w:r/>
      <w:bookmarkStart w:id="166" w:name="_Toc16938540"/>
      <w:r/>
      <w:bookmarkStart w:id="167" w:name="_Toc2219"/>
      <w:r/>
      <w:bookmarkStart w:id="168" w:name="_Toc120614217"/>
      <w:r/>
      <w:bookmarkStart w:id="169" w:name="_Toc513029224"/>
      <w:r/>
      <w:bookmarkStart w:id="170" w:name="_Toc20823296"/>
      <w:r/>
      <w:bookmarkStart w:id="171" w:name="_Toc22817"/>
      <w:r/>
      <w:bookmarkStart w:id="172" w:name="_Toc16170"/>
      <w:r>
        <w:rPr>
          <w:rFonts w:hint="default" w:ascii="Times New Roman" w:hAnsi="Times New Roman" w:cs="Times New Roman"/>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905"/>
        <w:ind w:left="0" w:firstLine="560"/>
        <w:keepLines/>
        <w:keepNext/>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73" w:name="_Toc16938541"/>
      <w:r/>
      <w:bookmarkStart w:id="174" w:name="_Toc462564084"/>
      <w:r/>
      <w:bookmarkStart w:id="175" w:name="_Toc20823297"/>
      <w:r/>
      <w:bookmarkStart w:id="176" w:name="_Toc513029225"/>
      <w:r>
        <w:rPr>
          <w:rFonts w:hint="default" w:ascii="Times New Roman" w:hAnsi="Times New Roman" w:cs="Times New Roman"/>
          <w:b w:val="0"/>
          <w:bCs w:val="0"/>
          <w:color w:val="auto"/>
          <w:highlight w:val="none"/>
          <w:shd w:val="clear" w:color="auto" w:fill="auto"/>
        </w:rPr>
        <w:t xml:space="preserve">17、投标文件</w:t>
      </w:r>
      <w:bookmarkEnd w:id="173"/>
      <w:r/>
      <w:bookmarkEnd w:id="174"/>
      <w:r/>
      <w:bookmarkEnd w:id="175"/>
      <w:r/>
      <w:bookmarkEnd w:id="176"/>
      <w:r>
        <w:rPr>
          <w:rFonts w:hint="default" w:ascii="Times New Roman" w:hAnsi="Times New Roman" w:cs="Times New Roman"/>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投标人应当按照《操作手册》规定，在投标截止时间前制作并上传电子投标文件。</w:t>
      </w:r>
      <w:bookmarkStart w:id="177" w:name="_Toc16938542"/>
      <w:r/>
      <w:bookmarkStart w:id="178" w:name="_Toc513029226"/>
      <w:r/>
      <w:bookmarkStart w:id="179" w:name="_Toc20823298"/>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18、投标截止</w:t>
      </w:r>
      <w:bookmarkEnd w:id="177"/>
      <w:r/>
      <w:bookmarkEnd w:id="178"/>
      <w:r/>
      <w:bookmarkEnd w:id="179"/>
      <w:r>
        <w:rPr>
          <w:rFonts w:hint="default" w:ascii="Times New Roman" w:hAnsi="Times New Roman" w:cs="Times New Roman"/>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投标人应</w:t>
      </w:r>
      <w:r>
        <w:rPr>
          <w:rFonts w:hint="default" w:ascii="Times New Roman" w:hAnsi="Times New Roman" w:eastAsia="宋体" w:cs="Times New Roman"/>
          <w:color w:val="auto"/>
          <w:sz w:val="24"/>
          <w:highlight w:val="none"/>
          <w:shd w:val="clear" w:color="auto" w:fill="auto"/>
          <w:lang w:eastAsia="zh-CN"/>
        </w:rPr>
        <w:t xml:space="preserve">充分考虑</w:t>
      </w:r>
      <w:r>
        <w:rPr>
          <w:rFonts w:hint="default" w:ascii="Times New Roman" w:hAnsi="Times New Roman"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18.2 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80" w:name="_Toc20823299"/>
      <w:r/>
      <w:bookmarkStart w:id="181" w:name="_Toc513029227"/>
      <w:r/>
      <w:bookmarkStart w:id="182" w:name="_Toc16938543"/>
      <w:r>
        <w:rPr>
          <w:rFonts w:hint="default" w:ascii="Times New Roman" w:hAnsi="Times New Roman" w:cs="Times New Roman"/>
          <w:b w:val="0"/>
          <w:bCs w:val="0"/>
          <w:color w:val="auto"/>
          <w:highlight w:val="none"/>
          <w:shd w:val="clear" w:color="auto" w:fill="auto"/>
        </w:rPr>
        <w:t xml:space="preserve">19、投标文件</w:t>
      </w:r>
      <w:bookmarkEnd w:id="180"/>
      <w:r/>
      <w:bookmarkEnd w:id="181"/>
      <w:r/>
      <w:bookmarkEnd w:id="182"/>
      <w:r>
        <w:rPr>
          <w:rFonts w:hint="default" w:ascii="Times New Roman" w:hAnsi="Times New Roman" w:cs="Times New Roman"/>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19.1采购</w:t>
      </w:r>
      <w:r>
        <w:rPr>
          <w:rFonts w:hint="default" w:ascii="Times New Roman" w:hAnsi="Times New Roman" w:eastAsia="宋体" w:cs="Times New Roman"/>
          <w:color w:val="auto"/>
          <w:sz w:val="24"/>
          <w:highlight w:val="none"/>
          <w:shd w:val="clear" w:color="auto" w:fill="auto"/>
          <w:lang w:val="en-US" w:eastAsia="zh-CN"/>
        </w:rPr>
        <w:t xml:space="preserve">人或采购代理机构</w:t>
      </w:r>
      <w:r>
        <w:rPr>
          <w:rFonts w:hint="default" w:ascii="Times New Roman" w:hAnsi="Times New Roman" w:eastAsia="宋体" w:cs="Times New Roman"/>
          <w:color w:val="auto"/>
          <w:sz w:val="24"/>
          <w:highlight w:val="none"/>
          <w:shd w:val="clear" w:color="auto" w:fill="auto"/>
        </w:rPr>
        <w:t xml:space="preserve">拒绝接收在其规定的投标截止时间后上传的任何投标文件。</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83" w:name="_Toc20823300"/>
      <w:r/>
      <w:bookmarkStart w:id="184" w:name="_Toc16938544"/>
      <w:r/>
      <w:bookmarkStart w:id="185" w:name="_Toc513029228"/>
      <w:r>
        <w:rPr>
          <w:rFonts w:hint="default" w:ascii="Times New Roman" w:hAnsi="Times New Roman" w:cs="Times New Roman"/>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86" w:name="_Toc20823301"/>
      <w:r/>
      <w:bookmarkStart w:id="187" w:name="_Toc26916"/>
      <w:r/>
      <w:bookmarkStart w:id="188" w:name="_Toc9761"/>
      <w:r/>
      <w:bookmarkStart w:id="189" w:name="_Toc120614218"/>
      <w:r/>
      <w:bookmarkStart w:id="190" w:name="_Toc513029229"/>
      <w:r/>
      <w:bookmarkStart w:id="191" w:name="_Toc109"/>
      <w:r/>
      <w:bookmarkStart w:id="192" w:name="_Toc16938545"/>
      <w:r>
        <w:rPr>
          <w:rFonts w:hint="default" w:ascii="Times New Roman" w:hAnsi="Times New Roman" w:cs="Times New Roman"/>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3" w:name="_Toc16938546"/>
      <w:r/>
      <w:bookmarkStart w:id="194" w:name="_Toc20823302"/>
      <w:r/>
      <w:bookmarkStart w:id="195" w:name="_Toc513029230"/>
      <w:r>
        <w:rPr>
          <w:rFonts w:hint="default" w:ascii="Times New Roman" w:hAnsi="Times New Roman" w:cs="Times New Roman"/>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 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21.2开标仪式由采购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21.3投标人在开标过程中</w:t>
      </w:r>
      <w:r>
        <w:rPr>
          <w:rFonts w:hint="default" w:ascii="Times New Roman" w:hAnsi="Times New Roman" w:eastAsia="宋体" w:cs="Times New Roman"/>
          <w:color w:val="auto"/>
          <w:sz w:val="24"/>
          <w:highlight w:val="none"/>
          <w:shd w:val="clear" w:color="auto" w:fill="auto"/>
          <w:lang w:eastAsia="zh-CN"/>
        </w:rPr>
        <w:t xml:space="preserve">涉及的</w:t>
      </w:r>
      <w:r>
        <w:rPr>
          <w:rFonts w:hint="default" w:ascii="Times New Roman" w:hAnsi="Times New Roman"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6" w:name="_Toc16938547"/>
      <w:r/>
      <w:bookmarkStart w:id="197" w:name="_Toc20823303"/>
      <w:r/>
      <w:bookmarkStart w:id="198" w:name="_Toc513029231"/>
      <w:r>
        <w:rPr>
          <w:rFonts w:hint="default" w:ascii="Times New Roman" w:hAnsi="Times New Roman" w:cs="Times New Roman"/>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22.1 开标后，采购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22.3评委会独立工作，负责评审所有投标文件并确定中标</w:t>
      </w:r>
      <w:r>
        <w:rPr>
          <w:rFonts w:hint="default" w:ascii="Times New Roman" w:hAnsi="Times New Roman" w:eastAsia="宋体" w:cs="Times New Roman"/>
          <w:color w:val="auto"/>
          <w:sz w:val="24"/>
          <w:highlight w:val="none"/>
          <w:shd w:val="clear" w:color="auto" w:fill="auto"/>
          <w:lang w:eastAsia="zh-CN"/>
        </w:rPr>
        <w:t xml:space="preserve">候选人</w:t>
      </w:r>
      <w:r>
        <w:rPr>
          <w:rFonts w:hint="default" w:ascii="Times New Roman" w:hAnsi="Times New Roman" w:eastAsia="宋体" w:cs="Times New Roman"/>
          <w:color w:val="auto"/>
          <w:sz w:val="24"/>
          <w:highlight w:val="none"/>
          <w:shd w:val="clear" w:color="auto" w:fill="auto"/>
        </w:rPr>
        <w:t xml:space="preserve">。</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23.1凡是与审查、澄清、评价和比较投标的有关资料以及</w:t>
      </w:r>
      <w:r>
        <w:rPr>
          <w:rFonts w:hint="default" w:ascii="Times New Roman" w:hAnsi="Times New Roman" w:eastAsia="宋体" w:cs="Times New Roman"/>
          <w:color w:val="auto"/>
          <w:sz w:val="24"/>
          <w:highlight w:val="none"/>
          <w:shd w:val="clear" w:color="auto" w:fill="auto"/>
          <w:lang w:eastAsia="zh-CN"/>
        </w:rPr>
        <w:t xml:space="preserve">投标</w:t>
      </w:r>
      <w:r>
        <w:rPr>
          <w:rFonts w:hint="default" w:ascii="Times New Roman" w:hAnsi="Times New Roman" w:eastAsia="宋体" w:cs="Times New Roman"/>
          <w:color w:val="auto"/>
          <w:sz w:val="24"/>
          <w:highlight w:val="none"/>
          <w:shd w:val="clear" w:color="auto" w:fill="auto"/>
        </w:rPr>
        <w:t xml:space="preserve">建议等，采购人、评委、采购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23.3 采购</w:t>
      </w:r>
      <w:r>
        <w:rPr>
          <w:rFonts w:hint="default" w:ascii="Times New Roman" w:hAnsi="Times New Roman" w:eastAsia="宋体" w:cs="Times New Roman"/>
          <w:color w:val="auto"/>
          <w:sz w:val="24"/>
          <w:highlight w:val="none"/>
          <w:shd w:val="clear" w:color="auto" w:fill="auto"/>
          <w:lang w:val="en-US" w:eastAsia="zh-CN"/>
        </w:rPr>
        <w:t xml:space="preserve">人、采购代理机构</w:t>
      </w:r>
      <w:r>
        <w:rPr>
          <w:rFonts w:hint="default" w:ascii="Times New Roman" w:hAnsi="Times New Roman"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9" w:name="_Toc20823304"/>
      <w:r/>
      <w:bookmarkStart w:id="200" w:name="_Toc513029232"/>
      <w:r/>
      <w:bookmarkStart w:id="201" w:name="_Toc16938548"/>
      <w:r>
        <w:rPr>
          <w:rFonts w:hint="default" w:ascii="Times New Roman" w:hAnsi="Times New Roman" w:cs="Times New Roman"/>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24.3 接到评委会澄清、说明和补正要求的投标人如未按规定</w:t>
      </w:r>
      <w:r>
        <w:rPr>
          <w:rFonts w:hint="default" w:ascii="Times New Roman" w:hAnsi="Times New Roman" w:eastAsia="宋体" w:cs="Times New Roman"/>
          <w:color w:val="auto"/>
          <w:sz w:val="24"/>
          <w:highlight w:val="none"/>
          <w:shd w:val="clear" w:color="auto" w:fill="auto"/>
          <w:lang w:eastAsia="zh-CN"/>
        </w:rPr>
        <w:t xml:space="preserve">作出</w:t>
      </w:r>
      <w:r>
        <w:rPr>
          <w:rFonts w:hint="default" w:ascii="Times New Roman" w:hAnsi="Times New Roman" w:eastAsia="宋体" w:cs="Times New Roman"/>
          <w:color w:val="auto"/>
          <w:sz w:val="24"/>
          <w:highlight w:val="none"/>
          <w:shd w:val="clear" w:color="auto" w:fill="auto"/>
        </w:rPr>
        <w:t xml:space="preserve">澄清、说明和补正，其风险由投标人自行承担。</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202" w:name="_Toc16938549"/>
      <w:r/>
      <w:bookmarkStart w:id="203" w:name="_Toc20823305"/>
      <w:r/>
      <w:bookmarkStart w:id="204" w:name="_Toc513029233"/>
      <w:r>
        <w:rPr>
          <w:rFonts w:hint="default" w:ascii="Times New Roman" w:hAnsi="Times New Roman" w:cs="Times New Roman"/>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w:t>
      </w:r>
      <w:r>
        <w:rPr>
          <w:rFonts w:hint="eastAsia"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查询结果留存并归档。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25.1.3政府采购异常低价审查：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shd w:val="clear" w:color="auto" w:fill="auto"/>
        </w:rPr>
        <w:t xml:space="preserve">（一）</w:t>
      </w:r>
      <w:r>
        <w:rPr>
          <w:rFonts w:hint="default" w:ascii="Times New Roman" w:hAnsi="Times New Roman"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1.</w:t>
      </w:r>
      <w:r>
        <w:rPr>
          <w:rFonts w:hint="default" w:ascii="Times New Roman" w:hAnsi="Times New Roman"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2.</w:t>
      </w:r>
      <w:r>
        <w:rPr>
          <w:rFonts w:hint="default" w:ascii="Times New Roman" w:hAnsi="Times New Roman"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3</w:t>
      </w:r>
      <w:r>
        <w:rPr>
          <w:rFonts w:hint="default" w:ascii="Times New Roman" w:hAnsi="Times New Roman"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default" w:ascii="Times New Roman" w:hAnsi="Times New Roman"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default" w:ascii="Times New Roman" w:hAnsi="Times New Roman"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25.1.4未通过资格审查或符合性审查的投标人，采购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将在苏采云系统中告知未通过资格审查或符合性审查的原因，评标结束后，采购</w:t>
      </w:r>
      <w:r>
        <w:rPr>
          <w:rFonts w:hint="default" w:ascii="Times New Roman" w:hAnsi="Times New Roman" w:eastAsia="宋体" w:cs="Times New Roman"/>
          <w:color w:val="auto"/>
          <w:sz w:val="24"/>
          <w:highlight w:val="none"/>
          <w:shd w:val="clear" w:color="auto" w:fill="auto"/>
          <w:lang w:val="en-US" w:eastAsia="zh-CN"/>
        </w:rPr>
        <w:t xml:space="preserve">人或采购代理机构</w:t>
      </w:r>
      <w:r>
        <w:rPr>
          <w:rFonts w:hint="default" w:ascii="Times New Roman" w:hAnsi="Times New Roman"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所谓重大偏离或保留是指</w:t>
      </w:r>
      <w:r>
        <w:rPr>
          <w:rFonts w:hint="default" w:ascii="Times New Roman" w:hAnsi="Times New Roman"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default" w:ascii="Times New Roman" w:hAnsi="Times New Roman" w:eastAsia="宋体" w:cs="Times New Roman"/>
          <w:color w:val="auto"/>
          <w:sz w:val="24"/>
          <w:highlight w:val="none"/>
          <w:shd w:val="clear" w:color="auto" w:fill="auto"/>
        </w:rPr>
        <w:t xml:space="preserve">而且限制了合同中买方和</w:t>
      </w:r>
      <w:r>
        <w:rPr>
          <w:rFonts w:hint="default" w:ascii="Times New Roman" w:hAnsi="Times New Roman" w:cs="Times New Roman"/>
          <w:color w:val="auto"/>
          <w:sz w:val="24"/>
          <w:szCs w:val="24"/>
          <w:highlight w:val="none"/>
          <w:shd w:val="clear" w:color="auto" w:fill="auto"/>
        </w:rPr>
        <w:t xml:space="preserve">采购</w:t>
      </w:r>
      <w:r>
        <w:rPr>
          <w:rFonts w:hint="default" w:ascii="Times New Roman" w:hAnsi="Times New Roman" w:cs="Times New Roman"/>
          <w:color w:val="auto"/>
          <w:sz w:val="24"/>
          <w:szCs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bookmarkStart w:id="205" w:name="_Toc16938550"/>
      <w:r/>
      <w:bookmarkStart w:id="206" w:name="_Toc513029234"/>
      <w:r/>
      <w:bookmarkStart w:id="207" w:name="_Toc20823306"/>
      <w:r>
        <w:rPr>
          <w:rFonts w:hint="default" w:ascii="Times New Roman" w:hAnsi="Times New Roman"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default" w:ascii="Times New Roman" w:hAnsi="Times New Roman" w:eastAsia="宋体" w:cs="Times New Roman"/>
          <w:color w:val="auto"/>
          <w:sz w:val="24"/>
          <w:highlight w:val="none"/>
          <w:shd w:val="clear" w:color="auto" w:fill="auto"/>
          <w:lang w:val="en-US" w:eastAsia="zh-CN"/>
        </w:rPr>
        <w:t xml:space="preserve">人、采购代理机构</w:t>
      </w:r>
      <w:r>
        <w:rPr>
          <w:rFonts w:hint="default" w:ascii="Times New Roman" w:hAnsi="Times New Roman" w:eastAsia="宋体" w:cs="Times New Roman"/>
          <w:color w:val="auto"/>
          <w:sz w:val="24"/>
          <w:highlight w:val="none"/>
          <w:shd w:val="clear" w:color="auto" w:fill="auto"/>
        </w:rPr>
        <w:t xml:space="preserve">及评标委员会联系。</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26、</w:t>
      </w:r>
      <w:bookmarkEnd w:id="205"/>
      <w:r/>
      <w:bookmarkEnd w:id="206"/>
      <w:r/>
      <w:bookmarkEnd w:id="207"/>
      <w:r>
        <w:rPr>
          <w:rFonts w:hint="default" w:ascii="Times New Roman" w:hAnsi="Times New Roman" w:cs="Times New Roman"/>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208" w:name="_Toc513029235"/>
      <w:r/>
      <w:bookmarkStart w:id="209" w:name="_Toc16938551"/>
      <w:r/>
      <w:bookmarkStart w:id="210" w:name="_Toc20823307"/>
      <w:r>
        <w:rPr>
          <w:rFonts w:hint="default" w:ascii="Times New Roman" w:hAnsi="Times New Roman"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26.1.10评标委员会认为投标人的报价明显低于其他通过符合性审</w:t>
      </w:r>
      <w:r>
        <w:rPr>
          <w:rFonts w:hint="default" w:ascii="Times New Roman" w:hAnsi="Times New Roman" w:eastAsia="宋体" w:cs="Times New Roman"/>
          <w:color w:val="auto"/>
          <w:sz w:val="24"/>
          <w:highlight w:val="none"/>
          <w:shd w:val="clear" w:color="auto" w:fill="auto"/>
          <w:lang w:eastAsia="zh-CN"/>
        </w:rPr>
        <w:t xml:space="preserve">查的</w:t>
      </w:r>
      <w:r>
        <w:rPr>
          <w:rFonts w:hint="default" w:ascii="Times New Roman" w:hAnsi="Times New Roman"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w:t>
      </w:r>
      <w:r>
        <w:rPr>
          <w:rFonts w:hint="default" w:ascii="Times New Roman" w:hAnsi="Times New Roman" w:eastAsia="宋体" w:cs="Times New Roman"/>
          <w:color w:val="auto"/>
          <w:sz w:val="24"/>
          <w:highlight w:val="none"/>
          <w:shd w:val="clear" w:color="auto" w:fill="auto"/>
          <w:lang w:val="en-US" w:eastAsia="zh-CN"/>
        </w:rPr>
        <w:t xml:space="preserve">11</w:t>
      </w:r>
      <w:r>
        <w:rPr>
          <w:rFonts w:hint="default" w:ascii="Times New Roman" w:hAnsi="Times New Roman"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w:t>
      </w:r>
      <w:r>
        <w:rPr>
          <w:rFonts w:hint="default" w:ascii="Times New Roman" w:hAnsi="Times New Roman" w:eastAsia="宋体" w:cs="Times New Roman"/>
          <w:color w:val="auto"/>
          <w:sz w:val="24"/>
          <w:highlight w:val="none"/>
          <w:shd w:val="clear" w:color="auto" w:fill="auto"/>
          <w:lang w:val="en-US" w:eastAsia="zh-CN"/>
        </w:rPr>
        <w:t xml:space="preserve">12</w:t>
      </w:r>
      <w:r>
        <w:rPr>
          <w:rFonts w:hint="default" w:ascii="Times New Roman" w:hAnsi="Times New Roman"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26.2.1符合专业条件的供应商或者对招标文件</w:t>
      </w:r>
      <w:r>
        <w:rPr>
          <w:rFonts w:hint="default" w:ascii="Times New Roman" w:hAnsi="Times New Roman" w:eastAsia="宋体" w:cs="Times New Roman"/>
          <w:color w:val="auto"/>
          <w:sz w:val="24"/>
          <w:highlight w:val="none"/>
          <w:shd w:val="clear" w:color="auto" w:fill="auto"/>
          <w:lang w:eastAsia="zh-CN"/>
        </w:rPr>
        <w:t xml:space="preserve">做</w:t>
      </w:r>
      <w:r>
        <w:rPr>
          <w:rFonts w:hint="default" w:ascii="Times New Roman" w:hAnsi="Times New Roman"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26.2.5 因苏采云</w:t>
      </w:r>
      <w:r>
        <w:rPr>
          <w:rFonts w:hint="default" w:ascii="Times New Roman" w:hAnsi="Times New Roman" w:eastAsia="宋体" w:cs="Times New Roman"/>
          <w:color w:val="auto"/>
          <w:sz w:val="24"/>
          <w:highlight w:val="none"/>
          <w:shd w:val="clear" w:color="auto" w:fill="auto"/>
          <w:lang w:eastAsia="zh-CN"/>
        </w:rPr>
        <w:t xml:space="preserve">系统故障</w:t>
      </w:r>
      <w:r>
        <w:rPr>
          <w:rFonts w:hint="default" w:ascii="Times New Roman" w:hAnsi="Times New Roman"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default" w:ascii="Times New Roman" w:hAnsi="Times New Roman" w:cs="Times New Roman"/>
          <w:bCs/>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11" w:name="_Toc3443"/>
      <w:r/>
      <w:bookmarkStart w:id="212" w:name="_Toc31095"/>
      <w:r/>
      <w:bookmarkStart w:id="213" w:name="_Toc120614219"/>
      <w:r/>
      <w:bookmarkStart w:id="214" w:name="_Toc16384"/>
      <w:r>
        <w:rPr>
          <w:rFonts w:hint="default" w:ascii="Times New Roman" w:hAnsi="Times New Roman" w:cs="Times New Roman"/>
          <w:color w:val="auto"/>
          <w:highlight w:val="none"/>
          <w:shd w:val="clear" w:color="auto" w:fill="auto"/>
        </w:rPr>
        <w:t xml:space="preserve">六、</w:t>
      </w:r>
      <w:bookmarkEnd w:id="208"/>
      <w:r/>
      <w:bookmarkEnd w:id="209"/>
      <w:r/>
      <w:bookmarkEnd w:id="210"/>
      <w:r>
        <w:rPr>
          <w:rFonts w:hint="default" w:ascii="Times New Roman" w:hAnsi="Times New Roman" w:cs="Times New Roman"/>
          <w:color w:val="auto"/>
          <w:highlight w:val="none"/>
          <w:shd w:val="clear" w:color="auto" w:fill="auto"/>
        </w:rPr>
        <w:t xml:space="preserve">定标</w:t>
      </w:r>
      <w:bookmarkEnd w:id="211"/>
      <w:r/>
      <w:bookmarkEnd w:id="212"/>
      <w:r/>
      <w:bookmarkEnd w:id="213"/>
      <w:r/>
      <w:bookmarkEnd w:id="214"/>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15" w:name="_Toc513029238"/>
      <w:r/>
      <w:bookmarkStart w:id="216" w:name="_Toc20823310"/>
      <w:r/>
      <w:bookmarkStart w:id="217" w:name="_Toc16938554"/>
      <w:r>
        <w:rPr>
          <w:rFonts w:hint="default" w:ascii="Times New Roman" w:hAnsi="Times New Roman" w:cs="Times New Roman"/>
          <w:b w:val="0"/>
          <w:color w:val="auto"/>
          <w:sz w:val="30"/>
          <w:szCs w:val="30"/>
          <w:highlight w:val="none"/>
          <w:shd w:val="clear" w:color="auto" w:fill="auto"/>
        </w:rPr>
        <w:t xml:space="preserve">27、</w:t>
      </w:r>
      <w:bookmarkEnd w:id="215"/>
      <w:r>
        <w:rPr>
          <w:rFonts w:hint="default" w:ascii="Times New Roman" w:hAnsi="Times New Roman" w:cs="Times New Roman"/>
          <w:b w:val="0"/>
          <w:color w:val="auto"/>
          <w:sz w:val="30"/>
          <w:szCs w:val="30"/>
          <w:highlight w:val="none"/>
          <w:shd w:val="clear" w:color="auto" w:fill="auto"/>
        </w:rPr>
        <w:t xml:space="preserve">确定</w:t>
      </w:r>
      <w:bookmarkEnd w:id="216"/>
      <w:r/>
      <w:bookmarkEnd w:id="217"/>
      <w:r>
        <w:rPr>
          <w:rFonts w:hint="default" w:ascii="Times New Roman" w:hAnsi="Times New Roman"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27.3 </w:t>
      </w:r>
      <w:r>
        <w:rPr>
          <w:rFonts w:hint="default" w:ascii="Times New Roman" w:hAnsi="Times New Roman" w:eastAsia="宋体" w:cs="Times New Roman"/>
          <w:color w:val="auto"/>
          <w:sz w:val="24"/>
          <w:highlight w:val="none"/>
          <w:shd w:val="clear" w:color="auto" w:fill="auto"/>
          <w:lang w:val="en-US" w:eastAsia="zh-CN"/>
        </w:rPr>
        <w:t xml:space="preserve">采购人或</w:t>
      </w:r>
      <w:r>
        <w:rPr>
          <w:rFonts w:hint="default" w:ascii="Times New Roman" w:hAnsi="Times New Roman" w:eastAsia="宋体" w:cs="Times New Roman"/>
          <w:color w:val="auto"/>
          <w:sz w:val="24"/>
          <w:highlight w:val="none"/>
          <w:shd w:val="clear" w:color="auto" w:fill="auto"/>
        </w:rPr>
        <w:t xml:space="preserve">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27.4.2向采购人、</w:t>
      </w:r>
      <w:r>
        <w:rPr>
          <w:rFonts w:hint="default" w:ascii="Times New Roman" w:hAnsi="Times New Roman" w:eastAsia="宋体" w:cs="Times New Roman"/>
          <w:color w:val="auto"/>
          <w:sz w:val="24"/>
          <w:highlight w:val="none"/>
          <w:shd w:val="clear" w:color="auto" w:fill="auto"/>
          <w:lang w:eastAsia="zh-CN"/>
        </w:rPr>
        <w:t xml:space="preserve">采购代理机构</w:t>
      </w:r>
      <w:r>
        <w:rPr>
          <w:rFonts w:hint="default" w:ascii="Times New Roman" w:hAnsi="Times New Roman"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218" w:name="_Toc200451960"/>
      <w:r>
        <w:rPr>
          <w:rFonts w:hint="default" w:ascii="Times New Roman" w:hAnsi="Times New Roman"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27.5.4不同投标人的投标文件异常一致或者投标报价呈规律性差异。</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28.4供应商（含潜在供应商）对采购方式、招标文件中采购需求</w:t>
      </w:r>
      <w:r>
        <w:rPr>
          <w:rFonts w:hint="default" w:ascii="Times New Roman" w:hAnsi="Times New Roman" w:eastAsia="宋体"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提出，由采购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hint="default" w:ascii="Times New Roman" w:hAnsi="Times New Roman" w:cs="Times New Roman"/>
          <w:b/>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采购人及采购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只接收以纸质原件形式送达的质疑</w:t>
      </w:r>
      <w:r>
        <w:rPr>
          <w:rFonts w:hint="default" w:ascii="Times New Roman" w:hAnsi="Times New Roman" w:eastAsia="宋体" w:cs="Times New Roman"/>
          <w:color w:val="auto"/>
          <w:sz w:val="24"/>
          <w:highlight w:val="none"/>
          <w:shd w:val="clear" w:color="auto" w:fill="auto"/>
          <w:lang w:eastAsia="zh-CN"/>
        </w:rPr>
        <w:t xml:space="preserve">，供应商</w:t>
      </w:r>
      <w:r>
        <w:rPr>
          <w:rFonts w:hint="default" w:ascii="Times New Roman" w:hAnsi="Times New Roman" w:eastAsia="宋体" w:cs="Times New Roman"/>
          <w:color w:val="auto"/>
          <w:sz w:val="24"/>
          <w:highlight w:val="none"/>
          <w:shd w:val="clear" w:color="auto" w:fill="auto"/>
          <w:lang w:val="en-US" w:eastAsia="zh-CN"/>
        </w:rPr>
        <w:t xml:space="preserve">可以</w:t>
      </w:r>
      <w:r>
        <w:rPr>
          <w:rFonts w:hint="default" w:ascii="Times New Roman" w:hAnsi="Times New Roman" w:eastAsia="宋体" w:cs="Times New Roman"/>
          <w:color w:val="auto"/>
          <w:sz w:val="24"/>
          <w:highlight w:val="none"/>
          <w:shd w:val="clear" w:color="auto" w:fill="auto"/>
          <w:lang w:eastAsia="zh-CN"/>
        </w:rPr>
        <w:t xml:space="preserve">通过</w:t>
      </w:r>
      <w:r>
        <w:rPr>
          <w:rFonts w:hint="default" w:ascii="Times New Roman" w:hAnsi="Times New Roman" w:eastAsia="宋体" w:cs="Times New Roman"/>
          <w:color w:val="auto"/>
          <w:sz w:val="24"/>
          <w:highlight w:val="none"/>
          <w:shd w:val="clear" w:color="auto" w:fill="auto"/>
          <w:lang w:val="en-US" w:eastAsia="zh-CN"/>
        </w:rPr>
        <w:t xml:space="preserve">现场递交或</w:t>
      </w:r>
      <w:r>
        <w:rPr>
          <w:rFonts w:hint="default" w:ascii="Times New Roman" w:hAnsi="Times New Roman" w:eastAsia="宋体" w:cs="Times New Roman"/>
          <w:color w:val="auto"/>
          <w:sz w:val="24"/>
          <w:highlight w:val="none"/>
          <w:shd w:val="clear" w:color="auto" w:fill="auto"/>
          <w:lang w:eastAsia="zh-CN"/>
        </w:rPr>
        <w:t xml:space="preserve">邮寄方式提交质疑</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质疑接收部门为</w:t>
      </w:r>
      <w:r>
        <w:rPr>
          <w:rFonts w:hint="default" w:ascii="Times New Roman" w:hAnsi="Times New Roman" w:eastAsia="宋体" w:cs="Times New Roman"/>
          <w:color w:val="auto"/>
          <w:sz w:val="24"/>
          <w:highlight w:val="none"/>
          <w:shd w:val="clear" w:color="auto" w:fill="auto"/>
          <w:lang w:val="en-US" w:eastAsia="zh-CN"/>
        </w:rPr>
        <w:t xml:space="preserve">江苏鸿成工程项目管理有限公司招标代理部</w:t>
      </w:r>
      <w:r>
        <w:rPr>
          <w:rFonts w:hint="default" w:ascii="Times New Roman" w:hAnsi="Times New Roman" w:eastAsia="宋体" w:cs="Times New Roman"/>
          <w:color w:val="auto"/>
          <w:sz w:val="24"/>
          <w:highlight w:val="none"/>
          <w:shd w:val="clear" w:color="auto" w:fill="auto"/>
        </w:rPr>
        <w:t xml:space="preserve">，联系地址：</w:t>
      </w:r>
      <w:r>
        <w:rPr>
          <w:rFonts w:hint="default" w:ascii="Times New Roman" w:hAnsi="Times New Roman" w:eastAsia="宋体" w:cs="Times New Roman"/>
          <w:color w:val="auto"/>
          <w:sz w:val="24"/>
          <w:highlight w:val="none"/>
          <w:shd w:val="clear" w:color="auto" w:fill="auto"/>
          <w:lang w:eastAsia="zh-CN"/>
        </w:rPr>
        <w:t xml:space="preserve">连云港市海州区郁州北路9号瀛洲大厦2楼209室</w:t>
      </w:r>
      <w:r>
        <w:rPr>
          <w:rFonts w:hint="default" w:ascii="Times New Roman" w:hAnsi="Times New Roman" w:eastAsia="宋体" w:cs="Times New Roman"/>
          <w:color w:val="auto"/>
          <w:sz w:val="24"/>
          <w:highlight w:val="none"/>
          <w:shd w:val="clear" w:color="auto" w:fill="auto"/>
        </w:rPr>
        <w:t xml:space="preserve">，联系电话：</w:t>
      </w:r>
      <w:r>
        <w:rPr>
          <w:rFonts w:hint="default" w:ascii="Times New Roman" w:hAnsi="Times New Roman" w:eastAsia="宋体" w:cs="Times New Roman"/>
          <w:color w:val="auto"/>
          <w:sz w:val="24"/>
          <w:highlight w:val="none"/>
          <w:shd w:val="clear" w:color="auto" w:fill="auto"/>
          <w:lang w:eastAsia="zh-CN"/>
        </w:rPr>
        <w:t xml:space="preserve">0518-81061799</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29.l</w:t>
      </w:r>
      <w:r>
        <w:rPr>
          <w:rFonts w:hint="default" w:ascii="Times New Roman" w:hAnsi="Times New Roman" w:cs="Times New Roman"/>
          <w:b/>
          <w:color w:val="auto"/>
          <w:sz w:val="24"/>
          <w:szCs w:val="24"/>
          <w:highlight w:val="non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中标结果确定后，采购代理机构将向中标人发出中标通知书。</w:t>
      </w:r>
      <w:r>
        <w:rPr>
          <w:rFonts w:hint="default" w:ascii="Times New Roman" w:hAnsi="Times New Roman" w:cs="Times New Roman"/>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default" w:ascii="Times New Roman" w:hAnsi="Times New Roman" w:cs="Times New Roman"/>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03"/>
        <w:ind w:left="0"/>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19" w:name="_Toc25986"/>
      <w:r/>
      <w:bookmarkStart w:id="220" w:name="_Toc120614220"/>
      <w:r/>
      <w:bookmarkStart w:id="221" w:name="_Toc16938552"/>
      <w:r/>
      <w:bookmarkStart w:id="222" w:name="_Toc12848"/>
      <w:r/>
      <w:bookmarkStart w:id="223" w:name="_Toc513029236"/>
      <w:r/>
      <w:bookmarkStart w:id="224" w:name="_Toc20823308"/>
      <w:r/>
      <w:bookmarkStart w:id="225" w:name="_Toc31566"/>
      <w:r>
        <w:rPr>
          <w:rFonts w:hint="default" w:ascii="Times New Roman" w:hAnsi="Times New Roman" w:cs="Times New Roman"/>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26" w:name="_Toc513029237"/>
      <w:r/>
      <w:bookmarkStart w:id="227" w:name="_Toc20823309"/>
      <w:r/>
      <w:bookmarkStart w:id="228" w:name="_Toc16938553"/>
      <w:r>
        <w:rPr>
          <w:rFonts w:hint="default" w:ascii="Times New Roman" w:hAnsi="Times New Roman"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30.3 签订合同后，</w:t>
      </w:r>
      <w:r>
        <w:rPr>
          <w:rFonts w:hint="default" w:ascii="Times New Roman" w:hAnsi="Times New Roman" w:cs="Times New Roman"/>
          <w:b/>
          <w:bCs/>
          <w:i w:val="0"/>
          <w:iCs/>
          <w:color w:val="auto"/>
          <w:sz w:val="24"/>
          <w:szCs w:val="24"/>
          <w:highlight w:val="none"/>
          <w:u w:val="single"/>
          <w:shd w:val="clear" w:color="auto" w:fill="auto"/>
        </w:rPr>
        <w:t xml:space="preserve">中标人不得将合同标的进行转包</w:t>
      </w:r>
      <w:r>
        <w:rPr>
          <w:rFonts w:hint="default" w:ascii="Times New Roman" w:hAnsi="Times New Roman" w:cs="Times New Roman"/>
          <w:color w:val="auto"/>
          <w:sz w:val="24"/>
          <w:szCs w:val="24"/>
          <w:highlight w:val="none"/>
          <w:shd w:val="clear" w:color="auto" w:fill="auto"/>
        </w:rPr>
        <w:t xml:space="preserve">。未经采购人同意，中标人</w:t>
      </w:r>
      <w:r>
        <w:rPr>
          <w:rFonts w:hint="default" w:ascii="Times New Roman" w:hAnsi="Times New Roman"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default" w:ascii="Times New Roman" w:hAnsi="Times New Roman" w:eastAsia="宋体" w:cs="Times New Roman"/>
          <w:color w:val="auto"/>
          <w:sz w:val="24"/>
          <w:highlight w:val="none"/>
          <w:shd w:val="clear" w:color="auto" w:fill="auto"/>
          <w:lang w:eastAsia="zh-CN"/>
        </w:rPr>
        <w:t xml:space="preserve">额的</w:t>
      </w:r>
      <w:r>
        <w:rPr>
          <w:rFonts w:hint="default" w:ascii="Times New Roman" w:hAnsi="Times New Roman" w:eastAsia="宋体" w:cs="Times New Roman"/>
          <w:color w:val="auto"/>
          <w:sz w:val="24"/>
          <w:highlight w:val="none"/>
          <w:shd w:val="clear" w:color="auto" w:fill="auto"/>
        </w:rPr>
        <w:t xml:space="preserve">10%。</w:t>
      </w:r>
      <w:bookmarkEnd w:id="226"/>
      <w:r/>
      <w:bookmarkEnd w:id="227"/>
      <w:r/>
      <w:bookmarkEnd w:id="228"/>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29" w:name="_Toc16938558"/>
      <w:r/>
      <w:bookmarkStart w:id="230" w:name="_Toc479757207"/>
      <w:r/>
      <w:bookmarkStart w:id="231" w:name="_Toc20823314"/>
      <w:r/>
      <w:bookmarkStart w:id="232" w:name="_Toc513029242"/>
      <w:r/>
      <w:bookmarkStart w:id="233" w:name="_Toc120614221"/>
      <w:r>
        <w:rPr>
          <w:rFonts w:hint="default" w:ascii="Times New Roman" w:hAnsi="Times New Roman"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hint="default" w:ascii="Times New Roman" w:hAnsi="Times New Roman" w:eastAsia="宋体" w:cs="Times New Roman"/>
          <w:b/>
          <w:bCs/>
          <w:color w:val="auto"/>
          <w:sz w:val="32"/>
          <w:szCs w:val="32"/>
          <w:highlight w:val="none"/>
          <w:shd w:val="clear" w:color="auto" w:fill="auto"/>
          <w:lang w:val="en-US" w:eastAsia="zh-CN"/>
        </w:rPr>
        <w:outlineLvl w:val="2"/>
      </w:pPr>
      <w:r/>
      <w:bookmarkStart w:id="234" w:name="_Toc19843"/>
      <w:r/>
      <w:bookmarkStart w:id="235" w:name="_Toc32228"/>
      <w:r/>
      <w:bookmarkStart w:id="236" w:name="_Toc27845"/>
      <w:r/>
      <w:bookmarkStart w:id="237" w:name="_Toc23014"/>
      <w:r>
        <w:rPr>
          <w:rFonts w:hint="default" w:ascii="Times New Roman" w:hAnsi="Times New Roman" w:cs="Times New Roman"/>
          <w:b/>
          <w:bCs/>
          <w:color w:val="auto"/>
          <w:sz w:val="32"/>
          <w:szCs w:val="32"/>
          <w:highlight w:val="none"/>
          <w:shd w:val="clear" w:color="auto" w:fill="auto"/>
          <w:lang w:val="en-US" w:eastAsia="zh-CN"/>
        </w:rPr>
        <w:t xml:space="preserve">八</w:t>
      </w:r>
      <w:r>
        <w:rPr>
          <w:rFonts w:hint="default" w:ascii="Times New Roman" w:hAnsi="Times New Roman" w:cs="Times New Roman"/>
          <w:b/>
          <w:bCs/>
          <w:color w:val="auto"/>
          <w:sz w:val="32"/>
          <w:szCs w:val="32"/>
          <w:highlight w:val="none"/>
          <w:shd w:val="clear" w:color="auto" w:fill="auto"/>
        </w:rPr>
        <w:t xml:space="preserve">、</w:t>
      </w:r>
      <w:r>
        <w:rPr>
          <w:rFonts w:hint="default" w:ascii="Times New Roman" w:hAnsi="Times New Roman" w:cs="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33</w:t>
      </w:r>
      <w:r>
        <w:rPr>
          <w:rFonts w:hint="default" w:ascii="Times New Roman" w:hAnsi="Times New Roman" w:eastAsia="黑体" w:cs="Times New Roman"/>
          <w:bCs/>
          <w:color w:val="auto"/>
          <w:sz w:val="30"/>
          <w:szCs w:val="30"/>
          <w:highlight w:val="none"/>
          <w:shd w:val="clear" w:color="auto" w:fill="auto"/>
        </w:rPr>
        <w:t xml:space="preserve">、</w:t>
      </w:r>
      <w:r>
        <w:rPr>
          <w:rFonts w:hint="default" w:ascii="Times New Roman" w:hAnsi="Times New Roman" w:eastAsia="黑体" w:cs="Times New Roman"/>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lang w:val="en-US" w:eastAsia="zh-CN"/>
        </w:rPr>
        <w:t xml:space="preserve">33.5</w:t>
      </w:r>
      <w:r>
        <w:rPr>
          <w:rFonts w:hint="default" w:ascii="Times New Roman" w:hAnsi="Times New Roman" w:eastAsia="宋体" w:cs="Times New Roman"/>
          <w:b/>
          <w:bCs/>
          <w:color w:val="auto"/>
          <w:sz w:val="24"/>
          <w:highlight w:val="none"/>
          <w:shd w:val="clear" w:color="auto" w:fill="auto"/>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u w:val="single"/>
          <w:shd w:val="clear" w:color="auto" w:fill="auto"/>
        </w:rPr>
        <w:t xml:space="preserve">4</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shd w:val="clear" w:color="auto" w:fill="auto"/>
        </w:rPr>
        <w:t xml:space="preserve">%的价格扣除，用扣除后的价格参与评审。</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cs="Times New Roman"/>
          <w:b/>
          <w:bCs/>
          <w:color w:val="auto"/>
          <w:sz w:val="24"/>
          <w:highlight w:val="none"/>
          <w:shd w:val="clear" w:color="auto" w:fill="auto"/>
          <w:lang w:val="en-US" w:eastAsia="zh-CN"/>
        </w:rPr>
        <w:t xml:space="preserve">33.6</w:t>
      </w:r>
      <w:r>
        <w:rPr>
          <w:rFonts w:hint="default" w:ascii="Times New Roman" w:hAnsi="Times New Roman" w:eastAsia="宋体" w:cs="Times New Roman"/>
          <w:b/>
          <w:bCs/>
          <w:color w:val="auto"/>
          <w:sz w:val="24"/>
          <w:highlight w:val="none"/>
          <w:shd w:val="clear" w:color="auto" w:fill="auto"/>
        </w:rPr>
        <w:t xml:space="preserve">联合体各方均为小型、微型企业（残疾人福利单位、监狱企业）的，联合体享受</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u w:val="single"/>
          <w:shd w:val="clear" w:color="auto" w:fill="auto"/>
        </w:rPr>
        <w:t xml:space="preserve">10%</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shd w:val="clear" w:color="auto" w:fill="auto"/>
        </w:rPr>
        <w:t xml:space="preserve">价格扣除，用扣除后的价格参与评审。</w:t>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34</w:t>
      </w:r>
      <w:r>
        <w:rPr>
          <w:rFonts w:hint="default" w:ascii="Times New Roman" w:hAnsi="Times New Roman" w:eastAsia="黑体" w:cs="Times New Roman"/>
          <w:bCs/>
          <w:color w:val="auto"/>
          <w:sz w:val="30"/>
          <w:szCs w:val="30"/>
          <w:highlight w:val="none"/>
          <w:shd w:val="clear" w:color="auto" w:fill="auto"/>
        </w:rPr>
        <w:t xml:space="preserve">、</w:t>
      </w:r>
      <w:r>
        <w:rPr>
          <w:rFonts w:hint="default" w:ascii="Times New Roman" w:hAnsi="Times New Roman" w:eastAsia="黑体" w:cs="Times New Roman"/>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eastAsia="宋体" w:cs="Times New Roman"/>
          <w:color w:val="auto"/>
          <w:sz w:val="24"/>
          <w:highlight w:val="none"/>
          <w:shd w:val="clear" w:color="auto" w:fill="auto"/>
          <w:lang w:val="en-US" w:eastAsia="zh-CN"/>
        </w:rPr>
        <w:t xml:space="preserve">34.1</w:t>
      </w:r>
      <w:r>
        <w:rPr>
          <w:rFonts w:hint="default" w:ascii="Times New Roman" w:hAnsi="Times New Roman"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cs="Times New Roman"/>
          <w:color w:val="auto"/>
          <w:sz w:val="24"/>
          <w:highlight w:val="none"/>
          <w:shd w:val="clear" w:color="auto" w:fill="auto"/>
          <w:lang w:val="en-US" w:eastAsia="zh-CN"/>
        </w:rPr>
        <w:t xml:space="preserve">34.2</w:t>
      </w:r>
      <w:r>
        <w:rPr>
          <w:rFonts w:hint="default" w:ascii="Times New Roman" w:hAnsi="Times New Roman" w:cs="Times New Roman"/>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35、政府采购需求标准</w:t>
      </w:r>
      <w:r/>
    </w:p>
    <w:p>
      <w:pPr>
        <w:pStyle w:val="901"/>
        <w:ind w:left="0" w:firstLine="480"/>
        <w:jc w:val="left"/>
        <w:keepLines w:val="0"/>
        <w:keepNext/>
        <w:pageBreakBefore w:val="0"/>
        <w:spacing w:line="360" w:lineRule="auto"/>
        <w:widowControl w:val="off"/>
        <w:rPr>
          <w:rFonts w:hint="default" w:ascii="Times New Roman" w:hAnsi="Times New Roman" w:eastAsia="宋体" w:cs="Times New Roman"/>
          <w:color w:val="auto"/>
          <w:sz w:val="24"/>
          <w:szCs w:val="21"/>
          <w:highlight w:val="none"/>
          <w:shd w:val="clear" w:color="auto" w:fill="auto"/>
          <w:lang w:val="en-US" w:eastAsia="zh-CN" w:bidi="ar-SA"/>
        </w:rPr>
      </w:pPr>
      <w:r/>
      <w:bookmarkStart w:id="238" w:name="_Toc17527"/>
      <w:r>
        <w:rPr>
          <w:rFonts w:hint="default" w:ascii="Times New Roman" w:hAnsi="Times New Roman" w:eastAsia="宋体" w:cs="Times New Roman"/>
          <w:color w:val="auto"/>
          <w:sz w:val="24"/>
          <w:szCs w:val="21"/>
          <w:highlight w:val="none"/>
          <w:shd w:val="clear" w:color="auto" w:fill="auto"/>
          <w:lang w:val="en-US" w:eastAsia="zh-CN" w:bidi="ar-SA"/>
        </w:rPr>
        <w:t xml:space="preserve">本项目执行《绿色数据中心政府采购需求</w:t>
      </w:r>
      <w:r>
        <w:rPr>
          <w:rFonts w:hint="default" w:ascii="Times New Roman" w:hAnsi="Times New Roman"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bookmarkEnd w:id="229"/>
      <w:bookmarkEnd w:id="230"/>
      <w:bookmarkEnd w:id="231"/>
      <w:bookmarkEnd w:id="232"/>
      <w:bookmarkEnd w:id="233"/>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bookmarkStart w:id="239" w:name="_Hlt16619350"/>
      <w:r/>
      <w:bookmarkStart w:id="240" w:name="_Toc20823346"/>
      <w:r/>
      <w:bookmarkStart w:id="241" w:name="_Toc120614244"/>
      <w:r/>
      <w:bookmarkStart w:id="242" w:name="_Toc16938590"/>
      <w:r/>
      <w:bookmarkStart w:id="243" w:name="_Toc462564139"/>
      <w:r/>
      <w:bookmarkStart w:id="244" w:name="_Toc479757211"/>
      <w:r>
        <w:rPr>
          <w:rFonts w:hint="default" w:ascii="Times New Roman" w:hAnsi="Times New Roman" w:eastAsia="黑体" w:cs="Times New Roman"/>
          <w:bCs/>
          <w:color w:val="auto"/>
          <w:sz w:val="30"/>
          <w:szCs w:val="30"/>
          <w:highlight w:val="none"/>
          <w:shd w:val="clear" w:color="auto" w:fill="auto"/>
          <w:lang w:val="en-US" w:eastAsia="zh-CN"/>
        </w:rPr>
        <w:t xml:space="preserve">36.采购本国产品的支持政策</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4"/>
        <w:ind w:firstLine="562"/>
        <w:jc w:val="left"/>
        <w:spacing w:before="0" w:after="0" w:line="360" w:lineRule="auto"/>
        <w:rPr>
          <w:rFonts w:hint="default" w:ascii="Times New Roman" w:hAnsi="Times New Roman" w:cs="Times New Roman"/>
          <w:b/>
          <w:bCs w:val="0"/>
          <w:color w:val="auto"/>
          <w:sz w:val="28"/>
          <w:szCs w:val="28"/>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rPr>
          <w:rFonts w:hint="default" w:ascii="Times New Roman" w:hAnsi="Times New Roman" w:cs="Times New Roman"/>
          <w:color w:val="auto"/>
          <w:highlight w:val="none"/>
          <w:lang w:val="en-US" w:eastAsia="zh-CN" w:bidi="ar-SA"/>
        </w:rP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rPr>
          <w:rFonts w:hint="default" w:ascii="Times New Roman" w:hAnsi="Times New Roman" w:cs="Times New Roman"/>
          <w:color w:val="auto"/>
          <w:highlight w:val="none"/>
          <w:lang w:val="en-US" w:eastAsia="zh-CN" w:bidi="ar-SA"/>
        </w:rP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rPr>
          <w:rFonts w:hint="default" w:ascii="Times New Roman" w:hAnsi="Times New Roman" w:cs="Times New Roman"/>
          <w:color w:val="auto"/>
          <w:highlight w:val="none"/>
          <w:lang w:val="en-US" w:eastAsia="zh-CN" w:bidi="ar-SA"/>
        </w:rP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rPr>
          <w:rFonts w:hint="default" w:ascii="Times New Roman" w:hAnsi="Times New Roman" w:cs="Times New Roman"/>
          <w:color w:val="auto"/>
          <w:highlight w:val="none"/>
          <w:lang w:val="en-US" w:eastAsia="zh-CN" w:bidi="ar-SA"/>
        </w:rP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rPr>
          <w:rFonts w:hint="default" w:ascii="Times New Roman" w:hAnsi="Times New Roman" w:cs="Times New Roman"/>
          <w:color w:val="auto"/>
          <w:highlight w:val="none"/>
          <w:lang w:val="en-US" w:eastAsia="zh-CN" w:bidi="ar-SA"/>
        </w:rP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jc w:val="center"/>
        <w:keepLines/>
        <w:keepNext/>
        <w:spacing w:line="360" w:lineRule="auto"/>
        <w:rPr>
          <w:rFonts w:hint="default" w:ascii="Times New Roman" w:hAnsi="Times New Roman" w:eastAsia="黑体" w:cs="Times New Roman"/>
          <w:bCs/>
          <w:color w:val="auto"/>
          <w:sz w:val="44"/>
          <w:szCs w:val="44"/>
          <w:highlight w:val="none"/>
        </w:rPr>
        <w:outlineLvl w:val="0"/>
      </w:pPr>
      <w:r/>
      <w:bookmarkStart w:id="245" w:name="_Toc165205796"/>
      <w:r/>
      <w:bookmarkStart w:id="246" w:name="_Toc581"/>
      <w:r>
        <w:rPr>
          <w:rFonts w:hint="default" w:ascii="Times New Roman" w:hAnsi="Times New Roman" w:eastAsia="黑体" w:cs="Times New Roman"/>
          <w:bCs/>
          <w:color w:val="auto"/>
          <w:sz w:val="44"/>
          <w:szCs w:val="44"/>
          <w:highlight w:val="none"/>
        </w:rPr>
        <w:t xml:space="preserve">第三章  合同文本</w:t>
      </w:r>
      <w:bookmarkEnd w:id="245"/>
      <w:r/>
      <w:bookmarkEnd w:id="246"/>
      <w:r/>
      <w:r/>
    </w:p>
    <w:p>
      <w:pPr>
        <w:jc w:val="center"/>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jc w:val="center"/>
        <w:spacing w:line="360" w:lineRule="auto"/>
        <w:rPr>
          <w:rFonts w:hint="default" w:ascii="Times New Roman" w:hAnsi="Times New Roman" w:eastAsia="Arial" w:cs="Times New Roman"/>
          <w:b/>
          <w:bCs/>
          <w:color w:val="auto"/>
          <w:sz w:val="52"/>
          <w:szCs w:val="22"/>
          <w:highlight w:val="none"/>
        </w:rPr>
      </w:pPr>
      <w:r>
        <w:rPr>
          <w:rFonts w:hint="default" w:ascii="Times New Roman" w:hAnsi="Times New Roman" w:eastAsia="Arial" w:cs="Times New Roman"/>
          <w:b/>
          <w:bCs/>
          <w:color w:val="auto"/>
          <w:sz w:val="52"/>
          <w:szCs w:val="22"/>
          <w:highlight w:val="none"/>
        </w:rPr>
      </w:r>
      <w:r/>
    </w:p>
    <w:p>
      <w:pPr>
        <w:jc w:val="center"/>
        <w:spacing w:line="360" w:lineRule="auto"/>
        <w:rPr>
          <w:rFonts w:hint="default" w:ascii="Times New Roman" w:hAnsi="Times New Roman" w:eastAsia="Arial" w:cs="Times New Roman"/>
          <w:b/>
          <w:bCs/>
          <w:color w:val="auto"/>
          <w:sz w:val="52"/>
          <w:szCs w:val="22"/>
          <w:highlight w:val="none"/>
        </w:rPr>
      </w:pPr>
      <w:r>
        <w:rPr>
          <w:rFonts w:hint="default" w:ascii="Times New Roman" w:hAnsi="Times New Roman" w:eastAsia="Arial" w:cs="Times New Roman"/>
          <w:b/>
          <w:bCs/>
          <w:color w:val="auto"/>
          <w:sz w:val="52"/>
          <w:szCs w:val="22"/>
          <w:highlight w:val="none"/>
          <w:lang w:val="en-US" w:eastAsia="zh-CN"/>
        </w:rPr>
        <w:t xml:space="preserve">江</w:t>
      </w:r>
      <w:r>
        <w:rPr>
          <w:rFonts w:hint="default" w:ascii="Times New Roman" w:hAnsi="Times New Roman" w:eastAsia="Arial" w:cs="Times New Roman"/>
          <w:b/>
          <w:bCs/>
          <w:color w:val="auto"/>
          <w:sz w:val="52"/>
          <w:szCs w:val="22"/>
          <w:highlight w:val="none"/>
        </w:rPr>
        <w:t xml:space="preserve"> </w:t>
      </w:r>
      <w:r>
        <w:rPr>
          <w:rFonts w:hint="default" w:ascii="Times New Roman" w:hAnsi="Times New Roman" w:eastAsia="Arial" w:cs="Times New Roman"/>
          <w:b/>
          <w:bCs/>
          <w:color w:val="auto"/>
          <w:sz w:val="52"/>
          <w:szCs w:val="22"/>
          <w:highlight w:val="none"/>
          <w:lang w:val="en-US" w:eastAsia="zh-CN"/>
        </w:rPr>
        <w:t xml:space="preserve">苏</w:t>
      </w:r>
      <w:r>
        <w:rPr>
          <w:rFonts w:hint="default" w:ascii="Times New Roman" w:hAnsi="Times New Roman" w:eastAsia="Arial" w:cs="Times New Roman"/>
          <w:b/>
          <w:bCs/>
          <w:color w:val="auto"/>
          <w:sz w:val="52"/>
          <w:szCs w:val="22"/>
          <w:highlight w:val="none"/>
        </w:rPr>
        <w:t xml:space="preserve"> </w:t>
      </w:r>
      <w:r>
        <w:rPr>
          <w:rFonts w:hint="default" w:ascii="Times New Roman" w:hAnsi="Times New Roman" w:eastAsia="Arial" w:cs="Times New Roman"/>
          <w:b/>
          <w:bCs/>
          <w:color w:val="auto"/>
          <w:sz w:val="52"/>
          <w:szCs w:val="22"/>
          <w:highlight w:val="none"/>
          <w:lang w:val="en-US" w:eastAsia="zh-CN"/>
        </w:rPr>
        <w:t xml:space="preserve">省</w:t>
      </w:r>
      <w:r>
        <w:rPr>
          <w:rFonts w:hint="default" w:ascii="Times New Roman" w:hAnsi="Times New Roman" w:eastAsia="Arial" w:cs="Times New Roman"/>
          <w:b/>
          <w:bCs/>
          <w:color w:val="auto"/>
          <w:sz w:val="52"/>
          <w:szCs w:val="22"/>
          <w:highlight w:val="none"/>
        </w:rPr>
        <w:t xml:space="preserve"> 政 府 采 购</w:t>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t xml:space="preserve">                                                 </w:t>
      </w:r>
      <w:r/>
    </w:p>
    <w:p>
      <w:pPr>
        <w:jc w:val="center"/>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u w:val="single"/>
        </w:rPr>
        <w:t xml:space="preserve">                    </w:t>
      </w:r>
      <w:r>
        <w:rPr>
          <w:rFonts w:hint="default" w:ascii="Times New Roman" w:hAnsi="Times New Roman" w:eastAsia="Arial" w:cs="Times New Roman"/>
          <w:b/>
          <w:bCs/>
          <w:color w:val="auto"/>
          <w:sz w:val="44"/>
          <w:szCs w:val="22"/>
          <w:highlight w:val="none"/>
        </w:rPr>
        <w:t xml:space="preserve">合同</w:t>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r>
      <w:r/>
    </w:p>
    <w:p>
      <w:pPr>
        <w:ind w:firstLine="3059"/>
        <w:spacing w:line="360" w:lineRule="auto"/>
        <w:rPr>
          <w:rFonts w:hint="default" w:ascii="Times New Roman" w:hAnsi="Times New Roman" w:eastAsia="Arial" w:cs="Times New Roman"/>
          <w:b/>
          <w:bCs/>
          <w:color w:val="auto"/>
          <w:sz w:val="44"/>
          <w:szCs w:val="44"/>
          <w:highlight w:val="none"/>
        </w:rPr>
      </w:pPr>
      <w:r>
        <w:rPr>
          <w:rFonts w:hint="default" w:ascii="Times New Roman" w:hAnsi="Times New Roman" w:eastAsia="Arial" w:cs="Times New Roman"/>
          <w:b/>
          <w:bCs/>
          <w:color w:val="auto"/>
          <w:sz w:val="44"/>
          <w:szCs w:val="44"/>
          <w:highlight w:val="none"/>
        </w:rPr>
      </w:r>
      <w:r/>
    </w:p>
    <w:p>
      <w:pPr>
        <w:ind w:firstLine="880"/>
        <w:spacing w:line="360" w:lineRule="auto"/>
        <w:rPr>
          <w:rFonts w:hint="default" w:ascii="Times New Roman" w:hAnsi="Times New Roman" w:eastAsia="Arial" w:cs="Times New Roman"/>
          <w:color w:val="auto"/>
          <w:sz w:val="44"/>
          <w:szCs w:val="44"/>
          <w:highlight w:val="none"/>
        </w:rPr>
      </w:pPr>
      <w:r>
        <w:rPr>
          <w:rFonts w:hint="default" w:ascii="Times New Roman" w:hAnsi="Times New Roman" w:eastAsia="Arial" w:cs="Times New Roman"/>
          <w:color w:val="auto"/>
          <w:sz w:val="44"/>
          <w:szCs w:val="44"/>
          <w:highlight w:val="none"/>
        </w:rPr>
      </w:r>
      <w:r/>
    </w:p>
    <w:p>
      <w:pPr>
        <w:ind w:firstLine="1959"/>
        <w:spacing w:line="360" w:lineRule="auto"/>
        <w:rPr>
          <w:rFonts w:hint="default" w:ascii="Times New Roman" w:hAnsi="Times New Roman" w:eastAsia="Arial" w:cs="Times New Roman"/>
          <w:b/>
          <w:bCs/>
          <w:color w:val="auto"/>
          <w:sz w:val="44"/>
          <w:szCs w:val="44"/>
          <w:highlight w:val="none"/>
        </w:rPr>
      </w:pPr>
      <w:r>
        <w:rPr>
          <w:rFonts w:hint="default" w:ascii="Times New Roman" w:hAnsi="Times New Roman" w:eastAsia="Arial" w:cs="Times New Roman"/>
          <w:b/>
          <w:bCs/>
          <w:color w:val="auto"/>
          <w:sz w:val="44"/>
          <w:szCs w:val="44"/>
          <w:highlight w:val="none"/>
        </w:rPr>
        <w:t xml:space="preserve">合同编号：</w:t>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1752"/>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rPr>
        <w:t xml:space="preserve">采购人</w:t>
      </w:r>
      <w:r>
        <w:rPr>
          <w:rFonts w:hint="default" w:ascii="Times New Roman" w:hAnsi="Times New Roman" w:cs="Times New Roman"/>
          <w:b/>
          <w:bCs/>
          <w:color w:val="auto"/>
          <w:sz w:val="44"/>
          <w:szCs w:val="22"/>
          <w:highlight w:val="none"/>
          <w:lang w:eastAsia="zh-CN"/>
        </w:rPr>
        <w:t xml:space="preserve">（甲方）</w:t>
      </w:r>
      <w:r>
        <w:rPr>
          <w:rFonts w:hint="default" w:ascii="Times New Roman" w:hAnsi="Times New Roman" w:eastAsia="Arial" w:cs="Times New Roman"/>
          <w:b/>
          <w:bCs/>
          <w:color w:val="auto"/>
          <w:sz w:val="44"/>
          <w:szCs w:val="22"/>
          <w:highlight w:val="none"/>
        </w:rPr>
        <w:t xml:space="preserve">：</w:t>
      </w:r>
      <w:r/>
    </w:p>
    <w:p>
      <w:pPr>
        <w:ind w:firstLine="1752"/>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rPr>
        <w:t xml:space="preserve">中标人</w:t>
      </w:r>
      <w:r>
        <w:rPr>
          <w:rFonts w:hint="default" w:ascii="Times New Roman" w:hAnsi="Times New Roman" w:cs="Times New Roman"/>
          <w:b/>
          <w:bCs/>
          <w:color w:val="auto"/>
          <w:sz w:val="44"/>
          <w:szCs w:val="22"/>
          <w:highlight w:val="none"/>
          <w:lang w:eastAsia="zh-CN"/>
        </w:rPr>
        <w:t xml:space="preserve">（乙方）</w:t>
      </w:r>
      <w:r>
        <w:rPr>
          <w:rFonts w:hint="default" w:ascii="Times New Roman" w:hAnsi="Times New Roman"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bCs/>
          <w:color w:val="auto"/>
          <w:sz w:val="44"/>
          <w:highlight w:val="none"/>
          <w:shd w:val="clear" w:color="auto" w:fill="auto"/>
        </w:rPr>
      </w:r>
      <w:r/>
    </w:p>
    <w:p>
      <w:pPr>
        <w:ind w:left="0" w:firstLine="880"/>
        <w:jc w:val="left"/>
        <w:keepLines w:val="0"/>
        <w:pageBreakBefore w:val="0"/>
        <w:spacing w:line="360" w:lineRule="auto"/>
        <w:widowControl w:val="off"/>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bCs/>
          <w:color w:val="auto"/>
          <w:sz w:val="44"/>
          <w:highlight w:val="none"/>
          <w:shd w:val="clear" w:color="auto" w:fill="auto"/>
        </w:rPr>
      </w:r>
      <w:r/>
    </w:p>
    <w:p>
      <w:pPr>
        <w:jc w:val="center"/>
        <w:spacing w:before="156" w:after="156"/>
        <w:rPr>
          <w:rFonts w:hint="default" w:ascii="Times New Roman" w:hAnsi="Times New Roman" w:cs="Times New Roman"/>
          <w:b/>
          <w:bCs/>
          <w:color w:val="auto"/>
          <w:sz w:val="30"/>
          <w:szCs w:val="30"/>
          <w:highlight w:val="none"/>
        </w:rPr>
        <w:outlineLvl w:val="0"/>
      </w:pPr>
      <w:r>
        <w:rPr>
          <w:rFonts w:hint="default" w:ascii="Times New Roman" w:hAnsi="Times New Roman" w:cs="Times New Roman"/>
          <w:b/>
          <w:color w:val="auto"/>
          <w:sz w:val="30"/>
          <w:szCs w:val="21"/>
          <w:highlight w:val="none"/>
        </w:rPr>
      </w:r>
      <w:r>
        <w:rPr>
          <w:rFonts w:hint="default" w:ascii="Times New Roman" w:hAnsi="Times New Roman" w:cs="Times New Roman"/>
          <w:b/>
          <w:color w:val="auto"/>
          <w:sz w:val="30"/>
          <w:szCs w:val="21"/>
          <w:highlight w:val="none"/>
        </w:rPr>
      </w:r>
    </w:p>
    <w:p>
      <w:pPr>
        <w:jc w:val="center"/>
        <w:spacing w:before="156" w:after="156"/>
        <w:rPr>
          <w:rFonts w:hint="default" w:ascii="Times New Roman" w:hAnsi="Times New Roman" w:cs="Times New Roman"/>
          <w:b/>
          <w:bCs/>
          <w:color w:val="auto"/>
          <w:sz w:val="30"/>
          <w:szCs w:val="30"/>
          <w:highlight w:val="none"/>
        </w:rPr>
        <w:outlineLvl w:val="0"/>
      </w:pPr>
      <w:r>
        <w:rPr>
          <w:rFonts w:hint="default" w:ascii="Times New Roman" w:hAnsi="Times New Roman" w:cs="Times New Roman"/>
          <w:b/>
          <w:color w:val="auto"/>
          <w:sz w:val="30"/>
          <w:szCs w:val="21"/>
          <w:highlight w:val="none"/>
        </w:rPr>
      </w:r>
      <w:r>
        <w:rPr>
          <w:rFonts w:hint="default" w:ascii="Times New Roman" w:hAnsi="Times New Roman" w:cs="Times New Roman"/>
          <w:b/>
          <w:color w:val="auto"/>
          <w:sz w:val="30"/>
          <w:szCs w:val="21"/>
          <w:highlight w:val="none"/>
        </w:rPr>
      </w:r>
    </w:p>
    <w:p>
      <w:pPr>
        <w:jc w:val="center"/>
        <w:spacing w:before="156" w:after="156"/>
        <w:rPr>
          <w:rFonts w:hint="default" w:ascii="Times New Roman" w:hAnsi="Times New Roman" w:cs="Times New Roman"/>
          <w:b/>
          <w:bCs/>
          <w:color w:val="auto"/>
          <w:sz w:val="30"/>
          <w:szCs w:val="30"/>
          <w:highlight w:val="none"/>
        </w:rPr>
        <w:outlineLvl w:val="0"/>
      </w:pPr>
      <w:r/>
      <w:bookmarkStart w:id="247" w:name="_Toc4663"/>
      <w:r>
        <w:rPr>
          <w:rFonts w:hint="default" w:ascii="Times New Roman" w:hAnsi="Times New Roman" w:cs="Times New Roman"/>
          <w:b/>
          <w:color w:val="auto"/>
          <w:sz w:val="30"/>
          <w:szCs w:val="21"/>
          <w:highlight w:val="none"/>
        </w:rPr>
        <w:t xml:space="preserve">江苏省政府采购合同（合同编号）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采购包号：***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甲方：（买方/采购人）_________</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乙方：（卖方/</w:t>
      </w:r>
      <w:r>
        <w:rPr>
          <w:rFonts w:hint="default" w:ascii="Times New Roman" w:hAnsi="Times New Roman" w:cs="Times New Roman"/>
          <w:color w:val="auto"/>
          <w:sz w:val="24"/>
          <w:szCs w:val="24"/>
          <w:highlight w:val="none"/>
          <w:lang w:val="en-US" w:eastAsia="zh-CN"/>
        </w:rPr>
        <w:t xml:space="preserve">中标人</w:t>
      </w:r>
      <w:r>
        <w:rPr>
          <w:rFonts w:hint="default" w:ascii="Times New Roman" w:hAnsi="Times New Roman" w:cs="Times New Roman"/>
          <w:color w:val="auto"/>
          <w:sz w:val="24"/>
          <w:szCs w:val="24"/>
          <w:highlight w:val="none"/>
        </w:rPr>
        <w:t xml:space="preserve">）_________</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甲、乙双方根据</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项目</w:t>
      </w:r>
      <w:r>
        <w:rPr>
          <w:rFonts w:hint="default" w:ascii="Times New Roman" w:hAnsi="Times New Roman" w:cs="Times New Roman"/>
          <w:color w:val="auto"/>
          <w:sz w:val="24"/>
          <w:szCs w:val="24"/>
          <w:highlight w:val="none"/>
          <w:lang w:val="en-US" w:eastAsia="zh-CN"/>
        </w:rPr>
        <w:t xml:space="preserve">中标（成交）</w:t>
      </w:r>
      <w:r>
        <w:rPr>
          <w:rFonts w:hint="default" w:ascii="Times New Roman" w:hAnsi="Times New Roman" w:cs="Times New Roman"/>
          <w:color w:val="auto"/>
          <w:sz w:val="24"/>
          <w:szCs w:val="24"/>
          <w:highlight w:val="none"/>
        </w:rPr>
        <w:t xml:space="preserve">的结果，签署本合同。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一、合同内容</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 标的名称：</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 标的质量：</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 标的数量（规模）：</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 履行时间（期限）：</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 履行地点：</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 履行方式：</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二、合同金额</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 本合同金额为（大写）：___________圆（_________元）人民币或其他币种。</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三、技术资料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3.1乙方应按</w:t>
      </w:r>
      <w:r>
        <w:rPr>
          <w:rFonts w:hint="default" w:ascii="Times New Roman" w:hAnsi="Times New Roman" w:cs="Times New Roman"/>
          <w:color w:val="auto"/>
          <w:sz w:val="24"/>
          <w:szCs w:val="24"/>
          <w:highlight w:val="none"/>
          <w:lang w:val="en-US" w:eastAsia="zh-CN"/>
        </w:rPr>
        <w:t xml:space="preserve">招标</w:t>
      </w:r>
      <w:r>
        <w:rPr>
          <w:rFonts w:hint="default" w:ascii="Times New Roman" w:hAnsi="Times New Roman" w:cs="Times New Roman"/>
          <w:color w:val="auto"/>
          <w:sz w:val="24"/>
          <w:szCs w:val="24"/>
          <w:highlight w:val="none"/>
        </w:rPr>
        <w:t xml:space="preserve">文件规定的时间向甲方提供与合同标的有关的技术资料。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四、知识产权</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360" w:lineRule="auto"/>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b/>
          <w:color w:val="auto"/>
          <w:sz w:val="24"/>
          <w:szCs w:val="24"/>
          <w:highlight w:val="none"/>
        </w:rPr>
        <w:t xml:space="preserve">五、产权担保</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5.1 乙方保证所交付的合同标的的所有权完全属于乙方且无任何抵押、查封等产权瑕疵。</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六、履约保证金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 乙方交纳人民币___元作为本合同的履约保证金。（不得超过合同金额的10%）</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6.2合同履行结束后，甲方应及时退还交纳的履约保证金。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6.2.1履约保证金退还方式：***</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6.2.2履约保证金退还时间：***</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6.2.3履约保证金退还条件：***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6.2.4履约保证金不予退还的情形：***</w:t>
      </w:r>
      <w:r/>
    </w:p>
    <w:p>
      <w:pPr>
        <w:ind w:left="0" w:firstLine="482"/>
        <w:keepLines w:val="0"/>
        <w:keepNext w:val="0"/>
        <w:pageBreakBefore w:val="0"/>
        <w:spacing w:line="360" w:lineRule="auto"/>
        <w:widowControl w:val="off"/>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 xml:space="preserve">七、合同转包或分包</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7.1乙方不得将合同标的转包给他人履行。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w:t>
      </w:r>
      <w:r>
        <w:rPr>
          <w:rFonts w:hint="default" w:ascii="Times New Roman" w:hAnsi="Times New Roman" w:cs="Times New Roman"/>
          <w:color w:val="auto"/>
          <w:sz w:val="24"/>
          <w:szCs w:val="24"/>
          <w:highlight w:val="none"/>
          <w:lang w:val="en-US" w:eastAsia="zh-CN"/>
        </w:rPr>
        <w:t xml:space="preserve">未经甲方同意，</w:t>
      </w:r>
      <w:r>
        <w:rPr>
          <w:rFonts w:hint="default" w:ascii="Times New Roman" w:hAnsi="Times New Roman" w:cs="Times New Roman"/>
          <w:color w:val="auto"/>
          <w:sz w:val="24"/>
          <w:szCs w:val="24"/>
          <w:highlight w:val="none"/>
        </w:rPr>
        <w:t xml:space="preserve">乙方不得将合同标的分包给他人履行。</w:t>
      </w:r>
      <w:r/>
    </w:p>
    <w:p>
      <w:pPr>
        <w:ind w:left="0" w:firstLine="480"/>
        <w:keepLines w:val="0"/>
        <w:keepNext w:val="0"/>
        <w:pageBreakBefore w:val="0"/>
        <w:spacing w:line="360" w:lineRule="auto"/>
        <w:widowControl w:val="off"/>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 xml:space="preserve">7.3乙方如有转包或未经甲方同意的分包行为，甲方有权解除合同。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八、合同款项支付</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8.1合同款项的支付方式及进度安排</w:t>
      </w:r>
      <w:r/>
    </w:p>
    <w:p>
      <w:pPr>
        <w:ind w:left="0" w:firstLine="482"/>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u w:val="single"/>
          <w:lang w:val="en-US" w:eastAsia="zh-CN"/>
        </w:rPr>
      </w:pPr>
      <w:r>
        <w:rPr>
          <w:rFonts w:hint="default" w:ascii="Times New Roman" w:hAnsi="Times New Roman" w:cs="Times New Roman"/>
          <w:b/>
          <w:color w:val="auto"/>
          <w:sz w:val="24"/>
          <w:szCs w:val="24"/>
          <w:highlight w:val="none"/>
          <w:u w:val="single"/>
          <w:lang w:val="en-US" w:eastAsia="zh-CN"/>
        </w:rPr>
        <w:t xml:space="preserve">                                                   </w:t>
      </w:r>
      <w:r/>
    </w:p>
    <w:p>
      <w:pPr>
        <w:ind w:left="0" w:firstLine="482"/>
        <w:keepLines w:val="0"/>
        <w:keepNext w:val="0"/>
        <w:pageBreakBefore w:val="0"/>
        <w:spacing w:line="360" w:lineRule="auto"/>
        <w:widowControl w:val="off"/>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 xml:space="preserve">九、税费</w:t>
      </w:r>
      <w:r/>
    </w:p>
    <w:p>
      <w:pPr>
        <w:ind w:left="0" w:firstLine="480"/>
        <w:keepLines w:val="0"/>
        <w:keepNext w:val="0"/>
        <w:pageBreakBefore w:val="0"/>
        <w:spacing w:line="360" w:lineRule="auto"/>
        <w:widowControl w:val="off"/>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 xml:space="preserve">9.1本合同执行中相关的一切税费均由乙方负担。</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十、项目验收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 甲方依法组织履约验收工作。</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10.3 对于实际使用人和甲方分离的项目，甲方邀请实际使用人参与验收。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十一、违约责任</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11.1甲方无正当理由拒绝接受乙方提供的合同标的的，甲方向乙方偿付拒绝接受合同价款总值</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甲方无故逾期验收和办理合同款项支付手续的,甲方应按逾期付款总额</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每日向乙方支付违约金。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 乙方逾期交付合同标的的，乙方应按逾期交付合同总额每日万分之</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cs="Times New Roman"/>
          <w:color w:val="auto"/>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 乙方交付合同标的的标准不符合合同规定及</w:t>
      </w:r>
      <w:r>
        <w:rPr>
          <w:rFonts w:hint="default" w:ascii="Times New Roman" w:hAnsi="Times New Roman" w:cs="Times New Roman"/>
          <w:color w:val="auto"/>
          <w:sz w:val="24"/>
          <w:szCs w:val="24"/>
          <w:highlight w:val="none"/>
          <w:lang w:val="en-US" w:eastAsia="zh-CN"/>
        </w:rPr>
        <w:t xml:space="preserve">招标</w:t>
      </w:r>
      <w:r>
        <w:rPr>
          <w:rFonts w:hint="default" w:ascii="Times New Roman" w:hAnsi="Times New Roman" w:cs="Times New Roman"/>
          <w:color w:val="auto"/>
          <w:sz w:val="24"/>
          <w:szCs w:val="24"/>
          <w:highlight w:val="none"/>
        </w:rPr>
        <w:t xml:space="preserve">文件规定标准的，甲方有权拒绝接受合同标的，并可单方面解除合同。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十二、不可抗力事件处理</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 在合同有效期内，任何一方因不可抗力事件导致不能履行合同，则合同履行期可延长，其延长期与不可抗力影响 期相同。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 不可抗力事件发生后，应立即通知对方，并寄送有关权威机构出具的证明。</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不可抗力事件延续120天以上，双方应通过友好协商，确定是否继续履行合同。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十三、解决争议的方法</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13.1双方在签订、履行合同中所发生的一切争议，应通过友好协商解决。如协商不成，由甲方住所地人民法院管辖。</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十四、合同生效及其它</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.1 合同经双方法定代表人或授权委托代表人签字并加盖单位公章后生效。</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.2本合同未尽事宜，遵照中华人民共和国现行法律法规有关条文执行。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.3 本合同正本一式三份，具有同等法律效力，甲方、乙方及财政监管部门各执一份。</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甲方：                        乙方：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地址：                        地址：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法定代表人或授权代表：        法定代表人或授权代表：</w:t>
      </w:r>
      <w:r/>
    </w:p>
    <w:p>
      <w:pPr>
        <w:ind w:left="0" w:firstLine="48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联系电话：                    联系电话：          </w:t>
      </w:r>
      <w:r/>
    </w:p>
    <w:p>
      <w:pPr>
        <w:ind w:left="0" w:firstLine="420"/>
        <w:keepLines w:val="0"/>
        <w:keepNext w:val="0"/>
        <w:pageBreakBefore w:val="0"/>
        <w:spacing w:line="360" w:lineRule="auto"/>
        <w:widowControl w:val="off"/>
        <w:rPr>
          <w:rFonts w:hint="default" w:ascii="Times New Roman" w:hAnsi="Times New Roman" w:cs="Times New Roman"/>
          <w:bCs/>
          <w:color w:val="auto"/>
          <w:sz w:val="24"/>
          <w:szCs w:val="24"/>
          <w:highlight w:val="none"/>
        </w:rPr>
      </w:pP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 w:val="24"/>
          <w:szCs w:val="24"/>
          <w:highlight w:val="none"/>
        </w:rPr>
        <w:t xml:space="preserve">签订日期：      年    月   日</w:t>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t xml:space="preserve">     </w:t>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rPr>
        <w:outlineLvl w:val="0"/>
      </w:pPr>
      <w:r>
        <w:rPr>
          <w:rFonts w:hint="default" w:ascii="Times New Roman" w:hAnsi="Times New Roman" w:eastAsia="黑体" w:cs="Times New Roman"/>
          <w:color w:val="auto"/>
          <w:sz w:val="44"/>
          <w:szCs w:val="44"/>
          <w:highlight w:val="none"/>
          <w:shd w:val="clear" w:color="auto" w:fill="auto"/>
          <w:lang w:val="en-US" w:eastAsia="zh-CN" w:bidi="ar-SA"/>
        </w:rPr>
        <w:t xml:space="preserve">第</w:t>
      </w:r>
      <w:bookmarkEnd w:id="239"/>
      <w:r>
        <w:rPr>
          <w:rFonts w:hint="default" w:ascii="Times New Roman"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bookmarkEnd w:id="247"/>
      <w:r>
        <w:rPr>
          <w:rFonts w:hint="default" w:ascii="Times New Roman"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Times New Roman" w:hAnsi="Times New Roman" w:eastAsia="宋体" w:cs="Times New Roman"/>
          <w:b/>
          <w:bCs/>
          <w:color w:val="auto"/>
          <w:sz w:val="24"/>
          <w:szCs w:val="24"/>
          <w:highlight w:val="none"/>
        </w:rPr>
      </w:pPr>
      <w:r/>
      <w:bookmarkStart w:id="248" w:name="_Toc3139"/>
      <w:r/>
      <w:bookmarkStart w:id="249" w:name="_Toc19583"/>
      <w:r/>
      <w:bookmarkStart w:id="250" w:name="_Toc49090575"/>
      <w:r/>
      <w:bookmarkStart w:id="251" w:name="_Toc120614281"/>
      <w:r/>
      <w:bookmarkStart w:id="252" w:name="_Toc26554093"/>
      <w:r>
        <w:rPr>
          <w:rFonts w:hint="default" w:ascii="Times New Roman" w:hAnsi="Times New Roman" w:eastAsia="宋体" w:cs="Times New Roman"/>
          <w:color w:val="auto"/>
          <w:sz w:val="24"/>
          <w:szCs w:val="24"/>
          <w:highlight w:val="none"/>
        </w:rPr>
        <w:t xml:space="preserve">说明：本项目采购</w:t>
      </w:r>
      <w:r>
        <w:rPr>
          <w:rFonts w:hint="default" w:ascii="Times New Roman" w:hAnsi="Times New Roman" w:eastAsia="宋体" w:cs="Times New Roman"/>
          <w:color w:val="auto"/>
          <w:sz w:val="24"/>
          <w:szCs w:val="24"/>
          <w:highlight w:val="none"/>
          <w:lang w:eastAsia="zh-CN"/>
        </w:rPr>
        <w:t xml:space="preserve">方式</w:t>
      </w:r>
      <w:r>
        <w:rPr>
          <w:rFonts w:hint="default" w:ascii="Times New Roman" w:hAnsi="Times New Roman" w:eastAsia="宋体" w:cs="Times New Roman"/>
          <w:color w:val="auto"/>
          <w:sz w:val="24"/>
          <w:szCs w:val="24"/>
          <w:highlight w:val="none"/>
        </w:rPr>
        <w:t xml:space="preserve">为公开招标，项目属性为</w:t>
      </w:r>
      <w:r>
        <w:rPr>
          <w:rFonts w:hint="default" w:ascii="Times New Roman" w:hAnsi="Times New Roman" w:eastAsia="宋体" w:cs="Times New Roman"/>
          <w:b/>
          <w:bCs/>
          <w:color w:val="auto"/>
          <w:sz w:val="24"/>
          <w:szCs w:val="24"/>
          <w:highlight w:val="none"/>
        </w:rPr>
        <w:t xml:space="preserve">服务</w:t>
      </w:r>
      <w:r>
        <w:rPr>
          <w:rFonts w:hint="default" w:ascii="Times New Roman" w:hAnsi="Times New Roman" w:eastAsia="宋体" w:cs="Times New Roman"/>
          <w:color w:val="auto"/>
          <w:sz w:val="24"/>
          <w:szCs w:val="24"/>
          <w:highlight w:val="none"/>
        </w:rPr>
        <w:t xml:space="preserve">，采购标的对应的中小企业划分标准所属行业为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
          <w:color w:val="auto"/>
          <w:sz w:val="24"/>
          <w:szCs w:val="21"/>
          <w:highlight w:val="none"/>
          <w:u w:val="single"/>
        </w:rPr>
        <w:t xml:space="preserve">其他未列明行业</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default" w:ascii="Times New Roman" w:hAnsi="Times New Roman" w:eastAsia="宋体" w:cs="Times New Roman"/>
          <w:b/>
          <w:color w:val="auto"/>
          <w:sz w:val="24"/>
          <w:szCs w:val="24"/>
          <w:highlight w:val="none"/>
        </w:rPr>
        <w:t xml:space="preserve">本章中标注★的款项为实质性要求和条件，投标人必须对实质性要求和条件逐条作出明确响应，否则按无效响应处理。</w:t>
      </w:r>
      <w:r/>
    </w:p>
    <w:p>
      <w:pPr>
        <w:ind w:firstLine="482"/>
        <w:keepLines w:val="0"/>
        <w:keepNext w:val="0"/>
        <w:pageBreakBefore w:val="0"/>
        <w:spacing w:line="360" w:lineRule="auto"/>
        <w:widowControl w:val="off"/>
        <w:tabs>
          <w:tab w:val="left" w:pos="0" w:leader="none"/>
        </w:tabs>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eastAsia="zh-CN"/>
        </w:rPr>
        <w:t xml:space="preserve">一、</w:t>
      </w:r>
      <w:r>
        <w:rPr>
          <w:rFonts w:hint="default" w:ascii="Times New Roman" w:hAnsi="Times New Roman" w:cs="Times New Roman"/>
          <w:b/>
          <w:color w:val="auto"/>
          <w:sz w:val="24"/>
          <w:szCs w:val="24"/>
          <w:highlight w:val="none"/>
          <w:lang w:val="en-US" w:eastAsia="zh-CN"/>
        </w:rPr>
        <w:t xml:space="preserve">项目背景</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党的二十届四中全会审议通过《中共中央关于制定国民经济和社会发展第十五个五年规划的建议》，明确了国家发展目标与措施任务，为水利改革发展事业未来五年的工作指明了方向：加快建设现代化水网，增强洪涝灾害防御、水资源统筹调配、城乡供水保障能力；完善资源总量管理和全面节约制度，提升水资源集约节约安全利用水平。</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水资源监测</w:t>
      </w:r>
      <w:r>
        <w:rPr>
          <w:rFonts w:hint="default" w:ascii="Times New Roman" w:hAnsi="Times New Roman" w:eastAsia="宋体" w:cs="Times New Roman"/>
          <w:color w:val="auto"/>
          <w:sz w:val="21"/>
          <w:szCs w:val="21"/>
          <w:highlight w:val="none"/>
        </w:rPr>
        <w:t xml:space="preserve">体系是落实水资源刚性约束制度的基础，是精打细算用好水资源、从严从细管好水资源的关键手段。根据水利部办公厅《关于开展2026—2027年取用水监测计量能力提升重点项目储备工作的通知》（办资管函〔2025〕572号）、《全国水资源监测体系建设总体工作方案（2024—2027年）》《取用水监测计量能力提升三年行动方案》。按照《水利部水资源管理司关于做好2026年度取用水监测计量能力提升重点项目实施方案编制工作的通知》（资管综函〔2025〕65号）要求，拟开展古泊善后河流域取用水监测计量能力提升重点项目的实施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2.流域基本情况</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古泊善后河是区域性骨干河道，等级为3级，主要功能包括供水、行洪、排涝及航运等，在原有的古涟河、泊洋河、善后河的基础上疏浚开挖而成。沿线地势自西向东微倾，地貌以平原为主，地势较平坦，地面高程自西向东大部在2.5～5m，以农田和村庄</w:t>
      </w:r>
      <w:r>
        <w:rPr>
          <w:rFonts w:hint="default" w:ascii="Times New Roman" w:hAnsi="Times New Roman" w:eastAsia="宋体" w:cs="Times New Roman"/>
          <w:color w:val="auto"/>
          <w:sz w:val="21"/>
          <w:szCs w:val="21"/>
          <w:highlight w:val="none"/>
        </w:rPr>
        <w:t xml:space="preserve">为主，整体地形相对较为开阔。古泊善后河上起沭阳县李湾乡，下至东陬山，经善后新闸入海，全长77.1km。汇水范围主要在盐河以西，西至沭新河、北至蔷薇河、南至新沂河，流域面积1135.4km²。其中连云港市境内（包括东辛农场）长49.2km、流域面积565 km2，涉及连云港市灌云县、海州区、连云区（徐圩新区），其中市界～卓王河口段左岸约15.5km为灌云县范围，卓王河口～埃字河口段左岸约20.6km为海州区范围，埃字河口～善后新闸段左岸约13.1km为连云区（徐圩新区）范围，全线右岸49.2km为灌云县范围。</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古泊善后河是新沂河以北地区主要排水干河，是一条具有防洪、排涝、供水、航运等综合功能的河道。河道西起沭阳水坡，向东穿过盐河，至连云港东陬山善后新闸。既是区域防洪排涝体系的关键组成部分，承担着上游及沿线地区涝水外排的重要任务，同时也为沿岸城乡生活生产、农业灌溉及生态环境用水提供重要水源保障，对保障连云港市及周边相关区域的防洪安全、供水安全、生态安全和航运畅通均具有不可替代的重要作用。</w:t>
      </w:r>
      <w:r/>
    </w:p>
    <w:p>
      <w:pPr>
        <w:ind w:firstLine="482"/>
        <w:keepLines w:val="0"/>
        <w:keepNext w:val="0"/>
        <w:pageBreakBefore w:val="0"/>
        <w:spacing w:line="360" w:lineRule="auto"/>
        <w:widowControl w:val="off"/>
        <w:tabs>
          <w:tab w:val="left" w:pos="0" w:leader="none"/>
        </w:tabs>
        <w:rPr>
          <w:rFonts w:hint="default" w:ascii="Times New Roman" w:hAnsi="Times New Roman"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 xml:space="preserve">二、</w:t>
      </w:r>
      <w:r>
        <w:rPr>
          <w:rFonts w:hint="default" w:ascii="Times New Roman" w:hAnsi="Times New Roman" w:cs="Times New Roman"/>
          <w:b/>
          <w:color w:val="auto"/>
          <w:sz w:val="24"/>
          <w:szCs w:val="24"/>
          <w:highlight w:val="none"/>
          <w:lang w:val="en-US" w:eastAsia="zh-CN"/>
        </w:rPr>
        <w:t xml:space="preserve">服务内容及要求</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cs="Times New Roman"/>
          <w:b/>
          <w:bCs w:val="0"/>
          <w:color w:val="auto"/>
          <w:sz w:val="21"/>
          <w:szCs w:val="21"/>
          <w:highlight w:val="none"/>
          <w:lang w:val="en-US" w:eastAsia="zh-CN"/>
        </w:rPr>
        <w:t xml:space="preserve">1</w:t>
      </w:r>
      <w:r>
        <w:rPr>
          <w:rFonts w:hint="default" w:ascii="Times New Roman" w:hAnsi="Times New Roman" w:eastAsia="宋体" w:cs="Times New Roman"/>
          <w:b/>
          <w:bCs w:val="0"/>
          <w:color w:val="auto"/>
          <w:sz w:val="21"/>
          <w:szCs w:val="21"/>
          <w:highlight w:val="none"/>
          <w:lang w:val="en-US" w:eastAsia="zh-CN"/>
        </w:rPr>
        <w:t xml:space="preserve">.优化取水口在线监测计量</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 xml:space="preserve">（1）</w:t>
      </w:r>
      <w:r>
        <w:rPr>
          <w:rFonts w:hint="default" w:ascii="Times New Roman" w:hAnsi="Times New Roman" w:eastAsia="宋体" w:cs="Times New Roman"/>
          <w:b w:val="0"/>
          <w:bCs/>
          <w:color w:val="auto"/>
          <w:sz w:val="21"/>
          <w:szCs w:val="21"/>
          <w:highlight w:val="none"/>
          <w:lang w:val="en-US" w:eastAsia="zh-CN"/>
        </w:rPr>
        <w:t xml:space="preserve">建设内容：拟新设在线计量设施26处，其中古泊善后河沿线取水口门20处，通榆河沿线主要取水口门6处。</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 xml:space="preserve">（2）</w:t>
      </w:r>
      <w:r>
        <w:rPr>
          <w:rFonts w:hint="default" w:ascii="Times New Roman" w:hAnsi="Times New Roman" w:eastAsia="宋体" w:cs="Times New Roman"/>
          <w:b w:val="0"/>
          <w:bCs/>
          <w:color w:val="auto"/>
          <w:sz w:val="21"/>
          <w:szCs w:val="21"/>
          <w:highlight w:val="none"/>
          <w:lang w:val="en-US" w:eastAsia="zh-CN"/>
        </w:rPr>
        <w:t xml:space="preserve">应用场景</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①统计各行政区在善后河的用水总量，为监督落实水量分配方案、实施严格的流域用水总量控制提供数据支撑。</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②实时监控各行政区用水强度，实施精准管控，保障灌区有序灌溉和连云区（徐圩新区）工业、生活用水安全。</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★③监测数据接入江苏水资源与节约用水平台、连云港市水旱灾害防御调度指挥平台</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实现数据共享及融合运用</w:t>
      </w:r>
      <w:r>
        <w:rPr>
          <w:rFonts w:hint="default" w:ascii="Times New Roman" w:hAnsi="Times New Roman" w:eastAsia="宋体" w:cs="Times New Roman"/>
          <w:b w:val="0"/>
          <w:bCs/>
          <w:color w:val="auto"/>
          <w:sz w:val="21"/>
          <w:szCs w:val="21"/>
          <w:highlight w:val="none"/>
          <w:lang w:val="en-US" w:eastAsia="zh-CN"/>
        </w:rPr>
        <w:t xml:space="preserve">。</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2</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选取典型田块进行全面计量监测</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（1）建设内容：选取3处典型田块，对其所有口门配备在线计量设施（双向测流）。</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（2）应用场景：以点带面，通过对典型田块的用水量进行全口径计量，计算出典型田块的亩均用水量，进而估算整体区域的取用水量，以作为整个灌区灌溉用水量测算的参考。</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3.数据质量提升</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对已装计量的21个农灌泵站加装数据采集设备，升级改造为在线计量。对流域涉及的40处灌云县、连云区（徐圩新区）已建设的农业计量进行检定修复。</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流域范围内规模以上取水在线计量数据到报率≥95%，非农取水在线计量数据异常率≤10%。</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4</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取水计量数据融合应用</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1）建设内容与核心产出：以多源数据整合、融合监管应用为核心，开展农灌高峰期用水监测、流域年度取用水量核算、水资源承载能力评价，并在连云港市水旱灾害防御调度指挥平台部署水资源管理模块，实现可视化管控与决策支持，全面提升取用水监管与水资源调配能力。</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（2）应用场景</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①农灌高峰期用水监测</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一是用水强度阈值设定与应用。利用取水口控制灌溉面积、作物需水特性（水稻、小麦、玉米等）、土壤类型、气象数据（降雨、蒸发），制定农业灌溉高峰期（6-9月）用水强度阈值。.</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二是异常用水行为识别分析。基于历史多年农灌用水数据、气象数据及作物需水特性，分析灌区用水变化规律，形成用水强度基准。在此基础上，对实时用水强度进行动态监测，识别可能存在的异常情况（如非灌溉期高流量、突变超限等），标记为疑似问题并推送至管理人员复核。</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②流域年度取用水量核算</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在数据融合基础上，研发古泊善后河流域取用水量核算技术方法，开展流域水量平衡计算，形成一套较为完整科学、可靠的流域取用水核算方法，并提出年度取用水量数据核算成果。</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③水资源承载能力评价</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以县级行政区为单元，对全市各行政区水资源承载能力进行评价。评价依据省下达的用水总量控制指标和地下水水量水位双控指标，从水资源禀赋、用水总量管控、地下水双控、用水效率、生态环境等维度选取指标。</w:t>
      </w:r>
      <w:r/>
    </w:p>
    <w:p>
      <w:pPr>
        <w:ind w:firstLine="482"/>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三、</w:t>
      </w:r>
      <w:r>
        <w:rPr>
          <w:rFonts w:hint="default" w:ascii="Times New Roman" w:hAnsi="Times New Roman" w:cs="Times New Roman"/>
          <w:b/>
          <w:color w:val="auto"/>
          <w:sz w:val="24"/>
          <w:szCs w:val="24"/>
          <w:highlight w:val="none"/>
          <w:lang w:val="en-US" w:eastAsia="zh-CN"/>
        </w:rPr>
        <w:t xml:space="preserve">技术要求（采购标的需实现的功能或者目标）</w:t>
      </w:r>
      <w:r/>
    </w:p>
    <w:p>
      <w:pPr>
        <w:ind w:left="0" w:right="0" w:firstLine="420"/>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w:t>
      </w:r>
      <w:r>
        <w:rPr>
          <w:rFonts w:hint="default" w:ascii="Times New Roman" w:hAnsi="Times New Roman" w:cs="Times New Roman"/>
          <w:b/>
          <w:bCs/>
          <w:color w:val="auto"/>
          <w:sz w:val="24"/>
          <w:szCs w:val="24"/>
          <w:highlight w:val="none"/>
          <w:lang w:val="en-US" w:eastAsia="zh-CN"/>
        </w:rPr>
        <w:t xml:space="preserve">服务</w:t>
      </w:r>
      <w:r>
        <w:rPr>
          <w:rFonts w:hint="default" w:ascii="Times New Roman" w:hAnsi="Times New Roman" w:cs="Times New Roman"/>
          <w:b/>
          <w:bCs/>
          <w:color w:val="auto"/>
          <w:sz w:val="24"/>
          <w:szCs w:val="24"/>
          <w:highlight w:val="none"/>
        </w:rPr>
        <w:t xml:space="preserve">内容</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1.1取水在线计量设施建设共26处，主要包括在</w:t>
      </w:r>
      <w:r>
        <w:rPr>
          <w:rFonts w:hint="default" w:ascii="Times New Roman" w:hAnsi="Times New Roman" w:cs="Times New Roman"/>
          <w:color w:val="auto"/>
          <w:highlight w:val="none"/>
          <w:lang w:val="en-US" w:eastAsia="zh-CN"/>
        </w:rPr>
        <w:t xml:space="preserve">26</w:t>
      </w:r>
      <w:r>
        <w:rPr>
          <w:rFonts w:hint="default" w:ascii="Times New Roman" w:hAnsi="Times New Roman" w:cs="Times New Roman"/>
          <w:color w:val="auto"/>
          <w:highlight w:val="none"/>
        </w:rPr>
        <w:t xml:space="preserve">处关键部位建设高精度声学多普勒流速剖面仪（ADCP）。任务清单如下：</w:t>
      </w:r>
      <w:r/>
    </w:p>
    <w:tbl>
      <w:tblPr>
        <w:tblStyle w:val="718"/>
        <w:tblW w:w="4884"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955"/>
        <w:gridCol w:w="1505"/>
        <w:gridCol w:w="1039"/>
        <w:gridCol w:w="1201"/>
        <w:gridCol w:w="919"/>
        <w:gridCol w:w="1135"/>
        <w:gridCol w:w="1367"/>
      </w:tblGrid>
      <w:tr>
        <w:trPr>
          <w:jc w:val="center"/>
          <w:trHeight w:val="845"/>
          <w:tblHeader/>
        </w:trPr>
        <w:tc>
          <w:tcPr>
            <w:shd w:val="clear" w:color="auto" w:fill="ffffff" w:themeFill="background1"/>
            <w:tcW w:w="341"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序号</w:t>
            </w:r>
            <w:r/>
          </w:p>
        </w:tc>
        <w:tc>
          <w:tcPr>
            <w:shd w:val="clear" w:color="auto" w:fill="ffffff" w:themeFill="background1"/>
            <w:tcW w:w="547"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Style w:val="1026"/>
                <w:rFonts w:hint="default" w:ascii="Times New Roman" w:hAnsi="Times New Roman" w:eastAsia="仿宋" w:cs="Times New Roman"/>
                <w:b/>
                <w:bCs/>
                <w:color w:val="auto"/>
                <w:sz w:val="21"/>
                <w:szCs w:val="21"/>
                <w:highlight w:val="none"/>
                <w:lang w:bidi="ar"/>
              </w:rPr>
              <w:t xml:space="preserve">河流/河段名称</w:t>
            </w:r>
            <w:r/>
          </w:p>
        </w:tc>
        <w:tc>
          <w:tcPr>
            <w:shd w:val="clear" w:color="auto" w:fill="ffffff" w:themeFill="background1"/>
            <w:tcW w:w="863"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所在行政区</w:t>
            </w:r>
            <w:r>
              <w:rPr>
                <w:rFonts w:hint="default" w:ascii="Times New Roman" w:hAnsi="Times New Roman" w:cs="Times New Roman"/>
                <w:b/>
                <w:bCs/>
                <w:color w:val="auto"/>
                <w:sz w:val="21"/>
                <w:szCs w:val="21"/>
                <w:highlight w:val="none"/>
                <w:lang w:eastAsia="zh-CN" w:bidi="ar"/>
              </w:rPr>
              <w:t xml:space="preserve">（</w:t>
            </w:r>
            <w:r>
              <w:rPr>
                <w:rFonts w:hint="default" w:ascii="Times New Roman" w:hAnsi="Times New Roman" w:cs="Times New Roman"/>
                <w:b/>
                <w:bCs/>
                <w:color w:val="auto"/>
                <w:sz w:val="21"/>
                <w:szCs w:val="21"/>
                <w:highlight w:val="none"/>
                <w:lang w:bidi="ar"/>
              </w:rPr>
              <w:t xml:space="preserve">省市县</w:t>
            </w:r>
            <w:r>
              <w:rPr>
                <w:rFonts w:hint="default" w:ascii="Times New Roman" w:hAnsi="Times New Roman" w:cs="Times New Roman"/>
                <w:b/>
                <w:bCs/>
                <w:color w:val="auto"/>
                <w:sz w:val="21"/>
                <w:szCs w:val="21"/>
                <w:highlight w:val="none"/>
                <w:lang w:eastAsia="zh-CN" w:bidi="ar"/>
              </w:rPr>
              <w:t xml:space="preserve">）</w:t>
            </w:r>
            <w:r/>
          </w:p>
        </w:tc>
        <w:tc>
          <w:tcPr>
            <w:shd w:val="clear" w:color="auto" w:fill="ffffff" w:themeFill="background1"/>
            <w:tcW w:w="596"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取水河道名称</w:t>
            </w:r>
            <w:r/>
          </w:p>
        </w:tc>
        <w:tc>
          <w:tcPr>
            <w:shd w:val="clear" w:color="auto" w:fill="ffffff" w:themeFill="background1"/>
            <w:tcW w:w="688"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取用水户名称</w:t>
            </w:r>
            <w:r/>
          </w:p>
        </w:tc>
        <w:tc>
          <w:tcPr>
            <w:shd w:val="clear" w:color="auto" w:fill="ffffff" w:themeFill="background1"/>
            <w:tcW w:w="526"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取水用途</w:t>
            </w:r>
            <w:r/>
          </w:p>
        </w:tc>
        <w:tc>
          <w:tcPr>
            <w:shd w:val="clear" w:color="auto" w:fill="ffffff" w:themeFill="background1"/>
            <w:tcW w:w="650"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在线计量设施类型</w:t>
            </w:r>
            <w:r/>
          </w:p>
        </w:tc>
        <w:tc>
          <w:tcPr>
            <w:shd w:val="clear" w:color="auto" w:fill="ffffff" w:themeFill="background1"/>
            <w:tcW w:w="784"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建设类型</w:t>
            </w:r>
            <w:r/>
          </w:p>
        </w:tc>
      </w:tr>
      <w:tr>
        <w:trPr>
          <w:jc w:val="center"/>
          <w:trHeight w:val="67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西泊涟河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16"/>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东滂沟河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16"/>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西护岭河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62"/>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客水河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8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董庄干河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2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千斤大沟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8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7</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沙杭大沟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孙庄灌区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3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8</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徐大沟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95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9</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二道沟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04"/>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10</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善南船闸（盐河南）</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75"/>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洪高河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3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云善河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02"/>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玉山河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58"/>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东辛引水河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忆帆河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大新河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17</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江苏省连云港市徐圩新区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中干河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东辛农场灌区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493"/>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18</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双闸大沟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界北灌区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19</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江苏省连云港市徐圩新区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东辛农场灌区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31"/>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20</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杨大口</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62"/>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石剑河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7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芦济沟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56"/>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东门五图河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49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2"/>
                <w:highlight w:val="none"/>
              </w:rPr>
            </w:pPr>
            <w:r>
              <w:rPr>
                <w:rFonts w:hint="default" w:ascii="Times New Roman" w:hAnsi="Times New Roman" w:cs="Times New Roman"/>
                <w:color w:val="auto"/>
                <w:sz w:val="21"/>
                <w:szCs w:val="22"/>
                <w:highlight w:val="none"/>
              </w:rPr>
              <w:t xml:space="preserve">24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白蚬河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53"/>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界圩河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3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车轴河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bl>
    <w:p>
      <w:pPr>
        <w:ind w:left="0" w:right="0"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注：上述在线设施具体安装地点按采购人要求执行。</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w:t>
      </w:r>
      <w:r>
        <w:rPr>
          <w:rFonts w:hint="default" w:ascii="Times New Roman" w:hAnsi="Times New Roman" w:cs="Times New Roman"/>
          <w:color w:val="auto"/>
          <w:highlight w:val="none"/>
          <w:lang w:val="en-US" w:eastAsia="zh-CN"/>
        </w:rPr>
        <w:t xml:space="preserve">选取</w:t>
      </w:r>
      <w:r>
        <w:rPr>
          <w:rFonts w:hint="default" w:ascii="Times New Roman" w:hAnsi="Times New Roman" w:cs="Times New Roman"/>
          <w:color w:val="auto"/>
          <w:highlight w:val="none"/>
        </w:rPr>
        <w:t xml:space="preserve">3处典型田块，实施全口径计量设施建设，主要包括在典型田块做全口径取水计量，全面分析研究典型田块农作物的全生命周期用水规律、亩均用水量、灌溉定额修正。任务清单如下：</w:t>
      </w:r>
      <w:r/>
    </w:p>
    <w:tbl>
      <w:tblPr>
        <w:tblStyle w:val="718"/>
        <w:tblW w:w="4881" w:type="pct"/>
        <w:tblInd w:w="10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067"/>
        <w:gridCol w:w="1730"/>
        <w:gridCol w:w="926"/>
        <w:gridCol w:w="1294"/>
        <w:gridCol w:w="742"/>
        <w:gridCol w:w="1041"/>
        <w:gridCol w:w="1213"/>
      </w:tblGrid>
      <w:tr>
        <w:trPr>
          <w:trHeight w:val="824"/>
        </w:trPr>
        <w:tc>
          <w:tcPr>
            <w:shd w:val="clear" w:color="auto" w:fill="ffffff"/>
            <w:tcW w:w="40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shd w:val="clear" w:color="auto" w:fill="ffffff"/>
            <w:tcW w:w="612"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河流/河段名称</w:t>
            </w:r>
            <w:r/>
          </w:p>
        </w:tc>
        <w:tc>
          <w:tcPr>
            <w:shd w:val="clear" w:color="auto" w:fill="ffffff"/>
            <w:tcW w:w="993"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所在行政区（省市县）</w:t>
            </w:r>
            <w:r/>
          </w:p>
        </w:tc>
        <w:tc>
          <w:tcPr>
            <w:shd w:val="clear" w:color="auto" w:fill="ffffff"/>
            <w:tcW w:w="53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取水口名称</w:t>
            </w:r>
            <w:r/>
          </w:p>
        </w:tc>
        <w:tc>
          <w:tcPr>
            <w:shd w:val="clear" w:color="auto" w:fill="ffffff"/>
            <w:tcW w:w="742"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取用水户名称</w:t>
            </w:r>
            <w:r/>
          </w:p>
        </w:tc>
        <w:tc>
          <w:tcPr>
            <w:shd w:val="clear" w:color="auto" w:fill="ffffff"/>
            <w:tcW w:w="42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取水用途</w:t>
            </w:r>
            <w:r/>
          </w:p>
        </w:tc>
        <w:tc>
          <w:tcPr>
            <w:shd w:val="clear" w:color="auto" w:fill="ffffff"/>
            <w:tcW w:w="597"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在线计量设施类型</w:t>
            </w:r>
            <w:r/>
          </w:p>
        </w:tc>
        <w:tc>
          <w:tcPr>
            <w:shd w:val="clear" w:color="auto" w:fill="ffffff"/>
            <w:tcW w:w="696"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建设类型</w:t>
            </w:r>
            <w:r/>
          </w:p>
        </w:tc>
      </w:tr>
      <w:tr>
        <w:trPr>
          <w:trHeight w:val="652"/>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1</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江苏省连云港市海州区板浦镇</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典型田块1</w:t>
            </w:r>
            <w:r/>
          </w:p>
        </w:tc>
        <w:tc>
          <w:tcPr>
            <w:tcW w:w="742" w:type="pct"/>
            <w:vAlign w:val="center"/>
            <w:textDirection w:val="lrTb"/>
            <w:noWrap w:val="false"/>
          </w:tcPr>
          <w:p>
            <w:pP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连云港市海州区板浦镇农民用水户协会</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restart"/>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以电折水、单点雷达流量计</w:t>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r>
        <w:trPr>
          <w:trHeight w:val="644"/>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2</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江苏省连云港市灌云县同兴镇</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典型田块2</w:t>
            </w:r>
            <w:r/>
          </w:p>
        </w:tc>
        <w:tc>
          <w:tcPr>
            <w:tcW w:w="742" w:type="pct"/>
            <w:vAlign w:val="center"/>
            <w:textDirection w:val="lrTb"/>
            <w:noWrap w:val="false"/>
          </w:tcPr>
          <w:p>
            <w:pPr>
              <w:spacing w:line="240" w:lineRule="atLeast"/>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rPr>
              <w:t xml:space="preserve">官沟河灌区</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continue"/>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r>
        <w:trPr>
          <w:trHeight w:val="722"/>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江苏省连云港市徐圩新区东辛农场</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典型田块3</w:t>
            </w:r>
            <w:r/>
          </w:p>
        </w:tc>
        <w:tc>
          <w:tcPr>
            <w:tcW w:w="742" w:type="pct"/>
            <w:vAlign w:val="center"/>
            <w:textDirection w:val="lrTb"/>
            <w:noWrap w:val="false"/>
          </w:tcPr>
          <w:p>
            <w:pPr>
              <w:spacing w:line="240" w:lineRule="atLeast"/>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rPr>
              <w:t xml:space="preserve">东辛农场灌区</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continue"/>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bl>
    <w:p>
      <w:pPr>
        <w:ind w:left="0" w:right="0"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注：上述典型地块具体位置按采购人要求执行。</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取水计量数据质量提升，包括规模以上取水在线计量数据到报率≥95%，保障数据传输的连续性和稳定性。非农取水在线计量数据异常率≤10%，有效控制数据异常水平。已装计量的21个泵站加装数据采集设备，升级改造为在线计量。对流域涉及的40处已建的农业计量进行检定（比测率定）。任务清单如下：</w:t>
      </w:r>
      <w:r/>
    </w:p>
    <w:tbl>
      <w:tblPr>
        <w:tblStyle w:val="718"/>
        <w:tblW w:w="4887" w:type="pct"/>
        <w:tblInd w:w="11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033"/>
        <w:gridCol w:w="1725"/>
        <w:gridCol w:w="3705"/>
        <w:gridCol w:w="849"/>
        <w:gridCol w:w="743"/>
      </w:tblGrid>
      <w:tr>
        <w:trPr>
          <w:trHeight w:val="593"/>
        </w:trPr>
        <w:tc>
          <w:tcPr>
            <w:shd w:val="clear" w:color="auto" w:fill="ffffff"/>
            <w:tcW w:w="384"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shd w:val="clear" w:color="auto" w:fill="ffffff"/>
            <w:tcW w:w="594"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任务类别</w:t>
            </w:r>
            <w:r/>
          </w:p>
        </w:tc>
        <w:tc>
          <w:tcPr>
            <w:shd w:val="clear" w:color="auto" w:fill="ffffff"/>
            <w:tcW w:w="99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分项任务名称</w:t>
            </w:r>
            <w:r/>
          </w:p>
        </w:tc>
        <w:tc>
          <w:tcPr>
            <w:shd w:val="clear" w:color="auto" w:fill="ffffff"/>
            <w:tcW w:w="212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工作内容及技术指标</w:t>
            </w:r>
            <w:r/>
          </w:p>
        </w:tc>
        <w:tc>
          <w:tcPr>
            <w:shd w:val="clear" w:color="auto" w:fill="ffffff"/>
            <w:tcW w:w="47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数量（项）</w:t>
            </w:r>
            <w:r/>
          </w:p>
        </w:tc>
        <w:tc>
          <w:tcPr>
            <w:shd w:val="clear" w:color="auto" w:fill="ffffff"/>
            <w:tcW w:w="428"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备注</w:t>
            </w:r>
            <w:r/>
          </w:p>
        </w:tc>
      </w:tr>
      <w:tr>
        <w:trPr>
          <w:trHeight w:val="846"/>
        </w:trPr>
        <w:tc>
          <w:tcPr>
            <w:shd w:val="clear" w:color="auto" w:fill="ffffff"/>
            <w:tcW w:w="384"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594" w:type="pct"/>
            <w:vAlign w:val="center"/>
            <w:vMerge w:val="restart"/>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取水计量数据质量提升</w:t>
            </w:r>
            <w:r/>
          </w:p>
        </w:tc>
        <w:tc>
          <w:tcPr>
            <w:shd w:val="clear" w:color="auto" w:fill="ffffff"/>
            <w:tcW w:w="991"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渠道泵站数据采集</w:t>
            </w:r>
            <w:r/>
          </w:p>
        </w:tc>
        <w:tc>
          <w:tcPr>
            <w:shd w:val="clear" w:color="auto" w:fill="ffffff"/>
            <w:tcW w:w="212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对21条已安装以电折水的支渠泵站加装数据采集单元，实现在线计量</w:t>
            </w:r>
            <w:r/>
          </w:p>
        </w:tc>
        <w:tc>
          <w:tcPr>
            <w:shd w:val="clear" w:color="auto" w:fill="ffffff"/>
            <w:tcW w:w="47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428"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详见表1</w:t>
            </w:r>
            <w:r/>
          </w:p>
        </w:tc>
      </w:tr>
      <w:tr>
        <w:trPr>
          <w:trHeight w:val="821"/>
        </w:trPr>
        <w:tc>
          <w:tcPr>
            <w:shd w:val="clear" w:color="auto" w:fill="ffffff"/>
            <w:tcW w:w="384"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shd w:val="clear" w:color="auto" w:fill="ffffff"/>
            <w:tcW w:w="594" w:type="pct"/>
            <w:vAlign w:val="center"/>
            <w:vMerge w:val="continue"/>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shd w:val="clear" w:color="auto" w:fill="ffffff"/>
            <w:tcW w:w="991"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计量设施检定修复</w:t>
            </w:r>
            <w:r/>
          </w:p>
        </w:tc>
        <w:tc>
          <w:tcPr>
            <w:shd w:val="clear" w:color="auto" w:fill="ffffff"/>
            <w:tcW w:w="212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流域涉及的已建设的农业计量的检定修复40处。</w:t>
            </w:r>
            <w:r/>
          </w:p>
        </w:tc>
        <w:tc>
          <w:tcPr>
            <w:shd w:val="clear" w:color="auto" w:fill="ffffff"/>
            <w:tcW w:w="47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428"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详见表2</w:t>
            </w:r>
            <w:r/>
          </w:p>
        </w:tc>
      </w:tr>
    </w:tbl>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表1   21处渠道泵站以电折水加装数据采集任务清单</w:t>
      </w:r>
      <w:r/>
    </w:p>
    <w:tbl>
      <w:tblPr>
        <w:tblStyle w:val="718"/>
        <w:tblW w:w="4882" w:type="pct"/>
        <w:tblInd w:w="112" w:type="dxa"/>
        <w:tblLayout w:type="fixed"/>
        <w:tblCellMar>
          <w:left w:w="108" w:type="dxa"/>
          <w:top w:w="0" w:type="dxa"/>
          <w:right w:w="108" w:type="dxa"/>
          <w:bottom w:w="0" w:type="dxa"/>
        </w:tblCellMar>
        <w:tblLook w:val="04A0" w:firstRow="1" w:lastRow="0" w:firstColumn="1" w:lastColumn="0" w:noHBand="0" w:noVBand="1"/>
      </w:tblPr>
      <w:tblGrid>
        <w:gridCol w:w="495"/>
        <w:gridCol w:w="1167"/>
        <w:gridCol w:w="2132"/>
        <w:gridCol w:w="792"/>
        <w:gridCol w:w="963"/>
        <w:gridCol w:w="816"/>
        <w:gridCol w:w="1236"/>
        <w:gridCol w:w="1141"/>
      </w:tblGrid>
      <w:tr>
        <w:trPr>
          <w:trHeight w:val="649"/>
          <w:tblHeader/>
        </w:trPr>
        <w:tc>
          <w:tcPr>
            <w:shd w:val="clear" w:color="auto" w:fill="ffffff"/>
            <w:tcBorders>
              <w:top w:val="single" w:color="000000" w:sz="12"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序号</w:t>
            </w:r>
            <w:r/>
          </w:p>
        </w:tc>
        <w:tc>
          <w:tcPr>
            <w:shd w:val="clear" w:color="auto" w:fill="ffffff"/>
            <w:tcBorders>
              <w:top w:val="single" w:color="000000" w:sz="12" w:space="0"/>
              <w:left w:val="none" w:color="000000" w:sz="4" w:space="0"/>
              <w:bottom w:val="none" w:color="000000" w:sz="4" w:space="0"/>
              <w:right w:val="single" w:color="000000" w:sz="8" w:space="0"/>
            </w:tcBorders>
            <w:tcW w:w="667"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渠道名称</w:t>
            </w:r>
            <w:r/>
          </w:p>
        </w:tc>
        <w:tc>
          <w:tcPr>
            <w:shd w:val="clear" w:color="auto" w:fill="ffffff"/>
            <w:tcBorders>
              <w:top w:val="single" w:color="000000" w:sz="12"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所在县区乡镇（灌区）</w:t>
            </w:r>
            <w:r/>
          </w:p>
        </w:tc>
        <w:tc>
          <w:tcPr>
            <w:shd w:val="clear" w:color="auto" w:fill="ffffff"/>
            <w:tcBorders>
              <w:top w:val="single" w:color="000000" w:sz="12"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岸侧</w:t>
            </w:r>
            <w:r/>
          </w:p>
        </w:tc>
        <w:tc>
          <w:tcPr>
            <w:shd w:val="clear" w:color="auto" w:fill="ffffff"/>
            <w:tcBorders>
              <w:top w:val="single" w:color="000000" w:sz="12"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口门功能</w:t>
            </w:r>
            <w:r/>
          </w:p>
        </w:tc>
        <w:tc>
          <w:tcPr>
            <w:shd w:val="clear" w:color="auto" w:fill="ffffff"/>
            <w:tcBorders>
              <w:top w:val="single" w:color="000000" w:sz="12"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河口概括</w:t>
            </w:r>
            <w:r/>
          </w:p>
        </w:tc>
        <w:tc>
          <w:tcPr>
            <w:shd w:val="clear" w:color="auto" w:fill="ffffff"/>
            <w:tcBorders>
              <w:top w:val="single" w:color="000000" w:sz="12"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经度/ ⁰</w:t>
            </w:r>
            <w:r/>
          </w:p>
        </w:tc>
        <w:tc>
          <w:tcPr>
            <w:shd w:val="clear" w:color="auto" w:fill="ffffff"/>
            <w:tcBorders>
              <w:top w:val="single" w:color="000000" w:sz="12"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维度/ ⁰</w:t>
            </w:r>
            <w:r/>
          </w:p>
        </w:tc>
      </w:tr>
      <w:tr>
        <w:trPr>
          <w:trHeight w:val="655"/>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w:t>
            </w:r>
            <w:r/>
          </w:p>
        </w:tc>
        <w:tc>
          <w:tcPr>
            <w:tcBorders>
              <w:top w:val="single" w:color="000000" w:sz="8"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黄荡支渠1</w:t>
            </w:r>
            <w:r/>
          </w:p>
        </w:tc>
        <w:tc>
          <w:tcPr>
            <w:tcBorders>
              <w:top w:val="single" w:color="000000" w:sz="8"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single" w:color="000000" w:sz="8"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single" w:color="000000" w:sz="8"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single" w:color="000000" w:sz="8"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single" w:color="000000" w:sz="8"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119.0855173</w:t>
            </w:r>
            <w:r/>
          </w:p>
        </w:tc>
        <w:tc>
          <w:tcPr>
            <w:tcBorders>
              <w:top w:val="single" w:color="000000" w:sz="8"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34.35880746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小墩庄渠道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119.0918735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34.36250252</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黄荡支渠2</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119.0933929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34.36498657</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涟北渠道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119.1027729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34.37260461</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孙港渠道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119.1112552</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34.37852741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颜滩渠道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119.1179217</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34.38359527</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7</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小颜滩渠道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119.1201785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34.38370239</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穆圩渠道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119.1264244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34.38998053</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9</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七里窑渠道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119.1498135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34.40820626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大洼渠道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119.1512498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34.4086933</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江庄渠道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119.1772253</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34.42822457</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12</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灌云县小伊镇（叮当河灌区）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119.1851402</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34.43068571</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13</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黄泥沟渠道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lang w:bidi="ar"/>
              </w:rPr>
              <w:t xml:space="preserve">灌云县小伊镇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119.2069414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34.45215651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14</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大茆庄渠道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灌云县小伊镇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119.2089891</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34.44907484</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15</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小东庄渠道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海州区板浦镇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119.238336</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34.45948621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16</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中干渠道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119.4115303</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34.47046162</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17</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西三缺渠道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119.4253159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34.47368026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18</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东三缺渠道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119.4368074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34.477348</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19</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高庄渠道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119.4455038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34.48067172</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20</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兴三村八组渠道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灌云县四队镇（界北灌区）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119.4638956</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34.48327222</w:t>
            </w:r>
            <w:r/>
          </w:p>
        </w:tc>
      </w:tr>
      <w:tr>
        <w:trPr>
          <w:trHeight w:val="65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21</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南兴村八组渠道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灌云县四队镇（界北灌区）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119.5026828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34.49043259</w:t>
            </w:r>
            <w:r/>
          </w:p>
        </w:tc>
      </w:tr>
    </w:tbl>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表2    40处已建设的农业计量的检定修复任务清单</w:t>
      </w:r>
      <w:r/>
    </w:p>
    <w:tbl>
      <w:tblPr>
        <w:tblStyle w:val="718"/>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60"/>
        <w:gridCol w:w="1060"/>
        <w:gridCol w:w="2421"/>
        <w:gridCol w:w="3591"/>
        <w:gridCol w:w="1045"/>
      </w:tblGrid>
      <w:tr>
        <w:trPr>
          <w:jc w:val="center"/>
          <w:trHeight w:val="416"/>
          <w:tblHeader/>
        </w:trPr>
        <w:tc>
          <w:tcPr>
            <w:shd w:val="clear" w:color="auto" w:fill="ffffff"/>
            <w:tcW w:w="419"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序号</w:t>
            </w:r>
            <w:r/>
          </w:p>
        </w:tc>
        <w:tc>
          <w:tcPr>
            <w:shd w:val="clear" w:color="auto" w:fill="ffffff"/>
            <w:tcW w:w="564"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所在县区</w:t>
            </w:r>
            <w:r/>
          </w:p>
        </w:tc>
        <w:tc>
          <w:tcPr>
            <w:shd w:val="clear" w:color="auto" w:fill="ffffff"/>
            <w:tcW w:w="1288"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站点名称</w:t>
            </w:r>
            <w:r/>
          </w:p>
        </w:tc>
        <w:tc>
          <w:tcPr>
            <w:shd w:val="clear" w:color="auto" w:fill="ffffff"/>
            <w:tcW w:w="2088"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测流方式</w:t>
            </w:r>
            <w:r/>
          </w:p>
        </w:tc>
        <w:tc>
          <w:tcPr>
            <w:shd w:val="clear" w:color="auto" w:fill="ffffff"/>
            <w:tcW w:w="638"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备注</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w:t>
            </w:r>
            <w:r/>
          </w:p>
        </w:tc>
        <w:tc>
          <w:tcPr>
            <w:shd w:val="clear" w:color="auto" w:fill="ffffff"/>
            <w:tcW w:w="564" w:type="pct"/>
            <w:vAlign w:val="center"/>
            <w:vMerge w:val="restart"/>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w:t>
            </w:r>
            <w:r/>
          </w:p>
        </w:tc>
        <w:tc>
          <w:tcPr>
            <w:shd w:val="clear" w:color="auto" w:fill="ffffff"/>
            <w:tcW w:w="1288" w:type="pct"/>
            <w:vAlign w:val="center"/>
            <w:textDirection w:val="lrTb"/>
            <w:noWrap/>
          </w:tcPr>
          <w:p>
            <w:pPr>
              <w:jc w:val="center"/>
              <w:widowControl/>
              <w:tabs>
                <w:tab w:val="center" w:pos="1162" w:leader="none"/>
                <w:tab w:val="right" w:pos="220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桃垛东门河站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渠道超声波时差法测流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向阳村新建站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港西东庄站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港西北站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朱涵港西队站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岗南钱庄站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岗西南站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东徐村东南站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高庄东南排灌泵站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马蹄中站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兴春忆河南站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忆帆河南</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兴春中站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兴春二队站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贸舍西站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界南村站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学田西南站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学田东北站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3"/>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学田东南站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管道型电磁测流</w:t>
            </w:r>
            <w:r/>
          </w:p>
        </w:tc>
        <w:tc>
          <w:tcPr>
            <w:shd w:val="clear" w:color="auto" w:fill="ffffff"/>
            <w:tcW w:w="63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利用原有流量计</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伊芦灌排站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密庄电站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3"/>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武庄东站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管道型电磁测流</w:t>
            </w:r>
            <w:r/>
          </w:p>
        </w:tc>
        <w:tc>
          <w:tcPr>
            <w:shd w:val="clear" w:color="auto" w:fill="ffffff"/>
            <w:tcW w:w="63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利用原有流量计</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武庄西站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唐圩泵站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前河二站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前河泵站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五分场部西侧泵站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渠道超声波时差法测流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六连泵站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三分场五沂河东泵站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四分场虾场南泵站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七区西泵站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东引水河泵站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渠道超声时差法测流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西引水河泵站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渠道超声时差法测流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w:t>
            </w:r>
            <w:r/>
          </w:p>
        </w:tc>
        <w:tc>
          <w:tcPr>
            <w:shd w:val="clear" w:color="auto" w:fill="ffffff"/>
            <w:tcW w:w="564" w:type="pct"/>
            <w:vAlign w:val="center"/>
            <w:vMerge w:val="restart"/>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w:t>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西陬83大队翻水站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西陬生产区86东电站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沿河生产区64南区电站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中干河南闸翻水站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水位推流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3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40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五大队排灌站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ADCP</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 xml:space="preserve">1.4取水计量数据融合应用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val="en-US" w:eastAsia="zh-CN"/>
        </w:rPr>
        <w:t xml:space="preserve">1.4.1</w:t>
      </w:r>
      <w:r>
        <w:rPr>
          <w:rFonts w:hint="default" w:ascii="Times New Roman" w:hAnsi="Times New Roman" w:cs="Times New Roman"/>
          <w:color w:val="auto"/>
          <w:highlight w:val="none"/>
          <w:lang w:eastAsia="zh-CN"/>
        </w:rPr>
        <w:t xml:space="preserve">以多源数据整合与融合监管应用为核心，开展农灌高峰期用水监测、流域年度取用水量核算、水资源承载能力评价，并在连云港市水旱灾害防御调度指挥平台部署水资源管理模块（报价含平台衔接及数据对接费用），实现上述三项功能的智能核算与可视化呈现，全面提升取用水监管与水资源调配能力。所需数据通过监测采集、平台对接、分析推算等多元渠道获取，分析评价及应用须符合国家、省、市及相关部门、行业现行规程规范与技术标准，满足网络安全等级保护二级要求。最终须提交相关数据资料及报告成果。</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1.4.2</w:t>
      </w:r>
      <w:r>
        <w:rPr>
          <w:rFonts w:hint="default" w:ascii="Times New Roman" w:hAnsi="Times New Roman" w:cs="Times New Roman"/>
          <w:b/>
          <w:bCs/>
          <w:color w:val="auto"/>
          <w:highlight w:val="none"/>
          <w:lang w:val="en-US" w:eastAsia="zh-CN"/>
        </w:rPr>
        <w:t xml:space="preserve">主要</w:t>
      </w:r>
      <w:r>
        <w:rPr>
          <w:rFonts w:hint="default" w:ascii="Times New Roman" w:hAnsi="Times New Roman" w:cs="Times New Roman"/>
          <w:b/>
          <w:bCs/>
          <w:color w:val="auto"/>
          <w:highlight w:val="none"/>
        </w:rPr>
        <w:t xml:space="preserve">功能</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lang w:val="en-US" w:eastAsia="zh-CN"/>
        </w:rPr>
      </w:pPr>
      <w:r>
        <w:rPr>
          <w:rFonts w:hint="default" w:ascii="Times New Roman" w:hAnsi="Times New Roman" w:cs="Times New Roman"/>
          <w:b/>
          <w:bCs/>
          <w:color w:val="auto"/>
          <w:highlight w:val="none"/>
        </w:rPr>
        <w:t xml:space="preserve">1.4.2.1</w:t>
      </w:r>
      <w:r>
        <w:rPr>
          <w:rFonts w:hint="default" w:ascii="Times New Roman" w:hAnsi="Times New Roman" w:cs="Times New Roman"/>
          <w:b/>
          <w:bCs/>
          <w:color w:val="auto"/>
          <w:highlight w:val="none"/>
          <w:lang w:val="en-US" w:eastAsia="zh-CN"/>
        </w:rPr>
        <w:t xml:space="preserve">数据融合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核心在于打通数据壁垒，汇聚并融合多源头、多类型的取用水数据，形成统一的数据资源池。</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建立数据档案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建立基础数据、监测数据、业务数据和空间数据四类档案。农业部分包括河流、灌区、灌溉面积、渠道、取水口、监测点等基础信息，以及许可水量、斗口上报水量、直报水量等业务数据；非农部分包括河流、取水户、取水口、监测点等基础信息，以及许可水量、直报水量、报税水量等业务数据。空间数据涵盖河流、灌区、取水口、引调水口门、计量设施等空间位置。</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多源数据汇集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从江苏水资源与节约用水系统实时接入古泊善后河流域灌区内各取水口及本次新建在线监测数据，包括瞬时流量、累计取水量、设备状态等，确保源头数据的客观性与时效性。获取“苏灌通”系统中的田间计量数据，接收各灌区管理单位上报的斗口取水量，记录灌溉用水在田间地头的最终分配情况。整合灌区边界、渠道网络、计量点位置、作物种植结构、土壤属性、气象信息等静态数据，为用水量计算提供边界条件支撑。</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数据融合与治理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数据清洗与校验：建立数据质量控制规则，对接收的监测数据和上报数据进行逻辑性、合理性校验，识别并处理异常值、缺失值，确保数据可信度。</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空间落位与关联：将所有的取水点（渠首、斗口）与灌区（取水户）、渠道、行政区域等空间要素进行精确匹配和关联，形成“点-线-面”一体化的水资源空间拓扑关系。</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rPr>
      </w:pPr>
      <w:r>
        <w:rPr>
          <w:rFonts w:hint="default" w:ascii="Times New Roman" w:hAnsi="Times New Roman" w:cs="Times New Roman"/>
          <w:b/>
          <w:bCs/>
          <w:color w:val="auto"/>
          <w:highlight w:val="none"/>
        </w:rPr>
        <w:t xml:space="preserve">1.4.2.2</w:t>
      </w:r>
      <w:r>
        <w:rPr>
          <w:rFonts w:hint="default" w:ascii="Times New Roman" w:hAnsi="Times New Roman" w:cs="Times New Roman"/>
          <w:b/>
          <w:bCs/>
          <w:color w:val="auto"/>
          <w:highlight w:val="none"/>
          <w:lang w:val="en-US" w:eastAsia="zh-CN"/>
        </w:rPr>
        <w:t xml:space="preserve">应用场景</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 xml:space="preserve">1.4.2.2.1农灌高峰期用水监测</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（1）用水强度阈值设定与应用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利用取水口控制灌溉面积、作物需水特性（水稻、小麦、玉米等）、土壤类型、气象数据（降雨、蒸发），制定农业灌溉高峰期（6-9月）用水强度阈值。</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统计分析灌区取用水量数据：已安装在线计量且正常的直接使用实时监测数据；已安装计量未在线监测的，使用定期上报数据或以电折水数据；未安装计量或计量不正常的，按附近典型田块或同类型口门推算。按日、周、旬统计古泊善后河沿线各取水口实际用水强度，与预设阈值对比。</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（2）异常用水行为识别分析</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于历史多年农灌用水数据、气象数据及作物需水特性，分析灌区用水变化规律，形成用水强度基准。在此基础上，对实时用水强度进行动态监测，识别可能存在的异常情况（如非灌溉期高流量、突变超限等），标记为疑似问题并推送至管理人员复核。预警分级暂定为：黄色（超出阈值10%以内）、橙色（10%～30%）、红色（30%以上）。</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 xml:space="preserve">1.4.2.2.2流域年度取用水量核算</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在数据融合基础上，研发古泊善后河流域取用水量核算技术方法，开展流域水量平衡计算，形成一套较为完整科学、可靠的流域取用水核算方法，并提出年度取用水量数据核算成果。</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非农用水量根据计量设施的监测结果自动汇总计算。农业用水量基于中型灌区“渠首计量-实际灌溉用水量”关系曲线、小型灌区灌溉用水核算方法，结合降雨、蒸发、实灌面积等数据，智能核算各灌区灌溉用水量。通过水文气象分析、历史趋势性分析和相符性分析等方法，对流域年度取用水量成果进行合理性分析，分析存在问题并提出建议</w:t>
      </w:r>
      <w:r>
        <w:rPr>
          <w:rFonts w:hint="default" w:ascii="Times New Roman" w:hAnsi="Times New Roman" w:cs="Times New Roman"/>
          <w:color w:val="auto"/>
          <w:highlight w:val="none"/>
        </w:rPr>
        <w:t xml:space="preserve">。</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1.4.2.</w:t>
      </w:r>
      <w:r>
        <w:rPr>
          <w:rFonts w:hint="default" w:ascii="Times New Roman" w:hAnsi="Times New Roman" w:cs="Times New Roman"/>
          <w:b/>
          <w:bCs/>
          <w:color w:val="auto"/>
          <w:highlight w:val="none"/>
          <w:lang w:val="en-US" w:eastAsia="zh-CN"/>
        </w:rPr>
        <w:t xml:space="preserve">2.</w:t>
      </w:r>
      <w:r>
        <w:rPr>
          <w:rFonts w:hint="default" w:ascii="Times New Roman" w:hAnsi="Times New Roman" w:cs="Times New Roman"/>
          <w:b/>
          <w:bCs/>
          <w:color w:val="auto"/>
          <w:highlight w:val="none"/>
        </w:rPr>
        <w:t xml:space="preserve">3</w:t>
      </w:r>
      <w:r>
        <w:rPr>
          <w:rFonts w:hint="default" w:ascii="Times New Roman" w:hAnsi="Times New Roman" w:cs="Times New Roman"/>
          <w:b/>
          <w:bCs/>
          <w:color w:val="auto"/>
          <w:highlight w:val="none"/>
          <w:lang w:val="en-US" w:eastAsia="zh-CN"/>
        </w:rPr>
        <w:t xml:space="preserve">水资源承载能力评价</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以县级行政区为单元，对全市各行政区水资源承载能力进行评价。评价依据省下达的用水总量控制指标和地下水水量水位双控指标，从水资源禀赋、用水总量管控、地下水双控、用水效率、生态环境等维度选取指标。</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（1）评价指标体系</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础信息包括水资源总量、人均水资源量、产水模数、年降水量等反映区域水资源禀赋的指标。管控指标与国家及省考核挂钩，包括用水总量控制指标完成率（含非常规水利用量）、万元GDP用水量下降率、万元工业增加值用水量下降率、农田灌溉水有效利用系数等用水效率指标，以及地下水取水总量控制指标完成率、地下水水位控制达标率等地下水双控指标。</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将评价指标分为刚性约束指标和弹性参考指标。刚性约束指标（用水总量控制指标、地下水双控指标）实行“一票否决”：年度用水总量已超过控制指标的县区，直接判定为超载（红色）；地下水水位持续大幅下降触发红色预警阈值的，同样直接判定为超载。</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（2）数据汇集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为实现承载能力评价的自动运行，需汇集以下四类核心数据：</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0" w:type="dxa"/>
        </w:tblCellMar>
        <w:tblLook w:val="04A0" w:firstRow="1" w:lastRow="0" w:firstColumn="1" w:lastColumn="0" w:noHBand="0" w:noVBand="1"/>
      </w:tblPr>
      <w:tblGrid>
        <w:gridCol w:w="2588"/>
        <w:gridCol w:w="3373"/>
        <w:gridCol w:w="2982"/>
      </w:tblGrid>
      <w:tr>
        <w:trPr>
          <w:jc w:val="center"/>
          <w:trHeight w:val="825"/>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数据类别</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具体内容</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数据来源</w:t>
            </w:r>
            <w:r/>
          </w:p>
        </w:tc>
      </w:tr>
      <w:tr>
        <w:trPr>
          <w:jc w:val="center"/>
          <w:trHeight w:val="1065"/>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用水总量控制数据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各县区分水源类型（地表水、地下水、非常规水）的年度用水总量控制指标及实际用水量</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省市相关文件、用水统计直报系统</w:t>
            </w:r>
            <w:r/>
          </w:p>
        </w:tc>
      </w:tr>
      <w:tr>
        <w:trPr>
          <w:jc w:val="center"/>
          <w:trHeight w:val="90"/>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地下水双控数据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地下水取水总量控制指标、实际开采量；各县区监测井水位监测数据</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省市相关文件、省水文数据服务接口、地下水监测信息平台</w:t>
            </w:r>
            <w:r/>
          </w:p>
        </w:tc>
      </w:tr>
      <w:tr>
        <w:trPr>
          <w:jc w:val="center"/>
          <w:trHeight w:val="811"/>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用水户的取水许可与用水统计数据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取水许可量、实际取水量、计划用水完成情况、用水统计直报数据</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取水许可电子证照系统、用水统计直报系统</w:t>
            </w:r>
            <w:r/>
          </w:p>
        </w:tc>
      </w:tr>
      <w:tr>
        <w:trPr>
          <w:jc w:val="center"/>
          <w:trHeight w:val="884"/>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社会经济与用水效率数据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人口、GDP、产业结构、万元GDP用水量、农田灌溉水有效利用系数等</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统计部门、水利部门相关数据</w:t>
            </w:r>
            <w:r/>
          </w:p>
        </w:tc>
      </w:tr>
    </w:tbl>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数据抽取频率：用水总量和地下水双控数据按月度汇交；用水统计数据按季度/年度自动汇交；用水效率数据按年度汇交。</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（3）评价方法与分级</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采用“短板效应+多指标综合评价”相结合的方法。首先识别刚性约束指标是否触及红线，若触及则直接判定为超载；未直接触及红线的县区，运用综合评价法计算综合承载指数。</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（4）成果应用</w:t>
      </w:r>
      <w:r/>
    </w:p>
    <w:p>
      <w:pPr>
        <w:ind w:firstLine="420"/>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lang w:val="en-US" w:eastAsia="zh-CN"/>
        </w:rPr>
        <w:t xml:space="preserve">对判定为超载或临界超载的区域，系统自动关联分析用水总量、地下水开采量、用水效率等多维指标，识别造成超载的主要因素，生成诊断报告并提出差异化管控建议。最终形成水资源承载能力评价报告，内容应包含各行政区承载等级、主要制约因素及变化趋势分析等</w:t>
      </w:r>
      <w:r>
        <w:rPr>
          <w:rFonts w:hint="default" w:ascii="Times New Roman" w:hAnsi="Times New Roman" w:cs="Times New Roman"/>
          <w:color w:val="auto"/>
          <w:highlight w:val="none"/>
        </w:rPr>
        <w:t xml:space="preserve">。</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rPr>
        <w:t xml:space="preserve">1.4.</w:t>
      </w:r>
      <w:r>
        <w:rPr>
          <w:rFonts w:hint="default" w:ascii="Times New Roman" w:hAnsi="Times New Roman" w:cs="Times New Roman"/>
          <w:b/>
          <w:bCs/>
          <w:color w:val="auto"/>
          <w:highlight w:val="none"/>
          <w:lang w:val="en-US" w:eastAsia="zh-CN"/>
        </w:rPr>
        <w:t xml:space="preserve">2.3多维展示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将所有数据融合与算法核算的成果，通过空间化综合视图，对核算与监测成果进行集中、直观、动态的可视化呈现，为管理决策提供有力支撑。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（1）全局总览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于GIS地图，集成展示古泊善后河流域灌区范围、取水口与计量点分布、渠道走向、引调水口门等空间要素，实时呈现主要渠首监测水量、关键斗口上报水量、各行政区用水总量及承载等级等核心指标，实现对流域“取水—用水—承载”全局动态掌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（2）农灌高峰期用水监测专题展示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农灌高峰期用水监测成果，在“一张图”上叠加展示各取水口实时用水强度与阈值对比（以柱状图或仪表盘形式呈现超限比例）、预警点位分布（以黄、橙、红三色图标标注超限等级）及异常用水行为标记。支持按日、周、旬切换时间维度，查看用水强度变化趋势及与历史同期对比。对触发预警的取水口，点击可弹出详细信息（取水口名称、控制灌溉面积、实际用水强度、阈值、超限比例、可能原因）。</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（3）流域年度取用水量核算专题展示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流域年度取用水量核算成果，以行政区为单元展示年度取用水总量构成，以饼图或堆叠柱状图呈现各行业用水结构及占比。对比展示各县区实际用水量与许可水量、用水总量控制指标的偏差（以红绿灯或进度条形式呈现达标/超限状态），对超许可或超指标的县区自动标注并推送预警。同时展示灌区灌溉用水量、亩均用水量及与上年同期对比变化，反映灌区用水效率变化趋势。</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（4）水资源承载能力评价专题展示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承载能力评价成果，以红（超载）、橙（临界超载）、绿（不超载）三色在GIS地图上对各县区进行分级渲染展示。点击任一县区，弹出承载能力详情卡片，包含：承载等级、综合承载指数、刚性约束指标达标情况（用水总量是否超控制指标、地下水位是否触发红色预警）、主要制约因素（如农业用水占比过高、地下水超采等）、与上年同期对比变化趋势。对超载和临界超载区域，自动展示诊断报告要点及差异化管控建议。</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（5）多维度交叉分析与逐级钻取</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支持按行政区（市、县区、乡镇或街道）、灌区类型（中型/小型）、时间维度（年、季、月）等多维度进行数据筛选和对比分析，综合运用专题地图、柱状图、折线图、数据表格、仪表盘等多种形式呈现。支持从地图上的区域或灌区总览，逐级钻取至具体渠道、计量点的详细数据和水账核算过程，实现从宏观到微观的全链条数据追溯与决策支撑，动态生成用水核算报告、水资源承载能力评价报告等成果</w:t>
      </w:r>
      <w:r>
        <w:rPr>
          <w:rFonts w:hint="default" w:ascii="Times New Roman" w:hAnsi="Times New Roman" w:cs="Times New Roman"/>
          <w:color w:val="auto"/>
          <w:highlight w:val="none"/>
        </w:rPr>
        <w:t xml:space="preserve">。</w:t>
      </w:r>
      <w:r/>
    </w:p>
    <w:p>
      <w:pPr>
        <w:numPr>
          <w:ilvl w:val="0"/>
          <w:numId w:val="5"/>
        </w:numPr>
        <w:ind w:firstLine="482"/>
        <w:keepLines w:val="0"/>
        <w:keepNext w:val="0"/>
        <w:pageBreakBefore w:val="0"/>
        <w:spacing w:line="360" w:lineRule="auto"/>
        <w:widowControl w:val="off"/>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配套设备清单</w:t>
      </w:r>
      <w:r/>
    </w:p>
    <w:tbl>
      <w:tblPr>
        <w:tblStyle w:val="718"/>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45"/>
        <w:gridCol w:w="2011"/>
        <w:gridCol w:w="4960"/>
        <w:gridCol w:w="833"/>
        <w:gridCol w:w="717"/>
      </w:tblGrid>
      <w:tr>
        <w:trPr>
          <w:jc w:val="center"/>
          <w:trHeight w:val="857"/>
          <w:tblHeader/>
        </w:trPr>
        <w:tc>
          <w:tcPr>
            <w:shd w:val="clear" w:color="auto" w:fill="ffffff"/>
            <w:tcW w:w="745"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序号</w:t>
            </w:r>
            <w:r/>
          </w:p>
        </w:tc>
        <w:tc>
          <w:tcPr>
            <w:shd w:val="clear" w:color="auto" w:fill="ffffff"/>
            <w:tcW w:w="2011" w:type="dxa"/>
            <w:vAlign w:val="center"/>
            <w:textDirection w:val="lrTb"/>
            <w:noWrap w:val="false"/>
          </w:tcPr>
          <w:p>
            <w:pPr>
              <w:jc w:val="center"/>
              <w:spacing w:line="460" w:lineRule="exact"/>
              <w:widowControl/>
              <w:rPr>
                <w:b/>
                <w:bCs/>
                <w:color w:val="auto"/>
                <w:sz w:val="22"/>
                <w:szCs w:val="22"/>
                <w:highlight w:val="none"/>
              </w:rPr>
            </w:pPr>
            <w:r>
              <w:rPr>
                <w:b/>
                <w:bCs/>
                <w:color w:val="auto"/>
                <w:sz w:val="22"/>
                <w:szCs w:val="22"/>
                <w:highlight w:val="none"/>
                <w:lang w:bidi="ar"/>
              </w:rPr>
              <w:t xml:space="preserve">项目名称</w:t>
            </w:r>
            <w:r/>
          </w:p>
        </w:tc>
        <w:tc>
          <w:tcPr>
            <w:shd w:val="clear" w:color="auto" w:fill="ffffff"/>
            <w:tcW w:w="4960" w:type="dxa"/>
            <w:vAlign w:val="center"/>
            <w:textDirection w:val="lrTb"/>
            <w:noWrap w:val="false"/>
          </w:tcPr>
          <w:p>
            <w:pPr>
              <w:jc w:val="center"/>
              <w:spacing w:line="460" w:lineRule="exact"/>
              <w:widowControl/>
              <w:rPr>
                <w:b/>
                <w:bCs/>
                <w:color w:val="auto"/>
                <w:sz w:val="22"/>
                <w:szCs w:val="22"/>
                <w:highlight w:val="none"/>
              </w:rPr>
            </w:pPr>
            <w:r>
              <w:rPr>
                <w:b/>
                <w:bCs/>
                <w:color w:val="auto"/>
                <w:sz w:val="22"/>
                <w:szCs w:val="22"/>
                <w:highlight w:val="none"/>
                <w:lang w:bidi="ar"/>
              </w:rPr>
              <w:t xml:space="preserve">规格型号及描述</w:t>
            </w:r>
            <w:r/>
          </w:p>
        </w:tc>
        <w:tc>
          <w:tcPr>
            <w:shd w:val="clear" w:color="auto" w:fill="ffffff"/>
            <w:tcW w:w="833"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单位</w:t>
            </w:r>
            <w:r/>
          </w:p>
        </w:tc>
        <w:tc>
          <w:tcPr>
            <w:shd w:val="clear" w:color="auto" w:fill="ffffff"/>
            <w:tcW w:w="717"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数量</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一</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取水在线设施建设</w:t>
            </w:r>
            <w:r/>
          </w:p>
        </w:tc>
      </w:tr>
      <w:tr>
        <w:trPr>
          <w:jc w:val="center"/>
          <w:trHeight w:val="539"/>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1.1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V-ADCP监测站建设</w:t>
            </w:r>
            <w:r/>
          </w:p>
        </w:tc>
      </w:tr>
      <w:tr>
        <w:trPr>
          <w:jc w:val="center"/>
          <w:trHeight w:val="26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V-ADCP</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发射波束：单波束；</w:t>
            </w:r>
            <w:r/>
          </w:p>
          <w:p>
            <w:pPr>
              <w:jc w:val="left"/>
              <w:spacing w:line="460" w:lineRule="exact"/>
              <w:widowControl/>
              <w:rPr>
                <w:color w:val="auto"/>
                <w:highlight w:val="none"/>
                <w:lang w:bidi="ar"/>
              </w:rPr>
            </w:pPr>
            <w:r>
              <w:rPr>
                <w:color w:val="auto"/>
                <w:highlight w:val="none"/>
                <w:lang w:bidi="ar"/>
              </w:rPr>
              <w:t xml:space="preserve">超声频率：2000khz；</w:t>
            </w:r>
            <w:r/>
          </w:p>
          <w:p>
            <w:pPr>
              <w:jc w:val="left"/>
              <w:spacing w:line="460" w:lineRule="exact"/>
              <w:widowControl/>
              <w:rPr>
                <w:color w:val="auto"/>
                <w:highlight w:val="none"/>
                <w:lang w:bidi="ar"/>
              </w:rPr>
            </w:pPr>
            <w:r>
              <w:rPr>
                <w:color w:val="auto"/>
                <w:highlight w:val="none"/>
                <w:lang w:bidi="ar"/>
              </w:rPr>
              <w:t xml:space="preserve">最大测量范围：</w:t>
            </w:r>
            <w:r>
              <w:rPr>
                <w:rFonts w:hint="eastAsia"/>
                <w:color w:val="auto"/>
                <w:highlight w:val="none"/>
                <w:lang w:bidi="ar"/>
              </w:rPr>
              <w:t xml:space="preserve">不小于20m</w:t>
            </w:r>
            <w:r/>
          </w:p>
          <w:p>
            <w:pPr>
              <w:jc w:val="left"/>
              <w:spacing w:line="460" w:lineRule="exact"/>
              <w:widowControl/>
              <w:rPr>
                <w:rFonts w:hint="default" w:eastAsia="宋体"/>
                <w:color w:val="auto"/>
                <w:highlight w:val="none"/>
                <w:lang w:val="en-US" w:eastAsia="zh-CN" w:bidi="ar"/>
              </w:rPr>
            </w:pPr>
            <w:r>
              <w:rPr>
                <w:color w:val="auto"/>
                <w:highlight w:val="none"/>
                <w:lang w:bidi="ar"/>
              </w:rPr>
              <w:t xml:space="preserve">测量盲区：</w:t>
            </w:r>
            <w:r>
              <w:rPr>
                <w:rFonts w:hint="eastAsia"/>
                <w:color w:val="auto"/>
                <w:highlight w:val="none"/>
                <w:lang w:bidi="ar"/>
              </w:rPr>
              <w:t xml:space="preserve">≤</w:t>
            </w:r>
            <w:r>
              <w:rPr>
                <w:rFonts w:hint="eastAsia"/>
                <w:color w:val="auto"/>
                <w:highlight w:val="none"/>
                <w:lang w:val="en-US" w:eastAsia="zh-CN" w:bidi="ar"/>
              </w:rPr>
              <w:t xml:space="preserve">0.05m</w:t>
            </w:r>
            <w:r/>
          </w:p>
          <w:p>
            <w:pPr>
              <w:jc w:val="left"/>
              <w:spacing w:line="460" w:lineRule="exact"/>
              <w:widowControl/>
              <w:rPr>
                <w:color w:val="auto"/>
                <w:highlight w:val="none"/>
                <w:lang w:bidi="ar"/>
              </w:rPr>
            </w:pPr>
            <w:r>
              <w:rPr>
                <w:color w:val="auto"/>
                <w:highlight w:val="none"/>
                <w:lang w:bidi="ar"/>
              </w:rPr>
              <w:t xml:space="preserve">流速精度：0.25%±2.0mm/s；</w:t>
            </w:r>
            <w:r/>
          </w:p>
          <w:p>
            <w:pPr>
              <w:jc w:val="left"/>
              <w:spacing w:line="460" w:lineRule="exact"/>
              <w:widowControl/>
              <w:rPr>
                <w:color w:val="auto"/>
                <w:highlight w:val="none"/>
                <w:lang w:bidi="ar"/>
              </w:rPr>
            </w:pPr>
            <w:r>
              <w:rPr>
                <w:color w:val="auto"/>
                <w:highlight w:val="none"/>
                <w:lang w:bidi="ar"/>
              </w:rPr>
              <w:t xml:space="preserve">单元尺寸：</w:t>
            </w:r>
            <w:r>
              <w:rPr>
                <w:rFonts w:hint="eastAsia"/>
                <w:color w:val="auto"/>
                <w:highlight w:val="none"/>
                <w:lang w:bidi="ar"/>
              </w:rPr>
              <w:t xml:space="preserve">0.25m~2m</w:t>
            </w:r>
            <w:r/>
          </w:p>
          <w:p>
            <w:pPr>
              <w:jc w:val="left"/>
              <w:spacing w:line="460" w:lineRule="exact"/>
              <w:widowControl/>
              <w:rPr>
                <w:color w:val="auto"/>
                <w:highlight w:val="none"/>
                <w:lang w:bidi="ar"/>
              </w:rPr>
            </w:pPr>
            <w:r>
              <w:rPr>
                <w:color w:val="auto"/>
                <w:highlight w:val="none"/>
                <w:lang w:bidi="ar"/>
              </w:rPr>
              <w:t xml:space="preserve">防水等级：IP68；</w:t>
            </w:r>
            <w:r/>
          </w:p>
          <w:p>
            <w:pPr>
              <w:jc w:val="left"/>
              <w:spacing w:line="460" w:lineRule="exact"/>
              <w:widowControl/>
              <w:rPr>
                <w:color w:val="auto"/>
                <w:highlight w:val="none"/>
                <w:lang w:bidi="ar"/>
              </w:rPr>
            </w:pPr>
            <w:r>
              <w:rPr>
                <w:color w:val="auto"/>
                <w:highlight w:val="none"/>
                <w:lang w:bidi="ar"/>
              </w:rPr>
              <w:t xml:space="preserve">双向测流：支持判别水流方向；</w:t>
            </w:r>
            <w:r/>
          </w:p>
          <w:p>
            <w:pPr>
              <w:jc w:val="left"/>
              <w:spacing w:line="460" w:lineRule="exact"/>
              <w:widowControl/>
              <w:rPr>
                <w:color w:val="auto"/>
                <w:highlight w:val="none"/>
                <w:lang w:bidi="ar"/>
              </w:rPr>
            </w:pPr>
            <w:r/>
            <w:bookmarkStart w:id="253" w:name="OLE_LINK6"/>
            <w:r>
              <w:rPr>
                <w:rFonts w:hint="eastAsia"/>
                <w:color w:val="auto"/>
                <w:highlight w:val="none"/>
                <w:lang w:bidi="ar"/>
              </w:rPr>
              <w:t xml:space="preserve">具有第三方检验检测机构出具的检测报告。</w:t>
            </w:r>
            <w:bookmarkEnd w:id="253"/>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1路脉冲接口，1路格雷码接口，1路SDI-12接口；</w:t>
            </w:r>
            <w:r/>
          </w:p>
          <w:p>
            <w:pPr>
              <w:jc w:val="left"/>
              <w:spacing w:line="46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2394"/>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雷达水位计</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输出供电： DC 6~30V</w:t>
            </w:r>
            <w:r/>
          </w:p>
          <w:p>
            <w:pPr>
              <w:jc w:val="left"/>
              <w:spacing w:line="460" w:lineRule="exact"/>
              <w:widowControl/>
              <w:rPr>
                <w:color w:val="auto"/>
                <w:highlight w:val="none"/>
                <w:lang w:bidi="ar"/>
              </w:rPr>
            </w:pPr>
            <w:r>
              <w:rPr>
                <w:rFonts w:hint="eastAsia"/>
                <w:color w:val="auto"/>
                <w:highlight w:val="none"/>
                <w:lang w:bidi="ar"/>
              </w:rPr>
              <w:t xml:space="preserve">输出：AUTBUS或RS485</w:t>
            </w:r>
            <w:r/>
          </w:p>
          <w:p>
            <w:pPr>
              <w:jc w:val="left"/>
              <w:spacing w:line="460" w:lineRule="exact"/>
              <w:widowControl/>
              <w:rPr>
                <w:color w:val="auto"/>
                <w:highlight w:val="none"/>
                <w:lang w:bidi="ar"/>
              </w:rPr>
            </w:pPr>
            <w:r>
              <w:rPr>
                <w:rFonts w:hint="eastAsia"/>
                <w:color w:val="auto"/>
                <w:highlight w:val="none"/>
                <w:lang w:bidi="ar"/>
              </w:rPr>
              <w:t xml:space="preserve">过程连接尺寸：G1 1/2</w:t>
            </w:r>
            <w:r/>
          </w:p>
          <w:p>
            <w:pPr>
              <w:jc w:val="left"/>
              <w:spacing w:line="460" w:lineRule="exact"/>
              <w:widowControl/>
              <w:rPr>
                <w:color w:val="auto"/>
                <w:highlight w:val="none"/>
                <w:lang w:bidi="ar"/>
              </w:rPr>
            </w:pPr>
            <w:r>
              <w:rPr>
                <w:rFonts w:hint="eastAsia"/>
                <w:color w:val="auto"/>
                <w:highlight w:val="none"/>
                <w:lang w:bidi="ar"/>
              </w:rPr>
              <w:t xml:space="preserve">外壳及天线材质：PPO或 铝+PE</w:t>
            </w:r>
            <w:r/>
          </w:p>
          <w:p>
            <w:pPr>
              <w:jc w:val="left"/>
              <w:spacing w:line="460" w:lineRule="exact"/>
              <w:widowControl/>
              <w:rPr>
                <w:color w:val="auto"/>
                <w:highlight w:val="none"/>
                <w:lang w:bidi="ar"/>
              </w:rPr>
            </w:pPr>
            <w:r>
              <w:rPr>
                <w:rFonts w:hint="eastAsia"/>
                <w:color w:val="auto"/>
                <w:highlight w:val="none"/>
                <w:lang w:bidi="ar"/>
              </w:rPr>
              <w:t xml:space="preserve">量程： 0~30m</w:t>
            </w:r>
            <w:r/>
          </w:p>
          <w:p>
            <w:pPr>
              <w:jc w:val="left"/>
              <w:spacing w:line="460" w:lineRule="exact"/>
              <w:widowControl/>
              <w:rPr>
                <w:color w:val="auto"/>
                <w:highlight w:val="none"/>
                <w:lang w:bidi="ar"/>
              </w:rPr>
            </w:pPr>
            <w:r>
              <w:rPr>
                <w:rFonts w:hint="eastAsia"/>
                <w:color w:val="auto"/>
                <w:highlight w:val="none"/>
                <w:lang w:bidi="ar"/>
              </w:rPr>
              <w:t xml:space="preserve">波束角：3°</w:t>
            </w:r>
            <w:r/>
          </w:p>
          <w:p>
            <w:pPr>
              <w:jc w:val="left"/>
              <w:spacing w:line="460" w:lineRule="exact"/>
              <w:widowControl/>
              <w:rPr>
                <w:color w:val="auto"/>
                <w:highlight w:val="none"/>
                <w:lang w:bidi="ar"/>
              </w:rPr>
            </w:pPr>
            <w:r>
              <w:rPr>
                <w:rFonts w:hint="eastAsia"/>
                <w:color w:val="auto"/>
                <w:highlight w:val="none"/>
                <w:lang w:bidi="ar"/>
              </w:rPr>
              <w:t xml:space="preserve">频率：＞20GHz</w:t>
            </w:r>
            <w:r/>
          </w:p>
          <w:p>
            <w:pPr>
              <w:jc w:val="left"/>
              <w:spacing w:line="460" w:lineRule="exact"/>
              <w:widowControl/>
              <w:rPr>
                <w:color w:val="auto"/>
                <w:highlight w:val="none"/>
                <w:lang w:bidi="ar"/>
              </w:rPr>
            </w:pPr>
            <w:r>
              <w:rPr>
                <w:rFonts w:hint="eastAsia"/>
                <w:color w:val="auto"/>
                <w:highlight w:val="none"/>
                <w:lang w:bidi="ar"/>
              </w:rPr>
              <w:t xml:space="preserve">测量精度：</w:t>
            </w:r>
            <w:r>
              <w:rPr>
                <w:rFonts w:hint="eastAsia"/>
                <w:strike w:val="0"/>
                <w:color w:val="auto"/>
                <w:highlight w:val="none"/>
                <w:lang w:bidi="ar"/>
              </w:rPr>
              <w:t xml:space="preserve">±1mm</w:t>
            </w:r>
            <w:r/>
          </w:p>
          <w:p>
            <w:pPr>
              <w:jc w:val="left"/>
              <w:spacing w:line="460" w:lineRule="exact"/>
              <w:widowControl/>
              <w:rPr>
                <w:color w:val="auto"/>
                <w:highlight w:val="none"/>
              </w:rPr>
            </w:pPr>
            <w:r>
              <w:rPr>
                <w:rFonts w:hint="eastAsia"/>
                <w:color w:val="auto"/>
                <w:highlight w:val="none"/>
                <w:lang w:bidi="ar"/>
              </w:rPr>
              <w:t xml:space="preserve">具有第三方检验检测机构出具的检测报告。 </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1.1.4</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水下垂线安装支架（可升降维护）</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3</w:t>
            </w:r>
            <w:r>
              <w:rPr>
                <w:rFonts w:hint="eastAsia"/>
                <w:color w:val="auto"/>
                <w:highlight w:val="none"/>
                <w:lang w:val="en-US" w:eastAsia="zh-CN" w:bidi="ar"/>
              </w:rPr>
              <w:t xml:space="preserve">16</w:t>
            </w:r>
            <w:r>
              <w:rPr>
                <w:rFonts w:hint="eastAsia"/>
                <w:color w:val="auto"/>
                <w:highlight w:val="none"/>
                <w:lang w:bidi="ar"/>
              </w:rPr>
              <w:t xml:space="preserve">不锈钢、尺寸定制、含辅材</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69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1.1.5</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水下专业线缆</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标配25米</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682"/>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1.1.6</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立杆及基础</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标准4m立杆，∅140mm，壁厚</w:t>
            </w:r>
            <w:r>
              <w:rPr>
                <w:color w:val="auto"/>
                <w:highlight w:val="none"/>
                <w:lang w:bidi="ar"/>
              </w:rPr>
              <w:t xml:space="preserve">≥</w:t>
            </w:r>
            <w:r>
              <w:rPr>
                <w:rFonts w:hint="eastAsia"/>
                <w:color w:val="auto"/>
                <w:highlight w:val="none"/>
                <w:lang w:bidi="ar"/>
              </w:rPr>
              <w:t xml:space="preserve">4mm，各部件焊接后整体镀锌处理，表面喷塑。</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1570"/>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太阳能板</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最大输出功率：150W</w:t>
            </w:r>
            <w:r/>
          </w:p>
        </w:tc>
        <w:tc>
          <w:tcPr>
            <w:shd w:val="clear" w:color="auto" w:fill="ffffff"/>
            <w:tcW w:w="833" w:type="dxa"/>
            <w:vAlign w:val="center"/>
            <w:textDirection w:val="lrTb"/>
            <w:noWrap/>
          </w:tcPr>
          <w:p>
            <w:pPr>
              <w:jc w:val="center"/>
              <w:spacing w:line="460" w:lineRule="exact"/>
              <w:widowControl/>
              <w:rPr>
                <w:rFonts w:eastAsia="仿宋"/>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3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太阳能控制器</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控制器类型：PWM</w:t>
            </w:r>
            <w:r/>
          </w:p>
          <w:p>
            <w:pPr>
              <w:jc w:val="left"/>
              <w:spacing w:line="460" w:lineRule="exact"/>
              <w:widowControl/>
              <w:rPr>
                <w:color w:val="auto"/>
                <w:highlight w:val="none"/>
                <w:lang w:bidi="ar"/>
              </w:rPr>
            </w:pPr>
            <w:r>
              <w:rPr>
                <w:rFonts w:hint="eastAsia"/>
                <w:color w:val="auto"/>
                <w:highlight w:val="none"/>
                <w:lang w:bidi="ar"/>
              </w:rPr>
              <w:t xml:space="preserve">系统电压：12V/24V</w:t>
            </w:r>
            <w:r/>
          </w:p>
          <w:p>
            <w:pPr>
              <w:jc w:val="left"/>
              <w:spacing w:line="460" w:lineRule="exact"/>
              <w:widowControl/>
              <w:rPr>
                <w:color w:val="auto"/>
                <w:highlight w:val="none"/>
                <w:lang w:bidi="ar"/>
              </w:rPr>
            </w:pPr>
            <w:r>
              <w:rPr>
                <w:rFonts w:hint="eastAsia"/>
                <w:color w:val="auto"/>
                <w:highlight w:val="none"/>
                <w:lang w:bidi="ar"/>
              </w:rPr>
              <w:t xml:space="preserve">散热方式：自然冷却</w:t>
            </w:r>
            <w:r/>
          </w:p>
          <w:p>
            <w:pPr>
              <w:jc w:val="left"/>
              <w:spacing w:line="460" w:lineRule="exact"/>
              <w:widowControl/>
              <w:rPr>
                <w:color w:val="auto"/>
                <w:highlight w:val="none"/>
                <w:lang w:bidi="ar"/>
              </w:rPr>
            </w:pPr>
            <w:r>
              <w:rPr>
                <w:rFonts w:hint="eastAsia"/>
                <w:color w:val="auto"/>
                <w:highlight w:val="none"/>
                <w:lang w:bidi="ar"/>
              </w:rPr>
              <w:t xml:space="preserve">空载静态损耗：&lt;0.25W</w:t>
            </w:r>
            <w:r/>
          </w:p>
          <w:p>
            <w:pPr>
              <w:jc w:val="left"/>
              <w:spacing w:line="460" w:lineRule="exact"/>
              <w:widowControl/>
              <w:rPr>
                <w:color w:val="auto"/>
                <w:highlight w:val="none"/>
                <w:lang w:bidi="ar"/>
              </w:rPr>
            </w:pPr>
            <w:r>
              <w:rPr>
                <w:rFonts w:hint="eastAsia"/>
                <w:color w:val="auto"/>
                <w:highlight w:val="none"/>
                <w:lang w:bidi="ar"/>
              </w:rPr>
              <w:t xml:space="preserve">PV最大开路电压：55V</w:t>
            </w:r>
            <w:r/>
          </w:p>
          <w:p>
            <w:pPr>
              <w:jc w:val="left"/>
              <w:spacing w:line="460" w:lineRule="exact"/>
              <w:widowControl/>
              <w:rPr>
                <w:color w:val="auto"/>
                <w:highlight w:val="none"/>
                <w:lang w:bidi="ar"/>
              </w:rPr>
            </w:pPr>
            <w:r>
              <w:rPr>
                <w:rFonts w:hint="eastAsia"/>
                <w:color w:val="auto"/>
                <w:highlight w:val="none"/>
                <w:lang w:bidi="ar"/>
              </w:rPr>
              <w:t xml:space="preserve">充电方式：三阶段:涓流-恒流-恒压。</w:t>
            </w:r>
            <w:r/>
          </w:p>
          <w:p>
            <w:pPr>
              <w:jc w:val="left"/>
              <w:spacing w:line="460" w:lineRule="exact"/>
              <w:widowControl/>
              <w:rPr>
                <w:color w:val="auto"/>
                <w:highlight w:val="none"/>
                <w:lang w:bidi="ar"/>
              </w:rPr>
            </w:pPr>
            <w:r>
              <w:rPr>
                <w:rFonts w:hint="eastAsia"/>
                <w:color w:val="auto"/>
                <w:highlight w:val="none"/>
                <w:lang w:bidi="ar"/>
              </w:rPr>
              <w:t xml:space="preserve">额定充电电流：20A</w:t>
            </w:r>
            <w:r/>
          </w:p>
          <w:p>
            <w:pPr>
              <w:jc w:val="left"/>
              <w:spacing w:line="460" w:lineRule="exact"/>
              <w:widowControl/>
              <w:rPr>
                <w:color w:val="auto"/>
                <w:highlight w:val="none"/>
                <w:lang w:bidi="ar"/>
              </w:rPr>
            </w:pPr>
            <w:r>
              <w:rPr>
                <w:rFonts w:hint="eastAsia"/>
                <w:color w:val="auto"/>
                <w:highlight w:val="none"/>
                <w:lang w:bidi="ar"/>
              </w:rPr>
              <w:t xml:space="preserve">额定负载电流：20A</w:t>
            </w:r>
            <w:r/>
          </w:p>
          <w:p>
            <w:pPr>
              <w:jc w:val="left"/>
              <w:spacing w:line="460" w:lineRule="exact"/>
              <w:widowControl/>
              <w:rPr>
                <w:color w:val="auto"/>
                <w:highlight w:val="none"/>
                <w:lang w:bidi="ar"/>
              </w:rPr>
            </w:pPr>
            <w:r>
              <w:rPr>
                <w:rFonts w:hint="eastAsia"/>
                <w:color w:val="auto"/>
                <w:highlight w:val="none"/>
                <w:lang w:bidi="ar"/>
              </w:rPr>
              <w:t xml:space="preserve">负载电压：与蓄电池电压相同</w:t>
            </w:r>
            <w:r/>
          </w:p>
          <w:p>
            <w:pPr>
              <w:jc w:val="left"/>
              <w:spacing w:line="460" w:lineRule="exact"/>
              <w:widowControl/>
              <w:rPr>
                <w:color w:val="auto"/>
                <w:highlight w:val="none"/>
                <w:lang w:bidi="ar"/>
              </w:rPr>
            </w:pPr>
            <w:r>
              <w:rPr>
                <w:rFonts w:hint="eastAsia"/>
                <w:color w:val="auto"/>
                <w:highlight w:val="none"/>
                <w:lang w:bidi="ar"/>
              </w:rPr>
              <w:t xml:space="preserve">负载控制方式：常开</w:t>
            </w:r>
            <w:r/>
          </w:p>
          <w:p>
            <w:pPr>
              <w:jc w:val="left"/>
              <w:spacing w:line="460" w:lineRule="exact"/>
              <w:widowControl/>
              <w:rPr>
                <w:color w:val="auto"/>
                <w:highlight w:val="none"/>
                <w:lang w:bidi="ar"/>
              </w:rPr>
            </w:pPr>
            <w:r>
              <w:rPr>
                <w:rFonts w:hint="eastAsia"/>
                <w:color w:val="auto"/>
                <w:highlight w:val="none"/>
                <w:lang w:bidi="ar"/>
              </w:rPr>
              <w:t xml:space="preserve">低压保护：9.3V/10.6V/11.2V</w:t>
            </w:r>
            <w:r/>
          </w:p>
          <w:p>
            <w:pPr>
              <w:jc w:val="left"/>
              <w:spacing w:line="460" w:lineRule="exact"/>
              <w:widowControl/>
              <w:rPr>
                <w:color w:val="auto"/>
                <w:highlight w:val="none"/>
                <w:lang w:bidi="ar"/>
              </w:rPr>
            </w:pPr>
            <w:r>
              <w:rPr>
                <w:rFonts w:hint="eastAsia"/>
                <w:color w:val="auto"/>
                <w:highlight w:val="none"/>
                <w:lang w:bidi="ar"/>
              </w:rPr>
              <w:t xml:space="preserve">低压恢复：10.5V/12V/12V</w:t>
            </w:r>
            <w:r/>
          </w:p>
          <w:p>
            <w:pPr>
              <w:jc w:val="left"/>
              <w:spacing w:line="460" w:lineRule="exact"/>
              <w:widowControl/>
              <w:rPr>
                <w:color w:val="auto"/>
                <w:highlight w:val="none"/>
                <w:lang w:bidi="ar"/>
              </w:rPr>
            </w:pPr>
            <w:r>
              <w:rPr>
                <w:rFonts w:hint="eastAsia"/>
                <w:color w:val="auto"/>
                <w:highlight w:val="none"/>
                <w:lang w:bidi="ar"/>
              </w:rPr>
              <w:t xml:space="preserve">过充保护:12.3V/13.6V/-</w:t>
            </w:r>
            <w:r/>
          </w:p>
          <w:p>
            <w:pPr>
              <w:jc w:val="left"/>
              <w:spacing w:line="460" w:lineRule="exact"/>
              <w:widowControl/>
              <w:rPr>
                <w:color w:val="auto"/>
                <w:highlight w:val="none"/>
                <w:lang w:bidi="ar"/>
              </w:rPr>
            </w:pPr>
            <w:r>
              <w:rPr>
                <w:rFonts w:hint="eastAsia"/>
                <w:color w:val="auto"/>
                <w:highlight w:val="none"/>
                <w:lang w:bidi="ar"/>
              </w:rPr>
              <w:t xml:space="preserve">过充恢复:12.0V/13.2V/-</w:t>
            </w:r>
            <w:r/>
          </w:p>
          <w:p>
            <w:pPr>
              <w:jc w:val="left"/>
              <w:spacing w:line="460" w:lineRule="exact"/>
              <w:widowControl/>
              <w:rPr>
                <w:color w:val="auto"/>
                <w:highlight w:val="none"/>
                <w:lang w:bidi="ar"/>
              </w:rPr>
            </w:pPr>
            <w:r>
              <w:rPr>
                <w:rFonts w:hint="eastAsia"/>
                <w:color w:val="auto"/>
                <w:highlight w:val="none"/>
                <w:lang w:bidi="ar"/>
              </w:rPr>
              <w:t xml:space="preserve">超压保护:13.5V/14.8V/15.7V</w:t>
            </w:r>
            <w:r/>
          </w:p>
          <w:p>
            <w:pPr>
              <w:jc w:val="left"/>
              <w:spacing w:line="460" w:lineRule="exact"/>
              <w:widowControl/>
              <w:rPr>
                <w:color w:val="auto"/>
                <w:highlight w:val="none"/>
                <w:lang w:bidi="ar"/>
              </w:rPr>
            </w:pPr>
            <w:r>
              <w:rPr>
                <w:rFonts w:hint="eastAsia"/>
                <w:color w:val="auto"/>
                <w:highlight w:val="none"/>
                <w:lang w:bidi="ar"/>
              </w:rPr>
              <w:t xml:space="preserve">显示方式:LCD动态显示</w:t>
            </w:r>
            <w:r/>
          </w:p>
          <w:p>
            <w:pPr>
              <w:jc w:val="left"/>
              <w:spacing w:line="460" w:lineRule="exact"/>
              <w:widowControl/>
              <w:rPr>
                <w:color w:val="auto"/>
                <w:highlight w:val="none"/>
                <w:lang w:bidi="ar"/>
              </w:rPr>
            </w:pPr>
            <w:r>
              <w:rPr>
                <w:rFonts w:hint="eastAsia"/>
                <w:color w:val="auto"/>
                <w:highlight w:val="none"/>
                <w:lang w:bidi="ar"/>
              </w:rPr>
              <w:t xml:space="preserve">保护功能:输入防反接、过温、过流</w:t>
            </w:r>
            <w:r/>
          </w:p>
          <w:p>
            <w:pPr>
              <w:jc w:val="left"/>
              <w:spacing w:line="460" w:lineRule="exact"/>
              <w:widowControl/>
              <w:rPr>
                <w:color w:val="auto"/>
                <w:highlight w:val="none"/>
                <w:lang w:bidi="ar"/>
              </w:rPr>
            </w:pPr>
            <w:r>
              <w:rPr>
                <w:rFonts w:hint="eastAsia"/>
                <w:color w:val="auto"/>
                <w:highlight w:val="none"/>
                <w:lang w:bidi="ar"/>
              </w:rPr>
              <w:t xml:space="preserve">工作温度:-20℃~50℃</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1774"/>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防雷模块</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含</w:t>
            </w:r>
            <w:r>
              <w:rPr>
                <w:color w:val="auto"/>
                <w:highlight w:val="none"/>
              </w:rPr>
              <w:t xml:space="preserve">信号、电源防雷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rFonts w:hint="eastAsia"/>
                <w:color w:val="auto"/>
                <w:highlight w:val="none"/>
              </w:rPr>
              <w:t xml:space="preserve">信号</w:t>
            </w:r>
            <w:r>
              <w:rPr>
                <w:color w:val="auto"/>
                <w:highlight w:val="none"/>
              </w:rPr>
              <w:t xml:space="preserve">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接口：接线端子；</w:t>
            </w:r>
            <w:r/>
          </w:p>
          <w:p>
            <w:pPr>
              <w:jc w:val="left"/>
              <w:spacing w:line="460" w:lineRule="exact"/>
              <w:widowControl/>
              <w:rPr>
                <w:color w:val="auto"/>
                <w:highlight w:val="none"/>
              </w:rPr>
            </w:pPr>
            <w:r>
              <w:rPr>
                <w:color w:val="auto"/>
                <w:highlight w:val="none"/>
              </w:rPr>
              <w:t xml:space="preserve">工作电压Un：12V</w:t>
            </w:r>
            <w:r>
              <w:rPr>
                <w:rFonts w:hint="eastAsia"/>
                <w:color w:val="auto"/>
                <w:highlight w:val="none"/>
              </w:rPr>
              <w:t xml:space="preserve"> DC</w:t>
            </w:r>
            <w:r>
              <w:rPr>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电压保护水平Up：≤40V；</w:t>
            </w:r>
            <w:r/>
          </w:p>
          <w:p>
            <w:pPr>
              <w:jc w:val="left"/>
              <w:spacing w:line="460" w:lineRule="exact"/>
              <w:widowControl/>
              <w:rPr>
                <w:color w:val="auto"/>
                <w:highlight w:val="none"/>
              </w:rPr>
            </w:pPr>
            <w:r>
              <w:rPr>
                <w:color w:val="auto"/>
                <w:highlight w:val="none"/>
              </w:rPr>
              <w:t xml:space="preserve">传输速率：10Mbps；</w:t>
            </w:r>
            <w:r/>
          </w:p>
          <w:p>
            <w:pPr>
              <w:jc w:val="left"/>
              <w:spacing w:line="460" w:lineRule="exact"/>
              <w:widowControl/>
              <w:rPr>
                <w:color w:val="auto"/>
                <w:highlight w:val="none"/>
              </w:rPr>
            </w:pPr>
            <w:r>
              <w:rPr>
                <w:color w:val="auto"/>
                <w:highlight w:val="none"/>
              </w:rPr>
              <w:t xml:space="preserve">响应时间：≤1ns；</w:t>
            </w:r>
            <w:r/>
          </w:p>
          <w:p>
            <w:pPr>
              <w:jc w:val="left"/>
              <w:spacing w:line="460" w:lineRule="exact"/>
              <w:widowControl/>
              <w:rPr>
                <w:color w:val="auto"/>
                <w:highlight w:val="none"/>
              </w:rPr>
            </w:pPr>
            <w:r>
              <w:rPr>
                <w:color w:val="auto"/>
                <w:highlight w:val="none"/>
              </w:rPr>
              <w:t xml:space="preserve">插入损耗：≤0.5dB；</w:t>
            </w:r>
            <w:r/>
          </w:p>
          <w:p>
            <w:pPr>
              <w:jc w:val="left"/>
              <w:spacing w:line="460" w:lineRule="exact"/>
              <w:widowControl/>
              <w:rPr>
                <w:color w:val="auto"/>
                <w:highlight w:val="none"/>
              </w:rPr>
            </w:pPr>
            <w:r>
              <w:rPr>
                <w:color w:val="auto"/>
                <w:highlight w:val="none"/>
              </w:rPr>
              <w:t xml:space="preserve">标称电流IL：0.5A；</w:t>
            </w:r>
            <w:r/>
          </w:p>
          <w:p>
            <w:pPr>
              <w:jc w:val="left"/>
              <w:spacing w:line="460" w:lineRule="exact"/>
              <w:widowControl/>
              <w:rPr>
                <w:color w:val="auto"/>
                <w:highlight w:val="none"/>
              </w:rPr>
            </w:pPr>
            <w:r>
              <w:rPr>
                <w:color w:val="auto"/>
                <w:highlight w:val="none"/>
              </w:rPr>
              <w:t xml:space="preserve">安装导线截面积：0.08—2.5mm2；</w:t>
            </w:r>
            <w:r/>
          </w:p>
          <w:p>
            <w:pPr>
              <w:jc w:val="left"/>
              <w:spacing w:line="460" w:lineRule="exact"/>
              <w:widowControl/>
              <w:rPr>
                <w:color w:val="auto"/>
                <w:highlight w:val="none"/>
              </w:rPr>
            </w:pPr>
            <w:r>
              <w:rPr>
                <w:color w:val="auto"/>
                <w:highlight w:val="none"/>
              </w:rPr>
              <w:t xml:space="preserve">工作温度（℃）：-40℃~+80℃；</w:t>
            </w:r>
            <w:r/>
          </w:p>
          <w:p>
            <w:pPr>
              <w:jc w:val="left"/>
              <w:spacing w:line="460" w:lineRule="exact"/>
              <w:widowControl/>
              <w:rPr>
                <w:color w:val="auto"/>
                <w:highlight w:val="none"/>
              </w:rPr>
            </w:pPr>
            <w:r>
              <w:rPr>
                <w:color w:val="auto"/>
                <w:highlight w:val="none"/>
              </w:rPr>
              <w:t xml:space="preserve">相对湿度：10%～90%（25℃）。</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color w:val="auto"/>
                <w:highlight w:val="none"/>
              </w:rPr>
              <w:t xml:space="preserve">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工作电压Un：12V DC；</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电压保护水平（In） Up：≤60V DC ；</w:t>
            </w:r>
            <w:r/>
          </w:p>
          <w:p>
            <w:pPr>
              <w:jc w:val="left"/>
              <w:spacing w:line="460" w:lineRule="exact"/>
              <w:widowControl/>
              <w:rPr>
                <w:color w:val="auto"/>
                <w:highlight w:val="none"/>
              </w:rPr>
            </w:pPr>
            <w:r>
              <w:rPr>
                <w:rFonts w:hint="eastAsia"/>
                <w:color w:val="auto"/>
                <w:highlight w:val="none"/>
              </w:rPr>
              <w:t xml:space="preserve">响应时间：≤25ns；</w:t>
            </w:r>
            <w:r/>
          </w:p>
          <w:p>
            <w:pPr>
              <w:jc w:val="left"/>
              <w:spacing w:line="460" w:lineRule="exact"/>
              <w:widowControl/>
              <w:rPr>
                <w:color w:val="auto"/>
                <w:highlight w:val="none"/>
              </w:rPr>
            </w:pPr>
            <w:r>
              <w:rPr>
                <w:color w:val="auto"/>
                <w:highlight w:val="none"/>
              </w:rPr>
              <w:t xml:space="preserve">外壳防护等级：≧IP20；</w:t>
            </w:r>
            <w:r/>
          </w:p>
          <w:p>
            <w:pPr>
              <w:jc w:val="left"/>
              <w:spacing w:line="460" w:lineRule="exact"/>
              <w:widowControl/>
              <w:rPr>
                <w:color w:val="auto"/>
                <w:highlight w:val="none"/>
              </w:rPr>
            </w:pPr>
            <w:r>
              <w:rPr>
                <w:color w:val="auto"/>
                <w:highlight w:val="none"/>
              </w:rPr>
              <w:t xml:space="preserve">工作环境 环境温度：－40℃～＋70℃；</w:t>
            </w:r>
            <w:r/>
          </w:p>
          <w:p>
            <w:pPr>
              <w:jc w:val="left"/>
              <w:spacing w:line="460" w:lineRule="exact"/>
              <w:widowControl/>
              <w:rPr>
                <w:color w:val="auto"/>
                <w:highlight w:val="none"/>
              </w:rPr>
            </w:pPr>
            <w:r>
              <w:rPr>
                <w:color w:val="auto"/>
                <w:highlight w:val="none"/>
              </w:rPr>
              <w:t xml:space="preserve">相对湿度：≤95%（25℃）。</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防护箱及系统配件</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lang w:bidi="ar"/>
              </w:rPr>
              <w:t xml:space="preserve">机箱</w:t>
            </w:r>
            <w:r>
              <w:rPr>
                <w:rFonts w:hint="eastAsia"/>
                <w:color w:val="auto"/>
                <w:highlight w:val="none"/>
                <w:lang w:bidi="ar"/>
              </w:rPr>
              <w:t xml:space="preserve">（</w:t>
            </w:r>
            <w:r>
              <w:rPr>
                <w:color w:val="auto"/>
                <w:highlight w:val="none"/>
                <w:lang w:bidi="ar"/>
              </w:rPr>
              <w:t xml:space="preserve">不锈钢喷塑</w:t>
            </w:r>
            <w:r>
              <w:rPr>
                <w:rFonts w:hint="eastAsia"/>
                <w:color w:val="auto"/>
                <w:highlight w:val="none"/>
                <w:lang w:bidi="ar"/>
              </w:rPr>
              <w:t xml:space="preserve">，</w:t>
            </w:r>
            <w:r>
              <w:rPr>
                <w:color w:val="auto"/>
                <w:highlight w:val="none"/>
                <w:lang w:bidi="ar"/>
              </w:rPr>
              <w:t xml:space="preserve">厚度≥1.5mm</w:t>
            </w:r>
            <w:r>
              <w:rPr>
                <w:rFonts w:hint="eastAsia"/>
                <w:color w:val="auto"/>
                <w:highlight w:val="none"/>
                <w:lang w:bidi="ar"/>
              </w:rPr>
              <w:t xml:space="preserve">）</w:t>
            </w:r>
            <w:r>
              <w:rPr>
                <w:color w:val="auto"/>
                <w:highlight w:val="none"/>
                <w:lang w:bidi="ar"/>
              </w:rPr>
              <w:t xml:space="preserve">：720*450*230mm</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536"/>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蓄电池</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胶体蓄电池：12V 100Ah ；                                                                                                                                                                  </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5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1.1.12</w:t>
            </w:r>
            <w:r/>
          </w:p>
        </w:tc>
        <w:tc>
          <w:tcPr>
            <w:shd w:val="clear" w:color="auto" w:fill="ffffff"/>
            <w:tcW w:w="2011"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安装及基础建设</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指导安装、调试、数据上传到指定平台</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1</w:t>
            </w:r>
            <w:r>
              <w:rPr>
                <w:rFonts w:hint="eastAsia"/>
                <w:color w:val="auto"/>
                <w:highlight w:val="none"/>
                <w:lang w:bidi="ar"/>
              </w:rPr>
              <w:t xml:space="preserve">9</w:t>
            </w:r>
            <w:r/>
          </w:p>
        </w:tc>
      </w:tr>
      <w:tr>
        <w:trPr>
          <w:jc w:val="center"/>
          <w:trHeight w:val="5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1.1.13</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通信费</w:t>
            </w:r>
            <w:r/>
          </w:p>
        </w:tc>
        <w:tc>
          <w:tcPr>
            <w:shd w:val="clear" w:color="auto" w:fill="ffffff"/>
            <w:tcW w:w="4960"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129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14</w:t>
            </w:r>
            <w:r/>
          </w:p>
        </w:tc>
        <w:tc>
          <w:tcPr>
            <w:shd w:val="clear" w:color="auto" w:fill="ffffff"/>
            <w:tcW w:w="2011" w:type="dxa"/>
            <w:vAlign w:val="center"/>
            <w:textDirection w:val="lrTb"/>
            <w:noWrap w:val="false"/>
          </w:tcPr>
          <w:p>
            <w:pPr>
              <w:jc w:val="center"/>
              <w:spacing w:line="460" w:lineRule="exact"/>
              <w:widowControl/>
              <w:rPr>
                <w:rFonts w:eastAsia="仿宋"/>
                <w:color w:val="auto"/>
                <w:highlight w:val="none"/>
              </w:rPr>
            </w:pPr>
            <w:r>
              <w:rPr>
                <w:rFonts w:hint="eastAsia"/>
                <w:color w:val="auto"/>
                <w:highlight w:val="none"/>
                <w:lang w:bidi="ar"/>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539"/>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1.2</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H-ADCP测站建设</w:t>
            </w:r>
            <w:r/>
          </w:p>
        </w:tc>
      </w:tr>
      <w:tr>
        <w:trPr>
          <w:jc w:val="center"/>
          <w:trHeight w:val="805"/>
        </w:trPr>
        <w:tc>
          <w:tcPr>
            <w:shd w:val="clear" w:color="auto" w:fill="ffffff"/>
            <w:tcW w:w="745"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1.2.1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H-ADCP</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发射波束：双波束；</w:t>
            </w:r>
            <w:r/>
          </w:p>
          <w:p>
            <w:pPr>
              <w:jc w:val="left"/>
              <w:spacing w:line="460" w:lineRule="exact"/>
              <w:widowControl/>
              <w:rPr>
                <w:color w:val="auto"/>
                <w:highlight w:val="none"/>
              </w:rPr>
            </w:pPr>
            <w:r>
              <w:rPr>
                <w:rFonts w:hint="eastAsia"/>
                <w:color w:val="auto"/>
                <w:highlight w:val="none"/>
              </w:rPr>
              <w:t xml:space="preserve">超声频率：600khz；</w:t>
            </w:r>
            <w:r/>
          </w:p>
          <w:p>
            <w:pPr>
              <w:jc w:val="left"/>
              <w:spacing w:line="460" w:lineRule="exact"/>
              <w:widowControl/>
              <w:rPr>
                <w:color w:val="auto"/>
                <w:highlight w:val="none"/>
              </w:rPr>
            </w:pPr>
            <w:r>
              <w:rPr>
                <w:rFonts w:hint="eastAsia"/>
                <w:color w:val="auto"/>
                <w:highlight w:val="none"/>
              </w:rPr>
              <w:t xml:space="preserve">最大测量范围：≥100m；</w:t>
            </w:r>
            <w:r/>
          </w:p>
          <w:p>
            <w:pPr>
              <w:jc w:val="left"/>
              <w:spacing w:line="460" w:lineRule="exact"/>
              <w:widowControl/>
              <w:rPr>
                <w:color w:val="auto"/>
                <w:highlight w:val="none"/>
              </w:rPr>
            </w:pPr>
            <w:r>
              <w:rPr>
                <w:rFonts w:hint="eastAsia"/>
                <w:color w:val="auto"/>
                <w:highlight w:val="none"/>
              </w:rPr>
              <w:t xml:space="preserve">测量盲区：≤0.4m；</w:t>
            </w:r>
            <w:r/>
          </w:p>
          <w:p>
            <w:pPr>
              <w:jc w:val="left"/>
              <w:spacing w:line="460" w:lineRule="exact"/>
              <w:widowControl/>
              <w:rPr>
                <w:color w:val="auto"/>
                <w:highlight w:val="none"/>
              </w:rPr>
            </w:pPr>
            <w:r>
              <w:rPr>
                <w:rFonts w:hint="eastAsia"/>
                <w:color w:val="auto"/>
                <w:highlight w:val="none"/>
              </w:rPr>
              <w:t xml:space="preserve">流速精度：0.25%±2.0mm/s</w:t>
            </w:r>
            <w:r/>
          </w:p>
          <w:p>
            <w:pPr>
              <w:jc w:val="left"/>
              <w:spacing w:line="460" w:lineRule="exact"/>
              <w:widowControl/>
              <w:rPr>
                <w:color w:val="auto"/>
                <w:highlight w:val="none"/>
              </w:rPr>
            </w:pPr>
            <w:r>
              <w:rPr>
                <w:rFonts w:hint="eastAsia"/>
                <w:color w:val="auto"/>
                <w:highlight w:val="none"/>
              </w:rPr>
              <w:t xml:space="preserve">单元尺寸：0.5m～4m；</w:t>
            </w:r>
            <w:r/>
          </w:p>
          <w:p>
            <w:pPr>
              <w:jc w:val="left"/>
              <w:spacing w:line="460" w:lineRule="exact"/>
              <w:widowControl/>
              <w:rPr>
                <w:color w:val="auto"/>
                <w:highlight w:val="none"/>
              </w:rPr>
            </w:pPr>
            <w:r>
              <w:rPr>
                <w:rFonts w:hint="eastAsia"/>
                <w:color w:val="auto"/>
                <w:highlight w:val="none"/>
              </w:rPr>
              <w:t xml:space="preserve">防水等级：IP68；</w:t>
            </w:r>
            <w:r/>
          </w:p>
          <w:p>
            <w:pPr>
              <w:jc w:val="left"/>
              <w:spacing w:line="460" w:lineRule="exact"/>
              <w:widowControl/>
              <w:rPr>
                <w:color w:val="auto"/>
                <w:highlight w:val="none"/>
              </w:rPr>
            </w:pPr>
            <w:r>
              <w:rPr>
                <w:rFonts w:hint="eastAsia"/>
                <w:color w:val="auto"/>
                <w:highlight w:val="none"/>
              </w:rPr>
              <w:t xml:space="preserve">双向测流：支持判别水流方向；</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val="false"/>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150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4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40" w:lineRule="exact"/>
              <w:widowControl/>
              <w:rPr>
                <w:color w:val="auto"/>
                <w:highlight w:val="none"/>
              </w:rPr>
            </w:pPr>
            <w:r>
              <w:rPr>
                <w:rFonts w:hint="eastAsia"/>
                <w:color w:val="auto"/>
                <w:highlight w:val="none"/>
              </w:rPr>
              <w:t xml:space="preserve">串口：具有6路RS-485/232通讯接口；</w:t>
            </w:r>
            <w:r/>
          </w:p>
          <w:p>
            <w:pPr>
              <w:jc w:val="left"/>
              <w:spacing w:line="440" w:lineRule="exact"/>
              <w:widowControl/>
              <w:rPr>
                <w:color w:val="auto"/>
                <w:highlight w:val="none"/>
              </w:rPr>
            </w:pPr>
            <w:r>
              <w:rPr>
                <w:rFonts w:hint="eastAsia"/>
                <w:color w:val="auto"/>
                <w:highlight w:val="none"/>
              </w:rPr>
              <w:t xml:space="preserve">4路模拟量和4路开关量输入接口；</w:t>
            </w:r>
            <w:r/>
          </w:p>
          <w:p>
            <w:pPr>
              <w:jc w:val="left"/>
              <w:spacing w:line="44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40" w:lineRule="exact"/>
              <w:widowControl/>
              <w:rPr>
                <w:color w:val="auto"/>
                <w:highlight w:val="none"/>
              </w:rPr>
            </w:pPr>
            <w:r>
              <w:rPr>
                <w:rFonts w:hint="eastAsia"/>
                <w:color w:val="auto"/>
                <w:highlight w:val="none"/>
              </w:rPr>
              <w:t xml:space="preserve">1路脉冲接口，1路格雷码接口，1路SDI-12接口；</w:t>
            </w:r>
            <w:r/>
          </w:p>
          <w:p>
            <w:pPr>
              <w:jc w:val="left"/>
              <w:spacing w:line="44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40" w:lineRule="exact"/>
              <w:widowControl/>
              <w:rPr>
                <w:color w:val="auto"/>
                <w:highlight w:val="none"/>
              </w:rPr>
            </w:pPr>
            <w:r>
              <w:rPr>
                <w:rFonts w:hint="eastAsia"/>
                <w:color w:val="auto"/>
                <w:highlight w:val="none"/>
              </w:rPr>
              <w:t xml:space="preserve">具备GPRS（CDMA等）一站多发扩展功能；</w:t>
            </w:r>
            <w:r/>
          </w:p>
          <w:p>
            <w:pPr>
              <w:jc w:val="left"/>
              <w:spacing w:line="440" w:lineRule="exact"/>
              <w:widowControl/>
              <w:rPr>
                <w:color w:val="auto"/>
                <w:highlight w:val="none"/>
              </w:rPr>
            </w:pPr>
            <w:r>
              <w:rPr>
                <w:rFonts w:hint="eastAsia"/>
                <w:color w:val="auto"/>
                <w:highlight w:val="none"/>
              </w:rPr>
              <w:t xml:space="preserve">工作制式：自报式、应答式、混合式；</w:t>
            </w:r>
            <w:r/>
          </w:p>
          <w:p>
            <w:pPr>
              <w:jc w:val="left"/>
              <w:spacing w:line="440" w:lineRule="exact"/>
              <w:widowControl/>
              <w:rPr>
                <w:color w:val="auto"/>
                <w:highlight w:val="none"/>
              </w:rPr>
            </w:pPr>
            <w:r>
              <w:rPr>
                <w:rFonts w:hint="eastAsia"/>
                <w:color w:val="auto"/>
                <w:highlight w:val="none"/>
              </w:rPr>
              <w:t xml:space="preserve">数据存储：≥32Mb；</w:t>
            </w:r>
            <w:r/>
          </w:p>
          <w:p>
            <w:pPr>
              <w:jc w:val="left"/>
              <w:spacing w:line="440" w:lineRule="exact"/>
              <w:widowControl/>
              <w:rPr>
                <w:color w:val="auto"/>
                <w:highlight w:val="none"/>
              </w:rPr>
            </w:pPr>
            <w:r>
              <w:rPr>
                <w:rFonts w:hint="eastAsia"/>
                <w:color w:val="auto"/>
                <w:highlight w:val="none"/>
              </w:rPr>
              <w:t xml:space="preserve">工作电压5～18VDC；</w:t>
            </w:r>
            <w:r/>
          </w:p>
          <w:p>
            <w:pPr>
              <w:jc w:val="left"/>
              <w:spacing w:line="440" w:lineRule="exact"/>
              <w:widowControl/>
              <w:rPr>
                <w:color w:val="auto"/>
                <w:highlight w:val="none"/>
              </w:rPr>
            </w:pPr>
            <w:r>
              <w:rPr>
                <w:rFonts w:hint="eastAsia"/>
                <w:color w:val="auto"/>
                <w:highlight w:val="none"/>
              </w:rPr>
              <w:t xml:space="preserve">静态功耗（12VDC）：≤30mA；</w:t>
            </w:r>
            <w:r/>
          </w:p>
          <w:p>
            <w:pPr>
              <w:jc w:val="left"/>
              <w:spacing w:line="440" w:lineRule="exact"/>
              <w:widowControl/>
              <w:rPr>
                <w:color w:val="auto"/>
                <w:highlight w:val="none"/>
              </w:rPr>
            </w:pPr>
            <w:r>
              <w:rPr>
                <w:rFonts w:hint="eastAsia"/>
                <w:color w:val="auto"/>
                <w:highlight w:val="none"/>
              </w:rPr>
              <w:t xml:space="preserve">工作功耗（12VDC）：≤150mA；</w:t>
            </w:r>
            <w:r/>
          </w:p>
          <w:p>
            <w:pPr>
              <w:jc w:val="left"/>
              <w:spacing w:line="440" w:lineRule="exact"/>
              <w:widowControl/>
              <w:rPr>
                <w:color w:val="auto"/>
                <w:highlight w:val="none"/>
              </w:rPr>
            </w:pPr>
            <w:r>
              <w:rPr>
                <w:rFonts w:hint="eastAsia"/>
                <w:color w:val="auto"/>
                <w:highlight w:val="none"/>
              </w:rPr>
              <w:t xml:space="preserve">工作温湿度：-30℃~+60℃工作状态，≤95% RH（无凝结）</w:t>
            </w:r>
            <w:r/>
          </w:p>
          <w:p>
            <w:pPr>
              <w:jc w:val="left"/>
              <w:spacing w:line="44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172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雷达水位计</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输出供电：DC 6~30V</w:t>
            </w:r>
            <w:r/>
          </w:p>
          <w:p>
            <w:pPr>
              <w:jc w:val="left"/>
              <w:spacing w:line="460" w:lineRule="exact"/>
              <w:widowControl/>
              <w:rPr>
                <w:color w:val="auto"/>
                <w:highlight w:val="none"/>
                <w:lang w:bidi="ar"/>
              </w:rPr>
            </w:pPr>
            <w:r>
              <w:rPr>
                <w:rFonts w:hint="eastAsia"/>
                <w:color w:val="auto"/>
                <w:highlight w:val="none"/>
                <w:lang w:bidi="ar"/>
              </w:rPr>
              <w:t xml:space="preserve">输出：AUTBUS或RS485</w:t>
            </w:r>
            <w:r/>
          </w:p>
          <w:p>
            <w:pPr>
              <w:jc w:val="left"/>
              <w:spacing w:line="460" w:lineRule="exact"/>
              <w:widowControl/>
              <w:rPr>
                <w:color w:val="auto"/>
                <w:highlight w:val="none"/>
                <w:lang w:bidi="ar"/>
              </w:rPr>
            </w:pPr>
            <w:r>
              <w:rPr>
                <w:rFonts w:hint="eastAsia"/>
                <w:color w:val="auto"/>
                <w:highlight w:val="none"/>
                <w:lang w:bidi="ar"/>
              </w:rPr>
              <w:t xml:space="preserve">过程连接尺寸：G1 1/2</w:t>
            </w:r>
            <w:r/>
          </w:p>
          <w:p>
            <w:pPr>
              <w:jc w:val="left"/>
              <w:spacing w:line="460" w:lineRule="exact"/>
              <w:widowControl/>
              <w:rPr>
                <w:color w:val="auto"/>
                <w:highlight w:val="none"/>
                <w:lang w:bidi="ar"/>
              </w:rPr>
            </w:pPr>
            <w:r>
              <w:rPr>
                <w:rFonts w:hint="eastAsia"/>
                <w:color w:val="auto"/>
                <w:highlight w:val="none"/>
                <w:lang w:bidi="ar"/>
              </w:rPr>
              <w:t xml:space="preserve">外壳及天线材质：PPO或 铝+PE</w:t>
            </w:r>
            <w:r/>
          </w:p>
          <w:p>
            <w:pPr>
              <w:jc w:val="left"/>
              <w:spacing w:line="460" w:lineRule="exact"/>
              <w:widowControl/>
              <w:rPr>
                <w:color w:val="auto"/>
                <w:highlight w:val="none"/>
                <w:lang w:bidi="ar"/>
              </w:rPr>
            </w:pPr>
            <w:r>
              <w:rPr>
                <w:rFonts w:hint="eastAsia"/>
                <w:color w:val="auto"/>
                <w:highlight w:val="none"/>
                <w:lang w:bidi="ar"/>
              </w:rPr>
              <w:t xml:space="preserve">量程： 0~30m</w:t>
            </w:r>
            <w:r/>
          </w:p>
          <w:p>
            <w:pPr>
              <w:jc w:val="left"/>
              <w:spacing w:line="460" w:lineRule="exact"/>
              <w:widowControl/>
              <w:rPr>
                <w:color w:val="auto"/>
                <w:highlight w:val="none"/>
                <w:lang w:bidi="ar"/>
              </w:rPr>
            </w:pPr>
            <w:r>
              <w:rPr>
                <w:rFonts w:hint="eastAsia"/>
                <w:color w:val="auto"/>
                <w:highlight w:val="none"/>
                <w:lang w:bidi="ar"/>
              </w:rPr>
              <w:t xml:space="preserve">波束角：3°</w:t>
            </w:r>
            <w:r/>
          </w:p>
          <w:p>
            <w:pPr>
              <w:jc w:val="left"/>
              <w:spacing w:line="460" w:lineRule="exact"/>
              <w:widowControl/>
              <w:rPr>
                <w:color w:val="auto"/>
                <w:highlight w:val="none"/>
                <w:lang w:bidi="ar"/>
              </w:rPr>
            </w:pPr>
            <w:r>
              <w:rPr>
                <w:rFonts w:hint="eastAsia"/>
                <w:color w:val="auto"/>
                <w:highlight w:val="none"/>
                <w:lang w:bidi="ar"/>
              </w:rPr>
              <w:t xml:space="preserve">频率：＞20GHz</w:t>
            </w:r>
            <w:r/>
          </w:p>
          <w:p>
            <w:pPr>
              <w:jc w:val="left"/>
              <w:spacing w:line="460" w:lineRule="exact"/>
              <w:widowControl/>
              <w:rPr>
                <w:color w:val="auto"/>
                <w:highlight w:val="none"/>
                <w:lang w:bidi="ar"/>
              </w:rPr>
            </w:pPr>
            <w:r>
              <w:rPr>
                <w:rFonts w:hint="eastAsia"/>
                <w:color w:val="auto"/>
                <w:highlight w:val="none"/>
                <w:lang w:bidi="ar"/>
              </w:rPr>
              <w:t xml:space="preserve">测量精度：±</w:t>
            </w:r>
            <w:r>
              <w:rPr>
                <w:rFonts w:hint="eastAsia"/>
                <w:color w:val="auto"/>
                <w:highlight w:val="none"/>
                <w:lang w:val="en-US" w:eastAsia="zh-CN" w:bidi="ar"/>
              </w:rPr>
              <w:t xml:space="preserve">1</w:t>
            </w:r>
            <w:r>
              <w:rPr>
                <w:rFonts w:hint="eastAsia"/>
                <w:color w:val="auto"/>
                <w:highlight w:val="none"/>
                <w:lang w:bidi="ar"/>
              </w:rPr>
              <w:t xml:space="preserve">mm</w:t>
            </w:r>
            <w:r/>
          </w:p>
          <w:p>
            <w:pPr>
              <w:jc w:val="left"/>
              <w:spacing w:line="440" w:lineRule="exact"/>
              <w:widowControl/>
              <w:rPr>
                <w:color w:val="auto"/>
                <w:highlight w:val="none"/>
                <w:lang w:bidi="ar"/>
              </w:rPr>
            </w:pPr>
            <w:r>
              <w:rPr>
                <w:rFonts w:hint="eastAsia"/>
                <w:color w:val="auto"/>
                <w:highlight w:val="none"/>
                <w:lang w:bidi="ar"/>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36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1.2.4</w:t>
            </w:r>
            <w:r/>
          </w:p>
        </w:tc>
        <w:tc>
          <w:tcPr>
            <w:shd w:val="clear" w:color="auto" w:fill="ffffff"/>
            <w:tcW w:w="2011" w:type="dxa"/>
            <w:vAlign w:val="center"/>
            <w:textDirection w:val="lrTb"/>
            <w:noWrap w:val="false"/>
          </w:tcPr>
          <w:p>
            <w:pPr>
              <w:jc w:val="center"/>
              <w:spacing w:line="440" w:lineRule="exact"/>
              <w:widowControl/>
              <w:rPr>
                <w:color w:val="auto"/>
                <w:highlight w:val="none"/>
                <w:lang w:bidi="ar"/>
              </w:rPr>
            </w:pPr>
            <w:r>
              <w:rPr>
                <w:rFonts w:hint="eastAsia"/>
                <w:color w:val="auto"/>
                <w:highlight w:val="none"/>
                <w:lang w:bidi="ar"/>
              </w:rPr>
              <w:t xml:space="preserve">滑轨式安装支架（可升降维护）</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3</w:t>
            </w:r>
            <w:r>
              <w:rPr>
                <w:rFonts w:hint="eastAsia"/>
                <w:color w:val="auto"/>
                <w:highlight w:val="none"/>
                <w:lang w:val="en-US" w:eastAsia="zh-CN" w:bidi="ar"/>
              </w:rPr>
              <w:t xml:space="preserve">16</w:t>
            </w:r>
            <w:r>
              <w:rPr>
                <w:rFonts w:hint="eastAsia"/>
                <w:color w:val="auto"/>
                <w:highlight w:val="none"/>
                <w:lang w:bidi="ar"/>
              </w:rPr>
              <w:t xml:space="preserve">不锈钢、尺寸定制、含辅材。</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1.2.5</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水下专业线缆</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标配25米。</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1.2.6</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立杆及基础</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标准4m立杆，</w:t>
            </w:r>
            <w:r>
              <w:rPr>
                <w:rFonts w:ascii="Cambria Math" w:hAnsi="Cambria Math" w:cs="Cambria Math"/>
                <w:color w:val="auto"/>
                <w:highlight w:val="none"/>
                <w:lang w:bidi="ar"/>
              </w:rPr>
              <w:t xml:space="preserve">∅</w:t>
            </w:r>
            <w:r>
              <w:rPr>
                <w:rFonts w:hint="eastAsia"/>
                <w:color w:val="auto"/>
                <w:highlight w:val="none"/>
                <w:lang w:bidi="ar"/>
              </w:rPr>
              <w:t xml:space="preserve">140mm，壁厚</w:t>
            </w:r>
            <w:r>
              <w:rPr>
                <w:color w:val="auto"/>
                <w:highlight w:val="none"/>
                <w:lang w:bidi="ar"/>
              </w:rPr>
              <w:t xml:space="preserve">≥</w:t>
            </w:r>
            <w:r>
              <w:rPr>
                <w:rFonts w:hint="eastAsia"/>
                <w:color w:val="auto"/>
                <w:highlight w:val="none"/>
                <w:lang w:bidi="ar"/>
              </w:rPr>
              <w:t xml:space="preserve">4mm，各部件焊接后整体镀锌处理，表面喷塑。</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12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太阳能板</w:t>
            </w:r>
            <w:r/>
          </w:p>
        </w:tc>
        <w:tc>
          <w:tcPr>
            <w:shd w:val="clear" w:color="auto" w:fill="ffffff"/>
            <w:tcW w:w="4960" w:type="dxa"/>
            <w:vAlign w:val="center"/>
            <w:textDirection w:val="lrTb"/>
            <w:noWrap/>
          </w:tcPr>
          <w:p>
            <w:pPr>
              <w:jc w:val="left"/>
              <w:spacing w:line="440" w:lineRule="exact"/>
              <w:widowControl/>
              <w:rPr>
                <w:color w:val="auto"/>
                <w:highlight w:val="none"/>
                <w:lang w:bidi="ar"/>
              </w:rPr>
            </w:pPr>
            <w:r>
              <w:rPr>
                <w:rFonts w:hint="eastAsia"/>
                <w:color w:val="auto"/>
                <w:highlight w:val="none"/>
                <w:lang w:bidi="ar"/>
              </w:rPr>
              <w:t xml:space="preserve">最大输出功率：150W</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426"/>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太阳能控制器</w:t>
            </w:r>
            <w:r/>
          </w:p>
        </w:tc>
        <w:tc>
          <w:tcPr>
            <w:shd w:val="clear" w:color="auto" w:fill="ffffff"/>
            <w:tcW w:w="4960" w:type="dxa"/>
            <w:vAlign w:val="center"/>
            <w:textDirection w:val="lrTb"/>
            <w:noWrap/>
          </w:tcPr>
          <w:p>
            <w:pPr>
              <w:jc w:val="left"/>
              <w:spacing w:line="420" w:lineRule="exact"/>
              <w:widowControl/>
              <w:rPr>
                <w:color w:val="auto"/>
                <w:highlight w:val="none"/>
                <w:lang w:bidi="ar"/>
              </w:rPr>
            </w:pPr>
            <w:r>
              <w:rPr>
                <w:rFonts w:hint="eastAsia"/>
                <w:color w:val="auto"/>
                <w:highlight w:val="none"/>
                <w:lang w:bidi="ar"/>
              </w:rPr>
              <w:t xml:space="preserve">控制器类型：PWM；</w:t>
            </w:r>
            <w:r/>
          </w:p>
          <w:p>
            <w:pPr>
              <w:jc w:val="left"/>
              <w:spacing w:line="420" w:lineRule="exact"/>
              <w:widowControl/>
              <w:rPr>
                <w:color w:val="auto"/>
                <w:highlight w:val="none"/>
                <w:lang w:bidi="ar"/>
              </w:rPr>
            </w:pPr>
            <w:r>
              <w:rPr>
                <w:rFonts w:hint="eastAsia"/>
                <w:color w:val="auto"/>
                <w:highlight w:val="none"/>
                <w:lang w:bidi="ar"/>
              </w:rPr>
              <w:t xml:space="preserve">系统电压：12V/24V；</w:t>
            </w:r>
            <w:r/>
          </w:p>
          <w:p>
            <w:pPr>
              <w:jc w:val="left"/>
              <w:spacing w:line="420" w:lineRule="exact"/>
              <w:widowControl/>
              <w:rPr>
                <w:color w:val="auto"/>
                <w:highlight w:val="none"/>
                <w:lang w:bidi="ar"/>
              </w:rPr>
            </w:pPr>
            <w:r>
              <w:rPr>
                <w:rFonts w:hint="eastAsia"/>
                <w:color w:val="auto"/>
                <w:highlight w:val="none"/>
                <w:lang w:bidi="ar"/>
              </w:rPr>
              <w:t xml:space="preserve">散热方式：自然冷却；</w:t>
            </w:r>
            <w:r/>
          </w:p>
          <w:p>
            <w:pPr>
              <w:jc w:val="left"/>
              <w:spacing w:line="420" w:lineRule="exact"/>
              <w:widowControl/>
              <w:rPr>
                <w:color w:val="auto"/>
                <w:highlight w:val="none"/>
                <w:lang w:bidi="ar"/>
              </w:rPr>
            </w:pPr>
            <w:r>
              <w:rPr>
                <w:rFonts w:hint="eastAsia"/>
                <w:color w:val="auto"/>
                <w:highlight w:val="none"/>
                <w:lang w:bidi="ar"/>
              </w:rPr>
              <w:t xml:space="preserve">空载静态损耗：&lt;0.25W；</w:t>
            </w:r>
            <w:r/>
          </w:p>
          <w:p>
            <w:pPr>
              <w:jc w:val="left"/>
              <w:spacing w:line="420" w:lineRule="exact"/>
              <w:widowControl/>
              <w:rPr>
                <w:color w:val="auto"/>
                <w:highlight w:val="none"/>
                <w:lang w:bidi="ar"/>
              </w:rPr>
            </w:pPr>
            <w:r>
              <w:rPr>
                <w:rFonts w:hint="eastAsia"/>
                <w:color w:val="auto"/>
                <w:highlight w:val="none"/>
                <w:lang w:bidi="ar"/>
              </w:rPr>
              <w:t xml:space="preserve">PV最大开路电压：55V；</w:t>
            </w:r>
            <w:r/>
          </w:p>
          <w:p>
            <w:pPr>
              <w:jc w:val="left"/>
              <w:spacing w:line="420" w:lineRule="exact"/>
              <w:widowControl/>
              <w:rPr>
                <w:color w:val="auto"/>
                <w:highlight w:val="none"/>
                <w:lang w:bidi="ar"/>
              </w:rPr>
            </w:pPr>
            <w:r>
              <w:rPr>
                <w:rFonts w:hint="eastAsia"/>
                <w:color w:val="auto"/>
                <w:highlight w:val="none"/>
                <w:lang w:bidi="ar"/>
              </w:rPr>
              <w:t xml:space="preserve">充电方式：三阶段:涓流-恒流-恒压；</w:t>
            </w:r>
            <w:r/>
          </w:p>
          <w:p>
            <w:pPr>
              <w:jc w:val="left"/>
              <w:spacing w:line="420" w:lineRule="exact"/>
              <w:widowControl/>
              <w:rPr>
                <w:color w:val="auto"/>
                <w:highlight w:val="none"/>
                <w:lang w:bidi="ar"/>
              </w:rPr>
            </w:pPr>
            <w:r>
              <w:rPr>
                <w:rFonts w:hint="eastAsia"/>
                <w:color w:val="auto"/>
                <w:highlight w:val="none"/>
                <w:lang w:bidi="ar"/>
              </w:rPr>
              <w:t xml:space="preserve">额定充电电流：20A；</w:t>
            </w:r>
            <w:r/>
          </w:p>
          <w:p>
            <w:pPr>
              <w:jc w:val="left"/>
              <w:spacing w:line="420" w:lineRule="exact"/>
              <w:widowControl/>
              <w:rPr>
                <w:color w:val="auto"/>
                <w:highlight w:val="none"/>
                <w:lang w:bidi="ar"/>
              </w:rPr>
            </w:pPr>
            <w:r>
              <w:rPr>
                <w:rFonts w:hint="eastAsia"/>
                <w:color w:val="auto"/>
                <w:highlight w:val="none"/>
                <w:lang w:bidi="ar"/>
              </w:rPr>
              <w:t xml:space="preserve">额定负载电流：20A；</w:t>
            </w:r>
            <w:r/>
          </w:p>
          <w:p>
            <w:pPr>
              <w:jc w:val="left"/>
              <w:spacing w:line="420" w:lineRule="exact"/>
              <w:widowControl/>
              <w:rPr>
                <w:color w:val="auto"/>
                <w:highlight w:val="none"/>
                <w:lang w:bidi="ar"/>
              </w:rPr>
            </w:pPr>
            <w:r>
              <w:rPr>
                <w:rFonts w:hint="eastAsia"/>
                <w:color w:val="auto"/>
                <w:highlight w:val="none"/>
                <w:lang w:bidi="ar"/>
              </w:rPr>
              <w:t xml:space="preserve">负载电压：与蓄电池电压相同；</w:t>
            </w:r>
            <w:r/>
          </w:p>
          <w:p>
            <w:pPr>
              <w:jc w:val="left"/>
              <w:spacing w:line="420" w:lineRule="exact"/>
              <w:widowControl/>
              <w:rPr>
                <w:color w:val="auto"/>
                <w:highlight w:val="none"/>
                <w:lang w:bidi="ar"/>
              </w:rPr>
            </w:pPr>
            <w:r>
              <w:rPr>
                <w:rFonts w:hint="eastAsia"/>
                <w:color w:val="auto"/>
                <w:highlight w:val="none"/>
                <w:lang w:bidi="ar"/>
              </w:rPr>
              <w:t xml:space="preserve">负载控制方式：常开；</w:t>
            </w:r>
            <w:r/>
          </w:p>
          <w:p>
            <w:pPr>
              <w:jc w:val="left"/>
              <w:spacing w:line="420" w:lineRule="exact"/>
              <w:widowControl/>
              <w:rPr>
                <w:color w:val="auto"/>
                <w:highlight w:val="none"/>
                <w:lang w:bidi="ar"/>
              </w:rPr>
            </w:pPr>
            <w:r>
              <w:rPr>
                <w:rFonts w:hint="eastAsia"/>
                <w:color w:val="auto"/>
                <w:highlight w:val="none"/>
                <w:lang w:bidi="ar"/>
              </w:rPr>
              <w:t xml:space="preserve">低压保护：9.3V/10.6V/11.2V；</w:t>
            </w:r>
            <w:r/>
          </w:p>
          <w:p>
            <w:pPr>
              <w:jc w:val="left"/>
              <w:spacing w:line="420" w:lineRule="exact"/>
              <w:widowControl/>
              <w:rPr>
                <w:color w:val="auto"/>
                <w:highlight w:val="none"/>
                <w:lang w:bidi="ar"/>
              </w:rPr>
            </w:pPr>
            <w:r>
              <w:rPr>
                <w:rFonts w:hint="eastAsia"/>
                <w:color w:val="auto"/>
                <w:highlight w:val="none"/>
                <w:lang w:bidi="ar"/>
              </w:rPr>
              <w:t xml:space="preserve">低压恢复：10.5V/12V/12V；</w:t>
            </w:r>
            <w:r/>
          </w:p>
          <w:p>
            <w:pPr>
              <w:jc w:val="left"/>
              <w:spacing w:line="420" w:lineRule="exact"/>
              <w:widowControl/>
              <w:rPr>
                <w:color w:val="auto"/>
                <w:highlight w:val="none"/>
                <w:lang w:bidi="ar"/>
              </w:rPr>
            </w:pPr>
            <w:r>
              <w:rPr>
                <w:rFonts w:hint="eastAsia"/>
                <w:color w:val="auto"/>
                <w:highlight w:val="none"/>
                <w:lang w:bidi="ar"/>
              </w:rPr>
              <w:t xml:space="preserve">过充保护:12.3V/13.6V/-；</w:t>
            </w:r>
            <w:r/>
          </w:p>
          <w:p>
            <w:pPr>
              <w:jc w:val="left"/>
              <w:spacing w:line="420" w:lineRule="exact"/>
              <w:widowControl/>
              <w:rPr>
                <w:color w:val="auto"/>
                <w:highlight w:val="none"/>
                <w:lang w:bidi="ar"/>
              </w:rPr>
            </w:pPr>
            <w:r>
              <w:rPr>
                <w:rFonts w:hint="eastAsia"/>
                <w:color w:val="auto"/>
                <w:highlight w:val="none"/>
                <w:lang w:bidi="ar"/>
              </w:rPr>
              <w:t xml:space="preserve">过充恢复:12.0V/13.2V/-；</w:t>
            </w:r>
            <w:r/>
          </w:p>
          <w:p>
            <w:pPr>
              <w:jc w:val="left"/>
              <w:spacing w:line="420" w:lineRule="exact"/>
              <w:widowControl/>
              <w:rPr>
                <w:color w:val="auto"/>
                <w:highlight w:val="none"/>
                <w:lang w:bidi="ar"/>
              </w:rPr>
            </w:pPr>
            <w:r>
              <w:rPr>
                <w:rFonts w:hint="eastAsia"/>
                <w:color w:val="auto"/>
                <w:highlight w:val="none"/>
                <w:lang w:bidi="ar"/>
              </w:rPr>
              <w:t xml:space="preserve">超压保护:13.5V/14.8V/15.7V；</w:t>
            </w:r>
            <w:r/>
          </w:p>
          <w:p>
            <w:pPr>
              <w:jc w:val="left"/>
              <w:spacing w:line="420" w:lineRule="exact"/>
              <w:widowControl/>
              <w:rPr>
                <w:color w:val="auto"/>
                <w:highlight w:val="none"/>
                <w:lang w:bidi="ar"/>
              </w:rPr>
            </w:pPr>
            <w:r>
              <w:rPr>
                <w:rFonts w:hint="eastAsia"/>
                <w:color w:val="auto"/>
                <w:highlight w:val="none"/>
                <w:lang w:bidi="ar"/>
              </w:rPr>
              <w:t xml:space="preserve">显示方式:LCD动态显示；</w:t>
            </w:r>
            <w:r/>
          </w:p>
          <w:p>
            <w:pPr>
              <w:jc w:val="left"/>
              <w:spacing w:line="420" w:lineRule="exact"/>
              <w:widowControl/>
              <w:rPr>
                <w:color w:val="auto"/>
                <w:highlight w:val="none"/>
                <w:lang w:bidi="ar"/>
              </w:rPr>
            </w:pPr>
            <w:r>
              <w:rPr>
                <w:rFonts w:hint="eastAsia"/>
                <w:color w:val="auto"/>
                <w:highlight w:val="none"/>
                <w:lang w:bidi="ar"/>
              </w:rPr>
              <w:t xml:space="preserve">保护功能:输入防反接、过温、过流；</w:t>
            </w:r>
            <w:r/>
          </w:p>
          <w:p>
            <w:pPr>
              <w:jc w:val="left"/>
              <w:spacing w:line="420" w:lineRule="exact"/>
              <w:widowControl/>
              <w:rPr>
                <w:color w:val="auto"/>
                <w:highlight w:val="none"/>
                <w:lang w:bidi="ar"/>
              </w:rPr>
            </w:pPr>
            <w:r>
              <w:rPr>
                <w:rFonts w:hint="eastAsia"/>
                <w:color w:val="auto"/>
                <w:highlight w:val="none"/>
                <w:lang w:bidi="ar"/>
              </w:rPr>
              <w:t xml:space="preserve">工作温度:-20</w:t>
            </w:r>
            <w:r>
              <w:rPr>
                <w:color w:val="auto"/>
                <w:highlight w:val="none"/>
                <w:lang w:bidi="ar"/>
              </w:rPr>
              <w:t xml:space="preserve">℃</w:t>
            </w:r>
            <w:r>
              <w:rPr>
                <w:rFonts w:hint="eastAsia"/>
                <w:color w:val="auto"/>
                <w:highlight w:val="none"/>
                <w:lang w:bidi="ar"/>
              </w:rPr>
              <w:t xml:space="preserve">~50</w:t>
            </w:r>
            <w:r>
              <w:rPr>
                <w:color w:val="auto"/>
                <w:highlight w:val="none"/>
                <w:lang w:bidi="ar"/>
              </w:rPr>
              <w:t xml:space="preserve">℃</w:t>
            </w:r>
            <w:r>
              <w:rPr>
                <w:rFonts w:hint="eastAsia"/>
                <w:color w:val="auto"/>
                <w:highlight w:val="none"/>
                <w:lang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897"/>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防雷模块</w:t>
            </w:r>
            <w:r/>
          </w:p>
        </w:tc>
        <w:tc>
          <w:tcPr>
            <w:shd w:val="clear" w:color="auto" w:fill="ffffff"/>
            <w:tcW w:w="4960" w:type="dxa"/>
            <w:vAlign w:val="center"/>
            <w:textDirection w:val="lrTb"/>
            <w:noWrap/>
          </w:tcPr>
          <w:p>
            <w:pPr>
              <w:jc w:val="left"/>
              <w:spacing w:line="460" w:lineRule="exact"/>
              <w:widowControl/>
              <w:rPr>
                <w:color w:val="auto"/>
                <w:highlight w:val="none"/>
              </w:rPr>
            </w:pPr>
            <w:r>
              <w:rPr>
                <w:rFonts w:hint="eastAsia"/>
                <w:color w:val="auto"/>
                <w:highlight w:val="none"/>
              </w:rPr>
              <w:t xml:space="preserve">含</w:t>
            </w:r>
            <w:r>
              <w:rPr>
                <w:color w:val="auto"/>
                <w:highlight w:val="none"/>
              </w:rPr>
              <w:t xml:space="preserve">信号、电源防雷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信号</w:t>
            </w:r>
            <w:r>
              <w:rPr>
                <w:color w:val="auto"/>
                <w:highlight w:val="none"/>
              </w:rPr>
              <w:t xml:space="preserve">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接口：接线端子；</w:t>
            </w:r>
            <w:r/>
          </w:p>
          <w:p>
            <w:pPr>
              <w:jc w:val="left"/>
              <w:spacing w:line="460" w:lineRule="exact"/>
              <w:widowControl/>
              <w:rPr>
                <w:color w:val="auto"/>
                <w:highlight w:val="none"/>
              </w:rPr>
            </w:pPr>
            <w:r>
              <w:rPr>
                <w:color w:val="auto"/>
                <w:highlight w:val="none"/>
              </w:rPr>
              <w:t xml:space="preserve">工作电压Un：12V</w:t>
            </w:r>
            <w:r>
              <w:rPr>
                <w:rFonts w:hint="eastAsia"/>
                <w:color w:val="auto"/>
                <w:highlight w:val="none"/>
              </w:rPr>
              <w:t xml:space="preserve"> DC</w:t>
            </w:r>
            <w:r>
              <w:rPr>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电压保护水平Up：≤40V；</w:t>
            </w:r>
            <w:r/>
          </w:p>
          <w:p>
            <w:pPr>
              <w:jc w:val="left"/>
              <w:spacing w:line="460" w:lineRule="exact"/>
              <w:widowControl/>
              <w:rPr>
                <w:color w:val="auto"/>
                <w:highlight w:val="none"/>
              </w:rPr>
            </w:pPr>
            <w:r>
              <w:rPr>
                <w:color w:val="auto"/>
                <w:highlight w:val="none"/>
              </w:rPr>
              <w:t xml:space="preserve">传输速率：10Mbps；</w:t>
            </w:r>
            <w:r/>
          </w:p>
          <w:p>
            <w:pPr>
              <w:jc w:val="left"/>
              <w:spacing w:line="460" w:lineRule="exact"/>
              <w:widowControl/>
              <w:rPr>
                <w:color w:val="auto"/>
                <w:highlight w:val="none"/>
              </w:rPr>
            </w:pPr>
            <w:r>
              <w:rPr>
                <w:color w:val="auto"/>
                <w:highlight w:val="none"/>
              </w:rPr>
              <w:t xml:space="preserve">响应时间：≤1ns；</w:t>
            </w:r>
            <w:r/>
          </w:p>
          <w:p>
            <w:pPr>
              <w:jc w:val="left"/>
              <w:spacing w:line="460" w:lineRule="exact"/>
              <w:widowControl/>
              <w:rPr>
                <w:color w:val="auto"/>
                <w:highlight w:val="none"/>
              </w:rPr>
            </w:pPr>
            <w:r>
              <w:rPr>
                <w:color w:val="auto"/>
                <w:highlight w:val="none"/>
              </w:rPr>
              <w:t xml:space="preserve">插入损耗：≤0.5dB；</w:t>
            </w:r>
            <w:r/>
          </w:p>
          <w:p>
            <w:pPr>
              <w:jc w:val="left"/>
              <w:spacing w:line="460" w:lineRule="exact"/>
              <w:widowControl/>
              <w:rPr>
                <w:color w:val="auto"/>
                <w:highlight w:val="none"/>
              </w:rPr>
            </w:pPr>
            <w:r>
              <w:rPr>
                <w:color w:val="auto"/>
                <w:highlight w:val="none"/>
              </w:rPr>
              <w:t xml:space="preserve">标称电流IL：0.5A；</w:t>
            </w:r>
            <w:r/>
          </w:p>
          <w:p>
            <w:pPr>
              <w:jc w:val="left"/>
              <w:spacing w:line="460" w:lineRule="exact"/>
              <w:widowControl/>
              <w:rPr>
                <w:color w:val="auto"/>
                <w:highlight w:val="none"/>
              </w:rPr>
            </w:pPr>
            <w:r>
              <w:rPr>
                <w:color w:val="auto"/>
                <w:highlight w:val="none"/>
              </w:rPr>
              <w:t xml:space="preserve">安装导线截面积：0.08—2.5mm2；</w:t>
            </w:r>
            <w:r/>
          </w:p>
          <w:p>
            <w:pPr>
              <w:jc w:val="left"/>
              <w:spacing w:line="460" w:lineRule="exact"/>
              <w:widowControl/>
              <w:rPr>
                <w:color w:val="auto"/>
                <w:highlight w:val="none"/>
              </w:rPr>
            </w:pPr>
            <w:r>
              <w:rPr>
                <w:color w:val="auto"/>
                <w:highlight w:val="none"/>
              </w:rPr>
              <w:t xml:space="preserve">工作温度（℃）：-40℃~+80℃；</w:t>
            </w:r>
            <w:r/>
          </w:p>
          <w:p>
            <w:pPr>
              <w:jc w:val="left"/>
              <w:spacing w:line="460" w:lineRule="exact"/>
              <w:widowControl/>
              <w:rPr>
                <w:color w:val="auto"/>
                <w:highlight w:val="none"/>
              </w:rPr>
            </w:pPr>
            <w:r>
              <w:rPr>
                <w:color w:val="auto"/>
                <w:highlight w:val="none"/>
              </w:rPr>
              <w:t xml:space="preserve">相对湿度：10%～90%（25℃）。</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color w:val="auto"/>
                <w:highlight w:val="none"/>
              </w:rPr>
              <w:t xml:space="preserve">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工作电压Un：12V DC；</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电压保护水平（In） Up：≤60V DC ；</w:t>
            </w:r>
            <w:r/>
          </w:p>
          <w:p>
            <w:pPr>
              <w:jc w:val="left"/>
              <w:spacing w:line="460" w:lineRule="exact"/>
              <w:widowControl/>
              <w:rPr>
                <w:color w:val="auto"/>
                <w:highlight w:val="none"/>
              </w:rPr>
            </w:pPr>
            <w:r>
              <w:rPr>
                <w:rFonts w:hint="eastAsia"/>
                <w:color w:val="auto"/>
                <w:highlight w:val="none"/>
              </w:rPr>
              <w:t xml:space="preserve">响应时间：≤25ns；</w:t>
            </w:r>
            <w:r/>
          </w:p>
          <w:p>
            <w:pPr>
              <w:jc w:val="left"/>
              <w:spacing w:line="460" w:lineRule="exact"/>
              <w:widowControl/>
              <w:rPr>
                <w:color w:val="auto"/>
                <w:highlight w:val="none"/>
              </w:rPr>
            </w:pPr>
            <w:r>
              <w:rPr>
                <w:color w:val="auto"/>
                <w:highlight w:val="none"/>
              </w:rPr>
              <w:t xml:space="preserve">外壳防护等级：≧IP20；</w:t>
            </w:r>
            <w:r/>
          </w:p>
          <w:p>
            <w:pPr>
              <w:jc w:val="left"/>
              <w:spacing w:line="460" w:lineRule="exact"/>
              <w:widowControl/>
              <w:rPr>
                <w:color w:val="auto"/>
                <w:highlight w:val="none"/>
              </w:rPr>
            </w:pPr>
            <w:r>
              <w:rPr>
                <w:color w:val="auto"/>
                <w:highlight w:val="none"/>
              </w:rPr>
              <w:t xml:space="preserve">工作环境 环境温度：－40℃～＋70℃；</w:t>
            </w:r>
            <w:r/>
          </w:p>
          <w:p>
            <w:pPr>
              <w:jc w:val="left"/>
              <w:spacing w:line="460" w:lineRule="exact"/>
              <w:widowControl/>
              <w:rPr>
                <w:color w:val="auto"/>
                <w:highlight w:val="none"/>
              </w:rPr>
            </w:pPr>
            <w:r>
              <w:rPr>
                <w:color w:val="auto"/>
                <w:highlight w:val="none"/>
              </w:rPr>
              <w:t xml:space="preserve">相对湿度：≤95%（25℃）。</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防护箱及系统配件</w:t>
            </w:r>
            <w:r/>
          </w:p>
        </w:tc>
        <w:tc>
          <w:tcPr>
            <w:shd w:val="clear" w:color="auto" w:fill="ffffff"/>
            <w:tcW w:w="4960" w:type="dxa"/>
            <w:vAlign w:val="center"/>
            <w:textDirection w:val="lrTb"/>
            <w:noWrap/>
          </w:tcPr>
          <w:p>
            <w:pPr>
              <w:jc w:val="left"/>
              <w:spacing w:line="460" w:lineRule="exact"/>
              <w:widowControl/>
              <w:rPr>
                <w:color w:val="auto"/>
                <w:highlight w:val="none"/>
              </w:rPr>
            </w:pPr>
            <w:r>
              <w:rPr>
                <w:color w:val="auto"/>
                <w:highlight w:val="none"/>
                <w:lang w:bidi="ar"/>
              </w:rPr>
              <w:t xml:space="preserve">机箱</w:t>
            </w:r>
            <w:r>
              <w:rPr>
                <w:rFonts w:hint="eastAsia"/>
                <w:color w:val="auto"/>
                <w:highlight w:val="none"/>
                <w:lang w:bidi="ar"/>
              </w:rPr>
              <w:t xml:space="preserve">（</w:t>
            </w:r>
            <w:r>
              <w:rPr>
                <w:color w:val="auto"/>
                <w:highlight w:val="none"/>
                <w:lang w:bidi="ar"/>
              </w:rPr>
              <w:t xml:space="preserve">不锈钢喷塑</w:t>
            </w:r>
            <w:r>
              <w:rPr>
                <w:rFonts w:hint="eastAsia"/>
                <w:color w:val="auto"/>
                <w:highlight w:val="none"/>
                <w:lang w:bidi="ar"/>
              </w:rPr>
              <w:t xml:space="preserve">，</w:t>
            </w:r>
            <w:r>
              <w:rPr>
                <w:color w:val="auto"/>
                <w:highlight w:val="none"/>
                <w:lang w:bidi="ar"/>
              </w:rPr>
              <w:t xml:space="preserve">厚度≥1.5mm</w:t>
            </w:r>
            <w:r>
              <w:rPr>
                <w:rFonts w:hint="eastAsia"/>
                <w:color w:val="auto"/>
                <w:highlight w:val="none"/>
                <w:lang w:bidi="ar"/>
              </w:rPr>
              <w:t xml:space="preserve">）</w:t>
            </w:r>
            <w:r>
              <w:rPr>
                <w:color w:val="auto"/>
                <w:highlight w:val="none"/>
                <w:lang w:bidi="ar"/>
              </w:rPr>
              <w:t xml:space="preserve">：720*450*230mm</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蓄电池</w:t>
            </w:r>
            <w:r/>
          </w:p>
        </w:tc>
        <w:tc>
          <w:tcPr>
            <w:shd w:val="clear" w:color="auto" w:fill="ffffff"/>
            <w:tcW w:w="4960" w:type="dxa"/>
            <w:vAlign w:val="center"/>
            <w:textDirection w:val="lrTb"/>
            <w:noWrap/>
          </w:tcPr>
          <w:p>
            <w:pPr>
              <w:jc w:val="left"/>
              <w:spacing w:line="460" w:lineRule="exact"/>
              <w:widowControl/>
              <w:rPr>
                <w:color w:val="auto"/>
                <w:highlight w:val="none"/>
              </w:rPr>
            </w:pPr>
            <w:r>
              <w:rPr>
                <w:rFonts w:hint="eastAsia"/>
                <w:color w:val="auto"/>
                <w:highlight w:val="none"/>
                <w:lang w:bidi="ar"/>
              </w:rPr>
              <w:t xml:space="preserve">胶体蓄电池：12V 100Ah</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1.2.12</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安装及基础建设</w:t>
            </w:r>
            <w:r/>
          </w:p>
        </w:tc>
        <w:tc>
          <w:tcPr>
            <w:shd w:val="clear" w:color="auto" w:fill="ffffff"/>
            <w:tcW w:w="4960" w:type="dxa"/>
            <w:vAlign w:val="center"/>
            <w:textDirection w:val="lrTb"/>
            <w:noWrap/>
          </w:tcPr>
          <w:p>
            <w:pPr>
              <w:spacing w:line="460" w:lineRule="exact"/>
              <w:widowControl/>
              <w:rPr>
                <w:color w:val="auto"/>
                <w:highlight w:val="none"/>
                <w:lang w:bidi="ar"/>
              </w:rPr>
            </w:pPr>
            <w:r>
              <w:rPr>
                <w:rFonts w:hint="eastAsia"/>
                <w:color w:val="auto"/>
                <w:highlight w:val="none"/>
                <w:lang w:bidi="ar"/>
              </w:rPr>
              <w:t xml:space="preserve">指导安装、调试、数据上传到指定平台。</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1.2.13</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tcPr>
          <w:p>
            <w:pPr>
              <w:jc w:val="left"/>
              <w:widowControl/>
              <w:rPr>
                <w:color w:val="auto"/>
                <w:highlight w:val="none"/>
                <w:lang w:bidi="ar"/>
              </w:rPr>
            </w:pPr>
            <w:r>
              <w:rPr>
                <w:rFonts w:hint="eastAsia"/>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比测率定</w:t>
            </w:r>
            <w:r/>
          </w:p>
        </w:tc>
        <w:tc>
          <w:tcPr>
            <w:shd w:val="clear" w:color="auto" w:fill="ffffff"/>
            <w:tcW w:w="4960" w:type="dxa"/>
            <w:vAlign w:val="center"/>
            <w:textDirection w:val="lrTb"/>
            <w:noWrap/>
          </w:tcPr>
          <w:p>
            <w:pPr>
              <w:widowControl/>
              <w:rPr>
                <w:color w:val="auto"/>
                <w:highlight w:val="none"/>
                <w:lang w:bidi="ar"/>
              </w:rPr>
            </w:pPr>
            <w:r>
              <w:rPr>
                <w:rFonts w:hint="eastAsia"/>
                <w:color w:val="auto"/>
                <w:highlight w:val="none"/>
                <w:lang w:bidi="ar"/>
              </w:rPr>
              <w:t xml:space="preserve">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eastAsia="仿宋"/>
                <w:color w:val="auto"/>
                <w:highlight w:val="none"/>
                <w:lang w:bidi="ar"/>
              </w:rPr>
            </w:r>
            <w:r/>
          </w:p>
        </w:tc>
      </w:tr>
      <w:tr>
        <w:trPr>
          <w:jc w:val="center"/>
          <w:trHeight w:val="548"/>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二</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典型片区计量设施建设</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2.1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片区一</w:t>
            </w:r>
            <w:r/>
          </w:p>
        </w:tc>
      </w:tr>
      <w:tr>
        <w:trPr>
          <w:jc w:val="center"/>
          <w:trHeight w:val="438"/>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325"/>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1路脉冲接口，1路格雷码接口，1路SDI-12接口； </w:t>
            </w:r>
            <w:r/>
          </w:p>
          <w:p>
            <w:pPr>
              <w:jc w:val="left"/>
              <w:spacing w:line="46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465"/>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color w:val="auto"/>
                <w:highlight w:val="none"/>
              </w:rPr>
            </w:pPr>
            <w:r>
              <w:rPr>
                <w:rFonts w:hint="eastAsia"/>
                <w:color w:val="auto"/>
                <w:highlight w:val="none"/>
              </w:rPr>
              <w:t xml:space="preserve">流速测量精度：±0.01m/s</w:t>
            </w:r>
            <w:r>
              <w:rPr>
                <w:rFonts w:hint="eastAsia"/>
                <w:strike w:val="0"/>
                <w:color w:val="auto"/>
                <w:highlight w:val="none"/>
                <w:u w:val="none"/>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rFonts w:hint="eastAsia"/>
                <w:color w:val="auto"/>
                <w:highlight w:val="none"/>
                <w:lang w:bidi="ar"/>
              </w:rPr>
              <w:t xml:space="preserve">2</w:t>
            </w:r>
            <w:r/>
          </w:p>
        </w:tc>
      </w:tr>
      <w:tr>
        <w:trPr>
          <w:jc w:val="center"/>
          <w:trHeight w:val="120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46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56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51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51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2.1.9</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点*年</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15</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rPr>
                <w:rFonts w:hint="eastAsia"/>
                <w:color w:val="auto"/>
                <w:highlight w:val="none"/>
                <w:lang w:bidi="ar"/>
              </w:rPr>
              <w:t xml:space="preserve">2</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片区二</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17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1路脉冲接口，1路格雷码接口，1路SDI-12接口； </w:t>
            </w:r>
            <w:r/>
          </w:p>
          <w:p>
            <w:pPr>
              <w:jc w:val="left"/>
              <w:spacing w:line="46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rFonts w:hint="eastAsia" w:eastAsia="宋体"/>
                <w:color w:val="auto"/>
                <w:highlight w:val="none"/>
                <w:lang w:eastAsia="zh-CN"/>
              </w:rPr>
            </w:pPr>
            <w:r>
              <w:rPr>
                <w:rFonts w:hint="eastAsia"/>
                <w:color w:val="auto"/>
                <w:highlight w:val="none"/>
              </w:rPr>
              <w:t xml:space="preserve">流速测量精度：±0.01m/s</w:t>
            </w:r>
            <w:r>
              <w:rPr>
                <w:rFonts w:hint="eastAsia"/>
                <w:color w:val="auto"/>
                <w:highlight w:val="none"/>
                <w:lang w:eastAsia="zh-CN"/>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 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65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w:t>
            </w:r>
            <w:r/>
          </w:p>
        </w:tc>
      </w:tr>
      <w:tr>
        <w:trPr>
          <w:jc w:val="center"/>
          <w:trHeight w:val="107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41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47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2.2.7</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44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2.2.8</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499"/>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2.2.9</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点*年</w:t>
            </w:r>
            <w:r/>
          </w:p>
        </w:tc>
        <w:tc>
          <w:tcPr>
            <w:shd w:val="clear" w:color="auto" w:fill="ffffff"/>
            <w:tcW w:w="717" w:type="dxa"/>
            <w:vAlign w:val="center"/>
            <w:textDirection w:val="lrTb"/>
            <w:noWrap/>
          </w:tcPr>
          <w:p>
            <w:pPr>
              <w:jc w:val="center"/>
              <w:widowControl/>
              <w:rPr>
                <w:color w:val="auto"/>
                <w:highlight w:val="none"/>
                <w:lang w:bidi="ar"/>
              </w:rPr>
            </w:pPr>
            <w:r>
              <w:rPr>
                <w:rFonts w:hint="eastAsia"/>
                <w:color w:val="auto"/>
                <w:highlight w:val="none"/>
                <w:lang w:bidi="ar"/>
              </w:rPr>
              <w:t xml:space="preserve">15</w:t>
            </w:r>
            <w:r/>
          </w:p>
        </w:tc>
      </w:tr>
      <w:tr>
        <w:trPr>
          <w:jc w:val="center"/>
          <w:trHeight w:val="138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rFonts w:eastAsia="仿宋"/>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60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片区三</w:t>
            </w:r>
            <w:r/>
          </w:p>
        </w:tc>
      </w:tr>
      <w:tr>
        <w:trPr>
          <w:jc w:val="center"/>
          <w:trHeight w:val="708"/>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268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1路脉冲接口，1路格雷码接口，1路SDI-12接口； </w:t>
            </w:r>
            <w:r/>
          </w:p>
          <w:p>
            <w:pPr>
              <w:jc w:val="left"/>
              <w:spacing w:line="46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bl>
    <w:p>
      <w:pPr>
        <w:rPr>
          <w:color w:val="auto"/>
          <w:highlight w:val="none"/>
        </w:rPr>
      </w:pPr>
      <w:r>
        <w:rPr>
          <w:color w:val="auto"/>
          <w:highlight w:val="none"/>
        </w:rPr>
        <w:br w:type="page" w:clear="all"/>
      </w:r>
      <w:r/>
    </w:p>
    <w:tbl>
      <w:tblPr>
        <w:tblStyle w:val="718"/>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45"/>
        <w:gridCol w:w="2011"/>
        <w:gridCol w:w="4960"/>
        <w:gridCol w:w="833"/>
        <w:gridCol w:w="717"/>
      </w:tblGrid>
      <w:tr>
        <w:trPr>
          <w:jc w:val="center"/>
          <w:trHeight w:val="48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rFonts w:hint="eastAsia" w:eastAsia="宋体"/>
                <w:color w:val="auto"/>
                <w:highlight w:val="none"/>
                <w:lang w:eastAsia="zh-CN"/>
              </w:rPr>
            </w:pPr>
            <w:r>
              <w:rPr>
                <w:rFonts w:hint="eastAsia"/>
                <w:color w:val="auto"/>
                <w:highlight w:val="none"/>
              </w:rPr>
              <w:t xml:space="preserve">流速测量精度：±0.01m/s</w:t>
            </w:r>
            <w:r>
              <w:rPr>
                <w:rFonts w:hint="eastAsia"/>
                <w:color w:val="auto"/>
                <w:highlight w:val="none"/>
                <w:lang w:eastAsia="zh-CN"/>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 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55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2</w:t>
            </w:r>
            <w:r/>
          </w:p>
        </w:tc>
      </w:tr>
      <w:tr>
        <w:trPr>
          <w:jc w:val="center"/>
          <w:trHeight w:val="107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48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399"/>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2.3.7</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39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2.3.8</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lang w:bidi="ar"/>
              </w:rPr>
              <w:t xml:space="preserve">通信费</w:t>
            </w:r>
            <w:r/>
          </w:p>
        </w:tc>
        <w:tc>
          <w:tcPr>
            <w:shd w:val="clear" w:color="auto" w:fill="ffffff"/>
            <w:tcW w:w="4960" w:type="dxa"/>
            <w:vAlign w:val="center"/>
            <w:textDirection w:val="lrTb"/>
            <w:noWrap w:val="false"/>
          </w:tcPr>
          <w:p>
            <w:pPr>
              <w:jc w:val="left"/>
              <w:spacing w:line="460" w:lineRule="exact"/>
              <w:widowControl/>
              <w:rPr>
                <w:rFonts w:eastAsia="仿宋"/>
                <w:color w:val="auto"/>
                <w:highlight w:val="none"/>
                <w:lang w:bidi="ar"/>
              </w:rPr>
            </w:pPr>
            <w:r>
              <w:rPr>
                <w:color w:val="auto"/>
                <w:highlight w:val="none"/>
                <w:lang w:bidi="ar"/>
              </w:rPr>
              <w:t xml:space="preserve">通信费</w:t>
            </w:r>
            <w:r>
              <w:rPr>
                <w:rFonts w:hint="eastAsia"/>
                <w:color w:val="auto"/>
                <w:highlight w:val="none"/>
                <w:lang w:bidi="ar"/>
              </w:rPr>
              <w:t xml:space="preserve">：</w:t>
            </w:r>
            <w:r>
              <w:rPr>
                <w:color w:val="auto"/>
                <w:highlight w:val="none"/>
                <w:lang w:bidi="ar"/>
              </w:rPr>
              <w:t xml:space="preserve">5年，50M/月</w:t>
            </w:r>
            <w:r>
              <w:rPr>
                <w:rFonts w:hint="eastAsia"/>
                <w:color w:val="auto"/>
                <w:highlight w:val="none"/>
                <w:lang w:bidi="ar"/>
              </w:rPr>
              <w:t xml:space="preserve">（15</w:t>
            </w:r>
            <w:r>
              <w:rPr>
                <w:color w:val="auto"/>
                <w:highlight w:val="none"/>
                <w:lang w:bidi="ar"/>
              </w:rPr>
              <w:t xml:space="preserve">点*年</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rPr>
            </w:pPr>
            <w:r>
              <w:rPr>
                <w:color w:val="auto"/>
                <w:highlight w:val="none"/>
                <w:lang w:bidi="ar"/>
              </w:rPr>
              <w:t xml:space="preserve">点*年</w:t>
            </w:r>
            <w:r/>
          </w:p>
        </w:tc>
        <w:tc>
          <w:tcPr>
            <w:shd w:val="clear" w:color="auto" w:fill="ffffff"/>
            <w:tcW w:w="717" w:type="dxa"/>
            <w:vAlign w:val="center"/>
            <w:textDirection w:val="lrTb"/>
            <w:noWrap/>
          </w:tcPr>
          <w:p>
            <w:pPr>
              <w:jc w:val="center"/>
              <w:widowControl/>
              <w:rPr>
                <w:color w:val="auto"/>
                <w:highlight w:val="none"/>
              </w:rPr>
            </w:pPr>
            <w:r>
              <w:rPr>
                <w:rFonts w:hint="eastAsia"/>
                <w:color w:val="auto"/>
                <w:highlight w:val="none"/>
                <w:lang w:bidi="ar"/>
              </w:rPr>
              <w:t xml:space="preserve">15</w:t>
            </w:r>
            <w:r/>
          </w:p>
        </w:tc>
      </w:tr>
      <w:tr>
        <w:trPr>
          <w:jc w:val="center"/>
          <w:trHeight w:val="333"/>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2.3.10</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3</w:t>
            </w:r>
            <w:r/>
          </w:p>
        </w:tc>
      </w:tr>
      <w:tr>
        <w:trPr>
          <w:jc w:val="center"/>
          <w:trHeight w:val="548"/>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三</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取水计量数据质量提升</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3.1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渠道泵站数据采集</w:t>
            </w:r>
            <w:r/>
          </w:p>
        </w:tc>
      </w:tr>
      <w:tr>
        <w:trPr>
          <w:jc w:val="center"/>
          <w:trHeight w:val="225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1路脉冲接口，1路格雷码接口，1路SDI-12接口； </w:t>
            </w:r>
            <w:r/>
          </w:p>
          <w:p>
            <w:pPr>
              <w:jc w:val="left"/>
              <w:spacing w:line="460" w:lineRule="exact"/>
              <w:widowControl/>
              <w:rPr>
                <w:color w:val="auto"/>
                <w:highlight w:val="none"/>
              </w:rPr>
            </w:pPr>
            <w:r>
              <w:rPr>
                <w:rFonts w:hint="eastAsia"/>
                <w:color w:val="auto"/>
                <w:highlight w:val="none"/>
              </w:rPr>
              <w:t xml:space="preserve">通信方式：支持TCP、HTTP、4G、GPRS、CDMA、超短波和北斗卫星等；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rPr>
              <w:t xml:space="preserve">具有第三方检验检测机构出具的检测报告。</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rPr>
                <w:color w:val="auto"/>
                <w:highlight w:val="none"/>
                <w:lang w:bidi="ar"/>
              </w:rPr>
              <w:t xml:space="preserve">1</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3.1.2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rPr>
                <w:color w:val="auto"/>
                <w:highlight w:val="none"/>
                <w:lang w:bidi="ar"/>
              </w:rPr>
              <w:t xml:space="preserve">1</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3.1.3</w:t>
            </w:r>
            <w:r/>
          </w:p>
        </w:tc>
        <w:tc>
          <w:tcPr>
            <w:shd w:val="clear" w:color="auto" w:fill="ffffff"/>
            <w:tcW w:w="2011" w:type="dxa"/>
            <w:vAlign w:val="center"/>
            <w:textDirection w:val="lrTb"/>
            <w:noWrap w:val="false"/>
          </w:tcPr>
          <w:p>
            <w:pPr>
              <w:jc w:val="center"/>
              <w:widowControl/>
              <w:rPr>
                <w:color w:val="auto"/>
                <w:highlight w:val="none"/>
              </w:rPr>
            </w:pPr>
            <w:r>
              <w:rPr>
                <w:color w:val="auto"/>
                <w:highlight w:val="none"/>
                <w:lang w:bidi="ar"/>
              </w:rPr>
              <w:t xml:space="preserve">通信费</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年</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5</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3.1.4</w:t>
            </w:r>
            <w:r/>
          </w:p>
        </w:tc>
        <w:tc>
          <w:tcPr>
            <w:shd w:val="clear" w:color="auto" w:fill="ffffff"/>
            <w:tcW w:w="2011" w:type="dxa"/>
            <w:vAlign w:val="center"/>
            <w:textDirection w:val="lrTb"/>
            <w:noWrap w:val="false"/>
          </w:tcPr>
          <w:p>
            <w:pPr>
              <w:jc w:val="center"/>
              <w:widowControl/>
              <w:rPr>
                <w:color w:val="auto"/>
                <w:highlight w:val="none"/>
              </w:rPr>
            </w:pPr>
            <w:r>
              <w:rPr>
                <w:color w:val="auto"/>
                <w:highlight w:val="none"/>
                <w:lang w:bidi="ar"/>
              </w:rPr>
              <w:t xml:space="preserve">比测率定</w:t>
            </w:r>
            <w:r/>
          </w:p>
        </w:tc>
        <w:tc>
          <w:tcPr>
            <w:shd w:val="clear" w:color="auto" w:fill="ffffff"/>
            <w:tcW w:w="4960" w:type="dxa"/>
            <w:vAlign w:val="center"/>
            <w:textDirection w:val="lrTb"/>
            <w:noWrap w:val="false"/>
          </w:tcPr>
          <w:p>
            <w:pPr>
              <w:jc w:val="left"/>
              <w:widowControl/>
              <w:rPr>
                <w:color w:val="auto"/>
                <w:highlight w:val="none"/>
                <w:lang w:bidi="ar"/>
              </w:rPr>
            </w:pPr>
            <w:r>
              <w:rPr>
                <w:rFonts w:hint="eastAsia"/>
                <w:color w:val="auto"/>
                <w:highlight w:val="none"/>
              </w:rPr>
              <w:t xml:space="preserve">比测校准及数据提升：委托具有CMA资质的技术机构按照T/JSSL 0008—2023《取用水计量设施现场校准技术规范》要求执行。</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1334"/>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原有计量设施检定</w:t>
            </w:r>
            <w:r/>
          </w:p>
          <w:p>
            <w:pPr>
              <w:jc w:val="center"/>
              <w:spacing w:line="460" w:lineRule="exact"/>
              <w:widowControl/>
              <w:rPr>
                <w:color w:val="auto"/>
                <w:highlight w:val="none"/>
              </w:rPr>
            </w:pPr>
            <w:r>
              <w:rPr>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点</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40</w:t>
            </w:r>
            <w:r/>
          </w:p>
        </w:tc>
      </w:tr>
    </w:tbl>
    <w:p>
      <w:pPr>
        <w:rPr>
          <w:color w:val="auto"/>
          <w:highlight w:val="none"/>
        </w:rPr>
      </w:pPr>
      <w:r>
        <w:rPr>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keepLines w:val="0"/>
        <w:keepNext w:val="0"/>
        <w:pageBreakBefore w:val="0"/>
        <w:spacing w:line="360" w:lineRule="auto"/>
        <w:widowControl w:val="off"/>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四、商务要求</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★1.合同履行期限（服务期限）：70日历天，自合同约定之日起算。</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2.服务地点：采购人制定地点</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3.履约验收要求：采购人按照合同约定组织验收。</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4.付款方式与履约保证金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4.1付款方式：</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（1）本项目合同签订后，中标人提供正规发票后20个工作日内支付合同金额的20%作为预付款，合同项目完工后，采购人向中标人支付至合同价款的90%；竣工验收合格后付至97%。</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（2）结清款：质保期满，采购人在收到中标人提供的支付申请函经审核无误后，向中标人支付尾款。</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（3）对于满足合同约定支付条件的，采购人自收到发票后 10 个工作日内支付相应款项。</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4.2履约保证金：本项目不收取履约保证金。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5.人员配备：拟投入本项目建设、设施与系统维护、运行维护等方面的成员不少于5人，其中项目负责人1名，项目建设、设施系统维护及运行维护人员不少于4名。</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6.成果所有权归属：</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本项目软件系统自交付采购人后，本项目（含项目需求约定的所有开发内容）所产生的全部工作成果，包括但不限于软件源代码、目标代码、系统架构设计、数据库设计、算法模型、技术文档、操作手册及其他相关衍生作品，其完整的知识产权（包括但不限于著作权、商业秘密及其他相关权益，专利申请权及专利权除外）自产生之日起即排他性地、不可撤销地归采购人所有。</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（2）采购人有权对上述成果进行修改、复制、发行、展示、转让、许可第三方使用或申请知识产权登记，无需另行征得中标人同意或向中标人支付任何额外费用。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中标人应保证所有工作成果均为原创或已取得合法授权，不侵犯任何第三方的知识产权、商业秘密或其他合法权益。若因中标人交付的成果引发任何第三方侵权索赔或诉讼，中标人应负责全面解决，并承担由此给采购人造成的全部直接及间接损失（包括但不限于赔偿金、诉讼费、律师费、商誉损失等）。</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7.售后服务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★（1）质保期：</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val="en-US" w:eastAsia="zh" w:bidi="ar"/>
        </w:rPr>
        <w:t xml:space="preserve">年（</w:t>
      </w:r>
      <w:r>
        <w:rPr>
          <w:rFonts w:hint="default" w:ascii="Times New Roman" w:hAnsi="Times New Roman" w:cs="Times New Roman"/>
          <w:color w:val="auto"/>
          <w:highlight w:val="none"/>
          <w:lang w:val="en-US" w:eastAsia="zh-CN"/>
        </w:rPr>
        <w:t xml:space="preserve">从项目交付之日起算</w:t>
      </w:r>
      <w:r>
        <w:rPr>
          <w:rFonts w:hint="eastAsia" w:ascii="宋体" w:hAnsi="宋体" w:eastAsia="宋体" w:cs="宋体"/>
          <w:color w:val="auto"/>
          <w:sz w:val="22"/>
          <w:szCs w:val="22"/>
          <w:highlight w:val="none"/>
          <w:lang w:val="en-US" w:eastAsia="zh" w:bidi="ar"/>
        </w:rPr>
        <w:t xml:space="preserve">）</w:t>
      </w:r>
      <w:r>
        <w:rPr>
          <w:rFonts w:hint="eastAsia" w:ascii="宋体" w:hAnsi="宋体" w:eastAsia="宋体" w:cs="宋体"/>
          <w:color w:val="auto"/>
          <w:sz w:val="22"/>
          <w:szCs w:val="22"/>
          <w:highlight w:val="none"/>
          <w:lang w:val="en-US" w:eastAsia="zh-CN" w:bidi="ar"/>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★（2）质保期间，中标人承担维修、保养、定期巡检、系统升级、故障排除等，相关费用包含在预算内，采购方不再支付任何费用；对于采购人人为原因造成的故障，中标人只收取维保成本费用。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（3）质保期内，</w:t>
      </w:r>
      <w:r>
        <w:rPr>
          <w:rFonts w:hint="eastAsia" w:ascii="Times New Roman" w:hAnsi="Times New Roman" w:cs="Times New Roman"/>
          <w:color w:val="auto"/>
          <w:highlight w:val="none"/>
          <w:lang w:val="en-US" w:eastAsia="zh-CN"/>
        </w:rPr>
        <w:t xml:space="preserve">根据</w:t>
      </w:r>
      <w:r>
        <w:rPr>
          <w:rFonts w:hint="default" w:ascii="Times New Roman" w:hAnsi="Times New Roman" w:cs="Times New Roman"/>
          <w:color w:val="auto"/>
          <w:szCs w:val="32"/>
          <w:highlight w:val="none"/>
        </w:rPr>
        <w:t xml:space="preserve">《江苏省水利厅关于印发〈江苏省水资源管理信息系统运行维护管理办法〉的通知》（苏水资〔2013〕7号）</w:t>
      </w:r>
      <w:r>
        <w:rPr>
          <w:rFonts w:hint="eastAsia" w:cs="Times New Roman"/>
          <w:color w:val="auto"/>
          <w:szCs w:val="32"/>
          <w:highlight w:val="none"/>
          <w:lang w:val="en-US" w:eastAsia="zh-CN"/>
        </w:rPr>
        <w:t xml:space="preserve">要求</w:t>
      </w:r>
      <w:r>
        <w:rPr>
          <w:rFonts w:hint="eastAsia" w:cs="Times New Roman"/>
          <w:color w:val="auto"/>
          <w:szCs w:val="32"/>
          <w:highlight w:val="none"/>
          <w:lang w:eastAsia="zh-CN"/>
        </w:rPr>
        <w:t xml:space="preserve">，</w:t>
      </w:r>
      <w:r>
        <w:rPr>
          <w:rFonts w:hint="eastAsia" w:cs="Times New Roman"/>
          <w:color w:val="auto"/>
          <w:szCs w:val="32"/>
          <w:highlight w:val="none"/>
          <w:lang w:val="en-US" w:eastAsia="zh-CN"/>
        </w:rPr>
        <w:t xml:space="preserve">免费</w:t>
      </w:r>
      <w:r>
        <w:rPr>
          <w:rFonts w:hint="default" w:ascii="Times New Roman" w:hAnsi="Times New Roman" w:cs="Times New Roman"/>
          <w:color w:val="auto"/>
          <w:highlight w:val="none"/>
          <w:lang w:val="en-US" w:eastAsia="zh-CN"/>
        </w:rPr>
        <w:t xml:space="preserve">提供</w:t>
      </w:r>
      <w:r>
        <w:rPr>
          <w:rFonts w:hint="eastAsia" w:cs="Times New Roman"/>
          <w:color w:val="auto"/>
          <w:highlight w:val="none"/>
          <w:lang w:val="en-US" w:eastAsia="zh-CN"/>
        </w:rPr>
        <w:t xml:space="preserve">运维</w:t>
      </w:r>
      <w:r>
        <w:rPr>
          <w:rFonts w:hint="default" w:ascii="Times New Roman" w:hAnsi="Times New Roman" w:cs="Times New Roman"/>
          <w:color w:val="auto"/>
          <w:highlight w:val="none"/>
          <w:lang w:val="en-US" w:eastAsia="zh-CN"/>
        </w:rPr>
        <w:t xml:space="preserve">服务，确保取水计量数据质量提升达到规模以上取水在线计量数据到报率（≥95%），非农取水在线计量数据异常率≤10%。</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（4）质保期内，应向采购人提供售后技术支持服务。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（5）质保期内，如遇软件产品升级、改版，中标人免费提供更新、升级。</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（6）保证数据及运行安全，为保证数据质量及使用安全要求，所采用系统应具有数据治理及数据安全保障能力。为保证系统运行的稳定，要求具有较高的系统运行维护服务能力。</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（7）本项目质保期内，采购人如有系统数据迁移要求，中标人免费完成数据迁移工作，采购人不支付任何迁移费用。质保期结束后，采购人如有系统数据迁移要求，中标人应配合开展。</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8.培训服务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提供详细技术资料对采购人相关人员进行操作、系统培训，确保使用人员熟练掌握使用方法、操作要领以及小故障排除办法。培训的内容及方案应由双方协商制定，培训的相关费用均包含在投标报价中。</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特别提醒投标人：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tabs>
          <w:tab w:val="left" w:pos="0" w:leader="none"/>
        </w:tabs>
        <w:rPr>
          <w:rFonts w:hint="default"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五</w:t>
      </w:r>
      <w:r>
        <w:rPr>
          <w:rFonts w:hint="default"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投标报价要求</w:t>
      </w:r>
      <w:r/>
    </w:p>
    <w:p>
      <w:pPr>
        <w:numPr>
          <w:ilvl w:val="0"/>
          <w:numId w:val="6"/>
        </w:num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投标报价包含本项目有关的所有费用，包括</w:t>
      </w:r>
      <w:r>
        <w:rPr>
          <w:rFonts w:hint="default" w:ascii="Times New Roman" w:hAnsi="Times New Roman" w:cs="Times New Roman"/>
          <w:color w:val="auto"/>
          <w:sz w:val="21"/>
          <w:szCs w:val="21"/>
          <w:highlight w:val="none"/>
          <w:lang w:val="en-US" w:eastAsia="zh-CN"/>
        </w:rPr>
        <w:t xml:space="preserve">项目建设费用、设备费、检验检测费、软件开发及安装调试费、软件试运行费</w:t>
      </w:r>
      <w:r>
        <w:rPr>
          <w:rFonts w:hint="default" w:ascii="Times New Roman" w:hAnsi="Times New Roman" w:eastAsia="宋体" w:cs="Times New Roman"/>
          <w:color w:val="auto"/>
          <w:sz w:val="21"/>
          <w:szCs w:val="21"/>
          <w:highlight w:val="none"/>
        </w:rPr>
        <w:t xml:space="preserve">、税费、人工费、交通</w:t>
      </w:r>
      <w:r>
        <w:rPr>
          <w:rFonts w:hint="default" w:ascii="Times New Roman" w:hAnsi="Times New Roman" w:cs="Times New Roman"/>
          <w:color w:val="auto"/>
          <w:sz w:val="21"/>
          <w:szCs w:val="21"/>
          <w:highlight w:val="none"/>
          <w:lang w:val="en-US" w:eastAsia="zh-CN"/>
        </w:rPr>
        <w:t xml:space="preserve">运输</w:t>
      </w:r>
      <w:r>
        <w:rPr>
          <w:rFonts w:hint="default" w:ascii="Times New Roman" w:hAnsi="Times New Roman" w:eastAsia="宋体" w:cs="Times New Roman"/>
          <w:color w:val="auto"/>
          <w:sz w:val="21"/>
          <w:szCs w:val="21"/>
          <w:highlight w:val="none"/>
        </w:rPr>
        <w:t xml:space="preserve">费、</w:t>
      </w:r>
      <w:r>
        <w:rPr>
          <w:rFonts w:hint="default" w:ascii="Times New Roman" w:hAnsi="Times New Roman" w:cs="Times New Roman"/>
          <w:color w:val="auto"/>
          <w:sz w:val="21"/>
          <w:szCs w:val="21"/>
          <w:highlight w:val="none"/>
          <w:lang w:val="en-US" w:eastAsia="zh-CN"/>
        </w:rPr>
        <w:t xml:space="preserve">运行</w:t>
      </w:r>
      <w:r>
        <w:rPr>
          <w:rFonts w:hint="default" w:ascii="Times New Roman" w:hAnsi="Times New Roman" w:eastAsia="宋体" w:cs="Times New Roman"/>
          <w:color w:val="auto"/>
          <w:sz w:val="21"/>
          <w:szCs w:val="21"/>
          <w:highlight w:val="none"/>
        </w:rPr>
        <w:t xml:space="preserve">维保费等与本合同标的相关的所有费用，除本合同另有约定外采购人无需再向中标人支付任何其他费用。</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仿宋_GB2312" w:cs="Times New Roman"/>
          <w:color w:val="auto"/>
          <w:sz w:val="24"/>
          <w:szCs w:val="24"/>
          <w:highlight w:val="none"/>
          <w:lang w:val="en-US" w:eastAsia="zh-CN" w:bidi="ar-SA"/>
        </w:rPr>
        <w:br w:type="page" w:clear="all"/>
      </w:r>
      <w:r/>
    </w:p>
    <w:p>
      <w:pPr>
        <w:pStyle w:val="901"/>
        <w:numPr>
          <w:ilvl w:val="0"/>
          <w:numId w:val="0"/>
        </w:numPr>
        <w:ind w:left="0"/>
        <w:jc w:val="center"/>
        <w:keepLines w:val="0"/>
        <w:pageBreakBefore w:val="0"/>
        <w:spacing w:line="360" w:lineRule="auto"/>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t xml:space="preserve">第五章  评标方法与评标标准</w:t>
      </w:r>
      <w:bookmarkEnd w:id="248"/>
      <w:r/>
      <w:bookmarkEnd w:id="249"/>
      <w:r/>
      <w:r/>
    </w:p>
    <w:p>
      <w:pPr>
        <w:ind w:left="0" w:firstLine="482"/>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hint="default" w:ascii="Times New Roman" w:hAnsi="Times New Roman" w:cs="Times New Roman"/>
          <w:b/>
          <w:bCs/>
          <w:color w:val="auto"/>
          <w:sz w:val="24"/>
          <w:szCs w:val="24"/>
          <w:highlight w:val="none"/>
          <w:shd w:val="clear" w:color="auto" w:fill="auto"/>
        </w:rPr>
      </w:pPr>
      <w:r>
        <w:rPr>
          <w:rFonts w:hint="default" w:ascii="Times New Roman" w:hAnsi="Times New Roman" w:cs="Times New Roman"/>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b/>
          <w:color w:val="auto"/>
          <w:sz w:val="24"/>
          <w:highlight w:val="none"/>
          <w:shd w:val="clear" w:color="auto" w:fill="auto"/>
          <w:lang w:val="en-US" w:eastAsia="zh-CN"/>
        </w:rPr>
        <w:t xml:space="preserve">三</w:t>
      </w:r>
      <w:r>
        <w:rPr>
          <w:rFonts w:hint="default" w:ascii="Times New Roman" w:hAnsi="Times New Roman" w:cs="Times New Roman"/>
          <w:b/>
          <w:color w:val="auto"/>
          <w:sz w:val="24"/>
          <w:highlight w:val="none"/>
          <w:shd w:val="clear" w:color="auto" w:fill="auto"/>
        </w:rPr>
        <w:t xml:space="preserve">、评标原则</w:t>
      </w:r>
      <w:r>
        <w:rPr>
          <w:rFonts w:hint="default" w:ascii="Times New Roman" w:hAnsi="Times New Roman" w:cs="Times New Roman"/>
          <w:color w:val="auto"/>
          <w:sz w:val="24"/>
          <w:highlight w:val="none"/>
          <w:shd w:val="clear" w:color="auto" w:fill="auto"/>
        </w:rPr>
        <w:t xml:space="preserve">：</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b/>
          <w:color w:val="auto"/>
          <w:sz w:val="24"/>
          <w:highlight w:val="none"/>
          <w:shd w:val="clear" w:color="auto" w:fill="auto"/>
          <w:lang w:val="en-US" w:eastAsia="zh-CN"/>
        </w:rPr>
        <w:t xml:space="preserve">四</w:t>
      </w:r>
      <w:r>
        <w:rPr>
          <w:rFonts w:hint="default" w:ascii="Times New Roman" w:hAnsi="Times New Roman" w:cs="Times New Roman"/>
          <w:b/>
          <w:color w:val="auto"/>
          <w:sz w:val="24"/>
          <w:highlight w:val="none"/>
          <w:shd w:val="clear" w:color="auto" w:fill="auto"/>
        </w:rPr>
        <w:t xml:space="preserve">、评标标准：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62"/>
        <w:ind w:left="0" w:hanging="343"/>
        <w:jc w:val="center"/>
        <w:keepLines w:val="0"/>
        <w:pageBreakBefore w:val="0"/>
        <w:spacing w:line="360" w:lineRule="auto"/>
        <w:tabs>
          <w:tab w:val="left" w:pos="720" w:leader="none"/>
        </w:tabs>
        <w:rPr>
          <w:rFonts w:hint="default" w:ascii="Times New Roman" w:hAnsi="Times New Roman" w:cs="Times New Roman"/>
          <w:b/>
          <w:color w:val="auto"/>
          <w:sz w:val="28"/>
          <w:szCs w:val="28"/>
          <w:highlight w:val="none"/>
          <w:shd w:val="clear" w:color="auto" w:fill="auto"/>
        </w:rPr>
      </w:pPr>
      <w:r>
        <w:rPr>
          <w:rFonts w:hint="default" w:ascii="Times New Roman" w:hAnsi="Times New Roman" w:cs="Times New Roman"/>
          <w:b/>
          <w:color w:val="auto"/>
          <w:sz w:val="28"/>
          <w:szCs w:val="28"/>
          <w:highlight w:val="none"/>
          <w:shd w:val="clear" w:color="auto" w:fill="auto"/>
        </w:rPr>
      </w:r>
      <w:r/>
    </w:p>
    <w:p>
      <w:pPr>
        <w:pStyle w:val="962"/>
        <w:jc w:val="center"/>
        <w:keepLines w:val="0"/>
        <w:pageBreakBefore w:val="0"/>
        <w:spacing w:line="360" w:lineRule="auto"/>
        <w:tabs>
          <w:tab w:val="left" w:pos="720" w:leader="none"/>
        </w:tabs>
        <w:rPr>
          <w:rFonts w:hint="default" w:ascii="Times New Roman" w:hAnsi="Times New Roman" w:cs="Times New Roman"/>
          <w:b/>
          <w:color w:val="auto"/>
          <w:sz w:val="28"/>
          <w:szCs w:val="28"/>
          <w:highlight w:val="none"/>
          <w:shd w:val="clear" w:color="auto" w:fill="auto"/>
        </w:rPr>
      </w:pPr>
      <w:r>
        <w:rPr>
          <w:rFonts w:hint="default" w:ascii="Times New Roman" w:hAnsi="Times New Roman" w:cs="Times New Roman"/>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default" w:ascii="Times New Roman" w:hAnsi="Times New Roman"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1.价格分：</w:t>
      </w:r>
      <w:r>
        <w:rPr>
          <w:rFonts w:hint="default" w:ascii="Times New Roman" w:hAnsi="Times New Roman" w:cs="Times New Roman"/>
          <w:b/>
          <w:bCs/>
          <w:color w:val="auto"/>
          <w:sz w:val="24"/>
          <w:highlight w:val="none"/>
          <w:shd w:val="clear" w:color="auto" w:fill="auto"/>
          <w:lang w:val="en-US" w:eastAsia="zh-CN"/>
        </w:rPr>
        <w:t xml:space="preserve">10</w:t>
      </w:r>
      <w:r>
        <w:rPr>
          <w:rFonts w:hint="default" w:ascii="Times New Roman" w:hAnsi="Times New Roman" w:cs="Times New Roman"/>
          <w:b/>
          <w:bCs/>
          <w:color w:val="auto"/>
          <w:sz w:val="24"/>
          <w:highlight w:val="none"/>
          <w:shd w:val="clear" w:color="auto" w:fill="auto"/>
        </w:rPr>
        <w:t xml:space="preserve">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投标报价得分=（评标基准价/投标报价）</w:t>
      </w:r>
      <w:r>
        <w:rPr>
          <w:rFonts w:hint="default" w:ascii="Times New Roman" w:hAnsi="Times New Roman" w:eastAsia="宋体" w:cs="Times New Roman"/>
          <w:color w:val="auto"/>
          <w:sz w:val="24"/>
          <w:highlight w:val="none"/>
          <w:shd w:val="clear" w:color="auto" w:fill="auto"/>
        </w:rPr>
        <w:t xml:space="preserve">×</w:t>
      </w:r>
      <w:r>
        <w:rPr>
          <w:rFonts w:hint="default" w:ascii="Times New Roman" w:hAnsi="Times New Roman" w:cs="Times New Roman"/>
          <w:color w:val="auto"/>
          <w:sz w:val="24"/>
          <w:highlight w:val="none"/>
          <w:shd w:val="clear" w:color="auto" w:fill="auto"/>
          <w:lang w:val="en-US" w:eastAsia="zh-CN"/>
        </w:rPr>
        <w:t xml:space="preserve">1</w:t>
      </w:r>
      <w:r>
        <w:rPr>
          <w:rFonts w:hint="default" w:ascii="Times New Roman" w:hAnsi="Times New Roman" w:eastAsia="宋体" w:cs="Times New Roman"/>
          <w:color w:val="auto"/>
          <w:sz w:val="24"/>
          <w:highlight w:val="none"/>
          <w:shd w:val="clear" w:color="auto" w:fill="auto"/>
          <w:lang w:val="en-US" w:eastAsia="zh-CN"/>
        </w:rPr>
        <w:t xml:space="preserve">0</w:t>
      </w:r>
      <w:r>
        <w:rPr>
          <w:rFonts w:hint="default" w:ascii="Times New Roman" w:hAnsi="Times New Roman" w:cs="Times New Roman"/>
          <w:color w:val="auto"/>
          <w:sz w:val="24"/>
          <w:highlight w:val="none"/>
          <w:shd w:val="clear" w:color="auto" w:fill="auto"/>
        </w:rPr>
        <w:t xml:space="preserve">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default" w:ascii="Times New Roman" w:hAnsi="Times New Roman"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2.商务技术分：</w:t>
      </w:r>
      <w:r>
        <w:rPr>
          <w:rFonts w:hint="default" w:ascii="Times New Roman" w:hAnsi="Times New Roman" w:cs="Times New Roman"/>
          <w:b/>
          <w:bCs/>
          <w:color w:val="auto"/>
          <w:sz w:val="24"/>
          <w:highlight w:val="none"/>
          <w:shd w:val="clear" w:color="auto" w:fill="auto"/>
          <w:lang w:val="en-US" w:eastAsia="zh-CN"/>
        </w:rPr>
        <w:t xml:space="preserve">90</w:t>
      </w:r>
      <w:r>
        <w:rPr>
          <w:rFonts w:hint="default" w:ascii="Times New Roman" w:hAnsi="Times New Roman" w:cs="Times New Roman"/>
          <w:b/>
          <w:bCs/>
          <w:color w:val="auto"/>
          <w:sz w:val="24"/>
          <w:highlight w:val="none"/>
          <w:shd w:val="clear" w:color="auto" w:fill="auto"/>
        </w:rPr>
        <w:t xml:space="preserve">分</w:t>
      </w:r>
      <w:r/>
    </w:p>
    <w:tbl>
      <w:tblPr>
        <w:tblStyle w:val="718"/>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85" w:type="dxa"/>
          <w:right w:w="108" w:type="dxa"/>
          <w:bottom w:w="0" w:type="dxa"/>
        </w:tblCellMar>
        <w:tblLook w:val="04A0" w:firstRow="1" w:lastRow="0" w:firstColumn="1" w:lastColumn="0" w:noHBand="0" w:noVBand="1"/>
      </w:tblPr>
      <w:tblGrid>
        <w:gridCol w:w="2110"/>
        <w:gridCol w:w="6849"/>
      </w:tblGrid>
      <w:tr>
        <w:trPr>
          <w:jc w:val="center"/>
          <w:trHeight w:val="0"/>
        </w:trPr>
        <w:tc>
          <w:tcPr>
            <w:shd w:val="clear" w:color="auto" w:fill="ffffff"/>
            <w:tcW w:w="2110" w:type="dxa"/>
            <w:vAlign w:val="top"/>
            <w:textDirection w:val="lrTb"/>
            <w:noWrap w:val="false"/>
          </w:tcPr>
          <w:p>
            <w:pPr>
              <w:ind w:left="0"/>
              <w:jc w:val="center"/>
              <w:keepLines w:val="0"/>
              <w:keepNext w:val="0"/>
              <w:pageBreakBefore w:val="0"/>
              <w:spacing w:line="360" w:lineRule="auto"/>
              <w:widowControl w:val="off"/>
              <w:rPr>
                <w:rFonts w:hint="default" w:ascii="Times New Roman" w:hAnsi="Times New Roman" w:cs="Times New Roman"/>
                <w:b w:val="0"/>
                <w:bCs w:val="0"/>
                <w:color w:val="auto"/>
                <w:sz w:val="24"/>
                <w:szCs w:val="24"/>
                <w:highlight w:val="none"/>
                <w:shd w:val="clear" w:color="auto" w:fill="auto"/>
              </w:rPr>
            </w:pPr>
            <w:r>
              <w:rPr>
                <w:rFonts w:hint="default" w:ascii="Times New Roman" w:hAnsi="Times New Roman" w:cs="Times New Roman"/>
                <w:b w:val="0"/>
                <w:bCs w:val="0"/>
                <w:color w:val="auto"/>
                <w:sz w:val="24"/>
                <w:szCs w:val="24"/>
                <w:highlight w:val="none"/>
                <w:shd w:val="clear" w:color="auto" w:fill="auto"/>
              </w:rPr>
              <w:t xml:space="preserve">评审因素</w:t>
            </w:r>
            <w:r/>
          </w:p>
        </w:tc>
        <w:tc>
          <w:tcPr>
            <w:shd w:val="clear" w:color="auto" w:fill="ffffff"/>
            <w:tcW w:w="6849" w:type="dxa"/>
            <w:vAlign w:val="top"/>
            <w:textDirection w:val="lrTb"/>
            <w:noWrap w:val="false"/>
          </w:tcPr>
          <w:p>
            <w:pPr>
              <w:ind w:left="0"/>
              <w:jc w:val="center"/>
              <w:keepLines w:val="0"/>
              <w:keepNext w:val="0"/>
              <w:pageBreakBefore w:val="0"/>
              <w:spacing w:line="360" w:lineRule="auto"/>
              <w:widowControl w:val="off"/>
              <w:rPr>
                <w:rFonts w:hint="default" w:ascii="Times New Roman" w:hAnsi="Times New Roman" w:cs="Times New Roman"/>
                <w:b w:val="0"/>
                <w:bCs w:val="0"/>
                <w:color w:val="auto"/>
                <w:sz w:val="24"/>
                <w:szCs w:val="24"/>
                <w:highlight w:val="none"/>
                <w:shd w:val="clear" w:color="auto" w:fill="auto"/>
              </w:rPr>
            </w:pPr>
            <w:r>
              <w:rPr>
                <w:rFonts w:hint="default" w:ascii="Times New Roman" w:hAnsi="Times New Roman" w:cs="Times New Roman"/>
                <w:b w:val="0"/>
                <w:bCs w:val="0"/>
                <w:color w:val="auto"/>
                <w:sz w:val="24"/>
                <w:szCs w:val="24"/>
                <w:highlight w:val="none"/>
                <w:shd w:val="clear" w:color="auto" w:fill="auto"/>
              </w:rPr>
              <w:t xml:space="preserve">评审标准</w:t>
            </w:r>
            <w:r/>
          </w:p>
        </w:tc>
      </w:tr>
      <w:tr>
        <w:trPr>
          <w:jc w:val="center"/>
          <w:trHeight w:val="2837"/>
        </w:trPr>
        <w:tc>
          <w:tcPr>
            <w:shd w:val="clear" w:color="auto" w:fill="ffffff"/>
            <w:tcW w:w="2110"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企业实力</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8分</w:t>
            </w:r>
            <w:r>
              <w:rPr>
                <w:rFonts w:hint="default" w:ascii="Times New Roman" w:hAnsi="Times New Roman" w:cs="Times New Roman"/>
                <w:b w:val="0"/>
                <w:bCs w:val="0"/>
                <w:color w:val="auto"/>
                <w:sz w:val="24"/>
                <w:szCs w:val="24"/>
                <w:highlight w:val="none"/>
                <w:shd w:val="clear" w:color="auto" w:fill="auto"/>
                <w:lang w:eastAsia="zh-CN"/>
              </w:rPr>
              <w:t xml:space="preserve">）</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1.投标人水文、水资源调查评价甲级资质证书得2分，乙级资质证书得1分。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2.具有水文水资源监测或灌区信息系统应用软件或水资源遥测通讯终端软件著作权证书的，每项得2分，最高得6分；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注：投标文件中提供有效的证书原件扫描件加盖投标人公章，否则不得分。</w:t>
            </w:r>
            <w:r/>
          </w:p>
        </w:tc>
      </w:tr>
      <w:tr>
        <w:trPr>
          <w:jc w:val="center"/>
          <w:trHeight w:val="5253"/>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项目管理机构</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（17分）</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1.项目负责人具有水利工程专业正高级职称的，得5分；具有副高级技术职称的，得4分；具有工程师职称的，得3分；本项最高得5分。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2.拟投入本项目的人员（项目负责人除外）中具有水利工程、水文水资源、机电自动化专业中级及以上技术职称的（专业认定提供人社部门出具的职称证或毕业证书），每有一个专业得2分，本项最高得6分。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3.拟投入本项目的人员（项目负责人除外）中具有有效的信息系统项目管理师证书、IT服务项目经理证书、注册计量师的，有一人得2分，最多得6分。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注：一人多证不重复得分，投标文件中提供以上相关人员有效证书扫描件及从发布招标公告之日起近3个自然月中任意一个月的社会保险缴费证明，否则不得分。</w:t>
            </w:r>
            <w:r/>
          </w:p>
        </w:tc>
      </w:tr>
      <w:tr>
        <w:trPr>
          <w:jc w:val="center"/>
          <w:trHeight w:val="2790"/>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类似工程业绩</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（15分）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1.投标人拟派项目负责人自2022年1月1日以来作为项目负责人（项目经理）（以合同签订时间为准）承担过的类似项目业绩，每有1个得3分，本项最高得6分。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2.投标人自2022年1月1日以来（以合同签订时间为准）承担过的类似项目业绩，每有1个得3分，本项最高得9分。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1.“类似项目”是指水文水资源监测、取用水监测计量、农业灌溉计量设施、水资源信息化、水资源调查与评价类的项目业绩。</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2.企业业绩与项目负责人业绩不重复计取。</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3.业绩认定依据：</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投标文件中需提供中标通知书或直接发包证明材料、合同文件、竣（完）工验收证明材料（含合同工程完工证书、竣工证书、完工/竣工验收鉴定书、发包人证明，上述材料具备任意一项即可）等有效材料的原件扫描件，金额以合同文件为准。如上述证明材料不能反映评审要求内容的，则需提供加盖发包人公章的证明材料。</w:t>
            </w:r>
            <w:r/>
          </w:p>
        </w:tc>
      </w:tr>
      <w:tr>
        <w:trPr>
          <w:jc w:val="center"/>
          <w:trHeight w:val="7595"/>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对本项目背景的理解和把握、对项目的重点、难点分析及对策</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（8分）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根据投标人提供的对本项目背景的理解和把握、对项目的重点、难点分析及对策的相关措施，由评标委员会进行评分：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对项目背景理解深刻，对国家水资源管理政策把握准确，能够精准剖析区域取用水现状及管理痛点；对本项目核心重难点问题（取水计量设施建设、典型片区精准计量、数据质量提升、多源数据融合应用等）分析透彻、切中要害，技术方案先进合理、切实可行，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对项目背景有较好理解，能提及相关政策导向和现状问题，分析较为合理，基本符合项目实际需求；对主要技术和管理难点有一定分析，提出的解决措施基本可行，能够满足项目基本运行要求，但在深度、针对性或前瞻性方面有所欠缺，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3.对项目背景理解较浅，未能有效结合本项目实际需求进行实质性分析；重难点识别不全，应对措施空泛，缺乏具体的技术路径，或对策与问题不匹配，存在明显逻辑缺陷，难以保证项目顺利实施，得4分。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3305"/>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计量设施建设方案（12分）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根据投标人提供的针对本项目取水在线计量设施建设方案、典型片区计量设施建设方案、现场施工质量保证措施、相关设备（含采购、制造、安装、接入系统、调试、比测）等，由评标委员会进行评分：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设备选型完全满足或优于招标文件技术要求；施工质量保障体系健全，针对取水口复杂水文环境有专项应对措施；供货方案完整，采购周期、生产排期及物流运输计划详实，能全面保障设备按期交付；设备安装调试方案步骤合理、方法正确，数据接入省、市级平台有针对性技术方案，能有效解决通信异常等技术难题；比测方案科学详尽，比测方法、测次安排合理，通过比测能够有效校准计量设备，得12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设备选型满足招标文件技术要求；施工质量保障体系较健全，各项保证措施较明确、较合理可行，基本能满足现场施工质量要求；供货方案较完整，主要设备的采购和制造计划基本合理可行；设备调试方案较详细，主要内容未遗漏，数据接入方案较可靠，能够满足项目运行需求；比测方案较完整，比测方法、测次安排基本合理，通过比测基本能够实现设备校准，得9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设备选型满足招标文件技术要求；施工质量保障体系一般，质量保证措施较为常规或空泛，针对性不强；供货方案内容完整性不足，可能影响设备按时进场；调试及接入方案表述简单，缺乏具体的操作路径或存在技术漏洞；比测方案不够具体，比测方法或测次安排存在不合理之处，设备校准效果难以保证，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4.设备选型不满足招标文件要求</w:t>
            </w:r>
            <w:r>
              <w:rPr>
                <w:rFonts w:hint="eastAsia" w:ascii="Times New Roman" w:hAnsi="Times New Roman" w:cs="Times New Roman"/>
                <w:b w:val="0"/>
                <w:bCs w:val="0"/>
                <w:color w:val="auto"/>
                <w:sz w:val="24"/>
                <w:szCs w:val="24"/>
                <w:highlight w:val="none"/>
                <w:shd w:val="clear" w:color="auto" w:fill="auto"/>
                <w:lang w:val="en-US"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施工质量保障体系较差或方案内容严重缺失，质量保证措施空泛，未结合本项目实际施工条件；供货方案存在明显缺陷，无法保障设备按时交付；调试及接入方案缺乏实质性内容或存在明显技术错误；比测率定方案简略，比测方法及测次安排不合理，设备校准功能不明确或无法实现，得</w:t>
            </w:r>
            <w:r>
              <w:rPr>
                <w:rFonts w:hint="eastAsia" w:ascii="Times New Roman" w:hAnsi="Times New Roman" w:cs="Times New Roman"/>
                <w:b w:val="0"/>
                <w:bCs w:val="0"/>
                <w:color w:val="auto"/>
                <w:sz w:val="24"/>
                <w:szCs w:val="24"/>
                <w:highlight w:val="none"/>
                <w:shd w:val="clear" w:color="auto" w:fill="auto"/>
                <w:lang w:val="en-US" w:eastAsia="zh-CN"/>
              </w:rPr>
              <w:t xml:space="preserve">3</w:t>
            </w:r>
            <w:r>
              <w:rPr>
                <w:rFonts w:hint="default" w:ascii="Times New Roman" w:hAnsi="Times New Roman" w:cs="Times New Roman"/>
                <w:b w:val="0"/>
                <w:bCs w:val="0"/>
                <w:color w:val="auto"/>
                <w:sz w:val="24"/>
                <w:szCs w:val="24"/>
                <w:highlight w:val="none"/>
                <w:shd w:val="clear" w:color="auto" w:fill="auto"/>
                <w:lang w:val="en-US" w:eastAsia="zh-CN"/>
              </w:rPr>
              <w:t xml:space="preserve">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90"/>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数据质量提升方案（10分）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计量数据质量提升方案（含泵站数据采集设备加装与在线升级、已建农业计量设施比测率定、数据传输连续性及稳定性保障、规模以上取水在线计量数据到报率控制措施），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eastAsia" w:cs="Times New Roman"/>
                <w:b w:val="0"/>
                <w:bCs w:val="0"/>
                <w:color w:val="auto"/>
                <w:sz w:val="24"/>
                <w:szCs w:val="24"/>
                <w:highlight w:val="none"/>
                <w:shd w:val="clear" w:color="auto" w:fill="auto"/>
                <w:lang w:val="en-US" w:eastAsia="zh-CN"/>
              </w:rPr>
              <w:t xml:space="preserve">1.</w:t>
            </w:r>
            <w:r>
              <w:rPr>
                <w:rFonts w:hint="default" w:ascii="Times New Roman" w:hAnsi="Times New Roman" w:cs="Times New Roman"/>
                <w:b w:val="0"/>
                <w:bCs w:val="0"/>
                <w:color w:val="auto"/>
                <w:sz w:val="24"/>
                <w:szCs w:val="24"/>
                <w:highlight w:val="none"/>
                <w:shd w:val="clear" w:color="auto" w:fill="auto"/>
                <w:lang w:val="en-US" w:eastAsia="zh-CN"/>
              </w:rPr>
              <w:t xml:space="preserve">泵站加装数据采集设备升级为在线计量的实施方案详尽，能有效保障改造后数据稳定上传；已建农业计量设施比测率定方案完整，比测方法、测次安排合理，能有效校准计量设备；传输连续性与到报率控制措施详细完备，能强力支撑到报率达标（≥95%）并保障传输稳定，得10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泵站升级改造方案较为完整，能满足常规监测需求；已建农业计量设施提出了基本比测计划和数据提升措施，有一定的系数修正方法；制定了基本到报率提升计划，能够满足项目基本运行要求，但闭环管理不够细化，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泵站升级改造方案空泛，缺乏具体操作指导和技术支撑；已建农业计量设施比测校准手段落后，数据提升措施流于形式，对农业取水口特殊性认识不足，难以保障最终数据质量；通信保障措施和参数设定缺乏数据支撑或存在逻辑缺陷，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4.方案内容严重缺失或存在明显技术错误，泵站升级改造方案缺乏实质性内容；已建农业计量设施比测率定方案简略，未提出具体措施；数据到报率控制目标不明确，难以保障数据传输连续性和稳定性，得4分。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2727"/>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取水计量数据融合应用建设方案（10分）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根据投标人提供的针对本项目取水计量数据融合应用的建设方案（包括前期基础数据调研分析与存储、相关平台数据接入、农灌高峰期用水监测</w:t>
            </w:r>
            <w:r>
              <w:rPr>
                <w:rFonts w:hint="eastAsia" w:cs="Times New Roman"/>
                <w:b w:val="0"/>
                <w:bCs w:val="0"/>
                <w:color w:val="auto"/>
                <w:sz w:val="24"/>
                <w:szCs w:val="24"/>
                <w:highlight w:val="none"/>
                <w:shd w:val="clear" w:color="auto" w:fill="auto"/>
                <w:lang w:val="en-US"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水量核算、水资源承载能力评价、各功能模块设计及开发方案等），由评标委员会进行评分：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深刻理解取用水管理的实际业务需求，多源取用水数据整合方案科学合理，数据存储方案完整可行；农灌高峰期用水监测分析方案详实，能够有效支撑用水强度监测与预警；水量核算方案科学严谨，核算方法及技术路径合理，能够有效支撑流域年度取用水量核算；水资源承载能力评价方案完整，评价方法科学可行，成果应用方向清晰；模块设计全面覆盖上述三项核心功能且架构先进，可视化呈现方案完整，展示内容丰富、交互性强，能够有效支撑管理决策，得10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能够较好理解取用水管理业务需求，多源数据整合方案和数据存储方案基本合理可行；三项核心业务分析方案基本覆盖，农灌高峰期用水监测分析较为完整，水量核算方法基本合理，水资源承载能力评价方案较为完整，但部分环节分析深度不够或方法略显简单；模块设计基本覆盖核心功能，可视化方案基本满足展示需求，能够满足项目基本运行要求，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对取用水管理业务需求理解不够深入，多源数据整合方案存在明显不足，数据存储方案可行性较差；三项核心业务分析方案存在明显遗漏或仅做表面描述，深度不足，难以有效支撑后续功能实现；模块设计未能全面覆盖核心功能或存在明显缺陷，可视化方案简单，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4.方案内容严重缺失，三项核心业务分析方案严重不足，或与采购需求严重偏离；模块设计不能覆盖核心功能或存在严重缺陷，难以保证项目基本运行，得4分。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586"/>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项目进度及保证措施</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5</w:t>
            </w:r>
            <w:r>
              <w:rPr>
                <w:rFonts w:hint="default" w:ascii="Times New Roman" w:hAnsi="Times New Roman" w:cs="Times New Roman"/>
                <w:b w:val="0"/>
                <w:bCs w:val="0"/>
                <w:color w:val="auto"/>
                <w:sz w:val="24"/>
                <w:szCs w:val="24"/>
                <w:highlight w:val="none"/>
                <w:shd w:val="clear" w:color="auto" w:fill="auto"/>
                <w:lang w:eastAsia="zh-CN"/>
              </w:rPr>
              <w:t xml:space="preserve">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根据投标人提供的针对本项目的工期保障、实施组织、人员配置及进度安排方案，由评标委员会进行评分：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项目组织架构清晰，人员专业配置合理、职责明确；进度计划科学详尽，涵盖设备采购、现场施工、融合应用、联调测试等全阶段，关键节点设置合理；工期保障措施完善，具备进度偏差预警与纠偏机制；针对极端天气、设备供货延迟、跨平台对接受阻等突发情况有切实可行的应急预案，得5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项目组织架构较为合理，人员配备基本满足项目需求，职责划分较明确；进度计划能覆盖主要阶段，时间安排基本合理，能满足总体工期要求；有常规的工期保障措施和一定的应急预案，能应对一般性延期风险，但在偏差预警量化考核或应急响应速度上略有不足，得3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组织架构及人员配置基本合理，但部分岗位专业匹配度不足或职责边界不够清晰；进度计划简略，缺乏具体时间节点和任务分解，关键路径不清晰；保障措施较为笼统，无明确的进度偏差处理机制，工期延误风险较高，得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1537"/>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售后服务方案</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5分</w:t>
            </w:r>
            <w:r>
              <w:rPr>
                <w:rFonts w:hint="default" w:ascii="Times New Roman" w:hAnsi="Times New Roman" w:cs="Times New Roman"/>
                <w:b w:val="0"/>
                <w:bCs w:val="0"/>
                <w:color w:val="auto"/>
                <w:sz w:val="24"/>
                <w:szCs w:val="24"/>
                <w:highlight w:val="none"/>
                <w:shd w:val="clear" w:color="auto" w:fill="auto"/>
                <w:lang w:eastAsia="zh-CN"/>
              </w:rPr>
              <w:t xml:space="preserve">）</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根据投标人提供的售后服务方案（故障排除、应急响应、远程技术支持、到场维修）、人员操作培训方案、运维服务方案（定期巡检、应急巡检、运维档案），由评标委员会进行评分：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售后服务体系健全，承诺7×24小时全天候响应，针对不同故障级别有明确的分级响应时间和到场维修时效承诺，远程支持手段先进，应急响应预案完善；培训方案针对性强，内容全面覆盖设备操作、平台使用及日常排障，培训方式多样，能有效保障培训效果；运维服务方案详实，定期巡检计划完整（涵盖频次、路线、测试项），具备状态预警及应急巡检触发机制，运维档案电子化归档可追溯，得5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有常规售后服务承诺和基本故障排除流程，响应时间基本符合项目要求，有基本应急保障机制，但在远程支持手段或极端情况下到场时效上略有不足；有基本培训计划，能覆盖日常操作需求；有常规定期巡检计划和应急保障措施，有基本的运维档案记录，能够满足项目日常运行维护需求，得3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3.售后服务方案空泛，缺乏实质性操作流程，响应时效低于采购需求标准；培训方案简略，缺乏具体课程安排，难以保障培训落地效果；运维措施流于形式，巡检计划不清晰，缺乏有效的档案留存机制，得2分。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bl>
    <w:p>
      <w:pPr>
        <w:rPr>
          <w:rFonts w:hint="default" w:ascii="Times New Roman" w:hAnsi="Times New Roman" w:eastAsia="黑体" w:cs="Times New Roman"/>
          <w:color w:val="auto"/>
          <w:sz w:val="44"/>
          <w:szCs w:val="44"/>
          <w:highlight w:val="none"/>
          <w:shd w:val="clear" w:color="auto" w:fill="auto"/>
        </w:rPr>
      </w:pPr>
      <w:r/>
      <w:bookmarkStart w:id="254" w:name="_Toc25769"/>
      <w:r/>
      <w:bookmarkStart w:id="255" w:name="_Toc19647"/>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pStyle w:val="901"/>
        <w:ind w:left="0"/>
        <w:keepLines w:val="0"/>
        <w:keepNext/>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rPr>
        <w:outlineLvl w:val="9"/>
      </w:pPr>
      <w:r>
        <w:rPr>
          <w:rFonts w:hint="default" w:ascii="Times New Roman" w:hAnsi="Times New Roman" w:eastAsia="黑体" w:cs="Times New Roman"/>
          <w:color w:val="auto"/>
          <w:sz w:val="44"/>
          <w:szCs w:val="44"/>
          <w:highlight w:val="none"/>
          <w:shd w:val="clear" w:color="auto" w:fill="auto"/>
        </w:rPr>
      </w:r>
      <w:r/>
    </w:p>
    <w:p>
      <w:pPr>
        <w:pStyle w:val="901"/>
        <w:ind w:left="0"/>
        <w:keepLines w:val="0"/>
        <w:pageBreakBefore w:val="0"/>
        <w:spacing w:line="360" w:lineRule="auto"/>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t xml:space="preserve">第六章  投标</w:t>
      </w:r>
      <w:bookmarkEnd w:id="250"/>
      <w:r/>
      <w:bookmarkEnd w:id="251"/>
      <w:r/>
      <w:bookmarkEnd w:id="252"/>
      <w:r>
        <w:rPr>
          <w:rFonts w:hint="default" w:ascii="Times New Roman" w:hAnsi="Times New Roman" w:eastAsia="黑体" w:cs="Times New Roman"/>
          <w:color w:val="auto"/>
          <w:sz w:val="44"/>
          <w:szCs w:val="44"/>
          <w:highlight w:val="none"/>
          <w:shd w:val="clear" w:color="auto" w:fill="auto"/>
        </w:rPr>
        <w:t xml:space="preserve">文件格式</w:t>
      </w:r>
      <w:bookmarkEnd w:id="254"/>
      <w:r/>
      <w:bookmarkEnd w:id="255"/>
      <w:r>
        <w:rPr>
          <w:rFonts w:hint="default" w:ascii="Times New Roman" w:hAnsi="Times New Roman" w:eastAsia="黑体" w:cs="Times New Roman"/>
          <w:color w:val="auto"/>
          <w:sz w:val="44"/>
          <w:szCs w:val="44"/>
          <w:highlight w:val="none"/>
          <w:shd w:val="clear" w:color="auto" w:fill="auto"/>
        </w:rPr>
        <w:t xml:space="preserve"> </w:t>
      </w:r>
      <w:r/>
    </w:p>
    <w:p>
      <w:pPr>
        <w:jc w:val="center"/>
        <w:rPr>
          <w:rFonts w:hint="default" w:ascii="Times New Roman" w:hAnsi="Times New Roman" w:cs="Times New Roman"/>
          <w:b/>
          <w:color w:val="auto"/>
          <w:sz w:val="72"/>
          <w:highlight w:val="none"/>
          <w:shd w:val="clear" w:color="auto" w:fill="auto"/>
        </w:rPr>
      </w:pPr>
      <w:r/>
      <w:bookmarkStart w:id="256" w:name="_Hlt26671244"/>
      <w:r/>
      <w:bookmarkEnd w:id="256"/>
      <w:r/>
      <w:bookmarkStart w:id="257" w:name="_Hlt26955039"/>
      <w:r/>
      <w:bookmarkEnd w:id="257"/>
      <w:r/>
      <w:bookmarkStart w:id="258" w:name="_Toc49090576"/>
      <w:r/>
      <w:bookmarkStart w:id="259" w:name="_Toc120614282"/>
      <w:r/>
      <w:bookmarkStart w:id="260" w:name="_Toc26554094"/>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t xml:space="preserve">投  标  文  件</w:t>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ind w:firstLine="1084"/>
        <w:keepLines w:val="0"/>
        <w:keepNext w:val="0"/>
        <w:pageBreakBefore w:val="0"/>
        <w:spacing w:line="360" w:lineRule="auto"/>
        <w:widowControl w:val="off"/>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t xml:space="preserve">项 目 名 称：</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ind w:firstLine="1084"/>
        <w:keepLines w:val="0"/>
        <w:keepNext w:val="0"/>
        <w:pageBreakBefore w:val="0"/>
        <w:spacing w:line="360" w:lineRule="auto"/>
        <w:widowControl w:val="off"/>
        <w:rPr>
          <w:rFonts w:hint="default" w:ascii="Times New Roman" w:hAnsi="Times New Roman" w:cs="Times New Roman"/>
          <w:b/>
          <w:color w:val="auto"/>
          <w:sz w:val="36"/>
          <w:highlight w:val="none"/>
          <w:u w:val="single"/>
          <w:shd w:val="clear" w:color="auto" w:fill="auto"/>
        </w:rPr>
      </w:pPr>
      <w:r>
        <w:rPr>
          <w:rFonts w:hint="default" w:ascii="Times New Roman" w:hAnsi="Times New Roman" w:cs="Times New Roman"/>
          <w:b/>
          <w:color w:val="auto"/>
          <w:sz w:val="36"/>
          <w:highlight w:val="none"/>
          <w:shd w:val="clear" w:color="auto" w:fill="auto"/>
        </w:rPr>
        <w:t xml:space="preserve">项 目 编 号：</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keepLines w:val="0"/>
        <w:keepNext w:val="0"/>
        <w:pageBreakBefore w:val="0"/>
        <w:spacing w:line="360" w:lineRule="auto"/>
        <w:widowControl w:val="off"/>
        <w:rPr>
          <w:rFonts w:hint="default" w:ascii="Times New Roman" w:hAnsi="Times New Roman" w:eastAsia="宋体" w:cs="Times New Roman"/>
          <w:b/>
          <w:color w:val="auto"/>
          <w:sz w:val="36"/>
          <w:highlight w:val="none"/>
          <w:u w:val="single"/>
          <w:shd w:val="clear" w:color="auto" w:fill="auto"/>
          <w:lang w:val="en-US" w:eastAsia="zh-CN"/>
        </w:rPr>
      </w:pPr>
      <w:r>
        <w:rPr>
          <w:rFonts w:hint="default" w:ascii="Times New Roman" w:hAnsi="Times New Roman" w:cs="Times New Roman"/>
          <w:b/>
          <w:color w:val="auto"/>
          <w:sz w:val="36"/>
          <w:highlight w:val="none"/>
          <w:shd w:val="clear" w:color="auto" w:fill="auto"/>
        </w:rPr>
        <w:t xml:space="preserve">      投标人名称 ：</w:t>
      </w:r>
      <w:r>
        <w:rPr>
          <w:rFonts w:hint="default" w:ascii="Times New Roman" w:hAnsi="Times New Roman" w:cs="Times New Roman"/>
          <w:b/>
          <w:color w:val="auto"/>
          <w:sz w:val="36"/>
          <w:highlight w:val="none"/>
          <w:u w:val="single"/>
          <w:shd w:val="clear" w:color="auto" w:fill="auto"/>
        </w:rPr>
        <w:t xml:space="preserve">（加盖CA电子公章）</w:t>
      </w:r>
      <w:r>
        <w:rPr>
          <w:rFonts w:hint="default" w:ascii="Times New Roman" w:hAnsi="Times New Roman" w:cs="Times New Roman"/>
          <w:b/>
          <w:color w:val="auto"/>
          <w:sz w:val="36"/>
          <w:highlight w:val="none"/>
          <w:u w:val="single"/>
          <w:shd w:val="clear" w:color="auto" w:fill="auto"/>
          <w:lang w:val="en-US" w:eastAsia="zh-CN"/>
        </w:rPr>
        <w:t xml:space="preserve"> </w:t>
      </w:r>
      <w:r/>
    </w:p>
    <w:p>
      <w:pPr>
        <w:keepLines w:val="0"/>
        <w:keepNext w:val="0"/>
        <w:pageBreakBefore w:val="0"/>
        <w:spacing w:line="360" w:lineRule="auto"/>
        <w:widowControl w:val="off"/>
        <w:rPr>
          <w:rFonts w:hint="default" w:ascii="Times New Roman" w:hAnsi="Times New Roman" w:cs="Times New Roman"/>
          <w:b/>
          <w:color w:val="auto"/>
          <w:sz w:val="36"/>
          <w:highlight w:val="none"/>
          <w:u w:val="single"/>
          <w:shd w:val="clear" w:color="auto" w:fill="auto"/>
        </w:rPr>
      </w:pPr>
      <w:r>
        <w:rPr>
          <w:rFonts w:hint="default" w:ascii="Times New Roman" w:hAnsi="Times New Roman" w:cs="Times New Roman"/>
          <w:b/>
          <w:color w:val="auto"/>
          <w:sz w:val="36"/>
          <w:highlight w:val="none"/>
          <w:shd w:val="clear" w:color="auto" w:fill="auto"/>
        </w:rPr>
        <w:t xml:space="preserve">      日      期 ：</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spacing w:line="440" w:lineRule="exact"/>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ind w:firstLine="1084"/>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color w:val="auto"/>
          <w:sz w:val="36"/>
          <w:highlight w:val="none"/>
          <w:u w:val="single"/>
          <w:shd w:val="clear" w:color="auto" w:fill="auto"/>
        </w:rPr>
        <w:br w:type="page" w:clear="all"/>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t xml:space="preserve">投标文件目录</w:t>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二、</w:t>
      </w:r>
      <w:r>
        <w:rPr>
          <w:rFonts w:hint="default" w:ascii="Times New Roman" w:hAnsi="Times New Roman" w:cs="Times New Roman"/>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三、依法缴纳税收和社会保障资金的相关材料</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六、</w:t>
      </w:r>
      <w:r>
        <w:rPr>
          <w:rFonts w:hint="default" w:ascii="Times New Roman" w:hAnsi="Times New Roman" w:cs="Times New Roman"/>
          <w:i w:val="0"/>
          <w:iCs/>
          <w:color w:val="auto"/>
          <w:sz w:val="24"/>
          <w:highlight w:val="none"/>
          <w:u w:val="none"/>
          <w:shd w:val="clear" w:color="auto" w:fill="auto"/>
          <w:lang w:val="en-US" w:eastAsia="zh-CN"/>
        </w:rPr>
        <w:t xml:space="preserve">其他</w:t>
      </w:r>
      <w:r>
        <w:rPr>
          <w:rFonts w:hint="default" w:ascii="Times New Roman" w:hAnsi="Times New Roman" w:cs="Times New Roman"/>
          <w:i w:val="0"/>
          <w:iCs/>
          <w:color w:val="auto"/>
          <w:sz w:val="24"/>
          <w:highlight w:val="none"/>
          <w:u w:val="none"/>
          <w:shd w:val="clear" w:color="auto" w:fill="auto"/>
        </w:rPr>
        <w:t xml:space="preserve">资格要求的证明文件</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七、法人授权书</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八、投标函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九、</w:t>
      </w:r>
      <w:r>
        <w:rPr>
          <w:rFonts w:hint="default" w:ascii="Times New Roman" w:hAnsi="Times New Roman" w:cs="Times New Roman"/>
          <w:i w:val="0"/>
          <w:iCs/>
          <w:color w:val="auto"/>
          <w:sz w:val="24"/>
          <w:szCs w:val="21"/>
          <w:highlight w:val="none"/>
          <w:u w:val="none"/>
          <w:shd w:val="clear" w:color="auto" w:fill="auto"/>
          <w:lang w:val="en-US" w:eastAsia="zh-CN"/>
        </w:rPr>
        <w:t xml:space="preserve">中</w:t>
      </w:r>
      <w:r>
        <w:rPr>
          <w:rFonts w:hint="default" w:ascii="Times New Roman" w:hAnsi="Times New Roman" w:cs="Times New Roman"/>
          <w:i w:val="0"/>
          <w:iCs/>
          <w:color w:val="auto"/>
          <w:sz w:val="24"/>
          <w:szCs w:val="21"/>
          <w:highlight w:val="none"/>
          <w:u w:val="none"/>
          <w:shd w:val="clear" w:color="auto" w:fill="auto"/>
        </w:rPr>
        <w:t xml:space="preserve">小微企业声明函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十、残疾人福利性单位声明函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十一、联合体协议</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lang w:val="en-US" w:eastAsia="zh-CN"/>
        </w:rPr>
        <w:t xml:space="preserve">十二、投标分项</w:t>
      </w:r>
      <w:r>
        <w:rPr>
          <w:rFonts w:hint="default" w:ascii="Times New Roman" w:hAnsi="Times New Roman" w:cs="Times New Roman"/>
          <w:i w:val="0"/>
          <w:iCs/>
          <w:color w:val="auto"/>
          <w:sz w:val="24"/>
          <w:highlight w:val="none"/>
          <w:u w:val="none"/>
          <w:shd w:val="clear" w:color="auto" w:fill="auto"/>
        </w:rPr>
        <w:t xml:space="preserve">报价表</w:t>
      </w:r>
      <w:r/>
    </w:p>
    <w:p>
      <w:pPr>
        <w:ind w:firstLine="480"/>
        <w:spacing w:line="360" w:lineRule="auto"/>
        <w:rPr>
          <w:rFonts w:hint="default" w:ascii="Times New Roman" w:hAnsi="Times New Roman" w:cs="Times New Roman"/>
          <w:color w:val="auto"/>
          <w:highlight w:val="none"/>
          <w:shd w:val="clear" w:color="auto" w:fill="auto"/>
        </w:rPr>
      </w:pPr>
      <w:r>
        <w:rPr>
          <w:rFonts w:hint="default" w:ascii="Times New Roman" w:hAnsi="Times New Roman" w:cs="Times New Roman"/>
          <w:iCs/>
          <w:color w:val="auto"/>
          <w:sz w:val="24"/>
          <w:szCs w:val="21"/>
          <w:highlight w:val="none"/>
          <w:shd w:val="clear" w:color="auto" w:fill="auto"/>
        </w:rPr>
        <w:t xml:space="preserve">十</w:t>
      </w:r>
      <w:r>
        <w:rPr>
          <w:rFonts w:hint="default" w:ascii="Times New Roman" w:hAnsi="Times New Roman" w:cs="Times New Roman"/>
          <w:iCs/>
          <w:color w:val="auto"/>
          <w:sz w:val="24"/>
          <w:szCs w:val="21"/>
          <w:highlight w:val="none"/>
          <w:shd w:val="clear" w:color="auto" w:fill="auto"/>
          <w:lang w:val="en-US" w:eastAsia="zh-CN"/>
        </w:rPr>
        <w:t xml:space="preserve">三</w:t>
      </w:r>
      <w:r>
        <w:rPr>
          <w:rFonts w:hint="default" w:ascii="Times New Roman" w:hAnsi="Times New Roman" w:cs="Times New Roman"/>
          <w:iCs/>
          <w:color w:val="auto"/>
          <w:sz w:val="24"/>
          <w:szCs w:val="21"/>
          <w:highlight w:val="none"/>
          <w:shd w:val="clear" w:color="auto" w:fill="auto"/>
        </w:rPr>
        <w:t xml:space="preserve">、</w:t>
      </w:r>
      <w:r>
        <w:rPr>
          <w:rFonts w:hint="default" w:ascii="Times New Roman" w:hAnsi="Times New Roman" w:cs="Times New Roman"/>
          <w:i w:val="0"/>
          <w:iCs/>
          <w:color w:val="auto"/>
          <w:sz w:val="24"/>
          <w:highlight w:val="none"/>
          <w:u w:val="none"/>
          <w:shd w:val="clear" w:color="auto" w:fill="auto"/>
        </w:rPr>
        <w:t xml:space="preserve">商务</w:t>
      </w:r>
      <w:r>
        <w:rPr>
          <w:rFonts w:hint="default" w:ascii="Times New Roman" w:hAnsi="Times New Roman" w:cs="Times New Roman"/>
          <w:i w:val="0"/>
          <w:iCs/>
          <w:color w:val="auto"/>
          <w:sz w:val="24"/>
          <w:highlight w:val="none"/>
          <w:u w:val="none"/>
          <w:shd w:val="clear" w:color="auto" w:fill="auto"/>
          <w:lang w:eastAsia="zh-CN"/>
        </w:rPr>
        <w:t xml:space="preserve">、</w:t>
      </w:r>
      <w:r>
        <w:rPr>
          <w:rFonts w:hint="default" w:ascii="Times New Roman" w:hAnsi="Times New Roman" w:cs="Times New Roman"/>
          <w:i w:val="0"/>
          <w:iCs/>
          <w:color w:val="auto"/>
          <w:sz w:val="24"/>
          <w:highlight w:val="none"/>
          <w:u w:val="none"/>
          <w:shd w:val="clear" w:color="auto" w:fill="auto"/>
          <w:lang w:val="en-US" w:eastAsia="zh-CN"/>
        </w:rPr>
        <w:t xml:space="preserve">技术</w:t>
      </w:r>
      <w:r>
        <w:rPr>
          <w:rFonts w:hint="default" w:ascii="Times New Roman" w:hAnsi="Times New Roman" w:cs="Times New Roman"/>
          <w:i w:val="0"/>
          <w:iCs/>
          <w:color w:val="auto"/>
          <w:sz w:val="24"/>
          <w:highlight w:val="none"/>
          <w:u w:val="none"/>
          <w:shd w:val="clear" w:color="auto" w:fill="auto"/>
        </w:rPr>
        <w:t xml:space="preserve">要求响应及偏离表</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w:t>
      </w:r>
      <w:r>
        <w:rPr>
          <w:rFonts w:hint="default" w:ascii="Times New Roman" w:hAnsi="Times New Roman" w:cs="Times New Roman"/>
          <w:i w:val="0"/>
          <w:iCs/>
          <w:color w:val="auto"/>
          <w:sz w:val="24"/>
          <w:highlight w:val="none"/>
          <w:u w:val="none"/>
          <w:shd w:val="clear" w:color="auto" w:fill="auto"/>
          <w:lang w:val="en-US" w:eastAsia="zh-CN"/>
        </w:rPr>
        <w:t xml:space="preserve">四</w:t>
      </w:r>
      <w:r>
        <w:rPr>
          <w:rFonts w:hint="default" w:ascii="Times New Roman" w:hAnsi="Times New Roman" w:cs="Times New Roman"/>
          <w:i w:val="0"/>
          <w:iCs/>
          <w:color w:val="auto"/>
          <w:sz w:val="24"/>
          <w:highlight w:val="none"/>
          <w:u w:val="none"/>
          <w:shd w:val="clear" w:color="auto" w:fill="auto"/>
        </w:rPr>
        <w:t xml:space="preserve">、开标一览表</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w:t>
      </w:r>
      <w:r>
        <w:rPr>
          <w:rFonts w:hint="default" w:ascii="Times New Roman" w:hAnsi="Times New Roman" w:cs="Times New Roman"/>
          <w:i w:val="0"/>
          <w:iCs/>
          <w:color w:val="auto"/>
          <w:sz w:val="24"/>
          <w:highlight w:val="none"/>
          <w:u w:val="none"/>
          <w:shd w:val="clear" w:color="auto" w:fill="auto"/>
          <w:lang w:val="en-US" w:eastAsia="zh-CN"/>
        </w:rPr>
        <w:t xml:space="preserve">五</w:t>
      </w:r>
      <w:r>
        <w:rPr>
          <w:rFonts w:hint="default" w:ascii="Times New Roman" w:hAnsi="Times New Roman" w:cs="Times New Roman"/>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lang w:val="en-US" w:eastAsia="zh-CN"/>
        </w:rPr>
        <w:t xml:space="preserve">十六、项目需求响应方案</w:t>
      </w:r>
      <w:r/>
    </w:p>
    <w:p>
      <w:pPr>
        <w:ind w:firstLine="480"/>
        <w:spacing w:line="360" w:lineRule="auto"/>
        <w:rPr>
          <w:rFonts w:hint="default" w:ascii="Times New Roman" w:hAnsi="Times New Roman" w:eastAsia="宋体"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十七、</w:t>
      </w:r>
      <w:r>
        <w:rPr>
          <w:rFonts w:hint="default" w:ascii="Times New Roman" w:hAnsi="Times New Roman" w:cs="Times New Roman"/>
          <w:i w:val="0"/>
          <w:iCs/>
          <w:color w:val="auto"/>
          <w:sz w:val="24"/>
          <w:highlight w:val="none"/>
          <w:u w:val="none"/>
          <w:shd w:val="clear" w:color="auto" w:fill="auto"/>
        </w:rPr>
        <w:t xml:space="preserve">类似项目业绩一览表</w:t>
      </w:r>
      <w:r/>
    </w:p>
    <w:p>
      <w:pPr>
        <w:ind w:firstLine="480"/>
        <w:spacing w:line="360" w:lineRule="auto"/>
        <w:rPr>
          <w:rFonts w:hint="default" w:ascii="Times New Roman" w:hAnsi="Times New Roman"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十八、项目团队人员一览表</w:t>
      </w:r>
      <w:r/>
    </w:p>
    <w:p>
      <w:pPr>
        <w:ind w:firstLine="480"/>
        <w:spacing w:line="360" w:lineRule="auto"/>
        <w:rPr>
          <w:rFonts w:hint="default" w:ascii="Times New Roman" w:hAnsi="Times New Roman"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十九、关于符合本国产品标准的声明函</w:t>
      </w:r>
      <w:r/>
    </w:p>
    <w:p>
      <w:pPr>
        <w:ind w:firstLine="480"/>
        <w:spacing w:line="360" w:lineRule="auto"/>
        <w:rPr>
          <w:rFonts w:hint="default" w:ascii="Times New Roman" w:hAnsi="Times New Roman" w:eastAsia="宋体" w:cs="Times New Roman"/>
          <w:i w:val="0"/>
          <w:iCs/>
          <w:color w:val="auto"/>
          <w:sz w:val="24"/>
          <w:highlight w:val="none"/>
          <w:u w:val="none"/>
          <w:shd w:val="clear" w:color="auto" w:fill="auto"/>
          <w:lang w:val="en-US" w:eastAsia="zh-CN"/>
        </w:rPr>
      </w:pPr>
      <w:r>
        <w:rPr>
          <w:rFonts w:hint="default" w:ascii="Times New Roman" w:hAnsi="Times New Roman" w:eastAsia="宋体" w:cs="Times New Roman"/>
          <w:i w:val="0"/>
          <w:iCs/>
          <w:color w:val="auto"/>
          <w:sz w:val="24"/>
          <w:highlight w:val="none"/>
          <w:u w:val="none"/>
          <w:shd w:val="clear" w:color="auto" w:fill="auto"/>
          <w:lang w:val="en-US" w:eastAsia="zh-CN"/>
        </w:rPr>
      </w:r>
      <w:r/>
    </w:p>
    <w:p>
      <w:pPr>
        <w:ind w:firstLine="480"/>
        <w:spacing w:line="440" w:lineRule="exact"/>
        <w:rPr>
          <w:rFonts w:hint="default" w:ascii="Times New Roman" w:hAnsi="Times New Roman" w:eastAsia="宋体" w:cs="Times New Roman"/>
          <w:color w:val="auto"/>
          <w:sz w:val="24"/>
          <w:highlight w:val="none"/>
          <w:u w:val="none"/>
          <w:shd w:val="clear" w:color="auto" w:fill="auto"/>
          <w:lang w:val="en-US" w:eastAsia="zh-CN"/>
        </w:rPr>
      </w:pPr>
      <w:r>
        <w:rPr>
          <w:rFonts w:hint="default" w:ascii="Times New Roman" w:hAnsi="Times New Roman" w:eastAsia="宋体" w:cs="Times New Roman"/>
          <w:color w:val="auto"/>
          <w:sz w:val="24"/>
          <w:highlight w:val="none"/>
          <w:u w:val="none"/>
          <w:shd w:val="clear" w:color="auto" w:fill="auto"/>
          <w:lang w:val="en-US" w:eastAsia="zh-CN"/>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根据连财购〔2023〕4号、连财购（2023）9号文件精神</w:t>
      </w:r>
      <w:r>
        <w:rPr>
          <w:rFonts w:hint="default" w:ascii="Times New Roman" w:hAnsi="Times New Roman" w:cs="Times New Roman"/>
          <w:bCs/>
          <w:color w:val="auto"/>
          <w:sz w:val="24"/>
          <w:szCs w:val="21"/>
          <w:highlight w:val="none"/>
          <w:shd w:val="clear" w:color="auto" w:fill="auto"/>
          <w:lang w:eastAsia="zh-CN"/>
        </w:rPr>
        <w:t xml:space="preserve">，可以提供《财务状况报告及税收、社会保障资金缴纳情况承诺函》。</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default" w:ascii="Times New Roman" w:hAnsi="Times New Roman" w:cs="Times New Roman"/>
          <w:bCs/>
          <w:color w:val="auto"/>
          <w:sz w:val="24"/>
          <w:szCs w:val="21"/>
          <w:highlight w:val="none"/>
          <w:shd w:val="clear" w:color="auto" w:fill="auto"/>
        </w:rPr>
      </w:pPr>
      <w:r/>
      <w:bookmarkStart w:id="261" w:name="_Toc120614284"/>
      <w:r>
        <w:rPr>
          <w:rFonts w:hint="default" w:ascii="Times New Roman" w:hAnsi="Times New Roman" w:cs="Times New Roman"/>
          <w:bCs/>
          <w:color w:val="auto"/>
          <w:sz w:val="24"/>
          <w:szCs w:val="21"/>
          <w:highlight w:val="none"/>
          <w:shd w:val="clear" w:color="auto" w:fill="auto"/>
        </w:rPr>
        <w:t xml:space="preserve">根据连财购〔2023〕4号、连财购（2023）9号文件精神</w:t>
      </w:r>
      <w:r>
        <w:rPr>
          <w:rFonts w:hint="default" w:ascii="Times New Roman" w:hAnsi="Times New Roman" w:cs="Times New Roman"/>
          <w:bCs/>
          <w:color w:val="auto"/>
          <w:sz w:val="24"/>
          <w:szCs w:val="21"/>
          <w:highlight w:val="none"/>
          <w:shd w:val="clear" w:color="auto" w:fill="auto"/>
          <w:lang w:eastAsia="zh-CN"/>
        </w:rPr>
        <w:t xml:space="preserve">，可以提供《财务状况报告及税收、社会保障资金缴纳情况承诺函》</w:t>
      </w:r>
      <w:r>
        <w:rPr>
          <w:rFonts w:hint="default" w:ascii="Times New Roman" w:hAnsi="Times New Roman" w:cs="Times New Roman"/>
          <w:bCs/>
          <w:color w:val="auto"/>
          <w:sz w:val="24"/>
          <w:szCs w:val="21"/>
          <w:highlight w:val="none"/>
          <w:shd w:val="clear" w:color="auto" w:fill="auto"/>
        </w:rPr>
        <w:t xml:space="preserve">。</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主要设备有：</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u w:val="single"/>
          <w:shd w:val="clear" w:color="auto" w:fill="auto"/>
          <w:lang w:val="en-US" w:eastAsia="zh-CN"/>
        </w:rPr>
        <w:t xml:space="preserve">     </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shd w:val="clear" w:color="auto" w:fill="auto"/>
        </w:rPr>
        <w:t xml:space="preserve">。</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主要专业技术能力有：</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u w:val="single"/>
          <w:shd w:val="clear" w:color="auto" w:fill="auto"/>
          <w:lang w:val="en-US" w:eastAsia="zh-CN"/>
        </w:rPr>
        <w:t xml:space="preserve">    </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shd w:val="clear" w:color="auto" w:fill="auto"/>
        </w:rPr>
        <w:t xml:space="preserve">。</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                                     </w:t>
      </w:r>
      <w:r/>
    </w:p>
    <w:p>
      <w:pPr>
        <w:ind w:firstLine="492"/>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投标人（盖章）：</w:t>
      </w:r>
      <w:r/>
    </w:p>
    <w:p>
      <w:pPr>
        <w:ind w:firstLine="492"/>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法定代表人或委托代理人（签字或盖章）：</w:t>
      </w:r>
      <w:r/>
    </w:p>
    <w:p>
      <w:pPr>
        <w:pStyle w:val="904"/>
        <w:ind w:firstLine="480"/>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日期：    年     月     日</w:t>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t xml:space="preserve">附主要设备和主要专业技术能力的证明材料如下：</w:t>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r>
      <w:r/>
    </w:p>
    <w:p>
      <w:pPr>
        <w:ind w:firstLine="560"/>
        <w:spacing w:line="240" w:lineRule="auto"/>
        <w:rPr>
          <w:rFonts w:hint="default" w:ascii="Times New Roman" w:hAnsi="Times New Roman" w:eastAsia="宋体" w:cs="Times New Roman"/>
          <w:color w:val="auto"/>
          <w:sz w:val="36"/>
          <w:szCs w:val="36"/>
          <w:highlight w:val="none"/>
          <w:lang w:eastAsia="zh-CN"/>
        </w:rPr>
      </w:pPr>
      <w:r>
        <w:rPr>
          <w:rFonts w:hint="default" w:ascii="Times New Roman" w:hAnsi="Times New Roman" w:eastAsia="微软雅黑" w:cs="Times New Roman"/>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default" w:ascii="Times New Roman" w:hAnsi="Times New Roman" w:cs="Times New Roman"/>
          <w:b/>
          <w:bCs/>
          <w:color w:val="auto"/>
          <w:sz w:val="44"/>
          <w:szCs w:val="44"/>
          <w:highlight w:val="none"/>
          <w:shd w:val="clear" w:color="auto" w:fill="auto"/>
        </w:rPr>
      </w:pPr>
      <w:r>
        <w:rPr>
          <w:rFonts w:hint="default" w:ascii="Times New Roman" w:hAnsi="Times New Roman" w:cs="Times New Roman"/>
          <w:b/>
          <w:bCs/>
          <w:color w:val="auto"/>
          <w:sz w:val="44"/>
          <w:szCs w:val="44"/>
          <w:highlight w:val="none"/>
          <w:shd w:val="clear" w:color="auto" w:fill="auto"/>
        </w:rPr>
        <w:t xml:space="preserve">                 声  明</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    </w:t>
      </w:r>
      <w:r>
        <w:rPr>
          <w:rFonts w:hint="default" w:ascii="Times New Roman" w:hAnsi="Times New Roman" w:cs="Times New Roman"/>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r>
      <w:r/>
    </w:p>
    <w:p>
      <w:pPr>
        <w:ind w:firstLine="481"/>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投标人（盖章）：</w:t>
      </w:r>
      <w:r/>
    </w:p>
    <w:p>
      <w:pPr>
        <w:ind w:firstLine="480"/>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法定代表人或委托代理人（签字或盖章）：</w:t>
      </w:r>
      <w:r/>
    </w:p>
    <w:p>
      <w:pPr>
        <w:ind w:firstLine="480"/>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日期：    年     月     日</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六、</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其他</w:t>
      </w:r>
      <w:r>
        <w:rPr>
          <w:rFonts w:hint="default" w:ascii="Times New Roman" w:hAnsi="Times New Roman"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   </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致：</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本人</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（姓名）系</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（投标人名称）的法定代表人（单位负责人），现委托</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项目（</w:t>
      </w:r>
      <w:r>
        <w:rPr>
          <w:rFonts w:hint="default" w:ascii="Times New Roman" w:hAnsi="Times New Roman" w:eastAsia="宋体" w:cs="Times New Roman"/>
          <w:bCs/>
          <w:color w:val="auto"/>
          <w:sz w:val="24"/>
          <w:szCs w:val="21"/>
          <w:highlight w:val="none"/>
          <w:shd w:val="clear" w:color="auto" w:fill="auto"/>
          <w:lang w:val="en-US" w:eastAsia="zh-CN"/>
        </w:rPr>
        <w:t xml:space="preserve">分包</w:t>
      </w:r>
      <w:r>
        <w:rPr>
          <w:rFonts w:hint="default" w:ascii="Times New Roman" w:hAnsi="Times New Roman" w:eastAsia="宋体" w:cs="Times New Roman"/>
          <w:bCs/>
          <w:color w:val="auto"/>
          <w:sz w:val="24"/>
          <w:szCs w:val="21"/>
          <w:highlight w:val="none"/>
          <w:shd w:val="clear" w:color="auto" w:fill="auto"/>
        </w:rPr>
        <w:t xml:space="preserve">号：</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委托期限：自本授权委托书签署之日起至</w:t>
      </w:r>
      <w:r>
        <w:rPr>
          <w:rFonts w:hint="default" w:ascii="Times New Roman" w:hAnsi="Times New Roman" w:eastAsia="宋体" w:cs="Times New Roman"/>
          <w:bCs/>
          <w:color w:val="auto"/>
          <w:sz w:val="24"/>
          <w:szCs w:val="21"/>
          <w:highlight w:val="none"/>
          <w:shd w:val="clear" w:color="auto" w:fill="auto"/>
          <w:lang w:val="en-US" w:eastAsia="zh-CN"/>
        </w:rPr>
        <w:t xml:space="preserve">投标</w:t>
      </w:r>
      <w:r>
        <w:rPr>
          <w:rFonts w:hint="default" w:ascii="Times New Roman" w:hAnsi="Times New Roman" w:eastAsia="宋体" w:cs="Times New Roman"/>
          <w:bCs/>
          <w:color w:val="auto"/>
          <w:sz w:val="24"/>
          <w:szCs w:val="21"/>
          <w:highlight w:val="none"/>
          <w:shd w:val="clear" w:color="auto" w:fill="auto"/>
        </w:rPr>
        <w:t xml:space="preserve">有效期届满之日止。</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代理人无转委托权。</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投标人名称（加盖公章）</w:t>
      </w:r>
      <w:r>
        <w:rPr>
          <w:rFonts w:hint="default" w:ascii="Times New Roman" w:hAnsi="Times New Roman" w:eastAsia="宋体" w:cs="Times New Roman"/>
          <w:bCs/>
          <w:color w:val="auto"/>
          <w:sz w:val="24"/>
          <w:szCs w:val="21"/>
          <w:highlight w:val="none"/>
          <w:shd w:val="clear" w:color="auto" w:fill="auto"/>
          <w:lang w:val="zh-CN"/>
        </w:rPr>
        <w:t xml:space="preserve">：</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法定代表人（单位负责人）（签字、签章或印鉴）：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lang w:val="zh-CN"/>
        </w:rPr>
      </w:pPr>
      <w:r>
        <w:rPr>
          <w:rFonts w:hint="default" w:ascii="Times New Roman" w:hAnsi="Times New Roman" w:eastAsia="宋体" w:cs="Times New Roman"/>
          <w:bCs/>
          <w:color w:val="auto"/>
          <w:sz w:val="24"/>
          <w:szCs w:val="21"/>
          <w:highlight w:val="none"/>
          <w:shd w:val="clear" w:color="auto" w:fill="auto"/>
        </w:rPr>
        <w:t xml:space="preserve">委托代理人（签字/签章）：</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    </w:t>
      </w:r>
      <w:r>
        <w:rPr>
          <w:rFonts w:hint="default" w:ascii="Times New Roman" w:hAnsi="Times New Roman" w:eastAsia="宋体" w:cs="Times New Roman"/>
          <w:bCs/>
          <w:color w:val="auto"/>
          <w:sz w:val="24"/>
          <w:szCs w:val="21"/>
          <w:highlight w:val="none"/>
          <w:shd w:val="clear" w:color="auto" w:fill="auto"/>
          <w:lang w:val="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lang w:val="zh-CN"/>
        </w:rPr>
      </w:pPr>
      <w:r>
        <w:rPr>
          <w:rFonts w:hint="default" w:ascii="Times New Roman" w:hAnsi="Times New Roman" w:eastAsia="宋体" w:cs="Times New Roman"/>
          <w:bCs/>
          <w:color w:val="auto"/>
          <w:sz w:val="24"/>
          <w:szCs w:val="21"/>
          <w:highlight w:val="none"/>
          <w:shd w:val="clear" w:color="auto" w:fill="auto"/>
        </w:rPr>
        <w:t xml:space="preserve">日期：</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月</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日</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法定代表人（单位负责人）有效期内的身份证正反面电子件：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委托代理人有效期内的身份证正反面电子件：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填报说明：</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default" w:ascii="Times New Roman" w:hAnsi="Times New Roman" w:cs="Times New Roman"/>
          <w:color w:val="auto"/>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3、供应商为自然人的情形，可不提供本《授权委托书》。</w:t>
      </w:r>
      <w:r>
        <w:rPr>
          <w:rFonts w:hint="default" w:ascii="Times New Roman" w:hAnsi="Times New Roman" w:eastAsia="宋体" w:cs="Times New Roman"/>
          <w:bCs/>
          <w:color w:val="auto"/>
          <w:sz w:val="24"/>
          <w:szCs w:val="21"/>
          <w:highlight w:val="none"/>
          <w:shd w:val="clear" w:color="auto" w:fill="auto"/>
        </w:rPr>
        <w:br w:type="page" w:clear="all"/>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hint="default" w:ascii="Times New Roman" w:hAnsi="Times New Roman" w:cs="Times New Roman"/>
          <w:color w:val="auto"/>
          <w:sz w:val="20"/>
          <w:szCs w:val="20"/>
          <w:highlight w:val="none"/>
          <w:shd w:val="clear" w:color="auto" w:fill="auto"/>
        </w:rPr>
      </w:pPr>
      <w:r>
        <w:rPr>
          <w:rFonts w:hint="default" w:ascii="Times New Roman" w:hAnsi="Times New Roman" w:cs="Times New Roman"/>
          <w:color w:val="auto"/>
          <w:sz w:val="20"/>
          <w:szCs w:val="20"/>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致：</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兹证明，</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姓名：</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性别：</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年龄：</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职务：</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系</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附：法定代表人（单位负责人）有效期内的身份证正反面电子件。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投标人名称（加盖公章）</w:t>
      </w:r>
      <w:r>
        <w:rPr>
          <w:rFonts w:hint="default" w:ascii="Times New Roman" w:hAnsi="Times New Roman" w:eastAsia="宋体" w:cs="Times New Roman"/>
          <w:bCs/>
          <w:color w:val="auto"/>
          <w:sz w:val="24"/>
          <w:szCs w:val="21"/>
          <w:highlight w:val="none"/>
          <w:shd w:val="clear" w:color="auto" w:fill="auto"/>
          <w:lang w:val="zh-CN"/>
        </w:rPr>
        <w:t xml:space="preserve">：</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法定代表人（单位负责人）（签字、签章或印鉴）：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0"/>
        <w:spacing w:line="460" w:lineRule="exact"/>
        <w:rPr>
          <w:rFonts w:hint="default" w:ascii="Times New Roman" w:hAnsi="Times New Roman" w:eastAsia="楷体" w:cs="Times New Roman"/>
          <w:color w:val="auto"/>
          <w:sz w:val="24"/>
          <w:szCs w:val="24"/>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日期：</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月</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日</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pStyle w:val="902"/>
        <w:ind w:firstLine="3390"/>
        <w:jc w:val="both"/>
        <w:rPr>
          <w:rFonts w:hint="default" w:ascii="Times New Roman" w:hAnsi="Times New Roman" w:eastAsia="黑体" w:cs="Times New Roman"/>
          <w:bCs w:val="0"/>
          <w:i/>
          <w:color w:val="auto"/>
          <w:sz w:val="32"/>
          <w:szCs w:val="32"/>
          <w:highlight w:val="none"/>
          <w:u w:val="none"/>
          <w:shd w:val="clear" w:color="auto" w:fill="auto"/>
        </w:rPr>
      </w:pPr>
      <w:r>
        <w:rPr>
          <w:rFonts w:hint="default" w:ascii="Times New Roman" w:hAnsi="Times New Roman" w:cs="Times New Roman"/>
          <w:bCs w:val="0"/>
          <w:color w:val="auto"/>
          <w:sz w:val="24"/>
          <w:highlight w:val="none"/>
          <w:shd w:val="clear" w:color="auto" w:fill="auto"/>
        </w:rPr>
        <w:br w:type="page" w:clear="all"/>
      </w:r>
      <w:bookmarkStart w:id="262" w:name="_Toc10385"/>
      <w:r/>
      <w:bookmarkStart w:id="263" w:name="_Toc13921"/>
      <w:r/>
      <w:bookmarkStart w:id="264" w:name="_Toc27332"/>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987"/>
        <w:ind w:firstLine="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致：</w:t>
      </w:r>
      <w:r>
        <w:rPr>
          <w:rFonts w:hint="default" w:ascii="Times New Roman" w:hAnsi="Times New Roman" w:cs="Times New Roman"/>
          <w:color w:val="auto"/>
          <w:szCs w:val="21"/>
          <w:highlight w:val="none"/>
          <w:u w:val="single"/>
          <w:shd w:val="clear" w:color="auto" w:fill="auto"/>
          <w:lang w:eastAsia="zh-CN"/>
        </w:rPr>
        <w:t xml:space="preserve">连云港市水利局</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根据贵方的</w:t>
      </w:r>
      <w:r>
        <w:rPr>
          <w:rFonts w:hint="default" w:ascii="Times New Roman" w:hAnsi="Times New Roman" w:cs="Times New Roman"/>
          <w:color w:val="auto"/>
          <w:szCs w:val="21"/>
          <w:highlight w:val="none"/>
          <w:u w:val="single"/>
          <w:shd w:val="clear" w:color="auto" w:fill="auto"/>
          <w:lang w:eastAsia="zh-CN"/>
        </w:rPr>
        <w:t xml:space="preserve">（</w:t>
      </w:r>
      <w:r>
        <w:rPr>
          <w:rFonts w:hint="default" w:ascii="Times New Roman" w:hAnsi="Times New Roman" w:cs="Times New Roman"/>
          <w:color w:val="auto"/>
          <w:szCs w:val="21"/>
          <w:highlight w:val="none"/>
          <w:u w:val="single"/>
          <w:shd w:val="clear" w:color="auto" w:fill="auto"/>
          <w:lang w:val="en-US" w:eastAsia="zh-CN"/>
        </w:rPr>
        <w:t xml:space="preserve">项目编号</w:t>
      </w:r>
      <w:r>
        <w:rPr>
          <w:rFonts w:hint="default" w:ascii="Times New Roman" w:hAnsi="Times New Roman" w:cs="Times New Roman"/>
          <w:color w:val="auto"/>
          <w:szCs w:val="21"/>
          <w:highlight w:val="none"/>
          <w:u w:val="single"/>
          <w:shd w:val="clear" w:color="auto" w:fill="auto"/>
          <w:lang w:eastAsia="zh-CN"/>
        </w:rPr>
        <w:t xml:space="preserve">）</w:t>
      </w:r>
      <w:r>
        <w:rPr>
          <w:rFonts w:hint="default" w:ascii="Times New Roman" w:hAnsi="Times New Roman" w:cs="Times New Roman"/>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据此函，__________签字人兹宣布同意如下：</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1.按招标文件规定的各项要求，向买方提供所需服务（包含与服务相关的货物）。</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2.我们完全理解贵方不一定将合同授予最低报价的投标人。</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3.我们已详细审核全部招标文件及其有效补充文件，我们知道必须放弃提出含糊不清或误解问题的权利。</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4.我们同意从规定的开标日期起遵循本投标文件，并在规定的投标有效期期满之前均具有约束力。</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5.同意向贵方提供贵方可能另外要求的与投标有关的任何证据或资料，并保证我方已提供和将要提供的文件是真实的、准确的。</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6.一旦我方中标,我方将根据招标文件的规定，严格履行合同的责任和义务,并保证在招标文件规定的时间完成项目，交付买方验收、使用。</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7.与本投标有关的正式通讯地址为：</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地          址：</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邮          编：</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电          话：</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传          真：</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投标人开户行：</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账          号： </w:t>
      </w:r>
      <w:r/>
    </w:p>
    <w:p>
      <w:pPr>
        <w:pStyle w:val="987"/>
        <w:ind w:left="420"/>
        <w:spacing w:before="0" w:after="0" w:line="420" w:lineRule="exact"/>
        <w:rPr>
          <w:rFonts w:hint="default" w:ascii="Times New Roman" w:hAnsi="Times New Roman" w:eastAsia="宋体" w:cs="Times New Roman"/>
          <w:color w:val="auto"/>
          <w:szCs w:val="21"/>
          <w:highlight w:val="none"/>
          <w:shd w:val="clear" w:color="auto" w:fill="auto"/>
          <w:lang w:eastAsia="zh-CN"/>
        </w:rPr>
      </w:pPr>
      <w:r>
        <w:rPr>
          <w:rFonts w:hint="default" w:ascii="Times New Roman" w:hAnsi="Times New Roman" w:cs="Times New Roman"/>
          <w:color w:val="auto"/>
          <w:szCs w:val="21"/>
          <w:highlight w:val="none"/>
          <w:shd w:val="clear" w:color="auto" w:fill="auto"/>
          <w:lang w:eastAsia="zh-CN"/>
        </w:rPr>
        <w:t xml:space="preserve">邮</w:t>
      </w:r>
      <w:r>
        <w:rPr>
          <w:rFonts w:hint="default" w:ascii="Times New Roman" w:hAnsi="Times New Roman" w:cs="Times New Roman"/>
          <w:color w:val="auto"/>
          <w:szCs w:val="21"/>
          <w:highlight w:val="none"/>
          <w:shd w:val="clear" w:color="auto" w:fill="auto"/>
          <w:lang w:val="en-US" w:eastAsia="zh-CN"/>
        </w:rPr>
        <w:t xml:space="preserve">          </w:t>
      </w:r>
      <w:r>
        <w:rPr>
          <w:rFonts w:hint="default" w:ascii="Times New Roman" w:hAnsi="Times New Roman" w:cs="Times New Roman"/>
          <w:color w:val="auto"/>
          <w:szCs w:val="21"/>
          <w:highlight w:val="none"/>
          <w:shd w:val="clear" w:color="auto" w:fill="auto"/>
          <w:lang w:eastAsia="zh-CN"/>
        </w:rPr>
        <w:t xml:space="preserve">箱：</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投标人（盖章）：</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日           期：________年____月____日</w:t>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九、</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中</w:t>
      </w:r>
      <w:r>
        <w:rPr>
          <w:rFonts w:hint="default" w:ascii="Times New Roman" w:hAnsi="Times New Roman"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本公司（联合体）郑重声明，根据《政府采购促进中小企业发展管理办法》(财库[2020]46号)的规定，本公司参加</w:t>
      </w:r>
      <w:r>
        <w:rPr>
          <w:rFonts w:hint="default" w:ascii="Times New Roman" w:hAnsi="Times New Roman" w:cs="Times New Roman"/>
          <w:color w:val="auto"/>
          <w:sz w:val="24"/>
          <w:szCs w:val="24"/>
          <w:highlight w:val="none"/>
          <w:shd w:val="clear" w:color="auto" w:fill="auto"/>
          <w:lang w:val="en-US" w:eastAsia="zh-CN"/>
        </w:rPr>
        <w:t xml:space="preserve">采购人</w:t>
      </w:r>
      <w:r>
        <w:rPr>
          <w:rFonts w:hint="default" w:ascii="Times New Roman" w:hAnsi="Times New Roman" w:cs="Times New Roman"/>
          <w:color w:val="auto"/>
          <w:sz w:val="24"/>
          <w:szCs w:val="24"/>
          <w:highlight w:val="none"/>
          <w:shd w:val="clear" w:color="auto" w:fill="auto"/>
        </w:rPr>
        <w:t xml:space="preserve">组织的</w:t>
      </w:r>
      <w:r>
        <w:rPr>
          <w:rFonts w:hint="default" w:ascii="Times New Roman" w:hAnsi="Times New Roman" w:cs="Times New Roman"/>
          <w:color w:val="auto"/>
          <w:sz w:val="24"/>
          <w:szCs w:val="24"/>
          <w:highlight w:val="none"/>
          <w:u w:val="single"/>
          <w:shd w:val="clear" w:color="auto" w:fill="auto"/>
        </w:rPr>
        <w:t xml:space="preserve">（单位名称）</w:t>
      </w:r>
      <w:r>
        <w:rPr>
          <w:rFonts w:hint="default" w:ascii="Times New Roman" w:hAnsi="Times New Roman" w:cs="Times New Roman"/>
          <w:color w:val="auto"/>
          <w:sz w:val="24"/>
          <w:szCs w:val="24"/>
          <w:highlight w:val="none"/>
          <w:shd w:val="clear" w:color="auto" w:fill="auto"/>
        </w:rPr>
        <w:t xml:space="preserve">采购编号为</w:t>
      </w:r>
      <w:r>
        <w:rPr>
          <w:rFonts w:hint="default" w:ascii="Times New Roman" w:hAnsi="Times New Roman" w:cs="Times New Roman"/>
          <w:color w:val="auto"/>
          <w:sz w:val="24"/>
          <w:szCs w:val="24"/>
          <w:highlight w:val="none"/>
          <w:u w:val="singl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u w:val="single"/>
          <w:shd w:val="clear" w:color="auto" w:fill="auto"/>
        </w:rPr>
        <w:t xml:space="preserve">（项目名称）（分包号：**）</w:t>
      </w:r>
      <w:r>
        <w:rPr>
          <w:rFonts w:hint="default" w:ascii="Times New Roman" w:hAnsi="Times New Roman" w:cs="Times New Roman"/>
          <w:color w:val="auto"/>
          <w:sz w:val="24"/>
          <w:szCs w:val="24"/>
          <w:highlight w:val="none"/>
          <w:shd w:val="clear" w:color="auto" w:fill="auto"/>
        </w:rPr>
        <w:t xml:space="preserve">的采购活动，服务全部由符合政策的</w:t>
      </w:r>
      <w:r>
        <w:rPr>
          <w:rFonts w:hint="default" w:ascii="Times New Roman" w:hAnsi="Times New Roman" w:cs="Times New Roman"/>
          <w:color w:val="auto"/>
          <w:sz w:val="24"/>
          <w:szCs w:val="24"/>
          <w:highlight w:val="none"/>
          <w:shd w:val="clear" w:color="auto" w:fill="auto"/>
          <w:lang w:val="en-US" w:eastAsia="zh-CN"/>
        </w:rPr>
        <w:t xml:space="preserve">中</w:t>
      </w:r>
      <w:r>
        <w:rPr>
          <w:rFonts w:hint="default" w:ascii="Times New Roman" w:hAnsi="Times New Roman" w:cs="Times New Roman"/>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default" w:ascii="Times New Roman" w:hAnsi="Times New Roman" w:cs="Times New Roman"/>
          <w:i/>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1.</w:t>
      </w:r>
      <w:r>
        <w:rPr>
          <w:rFonts w:hint="default" w:ascii="Times New Roman" w:hAnsi="Times New Roman" w:cs="Times New Roman"/>
          <w:color w:val="auto"/>
          <w:sz w:val="24"/>
          <w:szCs w:val="24"/>
          <w:highlight w:val="none"/>
          <w:u w:val="single"/>
          <w:shd w:val="clear" w:color="auto" w:fill="auto"/>
        </w:rPr>
        <w:t xml:space="preserve">（标的名称）</w:t>
      </w:r>
      <w:r>
        <w:rPr>
          <w:rFonts w:hint="default" w:ascii="Times New Roman" w:hAnsi="Times New Roman" w:cs="Times New Roman"/>
          <w:i/>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行业；承接企业为</w:t>
      </w:r>
      <w:r>
        <w:rPr>
          <w:rFonts w:hint="default" w:ascii="Times New Roman" w:hAnsi="Times New Roman" w:cs="Times New Roman"/>
          <w:color w:val="auto"/>
          <w:sz w:val="24"/>
          <w:szCs w:val="24"/>
          <w:highlight w:val="none"/>
          <w:u w:val="single"/>
          <w:shd w:val="clear" w:color="auto" w:fill="auto"/>
        </w:rPr>
        <w:t xml:space="preserve">（企业名称）</w:t>
      </w:r>
      <w:r>
        <w:rPr>
          <w:rFonts w:hint="default" w:ascii="Times New Roman" w:hAnsi="Times New Roman" w:cs="Times New Roman"/>
          <w:color w:val="auto"/>
          <w:sz w:val="24"/>
          <w:szCs w:val="24"/>
          <w:highlight w:val="none"/>
          <w:shd w:val="clear" w:color="auto" w:fill="auto"/>
        </w:rPr>
        <w:t xml:space="preserve">，从业人员</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人，营业收入为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万元，资产总额为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w:t>
      </w:r>
      <w:r>
        <w:rPr>
          <w:rFonts w:hint="default" w:ascii="Times New Roman" w:hAnsi="Times New Roman" w:cs="Times New Roman"/>
          <w:color w:val="auto"/>
          <w:sz w:val="24"/>
          <w:szCs w:val="24"/>
          <w:highlight w:val="none"/>
          <w:shd w:val="clear" w:color="auto" w:fill="auto"/>
          <w:vertAlign w:val="superscript"/>
        </w:rPr>
        <w:t xml:space="preserve">1</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（小型企业、微型企业）；</w:t>
      </w:r>
      <w:r/>
    </w:p>
    <w:p>
      <w:pPr>
        <w:ind w:firstLine="360"/>
        <w:spacing w:line="560" w:lineRule="exact"/>
        <w:rPr>
          <w:rFonts w:hint="default" w:ascii="Times New Roman" w:hAnsi="Times New Roman" w:cs="Times New Roman"/>
          <w:i/>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2.</w:t>
      </w:r>
      <w:r>
        <w:rPr>
          <w:rFonts w:hint="default" w:ascii="Times New Roman" w:hAnsi="Times New Roman" w:cs="Times New Roman"/>
          <w:color w:val="auto"/>
          <w:sz w:val="24"/>
          <w:szCs w:val="24"/>
          <w:highlight w:val="none"/>
          <w:u w:val="single"/>
          <w:shd w:val="clear" w:color="auto" w:fill="auto"/>
        </w:rPr>
        <w:t xml:space="preserve">（标的名称）</w:t>
      </w:r>
      <w:r>
        <w:rPr>
          <w:rFonts w:hint="default" w:ascii="Times New Roman" w:hAnsi="Times New Roman" w:cs="Times New Roman"/>
          <w:i/>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行业；承接企业为</w:t>
      </w:r>
      <w:r>
        <w:rPr>
          <w:rFonts w:hint="default" w:ascii="Times New Roman" w:hAnsi="Times New Roman" w:cs="Times New Roman"/>
          <w:color w:val="auto"/>
          <w:sz w:val="24"/>
          <w:szCs w:val="24"/>
          <w:highlight w:val="none"/>
          <w:u w:val="single"/>
          <w:shd w:val="clear" w:color="auto" w:fill="auto"/>
        </w:rPr>
        <w:t xml:space="preserve">（企业名称）</w:t>
      </w:r>
      <w:r>
        <w:rPr>
          <w:rFonts w:hint="default" w:ascii="Times New Roman" w:hAnsi="Times New Roman" w:cs="Times New Roman"/>
          <w:color w:val="auto"/>
          <w:sz w:val="24"/>
          <w:szCs w:val="24"/>
          <w:highlight w:val="none"/>
          <w:shd w:val="clear" w:color="auto" w:fill="auto"/>
        </w:rPr>
        <w:t xml:space="preserve">，从业人员</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人，营业收入为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万元，资产总额为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w:t>
      </w:r>
      <w:r>
        <w:rPr>
          <w:rFonts w:hint="default" w:ascii="Times New Roman" w:hAnsi="Times New Roman" w:cs="Times New Roman"/>
          <w:color w:val="auto"/>
          <w:sz w:val="24"/>
          <w:szCs w:val="24"/>
          <w:highlight w:val="none"/>
          <w:shd w:val="clear" w:color="auto" w:fill="auto"/>
          <w:vertAlign w:val="superscript"/>
        </w:rPr>
        <w:t xml:space="preserve">1</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（小型企业、微型企业）；</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right="180" w:firstLine="360"/>
        <w:jc w:val="right"/>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企业名称（加盖CA电子公章）：</w:t>
      </w:r>
      <w:r/>
    </w:p>
    <w:p>
      <w:pPr>
        <w:ind w:right="480" w:firstLine="52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日  期：</w:t>
      </w:r>
      <w:r/>
    </w:p>
    <w:p>
      <w:pPr>
        <w:ind w:firstLine="24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firstLine="4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备注2：</w:t>
      </w:r>
      <w:r>
        <w:rPr>
          <w:rFonts w:hint="default" w:ascii="Times New Roman" w:hAnsi="Times New Roman" w:cs="Times New Roman"/>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sz w:val="24"/>
          <w:highlight w:val="none"/>
          <w:u w:val="single"/>
          <w:shd w:val="clear" w:color="auto" w:fill="auto"/>
        </w:rPr>
        <w:t xml:space="preserve">       </w:t>
      </w:r>
      <w:r>
        <w:rPr>
          <w:rFonts w:hint="default" w:ascii="Times New Roman" w:hAnsi="Times New Roman" w:cs="Times New Roman"/>
          <w:color w:val="auto"/>
          <w:sz w:val="24"/>
          <w:highlight w:val="none"/>
          <w:shd w:val="clear" w:color="auto" w:fill="auto"/>
        </w:rPr>
        <w:t xml:space="preserve">项目（分包号：**）采购活动由本单位提供服务。</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本单位对上述声明的真实性负责。如有虚假，将依法承担相应责任。</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hint="default" w:ascii="Times New Roman" w:hAnsi="Times New Roman" w:eastAsia="仿宋_GB2312" w:cs="Times New Roman"/>
          <w:color w:val="auto"/>
          <w:spacing w:val="6"/>
          <w:sz w:val="30"/>
          <w:szCs w:val="30"/>
          <w:highlight w:val="none"/>
          <w:shd w:val="clear" w:color="auto" w:fill="auto"/>
        </w:rPr>
      </w:pPr>
      <w:r>
        <w:rPr>
          <w:rFonts w:hint="default" w:ascii="Times New Roman" w:hAnsi="Times New Roman" w:eastAsia="仿宋_GB2312" w:cs="Times New Roman"/>
          <w:color w:val="auto"/>
          <w:spacing w:val="6"/>
          <w:sz w:val="30"/>
          <w:szCs w:val="30"/>
          <w:highlight w:val="none"/>
          <w:shd w:val="clear" w:color="auto" w:fill="auto"/>
        </w:rPr>
      </w:r>
      <w:r/>
    </w:p>
    <w:p>
      <w:pPr>
        <w:ind w:right="180" w:firstLine="360"/>
        <w:jc w:val="center"/>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cs="Times New Roman"/>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cs="Times New Roman"/>
          <w:color w:val="auto"/>
          <w:sz w:val="24"/>
          <w:szCs w:val="24"/>
          <w:highlight w:val="none"/>
          <w:shd w:val="clear" w:color="auto" w:fill="auto"/>
        </w:rPr>
        <w:t xml:space="preserve">日  期：</w:t>
      </w:r>
      <w:r/>
    </w:p>
    <w:p>
      <w:pPr>
        <w:jc w:val="center"/>
        <w:spacing w:line="5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spacing w:line="5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十一、</w:t>
      </w:r>
      <w:r>
        <w:rPr>
          <w:rFonts w:hint="default" w:ascii="Times New Roman" w:hAnsi="Times New Roman" w:eastAsia="黑体" w:cs="Times New Roman"/>
          <w:i w:val="0"/>
          <w:iCs/>
          <w:color w:val="auto"/>
          <w:sz w:val="32"/>
          <w:szCs w:val="32"/>
          <w:highlight w:val="none"/>
          <w:u w:val="single"/>
          <w:shd w:val="clear" w:color="auto" w:fill="auto"/>
        </w:rPr>
        <w:t xml:space="preserve">联合体协议（参考格式）（分包号：**）</w:t>
      </w:r>
      <w:r/>
    </w:p>
    <w:p>
      <w:pPr>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（联合体中各供应商全称）在此达成以下协议：</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1、我们</w:t>
      </w:r>
      <w:r>
        <w:rPr>
          <w:rFonts w:hint="default" w:ascii="Times New Roman" w:hAnsi="Times New Roman" w:cs="Times New Roman"/>
          <w:color w:val="auto"/>
          <w:sz w:val="24"/>
          <w:szCs w:val="21"/>
          <w:highlight w:val="none"/>
          <w:u w:val="single"/>
        </w:rPr>
        <w:t xml:space="preserve"> （供应商1），（供应商2） ，……</w:t>
      </w:r>
      <w:r>
        <w:rPr>
          <w:rFonts w:hint="default" w:ascii="Times New Roman" w:hAnsi="Times New Roman" w:cs="Times New Roman"/>
          <w:color w:val="auto"/>
          <w:sz w:val="24"/>
          <w:szCs w:val="21"/>
          <w:highlight w:val="none"/>
        </w:rPr>
        <w:t xml:space="preserve">自愿组成联合体，参加</w:t>
      </w:r>
      <w:r>
        <w:rPr>
          <w:rFonts w:hint="default" w:ascii="Times New Roman" w:hAnsi="Times New Roman" w:cs="Times New Roman"/>
          <w:color w:val="auto"/>
          <w:sz w:val="24"/>
          <w:szCs w:val="21"/>
          <w:highlight w:val="none"/>
          <w:lang w:eastAsia="zh-CN"/>
        </w:rPr>
        <w:t xml:space="preserve">江苏鸿成工程项目管理有限公司</w:t>
      </w:r>
      <w:r>
        <w:rPr>
          <w:rFonts w:hint="default" w:ascii="Times New Roman" w:hAnsi="Times New Roman" w:cs="Times New Roman"/>
          <w:color w:val="auto"/>
          <w:sz w:val="24"/>
          <w:szCs w:val="21"/>
          <w:highlight w:val="none"/>
        </w:rPr>
        <w:t xml:space="preserve">组织的采购编号为</w:t>
      </w:r>
      <w:r>
        <w:rPr>
          <w:rFonts w:hint="default" w:ascii="Times New Roman" w:hAnsi="Times New Roman" w:cs="Times New Roman"/>
          <w:color w:val="auto"/>
          <w:sz w:val="24"/>
          <w:szCs w:val="21"/>
          <w:highlight w:val="none"/>
          <w:u w:val="single"/>
        </w:rPr>
        <w:t xml:space="preserve">（</w:t>
      </w:r>
      <w:r>
        <w:rPr>
          <w:rFonts w:hint="default" w:ascii="Times New Roman" w:hAnsi="Times New Roman" w:cs="Times New Roman"/>
          <w:color w:val="auto"/>
          <w:sz w:val="24"/>
          <w:szCs w:val="24"/>
          <w:highlight w:val="none"/>
          <w:u w:val="single"/>
        </w:rPr>
        <w:t xml:space="preserve">JSJY1110002047944001</w:t>
      </w:r>
      <w:r>
        <w:rPr>
          <w:rFonts w:hint="default" w:ascii="Times New Roman" w:hAnsi="Times New Roman" w:cs="Times New Roman"/>
          <w:color w:val="auto"/>
          <w:sz w:val="24"/>
          <w:szCs w:val="21"/>
          <w:highlight w:val="none"/>
          <w:u w:val="single"/>
        </w:rPr>
        <w:t xml:space="preserve">），（项目全称）</w:t>
      </w:r>
      <w:r>
        <w:rPr>
          <w:rFonts w:hint="default" w:ascii="Times New Roman" w:hAnsi="Times New Roman" w:cs="Times New Roman"/>
          <w:color w:val="auto"/>
          <w:sz w:val="24"/>
          <w:szCs w:val="21"/>
          <w:highlight w:val="none"/>
        </w:rPr>
        <w:t xml:space="preserve">项目（分包号：</w:t>
      </w:r>
      <w:r>
        <w:rPr>
          <w:rFonts w:hint="default" w:ascii="Times New Roman" w:hAnsi="Times New Roman" w:cs="Times New Roman"/>
          <w:color w:val="auto"/>
          <w:sz w:val="24"/>
          <w:szCs w:val="21"/>
          <w:highlight w:val="none"/>
          <w:u w:val="single"/>
        </w:rPr>
        <w:t xml:space="preserve">JSJY1110002047944001001</w:t>
      </w:r>
      <w:r>
        <w:rPr>
          <w:rFonts w:hint="default" w:ascii="Times New Roman" w:hAnsi="Times New Roman" w:cs="Times New Roman"/>
          <w:color w:val="auto"/>
          <w:sz w:val="24"/>
          <w:szCs w:val="21"/>
          <w:highlight w:val="none"/>
        </w:rPr>
        <w:t xml:space="preserve">）的政府采购活动，我联合体指定</w:t>
      </w:r>
      <w:r>
        <w:rPr>
          <w:rFonts w:hint="default" w:ascii="Times New Roman" w:hAnsi="Times New Roman" w:cs="Times New Roman"/>
          <w:color w:val="auto"/>
          <w:sz w:val="24"/>
          <w:szCs w:val="21"/>
          <w:highlight w:val="none"/>
          <w:u w:val="single"/>
        </w:rPr>
        <w:t xml:space="preserve">（供应商*）</w:t>
      </w:r>
      <w:r>
        <w:rPr>
          <w:rFonts w:hint="default" w:ascii="Times New Roman" w:hAnsi="Times New Roman" w:cs="Times New Roman"/>
          <w:color w:val="auto"/>
          <w:sz w:val="24"/>
          <w:szCs w:val="21"/>
          <w:highlight w:val="none"/>
        </w:rPr>
        <w:t xml:space="preserve">为牵头单位（牵头单位必须为联合体成员）。</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3、其中</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rPr>
        <w:t xml:space="preserve">（小型、微型企业/残疾人福利性单位/监狱企业全称）为</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rPr>
        <w:t xml:space="preserve">（小型、微型企业/残疾人福利性单位/监狱企业）企业，且我们约定该公司/单位所承担的合同金额将占本项目合同总金额的</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u w:val="single"/>
          <w:lang w:val="en-US" w:eastAsia="zh-CN"/>
        </w:rPr>
        <w:t xml:space="preserve">   </w:t>
      </w:r>
      <w:r>
        <w:rPr>
          <w:rFonts w:hint="default" w:ascii="Times New Roman" w:hAnsi="Times New Roman" w:cs="Times New Roman"/>
          <w:color w:val="auto"/>
          <w:sz w:val="24"/>
          <w:szCs w:val="21"/>
          <w:highlight w:val="none"/>
        </w:rPr>
        <w:t xml:space="preserve"> %。</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备注：本</w:t>
      </w:r>
      <w:r>
        <w:rPr>
          <w:rFonts w:hint="eastAsia" w:cs="Times New Roman"/>
          <w:color w:val="auto"/>
          <w:sz w:val="24"/>
          <w:szCs w:val="21"/>
          <w:highlight w:val="none"/>
          <w:lang w:val="en-US" w:eastAsia="zh-CN"/>
        </w:rPr>
        <w:t xml:space="preserve">采购</w:t>
      </w:r>
      <w:r>
        <w:rPr>
          <w:rFonts w:hint="default" w:ascii="Times New Roman" w:hAnsi="Times New Roman" w:cs="Times New Roman"/>
          <w:color w:val="auto"/>
          <w:sz w:val="24"/>
          <w:szCs w:val="21"/>
          <w:highlight w:val="none"/>
        </w:rPr>
        <w:t xml:space="preserve">文件中要求加盖CA</w:t>
      </w:r>
      <w:r>
        <w:rPr>
          <w:rFonts w:hint="default" w:ascii="Times New Roman" w:hAnsi="Times New Roman" w:cs="Times New Roman"/>
          <w:color w:val="auto"/>
          <w:sz w:val="24"/>
          <w:szCs w:val="24"/>
          <w:highlight w:val="none"/>
        </w:rPr>
        <w:t xml:space="preserve">电子公章</w:t>
      </w:r>
      <w:r>
        <w:rPr>
          <w:rFonts w:hint="default" w:ascii="Times New Roman" w:hAnsi="Times New Roman" w:cs="Times New Roman"/>
          <w:color w:val="auto"/>
          <w:sz w:val="24"/>
          <w:szCs w:val="21"/>
          <w:highlight w:val="none"/>
        </w:rPr>
        <w:t xml:space="preserve">的地方，仅需加盖牵头单位的</w:t>
      </w:r>
      <w:r>
        <w:rPr>
          <w:rFonts w:hint="default" w:ascii="Times New Roman" w:hAnsi="Times New Roman" w:cs="Times New Roman"/>
          <w:color w:val="auto"/>
          <w:sz w:val="24"/>
          <w:szCs w:val="24"/>
          <w:highlight w:val="none"/>
        </w:rPr>
        <w:t xml:space="preserve">CA电子公章</w:t>
      </w:r>
      <w:r>
        <w:rPr>
          <w:rFonts w:hint="default" w:ascii="Times New Roman" w:hAnsi="Times New Roman" w:cs="Times New Roman"/>
          <w:color w:val="auto"/>
          <w:sz w:val="24"/>
          <w:szCs w:val="21"/>
          <w:highlight w:val="none"/>
        </w:rPr>
        <w:t xml:space="preserve">。</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                                          </w:t>
      </w:r>
      <w:r/>
    </w:p>
    <w:p>
      <w:pPr>
        <w:ind w:firstLine="645"/>
        <w:jc w:val="right"/>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联合体中各供应商全称（公章）：     </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                                       日期：</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二</w:t>
      </w:r>
      <w:r>
        <w:rPr>
          <w:rFonts w:hint="default" w:ascii="Times New Roman" w:hAnsi="Times New Roman" w:eastAsia="黑体" w:cs="Times New Roman"/>
          <w:i w:val="0"/>
          <w:iCs/>
          <w:color w:val="auto"/>
          <w:sz w:val="32"/>
          <w:szCs w:val="32"/>
          <w:highlight w:val="none"/>
          <w:u w:val="single"/>
          <w:shd w:val="clear" w:color="auto" w:fill="auto"/>
        </w:rPr>
        <w:t xml:space="preserve">、</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投标分项</w:t>
      </w:r>
      <w:r>
        <w:rPr>
          <w:rFonts w:hint="default" w:ascii="Times New Roman" w:hAnsi="Times New Roman" w:eastAsia="黑体" w:cs="Times New Roman"/>
          <w:i w:val="0"/>
          <w:iCs/>
          <w:color w:val="auto"/>
          <w:sz w:val="32"/>
          <w:szCs w:val="32"/>
          <w:highlight w:val="none"/>
          <w:u w:val="single"/>
          <w:shd w:val="clear" w:color="auto" w:fill="auto"/>
        </w:rPr>
        <w:t xml:space="preserve">报价表</w:t>
      </w:r>
      <w:r/>
    </w:p>
    <w:p>
      <w:pPr>
        <w:pStyle w:val="751"/>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项目名称：      </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zh-TW" w:eastAsia="zh-CN"/>
        </w:rPr>
        <w:t xml:space="preserve">项目编号：      </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zh-TW" w:eastAsia="zh-CN"/>
        </w:rPr>
        <w:t xml:space="preserve">分包号： </w:t>
      </w:r>
      <w:r/>
    </w:p>
    <w:p>
      <w:pPr>
        <w:pStyle w:val="751"/>
        <w:ind w:firstLine="768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shd w:val="clear" w:color="auto" w:fill="auto"/>
          <w:lang w:val="zh-TW" w:eastAsia="zh-CN"/>
        </w:rPr>
        <w:t xml:space="preserve">单位：元</w:t>
      </w:r>
      <w:r/>
    </w:p>
    <w:tbl>
      <w:tblPr>
        <w:tblStyle w:val="71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cs="Times New Roman"/>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1</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2</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3</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bl>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投标人（盖章）：</w:t>
      </w:r>
      <w:r/>
    </w:p>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法定代表人或委托代理人（签字或盖章）：</w:t>
      </w:r>
      <w:r/>
    </w:p>
    <w:p>
      <w:pPr>
        <w:ind w:firstLine="480"/>
        <w:spacing w:line="42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cs="Times New Roman"/>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bookmarkEnd w:id="261"/>
      <w:r/>
      <w:bookmarkStart w:id="265" w:name="_Hlt26955054"/>
      <w:r/>
      <w:bookmarkEnd w:id="265"/>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三</w:t>
      </w:r>
      <w:r>
        <w:rPr>
          <w:rFonts w:hint="default" w:ascii="Times New Roman" w:hAnsi="Times New Roman" w:eastAsia="黑体" w:cs="Times New Roman"/>
          <w:i w:val="0"/>
          <w:iCs/>
          <w:color w:val="auto"/>
          <w:sz w:val="32"/>
          <w:szCs w:val="32"/>
          <w:highlight w:val="none"/>
          <w:u w:val="single"/>
          <w:shd w:val="clear" w:color="auto" w:fill="auto"/>
        </w:rPr>
        <w:t xml:space="preserve">、商务</w:t>
      </w:r>
      <w:r>
        <w:rPr>
          <w:rFonts w:hint="default" w:ascii="Times New Roman" w:hAnsi="Times New Roman" w:eastAsia="黑体" w:cs="Times New Roman"/>
          <w:i w:val="0"/>
          <w:iCs/>
          <w:color w:val="auto"/>
          <w:sz w:val="32"/>
          <w:szCs w:val="32"/>
          <w:highlight w:val="none"/>
          <w:u w:val="single"/>
          <w:shd w:val="clear" w:color="auto" w:fill="auto"/>
          <w:lang w:eastAsia="zh-CN"/>
        </w:rPr>
        <w:t xml:space="preserve">、</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技术</w:t>
      </w:r>
      <w:r>
        <w:rPr>
          <w:rFonts w:hint="default" w:ascii="Times New Roman" w:hAnsi="Times New Roman"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请逐条对应采购文件“项目需求”等内容要求的商务</w:t>
      </w:r>
      <w:r>
        <w:rPr>
          <w:rFonts w:hint="default" w:ascii="Times New Roman" w:hAnsi="Times New Roman" w:cs="Times New Roman"/>
          <w:bCs/>
          <w:color w:val="auto"/>
          <w:sz w:val="24"/>
          <w:szCs w:val="24"/>
          <w:highlight w:val="none"/>
          <w:shd w:val="clear" w:color="auto" w:fill="auto"/>
          <w:lang w:eastAsia="zh-CN"/>
        </w:rPr>
        <w:t xml:space="preserve">、</w:t>
      </w:r>
      <w:r>
        <w:rPr>
          <w:rFonts w:hint="default" w:ascii="Times New Roman" w:hAnsi="Times New Roman" w:cs="Times New Roman"/>
          <w:bCs/>
          <w:color w:val="auto"/>
          <w:sz w:val="24"/>
          <w:szCs w:val="24"/>
          <w:highlight w:val="none"/>
          <w:shd w:val="clear" w:color="auto" w:fill="auto"/>
          <w:lang w:val="en-US" w:eastAsia="zh-CN"/>
        </w:rPr>
        <w:t xml:space="preserve">技术</w:t>
      </w:r>
      <w:r>
        <w:rPr>
          <w:rFonts w:hint="default" w:ascii="Times New Roman" w:hAnsi="Times New Roman" w:cs="Times New Roman"/>
          <w:bCs/>
          <w:color w:val="auto"/>
          <w:sz w:val="24"/>
          <w:szCs w:val="24"/>
          <w:highlight w:val="none"/>
          <w:shd w:val="clear" w:color="auto" w:fill="auto"/>
        </w:rPr>
        <w:t xml:space="preserve">条件，填写该表</w:t>
      </w:r>
      <w:r/>
    </w:p>
    <w:tbl>
      <w:tblPr>
        <w:tblStyle w:val="71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266" w:name="_Hlt24879081"/>
            <w:r/>
            <w:bookmarkEnd w:id="266"/>
            <w:r/>
            <w:bookmarkStart w:id="267" w:name="_Hlt26782999"/>
            <w:r/>
            <w:bookmarkEnd w:id="267"/>
            <w:r/>
            <w:bookmarkStart w:id="268" w:name="_Hlt26671372"/>
            <w:r/>
            <w:bookmarkEnd w:id="268"/>
            <w:r/>
            <w:bookmarkStart w:id="269" w:name="_Hlt26671343"/>
            <w:r/>
            <w:bookmarkEnd w:id="269"/>
            <w:r/>
            <w:bookmarkStart w:id="270" w:name="_Hlt26955064"/>
            <w:r/>
            <w:bookmarkEnd w:id="270"/>
            <w:r/>
            <w:bookmarkStart w:id="271" w:name="_Hlt26580838"/>
            <w:r/>
            <w:bookmarkEnd w:id="271"/>
            <w:r/>
            <w:bookmarkStart w:id="272" w:name="_Hlt26955056"/>
            <w:r/>
            <w:bookmarkEnd w:id="272"/>
            <w:r/>
            <w:bookmarkStart w:id="273" w:name="_Hlt26609391"/>
            <w:r/>
            <w:bookmarkEnd w:id="273"/>
            <w:r>
              <w:rPr>
                <w:rFonts w:hint="default" w:ascii="Times New Roman" w:hAnsi="Times New Roman" w:cs="Times New Roman"/>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bl>
    <w:p>
      <w:pP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keepLines w:val="0"/>
        <w:keepNext w:val="0"/>
        <w:pageBreakBefore w:val="0"/>
        <w:spacing w:line="360" w:lineRule="auto"/>
        <w:widowControl w:val="off"/>
        <w:rPr>
          <w:rFonts w:hint="default" w:ascii="Times New Roman" w:hAnsi="Times New Roman" w:cs="Times New Roman"/>
          <w:color w:val="auto"/>
          <w:sz w:val="24"/>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default" w:ascii="Times New Roman" w:hAnsi="Times New Roman" w:cs="Times New Roman"/>
          <w:color w:val="auto"/>
          <w:sz w:val="24"/>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default" w:ascii="Times New Roman" w:hAnsi="Times New Roman" w:cs="Times New Roman"/>
          <w:color w:val="auto"/>
          <w:sz w:val="30"/>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日期：    年     月     日</w:t>
      </w:r>
      <w:bookmarkEnd w:id="243"/>
      <w:r/>
      <w:bookmarkEnd w:id="244"/>
      <w:r/>
      <w:r/>
    </w:p>
    <w:p>
      <w:pPr>
        <w:pStyle w:val="904"/>
        <w:ind w:firstLine="0"/>
        <w:rPr>
          <w:rFonts w:hint="default" w:ascii="Times New Roman" w:hAnsi="Times New Roman" w:cs="Times New Roman"/>
          <w:color w:val="auto"/>
          <w:sz w:val="24"/>
          <w:highlight w:val="none"/>
          <w:shd w:val="clear" w:color="auto" w:fill="auto"/>
        </w:rPr>
      </w:pPr>
      <w:r/>
      <w:bookmarkStart w:id="274" w:name="_Hlt26955066"/>
      <w:r/>
      <w:bookmarkEnd w:id="274"/>
      <w:r/>
      <w:bookmarkStart w:id="275" w:name="_Toc462564146"/>
      <w:r/>
      <w:bookmarkEnd w:id="275"/>
      <w:r/>
      <w:bookmarkStart w:id="276" w:name="_Hlt26671374"/>
      <w:r/>
      <w:bookmarkEnd w:id="276"/>
      <w:r/>
      <w:bookmarkStart w:id="277" w:name="_Hlt26609389"/>
      <w:r/>
      <w:bookmarkEnd w:id="277"/>
      <w:r/>
      <w:r/>
    </w:p>
    <w:p>
      <w:pPr>
        <w:jc w:val="center"/>
        <w:rPr>
          <w:rFonts w:hint="default" w:ascii="Times New Roman" w:hAnsi="Times New Roman" w:eastAsia="黑体" w:cs="Times New Roman"/>
          <w:b/>
          <w:color w:val="auto"/>
          <w:sz w:val="32"/>
          <w:szCs w:val="32"/>
          <w:highlight w:val="none"/>
          <w:shd w:val="clear" w:color="auto" w:fill="auto"/>
        </w:rPr>
      </w:pPr>
      <w:r/>
      <w:bookmarkStart w:id="278" w:name="_格式2__法定代表人授权书"/>
      <w:r/>
      <w:bookmarkEnd w:id="278"/>
      <w:r/>
      <w:r/>
    </w:p>
    <w:p>
      <w:pPr>
        <w:jc w:val="cente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仿宋_GB2312" w:cs="Times New Roman"/>
          <w:color w:val="auto"/>
          <w:sz w:val="24"/>
          <w:szCs w:val="20"/>
          <w:highlight w:val="non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四</w:t>
      </w:r>
      <w:r>
        <w:rPr>
          <w:rFonts w:hint="default" w:ascii="Times New Roman" w:hAnsi="Times New Roman"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项目</w:t>
      </w:r>
      <w:r>
        <w:rPr>
          <w:rFonts w:hint="default" w:ascii="Times New Roman" w:hAnsi="Times New Roman" w:cs="Times New Roman"/>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货币单位：人民币元</w:t>
      </w:r>
      <w:r/>
    </w:p>
    <w:tbl>
      <w:tblPr>
        <w:tblStyle w:val="97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cs="Times New Roman"/>
                <w:color w:val="auto"/>
                <w:sz w:val="24"/>
                <w:szCs w:val="24"/>
                <w:highlight w:val="none"/>
                <w:shd w:val="clear" w:color="auto" w:fill="auto"/>
                <w:lang w:val="en-US" w:eastAsia="zh-CN"/>
              </w:rPr>
              <w:t xml:space="preserve">总价</w:t>
            </w:r>
            <w:r>
              <w:rPr>
                <w:rFonts w:hint="default" w:ascii="Times New Roman" w:hAnsi="Times New Roman" w:eastAsia="宋体" w:cs="Times New Roman"/>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cs="Times New Roman"/>
                <w:color w:val="auto"/>
                <w:sz w:val="24"/>
                <w:szCs w:val="24"/>
                <w:highlight w:val="none"/>
                <w:shd w:val="clear" w:color="auto" w:fill="auto"/>
                <w:vertAlign w:val="baseline"/>
                <w:lang w:val="en-US" w:eastAsia="zh-CN"/>
              </w:rPr>
              <w:t xml:space="preserve">总</w:t>
            </w: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投标人</w:t>
      </w:r>
      <w:r>
        <w:rPr>
          <w:rFonts w:hint="default" w:ascii="Times New Roman" w:hAnsi="Times New Roman" w:cs="Times New Roman"/>
          <w:color w:val="auto"/>
          <w:sz w:val="24"/>
          <w:szCs w:val="24"/>
          <w:highlight w:val="none"/>
          <w:shd w:val="clear" w:color="auto" w:fill="auto"/>
          <w:lang w:val="en-US" w:eastAsia="zh-CN"/>
        </w:rPr>
        <w:t xml:space="preserve">公章</w:t>
      </w:r>
      <w:r>
        <w:rPr>
          <w:rFonts w:hint="default" w:ascii="Times New Roman" w:hAnsi="Times New Roman" w:cs="Times New Roman"/>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firstLine="480"/>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jc w:val="center"/>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cs="Times New Roman"/>
          <w:b/>
          <w:bCs/>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五</w:t>
      </w:r>
      <w:r>
        <w:rPr>
          <w:rFonts w:hint="default" w:ascii="Times New Roman" w:hAnsi="Times New Roman"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rPr>
        <w:t xml:space="preserve">致：</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我方</w:t>
      </w:r>
      <w:r>
        <w:rPr>
          <w:rFonts w:hint="default" w:ascii="Times New Roman" w:hAnsi="Times New Roman" w:eastAsia="宋体" w:cs="Times New Roman"/>
          <w:color w:val="auto"/>
          <w:sz w:val="24"/>
          <w:szCs w:val="24"/>
          <w:highlight w:val="none"/>
          <w:u w:val="single"/>
          <w:shd w:val="clear" w:color="auto" w:fill="auto"/>
        </w:rPr>
        <w:t xml:space="preserve"> 供应商名称 </w:t>
      </w:r>
      <w:r>
        <w:rPr>
          <w:rFonts w:hint="default" w:ascii="Times New Roman" w:hAnsi="Times New Roman" w:eastAsia="宋体" w:cs="Times New Roman"/>
          <w:color w:val="auto"/>
          <w:sz w:val="24"/>
          <w:szCs w:val="24"/>
          <w:highlight w:val="none"/>
          <w:shd w:val="clear" w:color="auto" w:fill="auto"/>
        </w:rPr>
        <w:t xml:space="preserve">参加</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（项目编号：</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）采购，根据《关于简化政府采购供应商资格审查有关事项的通知》（连财购〔2023〕4号）</w:t>
      </w:r>
      <w:r>
        <w:rPr>
          <w:rFonts w:hint="default" w:ascii="Times New Roman" w:hAnsi="Times New Roman" w:eastAsia="宋体" w:cs="Times New Roman"/>
          <w:color w:val="auto"/>
          <w:sz w:val="24"/>
          <w:szCs w:val="24"/>
          <w:highlight w:val="none"/>
          <w:shd w:val="clear" w:color="auto" w:fill="auto"/>
          <w:lang w:eastAsia="zh-CN"/>
        </w:rPr>
        <w:t xml:space="preserve">、</w:t>
      </w:r>
      <w:r>
        <w:rPr>
          <w:rFonts w:hint="default" w:ascii="Times New Roman" w:hAnsi="Times New Roman" w:eastAsia="宋体" w:cs="Times New Roman"/>
          <w:color w:val="auto"/>
          <w:sz w:val="24"/>
          <w:szCs w:val="24"/>
          <w:highlight w:val="none"/>
          <w:shd w:val="clear" w:color="auto" w:fill="auto"/>
        </w:rPr>
        <w:t xml:space="preserve">《关于做好2023年度政府采购领域优化营商环境有关工作的通知》（连财购〔2023〕9号）</w:t>
      </w:r>
      <w:r>
        <w:rPr>
          <w:rFonts w:hint="default" w:ascii="Times New Roman" w:hAnsi="Times New Roman" w:eastAsia="宋体" w:cs="Times New Roman"/>
          <w:color w:val="auto"/>
          <w:sz w:val="24"/>
          <w:szCs w:val="24"/>
          <w:highlight w:val="none"/>
          <w:shd w:val="clear" w:color="auto" w:fill="auto"/>
          <w:lang w:eastAsia="zh-CN"/>
        </w:rPr>
        <w:t xml:space="preserve">，</w:t>
      </w:r>
      <w:r>
        <w:rPr>
          <w:rFonts w:hint="default" w:ascii="Times New Roman" w:hAnsi="Times New Roman"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hint="default" w:ascii="Times New Roman" w:hAnsi="Times New Roman" w:eastAsia="黑体" w:cs="Times New Roman"/>
          <w:iCs/>
          <w:color w:val="auto"/>
          <w:sz w:val="32"/>
          <w:szCs w:val="32"/>
          <w:highlight w:val="none"/>
          <w:u w:val="single"/>
          <w:shd w:val="clear" w:color="auto" w:fill="auto"/>
        </w:rPr>
      </w:pPr>
      <w:r>
        <w:rPr>
          <w:rFonts w:hint="default" w:ascii="Times New Roman" w:hAnsi="Times New Roman" w:cs="Times New Roman"/>
          <w:b/>
          <w:bCs/>
          <w:color w:val="auto"/>
          <w:sz w:val="32"/>
          <w:szCs w:val="32"/>
          <w:highlight w:val="none"/>
          <w:shd w:val="clear" w:color="auto" w:fill="auto"/>
        </w:rPr>
        <w:br w:type="page" w:clear="all"/>
      </w:r>
      <w:bookmarkStart w:id="279" w:name="_Toc31871"/>
      <w:r/>
      <w:bookmarkStart w:id="280" w:name="_Toc29464"/>
      <w:r/>
      <w:bookmarkStart w:id="281" w:name="_Toc25466"/>
      <w:r>
        <w:rPr>
          <w:rFonts w:hint="default" w:ascii="Times New Roman" w:hAnsi="Times New Roman" w:eastAsia="黑体" w:cs="Times New Roman"/>
          <w:iCs/>
          <w:color w:val="auto"/>
          <w:sz w:val="32"/>
          <w:szCs w:val="32"/>
          <w:highlight w:val="none"/>
          <w:u w:val="single"/>
          <w:shd w:val="clear" w:color="auto" w:fill="auto"/>
        </w:rPr>
        <w:t xml:space="preserve">十</w:t>
      </w:r>
      <w:r>
        <w:rPr>
          <w:rFonts w:hint="default" w:ascii="Times New Roman" w:hAnsi="Times New Roman" w:eastAsia="黑体" w:cs="Times New Roman"/>
          <w:iCs/>
          <w:color w:val="auto"/>
          <w:sz w:val="32"/>
          <w:szCs w:val="32"/>
          <w:highlight w:val="none"/>
          <w:u w:val="single"/>
          <w:shd w:val="clear" w:color="auto" w:fill="auto"/>
          <w:lang w:val="en-US" w:eastAsia="zh-CN"/>
        </w:rPr>
        <w:t xml:space="preserve">六</w:t>
      </w:r>
      <w:r>
        <w:rPr>
          <w:rFonts w:hint="default" w:ascii="Times New Roman" w:hAnsi="Times New Roman" w:eastAsia="黑体" w:cs="Times New Roman"/>
          <w:iCs/>
          <w:color w:val="auto"/>
          <w:sz w:val="32"/>
          <w:szCs w:val="32"/>
          <w:highlight w:val="none"/>
          <w:u w:val="single"/>
          <w:shd w:val="clear" w:color="auto" w:fill="auto"/>
        </w:rPr>
        <w:t xml:space="preserve">、项目需求响应方案</w:t>
      </w:r>
      <w:r/>
    </w:p>
    <w:p>
      <w:pPr>
        <w:pStyle w:val="751"/>
        <w:jc w:val="center"/>
        <w:pageBreakBefore w:val="0"/>
        <w:spacing w:line="360" w:lineRule="auto"/>
        <w:widowControl w:val="off"/>
        <w:rPr>
          <w:rFonts w:hint="default" w:ascii="Times New Roman" w:hAnsi="Times New Roman" w:cs="Times New Roman"/>
          <w:b/>
          <w:bCs/>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格式自定</w:t>
      </w:r>
      <w:r/>
    </w:p>
    <w:p>
      <w:pPr>
        <w:pStyle w:val="902"/>
        <w:jc w:val="center"/>
        <w:pageBreakBefore w:val="0"/>
        <w:spacing w:before="0" w:after="0" w:line="360" w:lineRule="auto"/>
        <w:widowControl w:val="off"/>
        <w:tabs>
          <w:tab w:val="left" w:pos="1021" w:leader="none"/>
        </w:tabs>
        <w:rPr>
          <w:rFonts w:hint="default" w:ascii="Times New Roman" w:hAnsi="Times New Roman" w:cs="Times New Roman"/>
          <w:b/>
          <w:bCs/>
          <w:color w:val="auto"/>
          <w:sz w:val="28"/>
          <w:highlight w:val="none"/>
          <w:shd w:val="clear" w:color="auto" w:fill="auto"/>
        </w:rPr>
      </w:pPr>
      <w:r>
        <w:rPr>
          <w:rFonts w:hint="default" w:ascii="Times New Roman" w:hAnsi="Times New Roman" w:cs="Times New Roman"/>
          <w:b w:val="0"/>
          <w:bCs w:val="0"/>
          <w:color w:val="auto"/>
          <w:sz w:val="32"/>
          <w:szCs w:val="32"/>
          <w:highlight w:val="none"/>
          <w:shd w:val="clear" w:color="auto" w:fill="auto"/>
        </w:rPr>
        <w:br w:type="page" w:clear="all"/>
      </w:r>
      <w:bookmarkStart w:id="282" w:name="_Toc4935"/>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十七、类似项目业绩一览表</w:t>
      </w:r>
      <w:bookmarkEnd w:id="279"/>
      <w:r/>
      <w:bookmarkEnd w:id="280"/>
      <w:r/>
      <w:bookmarkEnd w:id="281"/>
      <w:r/>
      <w:bookmarkEnd w:id="282"/>
      <w:r/>
      <w:r/>
    </w:p>
    <w:p>
      <w:pPr>
        <w:jc w:val="center"/>
        <w:rPr>
          <w:rFonts w:hint="default" w:ascii="Times New Roman" w:hAnsi="Times New Roman" w:eastAsia="黑体" w:cs="Times New Roman"/>
          <w:bCs/>
          <w:color w:val="auto"/>
          <w:sz w:val="36"/>
          <w:szCs w:val="28"/>
          <w:highlight w:val="none"/>
          <w:shd w:val="clear" w:color="auto" w:fill="auto"/>
        </w:rPr>
      </w:pPr>
      <w:r>
        <w:rPr>
          <w:rFonts w:hint="default" w:ascii="Times New Roman" w:hAnsi="Times New Roman" w:eastAsia="黑体" w:cs="Times New Roman"/>
          <w:bCs/>
          <w:color w:val="auto"/>
          <w:sz w:val="36"/>
          <w:szCs w:val="28"/>
          <w:highlight w:val="none"/>
          <w:shd w:val="clear" w:color="auto" w:fill="auto"/>
        </w:rPr>
        <w:t xml:space="preserve">类似项目业绩一览表</w:t>
      </w:r>
      <w:r/>
    </w:p>
    <w:tbl>
      <w:tblPr>
        <w:tblStyle w:val="718"/>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bl>
    <w:p>
      <w:pPr>
        <w:jc w:val="center"/>
        <w:spacing w:line="400" w:lineRule="exact"/>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spacing w:line="400" w:lineRule="exact"/>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投标人（盖章）：</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法定代表人或委托代理人（签字或盖章）：</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日期：    年     月     日</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pStyle w:val="902"/>
        <w:numPr>
          <w:ilvl w:val="0"/>
          <w:numId w:val="0"/>
        </w:numPr>
        <w:jc w:val="center"/>
        <w:pageBreakBefore w:val="0"/>
        <w:spacing w:before="0" w:after="0" w:line="360" w:lineRule="auto"/>
        <w:widowControl w:val="off"/>
        <w:rPr>
          <w:rFonts w:hint="default" w:ascii="Times New Roman" w:hAnsi="Times New Roman" w:cs="Times New Roman"/>
          <w:color w:val="auto"/>
          <w:szCs w:val="21"/>
          <w:highlight w:val="none"/>
          <w:shd w:val="clear" w:color="auto" w:fill="auto"/>
        </w:rPr>
        <w:outlineLvl w:val="0"/>
      </w:pPr>
      <w:r>
        <w:rPr>
          <w:rFonts w:hint="default" w:ascii="Times New Roman" w:hAnsi="Times New Roman" w:cs="Times New Roman"/>
          <w:b w:val="0"/>
          <w:bCs w:val="0"/>
          <w:color w:val="auto"/>
          <w:sz w:val="32"/>
          <w:szCs w:val="32"/>
          <w:highlight w:val="none"/>
          <w:shd w:val="clear" w:color="auto" w:fill="auto"/>
        </w:rPr>
        <w:br w:type="page" w:clear="all"/>
      </w:r>
      <w:bookmarkStart w:id="283" w:name="_Toc16041"/>
      <w:r/>
      <w:bookmarkStart w:id="284" w:name="_Toc25700"/>
      <w:r/>
      <w:bookmarkStart w:id="285" w:name="_Toc9559"/>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十八、项目团队人员一览表</w:t>
      </w:r>
      <w:bookmarkEnd w:id="283"/>
      <w:r/>
      <w:bookmarkEnd w:id="284"/>
      <w:r/>
      <w:bookmarkEnd w:id="285"/>
      <w:r/>
      <w:r/>
    </w:p>
    <w:p>
      <w:pPr>
        <w:jc w:val="center"/>
        <w:pageBreakBefore w:val="0"/>
        <w:spacing w:line="360" w:lineRule="auto"/>
        <w:widowControl w:val="off"/>
        <w:rPr>
          <w:rFonts w:hint="default" w:ascii="Times New Roman" w:hAnsi="Times New Roman" w:eastAsia="黑体" w:cs="Times New Roman"/>
          <w:bCs/>
          <w:color w:val="auto"/>
          <w:sz w:val="36"/>
          <w:szCs w:val="28"/>
          <w:highlight w:val="none"/>
          <w:shd w:val="clear" w:color="auto" w:fill="auto"/>
        </w:rPr>
      </w:pPr>
      <w:r>
        <w:rPr>
          <w:rFonts w:hint="default" w:ascii="Times New Roman" w:hAnsi="Times New Roman" w:eastAsia="黑体" w:cs="Times New Roman"/>
          <w:bCs/>
          <w:color w:val="auto"/>
          <w:sz w:val="36"/>
          <w:szCs w:val="28"/>
          <w:highlight w:val="none"/>
          <w:shd w:val="clear" w:color="auto" w:fill="auto"/>
        </w:rPr>
        <w:t xml:space="preserve">项目团队人员一览表</w:t>
      </w:r>
      <w:r/>
    </w:p>
    <w:tbl>
      <w:tblPr>
        <w:tblStyle w:val="718"/>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本项目拟任</w:t>
            </w:r>
            <w:r/>
          </w:p>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技术</w:t>
            </w:r>
            <w:r/>
          </w:p>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bl>
    <w:p>
      <w:pPr>
        <w:jc w:val="both"/>
        <w:pageBreakBefore w:val="0"/>
        <w:spacing w:line="360" w:lineRule="auto"/>
        <w:widowControl w:val="off"/>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jc w:val="center"/>
        <w:pageBreakBefore w:val="0"/>
        <w:spacing w:line="360" w:lineRule="auto"/>
        <w:widowControl w:val="off"/>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pStyle w:val="1023"/>
        <w:ind w:left="0" w:right="0"/>
        <w:jc w:val="center"/>
        <w:keepLines w:val="0"/>
        <w:keepNext w:val="0"/>
        <w:spacing w:before="15" w:beforeAutospacing="0" w:after="15" w:afterAutospacing="0"/>
        <w:shd w:val="clear" w:color="auto" w:fill="ffffff"/>
        <w:widowControl/>
        <w:rPr>
          <w:rFonts w:hint="default" w:ascii="Times New Roman" w:hAnsi="Times New Roman" w:cs="Times New Roman"/>
          <w:color w:val="auto"/>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十九、</w:t>
      </w:r>
      <w:r>
        <w:rPr>
          <w:rFonts w:hint="default" w:ascii="Times New Roman" w:hAnsi="Times New Roman" w:eastAsia="宋体" w:cs="Times New Roman"/>
          <w:b/>
          <w:bCs/>
          <w:color w:val="auto"/>
          <w:sz w:val="30"/>
          <w:szCs w:val="30"/>
          <w:highlight w:val="none"/>
          <w:u w:val="single"/>
          <w:shd w:val="clear" w:color="auto" w:fill="ffffff"/>
        </w:rPr>
        <w:t xml:space="preserve">关于符合本国产品标准的声明函</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pStyle w:val="1023"/>
        <w:ind w:left="0" w:right="0"/>
        <w:jc w:val="center"/>
        <w:keepLines w:val="0"/>
        <w:keepNext w:val="0"/>
        <w:spacing w:before="15" w:beforeAutospacing="0" w:after="15" w:afterAutospacing="0"/>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bCs/>
          <w:color w:val="auto"/>
          <w:sz w:val="30"/>
          <w:szCs w:val="30"/>
          <w:highlight w:val="none"/>
          <w:shd w:val="clear" w:color="auto" w:fill="ffffff"/>
        </w:rPr>
        <w:t xml:space="preserve">关于符合本国产品标准的声明函</w:t>
      </w:r>
      <w:r/>
    </w:p>
    <w:p>
      <w:pPr>
        <w:pStyle w:val="1023"/>
        <w:ind w:left="0" w:firstLine="420"/>
        <w:keepLines w:val="0"/>
        <w:keepNext w:val="0"/>
        <w:spacing w:before="15" w:beforeAutospacing="0" w:after="15" w:afterAutospacing="0"/>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ind w:left="0" w:firstLine="420"/>
        <w:keepLines w:val="0"/>
        <w:keepNext w:val="0"/>
        <w:spacing w:before="0" w:beforeAutospacing="0" w:after="0" w:afterAutospacing="0" w:line="360" w:lineRule="auto"/>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1.</w:t>
      </w:r>
      <w:r>
        <w:rPr>
          <w:rFonts w:hint="default" w:ascii="Times New Roman" w:hAnsi="Times New Roman" w:eastAsia="宋体" w:cs="Times New Roman"/>
          <w:color w:val="auto"/>
          <w:sz w:val="24"/>
          <w:szCs w:val="24"/>
          <w:highlight w:val="none"/>
          <w:u w:val="single"/>
          <w:shd w:val="clear" w:color="auto" w:fill="ffffff"/>
        </w:rPr>
        <w:t xml:space="preserve">（产品名称1）</w:t>
      </w:r>
      <w:r>
        <w:rPr>
          <w:rFonts w:hint="default" w:ascii="Times New Roman" w:hAnsi="Times New Roman" w:eastAsia="宋体" w:cs="Times New Roman"/>
          <w:color w:val="auto"/>
          <w:sz w:val="24"/>
          <w:szCs w:val="24"/>
          <w:highlight w:val="none"/>
          <w:shd w:val="clear" w:color="auto" w:fill="ffffff"/>
          <w:vertAlign w:val="superscript"/>
        </w:rPr>
        <w:t xml:space="preserve">1</w:t>
      </w:r>
      <w:r>
        <w:rPr>
          <w:rFonts w:hint="default" w:ascii="Times New Roman" w:hAnsi="Times New Roman" w:eastAsia="宋体" w:cs="Times New Roman"/>
          <w:color w:val="auto"/>
          <w:sz w:val="24"/>
          <w:szCs w:val="24"/>
          <w:highlight w:val="none"/>
          <w:shd w:val="clear" w:color="auto" w:fill="ffffff"/>
        </w:rPr>
        <w:t xml:space="preserve">，生产厂为</w:t>
      </w:r>
      <w:r>
        <w:rPr>
          <w:rFonts w:hint="default" w:ascii="Times New Roman" w:hAnsi="Times New Roman" w:eastAsia="宋体" w:cs="Times New Roman"/>
          <w:color w:val="auto"/>
          <w:sz w:val="24"/>
          <w:szCs w:val="24"/>
          <w:highlight w:val="none"/>
          <w:u w:val="single"/>
          <w:shd w:val="clear" w:color="auto" w:fill="ffffff"/>
        </w:rPr>
        <w:t xml:space="preserve">（厂名）</w:t>
      </w:r>
      <w:r>
        <w:rPr>
          <w:rFonts w:hint="default" w:ascii="Times New Roman" w:hAnsi="Times New Roman" w:eastAsia="宋体" w:cs="Times New Roman"/>
          <w:color w:val="auto"/>
          <w:sz w:val="24"/>
          <w:szCs w:val="24"/>
          <w:highlight w:val="none"/>
          <w:shd w:val="clear" w:color="auto" w:fill="ffffff"/>
          <w:vertAlign w:val="superscript"/>
        </w:rPr>
        <w:t xml:space="preserve">2</w:t>
      </w:r>
      <w:r>
        <w:rPr>
          <w:rFonts w:hint="default" w:ascii="Times New Roman" w:hAnsi="Times New Roman" w:eastAsia="宋体" w:cs="Times New Roman"/>
          <w:color w:val="auto"/>
          <w:sz w:val="24"/>
          <w:szCs w:val="24"/>
          <w:highlight w:val="none"/>
          <w:shd w:val="clear" w:color="auto" w:fill="ffffff"/>
        </w:rPr>
        <w:t xml:space="preserve">，厂址为</w:t>
      </w:r>
      <w:r>
        <w:rPr>
          <w:rFonts w:hint="default" w:ascii="Times New Roman" w:hAnsi="Times New Roman" w:eastAsia="宋体" w:cs="Times New Roman"/>
          <w:color w:val="auto"/>
          <w:sz w:val="24"/>
          <w:szCs w:val="24"/>
          <w:highlight w:val="none"/>
          <w:u w:val="single"/>
          <w:shd w:val="clear" w:color="auto" w:fill="ffffff"/>
        </w:rPr>
        <w:t xml:space="preserve">（生产厂址）</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的中国境内生产的组件成本占比≥</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3</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4</w:t>
      </w:r>
      <w:r>
        <w:rPr>
          <w:rFonts w:hint="default" w:ascii="Times New Roman" w:hAnsi="Times New Roman" w:eastAsia="宋体" w:cs="Times New Roman"/>
          <w:color w:val="auto"/>
          <w:sz w:val="24"/>
          <w:szCs w:val="24"/>
          <w:highlight w:val="none"/>
          <w:shd w:val="clear" w:color="auto" w:fill="ffffff"/>
        </w:rPr>
        <w:t xml:space="preserve">在中国境内生产。</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5</w:t>
      </w:r>
      <w:r>
        <w:rPr>
          <w:rFonts w:hint="default" w:ascii="Times New Roman" w:hAnsi="Times New Roman" w:eastAsia="宋体" w:cs="Times New Roman"/>
          <w:color w:val="auto"/>
          <w:sz w:val="24"/>
          <w:szCs w:val="24"/>
          <w:highlight w:val="none"/>
          <w:shd w:val="clear" w:color="auto" w:fill="ffffff"/>
        </w:rPr>
        <w:t xml:space="preserve">在中国境内完成。</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2.</w:t>
      </w:r>
      <w:r>
        <w:rPr>
          <w:rFonts w:hint="default" w:ascii="Times New Roman" w:hAnsi="Times New Roman" w:eastAsia="宋体" w:cs="Times New Roman"/>
          <w:color w:val="auto"/>
          <w:sz w:val="24"/>
          <w:szCs w:val="24"/>
          <w:highlight w:val="none"/>
          <w:u w:val="single"/>
          <w:shd w:val="clear" w:color="auto" w:fill="ffffff"/>
        </w:rPr>
        <w:t xml:space="preserve">（产品名称2）</w:t>
      </w:r>
      <w:r>
        <w:rPr>
          <w:rFonts w:hint="default" w:ascii="Times New Roman" w:hAnsi="Times New Roman" w:eastAsia="宋体" w:cs="Times New Roman"/>
          <w:color w:val="auto"/>
          <w:sz w:val="24"/>
          <w:szCs w:val="24"/>
          <w:highlight w:val="none"/>
          <w:shd w:val="clear" w:color="auto" w:fill="ffffff"/>
        </w:rPr>
        <w:t xml:space="preserve">，生产厂为</w:t>
      </w:r>
      <w:r>
        <w:rPr>
          <w:rFonts w:hint="default" w:ascii="Times New Roman" w:hAnsi="Times New Roman" w:eastAsia="宋体" w:cs="Times New Roman"/>
          <w:color w:val="auto"/>
          <w:sz w:val="24"/>
          <w:szCs w:val="24"/>
          <w:highlight w:val="none"/>
          <w:u w:val="single"/>
          <w:shd w:val="clear" w:color="auto" w:fill="ffffff"/>
        </w:rPr>
        <w:t xml:space="preserve">（厂名）</w:t>
      </w:r>
      <w:r>
        <w:rPr>
          <w:rFonts w:hint="default" w:ascii="Times New Roman" w:hAnsi="Times New Roman" w:eastAsia="宋体" w:cs="Times New Roman"/>
          <w:color w:val="auto"/>
          <w:sz w:val="24"/>
          <w:szCs w:val="24"/>
          <w:highlight w:val="none"/>
          <w:shd w:val="clear" w:color="auto" w:fill="ffffff"/>
        </w:rPr>
        <w:t xml:space="preserve">，厂址为</w:t>
      </w:r>
      <w:r>
        <w:rPr>
          <w:rFonts w:hint="default" w:ascii="Times New Roman" w:hAnsi="Times New Roman" w:eastAsia="宋体" w:cs="Times New Roman"/>
          <w:color w:val="auto"/>
          <w:sz w:val="24"/>
          <w:szCs w:val="24"/>
          <w:highlight w:val="none"/>
          <w:u w:val="single"/>
          <w:shd w:val="clear" w:color="auto" w:fill="ffffff"/>
        </w:rPr>
        <w:t xml:space="preserve">（生产厂址）</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的中国境内生产的组件成本占比≥</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在中国境内生产。</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在中国境内完成。</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本公司（单位）对上述声明内容的真实性负责。如有虚假，愿承担相应法律责任。</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jc w:val="right"/>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公司（单位）名称（加盖CA电子公章）：</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w:t>
      </w:r>
      <w:r/>
    </w:p>
    <w:p>
      <w:pPr>
        <w:pStyle w:val="1023"/>
        <w:jc w:val="center"/>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日期：</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年</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月</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日</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_________________</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1.产品如有型号，请在“产品名称”栏一并填写。</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2.生产厂名与厂址应与生产厂营业执照载明的相关信息保持一致。</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3.该产品的中国境内生产的组件成本占比相关要求实施前，“规定比例”栏可不填，下同。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4.该产品的关键组件要求实施前，“关键组件”栏可不填，下同。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5.该产品的关键工序要求实施前，“关键工序”栏可不填，下同。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6.《声明函》中标注“</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”的地方无需填写。</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643"/>
        <w:jc w:val="center"/>
        <w:pageBreakBefore w:val="0"/>
        <w:spacing w:line="360" w:lineRule="auto"/>
        <w:widowControl w:val="off"/>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t xml:space="preserve">质疑函范本</w:t>
      </w:r>
      <w:r/>
    </w:p>
    <w:p>
      <w:pPr>
        <w:spacing w:before="290"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一、质疑供应商基本信息</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质疑供应商：</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地址：</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邮编：</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联系人：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联系电话：</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授权代表：</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联系电话：</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地址： </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邮编：</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二、质疑项目基本情况</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质疑项目的名称：</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质疑项目的编号：</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包号：</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采购人名称：</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采购文件获取日期：</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三、质疑事项具体内容</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质疑事项1：</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事实依据：</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法律依据：</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质疑事项2</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w:t>
      </w:r>
      <w:r/>
    </w:p>
    <w:p>
      <w:pPr>
        <w:keepLines w:val="0"/>
        <w:keepNext w:val="0"/>
        <w:pageBreakBefore w:val="0"/>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请求：</w:t>
      </w:r>
      <w:r>
        <w:rPr>
          <w:rFonts w:hint="default" w:ascii="Times New Roman" w:hAnsi="Times New Roman" w:cs="Times New Roman"/>
          <w:color w:val="auto"/>
          <w:sz w:val="24"/>
          <w:szCs w:val="24"/>
          <w:highlight w:val="none"/>
          <w:u w:val="single"/>
          <w:shd w:val="clear" w:color="auto" w:fill="auto"/>
        </w:rPr>
        <w:t xml:space="preserve">                                                                     </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签字(签章)：                   公章：                      </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日期：    </w:t>
      </w:r>
      <w:r/>
    </w:p>
    <w:p>
      <w:pPr>
        <w:keepLines w:val="0"/>
        <w:keepNext w:val="0"/>
        <w:pageBreakBefore w:val="0"/>
        <w:spacing w:line="360" w:lineRule="auto"/>
        <w:rPr>
          <w:rFonts w:hint="default" w:ascii="Times New Roman" w:hAnsi="Times New Roman" w:cs="Times New Roman"/>
          <w:b/>
          <w:color w:val="auto"/>
          <w:sz w:val="24"/>
          <w:szCs w:val="24"/>
          <w:highlight w:val="none"/>
          <w:shd w:val="clear" w:color="auto" w:fill="auto"/>
        </w:rPr>
      </w:pPr>
      <w:r>
        <w:rPr>
          <w:rFonts w:hint="default" w:ascii="Times New Roman" w:hAnsi="Times New Roman" w:cs="Times New Roman"/>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pStyle w:val="904"/>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pStyle w:val="904"/>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Segoe UI">
    <w:panose1 w:val="020B0502040204020203"/>
  </w:font>
  <w:font w:name="PMingLiU">
    <w:panose1 w:val="02020500000000000000"/>
  </w:font>
  <w:font w:name="楷体_GB2312">
    <w:panose1 w:val="02010609060101010101"/>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5">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仿宋_GB2312" w:hAnsi="仿宋_GB2312" w:eastAsia="仿宋_GB2312" w:cs="仿宋_GB2312"/>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仿宋_GB2312" w:hAnsi="仿宋_GB2312" w:eastAsia="仿宋_GB2312" w:cs="仿宋_GB2312"/>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8">
    <w:name w:val="Heading 1"/>
    <w:basedOn w:val="707"/>
    <w:next w:val="707"/>
    <w:link w:val="753"/>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54"/>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55"/>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6"/>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7"/>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8"/>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60"/>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61"/>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right="0" w:firstLine="0"/>
      <w:spacing w:after="57"/>
    </w:pPr>
  </w:style>
  <w:style w:type="paragraph" w:styleId="720">
    <w:name w:val="table of authorities"/>
    <w:basedOn w:val="707"/>
    <w:next w:val="707"/>
    <w:uiPriority w:val="0"/>
    <w:qFormat/>
    <w:pPr>
      <w:ind w:left="420"/>
    </w:pPr>
  </w:style>
  <w:style w:type="paragraph" w:styleId="721">
    <w:name w:val="Normal Indent"/>
    <w:uiPriority w:val="99"/>
    <w:qFormat/>
    <w:pPr>
      <w:ind w:firstLine="420"/>
      <w:jc w:val="both"/>
      <w:widowControl w:val="off"/>
    </w:pPr>
    <w:rPr>
      <w:rFonts w:hint="default" w:ascii="Calibri" w:hAnsi="Calibri" w:eastAsia="宋体" w:cs="Arial"/>
      <w:sz w:val="24"/>
      <w:szCs w:val="20"/>
      <w:lang w:eastAsia="zh-CN"/>
    </w:rPr>
  </w:style>
  <w:style w:type="paragraph" w:styleId="722">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7"/>
    <w:uiPriority w:val="0"/>
    <w:semiHidden/>
    <w:qFormat/>
    <w:pPr>
      <w:jc w:val="left"/>
    </w:pPr>
    <w:rPr>
      <w:szCs w:val="20"/>
    </w:rPr>
  </w:style>
  <w:style w:type="paragraph" w:styleId="724">
    <w:name w:val="Body Text"/>
    <w:basedOn w:val="707"/>
    <w:next w:val="725"/>
    <w:uiPriority w:val="1"/>
    <w:unhideWhenUsed/>
    <w:qFormat/>
    <w:pPr>
      <w:ind w:left="400"/>
      <w:jc w:val="left"/>
    </w:pPr>
    <w:rPr>
      <w:rFonts w:hint="eastAsia" w:ascii="楷体" w:hAnsi="楷体" w:eastAsia="楷体" w:cs="楷体"/>
      <w:sz w:val="24"/>
      <w:szCs w:val="24"/>
      <w:lang w:val="zh-CN"/>
    </w:rPr>
  </w:style>
  <w:style w:type="paragraph" w:styleId="725">
    <w:name w:val="Body Text 2"/>
    <w:basedOn w:val="707"/>
    <w:uiPriority w:val="0"/>
    <w:qFormat/>
    <w:pPr>
      <w:jc w:val="center"/>
    </w:pPr>
  </w:style>
  <w:style w:type="paragraph" w:styleId="726">
    <w:name w:val="Body Text Indent"/>
    <w:basedOn w:val="707"/>
    <w:uiPriority w:val="0"/>
    <w:qFormat/>
    <w:pPr>
      <w:ind w:firstLine="600"/>
    </w:pPr>
    <w:rPr>
      <w:rFonts w:eastAsia="仿宋_GB2312" w:cs="Times New Roman"/>
      <w:sz w:val="30"/>
      <w:szCs w:val="30"/>
    </w:rPr>
  </w:style>
  <w:style w:type="paragraph" w:styleId="727">
    <w:name w:val="toc 5"/>
    <w:basedOn w:val="707"/>
    <w:next w:val="707"/>
    <w:uiPriority w:val="39"/>
    <w:unhideWhenUsed/>
    <w:qFormat/>
    <w:pPr>
      <w:ind w:left="1134" w:right="0" w:firstLine="0"/>
      <w:spacing w:after="57"/>
    </w:pPr>
  </w:style>
  <w:style w:type="paragraph" w:styleId="728">
    <w:name w:val="toc 3"/>
    <w:basedOn w:val="707"/>
    <w:next w:val="707"/>
    <w:uiPriority w:val="39"/>
    <w:unhideWhenUsed/>
    <w:qFormat/>
    <w:pPr>
      <w:ind w:left="567" w:right="0" w:firstLine="0"/>
      <w:spacing w:after="57"/>
    </w:pPr>
  </w:style>
  <w:style w:type="paragraph" w:styleId="729">
    <w:name w:val="Plain Text"/>
    <w:basedOn w:val="707"/>
    <w:uiPriority w:val="99"/>
    <w:qFormat/>
    <w:pPr>
      <w:spacing w:before="156" w:after="156" w:line="400" w:lineRule="exact"/>
    </w:pPr>
    <w:rPr>
      <w:rFonts w:ascii="宋体" w:hAnsi="Courier New"/>
      <w:sz w:val="24"/>
      <w:szCs w:val="20"/>
    </w:rPr>
  </w:style>
  <w:style w:type="paragraph" w:styleId="730">
    <w:name w:val="toc 8"/>
    <w:basedOn w:val="707"/>
    <w:next w:val="707"/>
    <w:uiPriority w:val="39"/>
    <w:unhideWhenUsed/>
    <w:qFormat/>
    <w:pPr>
      <w:ind w:left="1984" w:right="0" w:firstLine="0"/>
      <w:spacing w:after="57"/>
    </w:pPr>
  </w:style>
  <w:style w:type="paragraph" w:styleId="731">
    <w:name w:val="endnote text"/>
    <w:basedOn w:val="707"/>
    <w:link w:val="899"/>
    <w:uiPriority w:val="99"/>
    <w:semiHidden/>
    <w:unhideWhenUsed/>
    <w:qFormat/>
    <w:pPr>
      <w:spacing w:after="0" w:line="240" w:lineRule="auto"/>
    </w:pPr>
    <w:rPr>
      <w:sz w:val="20"/>
    </w:rPr>
  </w:style>
  <w:style w:type="paragraph" w:styleId="732">
    <w:name w:val="Footer"/>
    <w:basedOn w:val="707"/>
    <w:link w:val="772"/>
    <w:uiPriority w:val="99"/>
    <w:unhideWhenUsed/>
    <w:qFormat/>
    <w:pPr>
      <w:spacing w:after="0" w:line="240" w:lineRule="auto"/>
      <w:tabs>
        <w:tab w:val="center" w:pos="7143" w:leader="none"/>
        <w:tab w:val="right" w:pos="14287" w:leader="none"/>
      </w:tabs>
    </w:pPr>
  </w:style>
  <w:style w:type="paragraph" w:styleId="733">
    <w:name w:val="Header"/>
    <w:basedOn w:val="707"/>
    <w:link w:val="770"/>
    <w:uiPriority w:val="99"/>
    <w:unhideWhenUsed/>
    <w:qFormat/>
    <w:pPr>
      <w:spacing w:after="0" w:line="240" w:lineRule="auto"/>
      <w:tabs>
        <w:tab w:val="center" w:pos="7143" w:leader="none"/>
        <w:tab w:val="right" w:pos="14287" w:leader="none"/>
      </w:tabs>
    </w:pPr>
  </w:style>
  <w:style w:type="paragraph" w:styleId="734">
    <w:name w:val="toc 1"/>
    <w:basedOn w:val="707"/>
    <w:next w:val="707"/>
    <w:uiPriority w:val="39"/>
    <w:unhideWhenUsed/>
    <w:qFormat/>
    <w:pPr>
      <w:ind w:left="0" w:right="0" w:firstLine="0"/>
      <w:spacing w:after="57"/>
    </w:pPr>
  </w:style>
  <w:style w:type="paragraph" w:styleId="735">
    <w:name w:val="toc 4"/>
    <w:basedOn w:val="707"/>
    <w:next w:val="707"/>
    <w:uiPriority w:val="39"/>
    <w:unhideWhenUsed/>
    <w:qFormat/>
    <w:pPr>
      <w:ind w:left="850" w:right="0" w:firstLine="0"/>
      <w:spacing w:after="57"/>
    </w:pPr>
  </w:style>
  <w:style w:type="paragraph" w:styleId="736">
    <w:name w:val="Subtitle"/>
    <w:basedOn w:val="707"/>
    <w:next w:val="707"/>
    <w:link w:val="765"/>
    <w:uiPriority w:val="11"/>
    <w:qFormat/>
    <w:pPr>
      <w:spacing w:before="200" w:after="200"/>
    </w:pPr>
    <w:rPr>
      <w:sz w:val="24"/>
      <w:szCs w:val="24"/>
    </w:rPr>
  </w:style>
  <w:style w:type="paragraph" w:styleId="737">
    <w:name w:val="footnote text"/>
    <w:basedOn w:val="707"/>
    <w:link w:val="898"/>
    <w:uiPriority w:val="99"/>
    <w:semiHidden/>
    <w:unhideWhenUsed/>
    <w:qFormat/>
    <w:pPr>
      <w:spacing w:after="40" w:line="240" w:lineRule="auto"/>
    </w:pPr>
    <w:rPr>
      <w:sz w:val="18"/>
    </w:rPr>
  </w:style>
  <w:style w:type="paragraph" w:styleId="738">
    <w:name w:val="toc 6"/>
    <w:basedOn w:val="707"/>
    <w:next w:val="707"/>
    <w:uiPriority w:val="39"/>
    <w:unhideWhenUsed/>
    <w:qFormat/>
    <w:pPr>
      <w:ind w:left="1417" w:right="0" w:firstLine="0"/>
      <w:spacing w:after="57"/>
    </w:pPr>
  </w:style>
  <w:style w:type="paragraph" w:styleId="739">
    <w:name w:val="table of figures"/>
    <w:basedOn w:val="707"/>
    <w:next w:val="707"/>
    <w:uiPriority w:val="99"/>
    <w:unhideWhenUsed/>
    <w:qFormat/>
    <w:pPr>
      <w:spacing w:after="0" w:afterAutospacing="0"/>
    </w:pPr>
  </w:style>
  <w:style w:type="paragraph" w:styleId="740">
    <w:name w:val="toc 2"/>
    <w:basedOn w:val="707"/>
    <w:next w:val="707"/>
    <w:uiPriority w:val="39"/>
    <w:unhideWhenUsed/>
    <w:qFormat/>
    <w:pPr>
      <w:ind w:left="283" w:right="0" w:firstLine="0"/>
      <w:spacing w:after="57"/>
    </w:pPr>
  </w:style>
  <w:style w:type="paragraph" w:styleId="741">
    <w:name w:val="toc 9"/>
    <w:basedOn w:val="707"/>
    <w:next w:val="707"/>
    <w:uiPriority w:val="39"/>
    <w:unhideWhenUsed/>
    <w:qFormat/>
    <w:pPr>
      <w:ind w:left="2268" w:right="0" w:firstLine="0"/>
      <w:spacing w:after="57"/>
    </w:pPr>
  </w:style>
  <w:style w:type="paragraph" w:styleId="742">
    <w:name w:val="Normal (Web)"/>
    <w:basedOn w:val="707"/>
    <w:uiPriority w:val="0"/>
    <w:qFormat/>
    <w:pPr>
      <w:ind w:left="0" w:right="0"/>
      <w:jc w:val="left"/>
      <w:spacing w:before="100" w:beforeAutospacing="1" w:after="100" w:afterAutospacing="1"/>
    </w:pPr>
    <w:rPr>
      <w:sz w:val="24"/>
      <w:lang w:val="en-US" w:eastAsia="zh-CN" w:bidi="ar"/>
    </w:rPr>
  </w:style>
  <w:style w:type="paragraph" w:styleId="743">
    <w:name w:val="Title"/>
    <w:basedOn w:val="707"/>
    <w:next w:val="707"/>
    <w:link w:val="764"/>
    <w:uiPriority w:val="10"/>
    <w:qFormat/>
    <w:pPr>
      <w:contextualSpacing/>
      <w:spacing w:before="300" w:after="200"/>
    </w:pPr>
    <w:rPr>
      <w:sz w:val="48"/>
      <w:szCs w:val="48"/>
    </w:rPr>
  </w:style>
  <w:style w:type="paragraph" w:styleId="744">
    <w:name w:val="Body Text First Indent"/>
    <w:basedOn w:val="724"/>
    <w:next w:val="745"/>
    <w:uiPriority w:val="0"/>
    <w:qFormat/>
    <w:pPr>
      <w:ind w:firstLine="420"/>
      <w:spacing w:after="120"/>
    </w:pPr>
    <w:rPr>
      <w:rFonts w:eastAsia="宋体"/>
      <w:sz w:val="21"/>
    </w:rPr>
  </w:style>
  <w:style w:type="paragraph" w:styleId="745">
    <w:name w:val="Body Text First Indent 2"/>
    <w:basedOn w:val="726"/>
    <w:next w:val="707"/>
    <w:uiPriority w:val="0"/>
    <w:qFormat/>
    <w:pPr>
      <w:ind w:left="420" w:firstLine="420"/>
      <w:spacing w:after="120"/>
      <w:tabs>
        <w:tab w:val="left" w:pos="675" w:leader="none"/>
      </w:tabs>
    </w:pPr>
    <w:rPr>
      <w:sz w:val="21"/>
      <w:szCs w:val="24"/>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7"/>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52" w:customStyle="1">
    <w:name w:val="样式 正文文本缩进 + 左  0 字符"/>
    <w:basedOn w:val="707"/>
    <w:uiPriority w:val="0"/>
    <w:qFormat/>
    <w:pPr>
      <w:ind w:firstLine="250"/>
    </w:pPr>
    <w:rPr>
      <w:rFonts w:cs="宋体"/>
      <w:szCs w:val="20"/>
    </w:rPr>
  </w:style>
  <w:style w:type="character" w:styleId="753" w:customStyle="1">
    <w:name w:val="Heading 1 Char"/>
    <w:link w:val="708"/>
    <w:uiPriority w:val="9"/>
    <w:qFormat/>
    <w:rPr>
      <w:rFonts w:ascii="Arial" w:hAnsi="Arial" w:eastAsia="Arial" w:cs="Arial"/>
      <w:sz w:val="40"/>
      <w:szCs w:val="40"/>
    </w:rPr>
  </w:style>
  <w:style w:type="character" w:styleId="754" w:customStyle="1">
    <w:name w:val="Heading 2 Char"/>
    <w:link w:val="709"/>
    <w:uiPriority w:val="9"/>
    <w:qFormat/>
    <w:rPr>
      <w:rFonts w:ascii="Arial" w:hAnsi="Arial" w:eastAsia="Arial" w:cs="Arial"/>
      <w:sz w:val="34"/>
    </w:rPr>
  </w:style>
  <w:style w:type="character" w:styleId="755" w:customStyle="1">
    <w:name w:val="Heading 3 Char"/>
    <w:link w:val="710"/>
    <w:uiPriority w:val="9"/>
    <w:qFormat/>
    <w:rPr>
      <w:rFonts w:ascii="Arial" w:hAnsi="Arial" w:eastAsia="Arial" w:cs="Arial"/>
      <w:sz w:val="30"/>
      <w:szCs w:val="30"/>
    </w:rPr>
  </w:style>
  <w:style w:type="character" w:styleId="756" w:customStyle="1">
    <w:name w:val="Heading 4 Char"/>
    <w:link w:val="711"/>
    <w:uiPriority w:val="9"/>
    <w:qFormat/>
    <w:rPr>
      <w:rFonts w:ascii="Arial" w:hAnsi="Arial" w:eastAsia="Arial" w:cs="Arial"/>
      <w:b/>
      <w:bCs/>
      <w:sz w:val="26"/>
      <w:szCs w:val="26"/>
    </w:rPr>
  </w:style>
  <w:style w:type="character" w:styleId="757" w:customStyle="1">
    <w:name w:val="Heading 5 Char"/>
    <w:link w:val="712"/>
    <w:uiPriority w:val="9"/>
    <w:qFormat/>
    <w:rPr>
      <w:rFonts w:ascii="Arial" w:hAnsi="Arial" w:eastAsia="Arial" w:cs="Arial"/>
      <w:b/>
      <w:bCs/>
      <w:sz w:val="24"/>
      <w:szCs w:val="24"/>
    </w:rPr>
  </w:style>
  <w:style w:type="character" w:styleId="758" w:customStyle="1">
    <w:name w:val="Heading 6 Char"/>
    <w:link w:val="713"/>
    <w:uiPriority w:val="9"/>
    <w:qFormat/>
    <w:rPr>
      <w:rFonts w:ascii="Arial" w:hAnsi="Arial" w:eastAsia="Arial" w:cs="Arial"/>
      <w:b/>
      <w:bCs/>
      <w:sz w:val="22"/>
      <w:szCs w:val="22"/>
    </w:rPr>
  </w:style>
  <w:style w:type="character" w:styleId="759" w:customStyle="1">
    <w:name w:val="Heading 7 Char"/>
    <w:link w:val="714"/>
    <w:uiPriority w:val="9"/>
    <w:qFormat/>
    <w:rPr>
      <w:rFonts w:ascii="Arial" w:hAnsi="Arial" w:eastAsia="Arial" w:cs="Arial"/>
      <w:b/>
      <w:bCs/>
      <w:i/>
      <w:iCs/>
      <w:sz w:val="22"/>
      <w:szCs w:val="22"/>
    </w:rPr>
  </w:style>
  <w:style w:type="character" w:styleId="760" w:customStyle="1">
    <w:name w:val="Heading 8 Char"/>
    <w:link w:val="715"/>
    <w:uiPriority w:val="9"/>
    <w:qFormat/>
    <w:rPr>
      <w:rFonts w:ascii="Arial" w:hAnsi="Arial" w:eastAsia="Arial" w:cs="Arial"/>
      <w:i/>
      <w:iCs/>
      <w:sz w:val="22"/>
      <w:szCs w:val="22"/>
    </w:rPr>
  </w:style>
  <w:style w:type="character" w:styleId="761" w:customStyle="1">
    <w:name w:val="Heading 9 Char"/>
    <w:link w:val="716"/>
    <w:uiPriority w:val="9"/>
    <w:qFormat/>
    <w:rPr>
      <w:rFonts w:ascii="Arial" w:hAnsi="Arial" w:eastAsia="Arial" w:cs="Arial"/>
      <w:i/>
      <w:iCs/>
      <w:sz w:val="21"/>
      <w:szCs w:val="21"/>
    </w:rPr>
  </w:style>
  <w:style w:type="paragraph" w:styleId="762">
    <w:name w:val="List Paragraph"/>
    <w:basedOn w:val="707"/>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3"/>
    <w:uiPriority w:val="10"/>
    <w:qFormat/>
    <w:rPr>
      <w:sz w:val="48"/>
      <w:szCs w:val="48"/>
    </w:rPr>
  </w:style>
  <w:style w:type="character" w:styleId="765" w:customStyle="1">
    <w:name w:val="Subtitle Char"/>
    <w:link w:val="736"/>
    <w:uiPriority w:val="11"/>
    <w:qFormat/>
    <w:rPr>
      <w:sz w:val="24"/>
      <w:szCs w:val="24"/>
    </w:rPr>
  </w:style>
  <w:style w:type="paragraph" w:styleId="766">
    <w:name w:val="Quote"/>
    <w:basedOn w:val="707"/>
    <w:next w:val="707"/>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7"/>
    <w:next w:val="707"/>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3"/>
    <w:uiPriority w:val="99"/>
    <w:qFormat/>
  </w:style>
  <w:style w:type="character" w:styleId="771" w:customStyle="1">
    <w:name w:val="Footer Char"/>
    <w:link w:val="732"/>
    <w:uiPriority w:val="99"/>
    <w:qFormat/>
  </w:style>
  <w:style w:type="character" w:styleId="772" w:customStyle="1">
    <w:name w:val="Caption Char"/>
    <w:link w:val="732"/>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37"/>
    <w:uiPriority w:val="99"/>
    <w:qFormat/>
    <w:rPr>
      <w:sz w:val="18"/>
    </w:rPr>
  </w:style>
  <w:style w:type="character" w:styleId="899" w:customStyle="1">
    <w:name w:val="Endnote Text Char"/>
    <w:link w:val="731"/>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707"/>
    <w:next w:val="707"/>
    <w:link w:val="913"/>
    <w:uiPriority w:val="0"/>
    <w:qFormat/>
    <w:pPr>
      <w:jc w:val="center"/>
      <w:keepNext/>
      <w:outlineLvl w:val="0"/>
    </w:pPr>
    <w:rPr>
      <w:rFonts w:ascii="楷体_GB2312" w:eastAsia="楷体_GB2312"/>
      <w:sz w:val="28"/>
      <w:szCs w:val="28"/>
    </w:rPr>
  </w:style>
  <w:style w:type="paragraph" w:styleId="902" w:customStyle="1">
    <w:name w:val="标题 21"/>
    <w:basedOn w:val="707"/>
    <w:next w:val="707"/>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311"/>
    <w:basedOn w:val="707"/>
    <w:next w:val="904"/>
    <w:link w:val="915"/>
    <w:uiPriority w:val="0"/>
    <w:qFormat/>
    <w:pPr>
      <w:keepLines/>
      <w:keepNext/>
      <w:spacing w:before="260" w:after="260" w:line="416" w:lineRule="auto"/>
      <w:outlineLvl w:val="2"/>
    </w:pPr>
    <w:rPr>
      <w:b/>
      <w:bCs/>
      <w:sz w:val="32"/>
      <w:szCs w:val="32"/>
    </w:rPr>
  </w:style>
  <w:style w:type="paragraph" w:styleId="904" w:customStyle="1">
    <w:name w:val="正文缩进1"/>
    <w:basedOn w:val="707"/>
    <w:link w:val="916"/>
    <w:uiPriority w:val="0"/>
    <w:qFormat/>
    <w:pPr>
      <w:ind w:firstLine="420"/>
    </w:pPr>
  </w:style>
  <w:style w:type="paragraph" w:styleId="905" w:customStyle="1">
    <w:name w:val="标题 41"/>
    <w:basedOn w:val="707"/>
    <w:next w:val="904"/>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07"/>
    <w:next w:val="904"/>
    <w:link w:val="918"/>
    <w:uiPriority w:val="0"/>
    <w:qFormat/>
    <w:pPr>
      <w:keepNext/>
      <w:outlineLvl w:val="4"/>
    </w:pPr>
    <w:rPr>
      <w:rFonts w:ascii="宋体"/>
      <w:color w:val="000000"/>
      <w:sz w:val="28"/>
      <w:szCs w:val="28"/>
    </w:rPr>
  </w:style>
  <w:style w:type="paragraph" w:styleId="907" w:customStyle="1">
    <w:name w:val="标题 61"/>
    <w:basedOn w:val="707"/>
    <w:next w:val="707"/>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07"/>
    <w:next w:val="707"/>
    <w:link w:val="920"/>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07"/>
    <w:next w:val="707"/>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07"/>
    <w:next w:val="707"/>
    <w:link w:val="922"/>
    <w:uiPriority w:val="0"/>
    <w:qFormat/>
    <w:pPr>
      <w:numPr>
        <w:ilvl w:val="8"/>
        <w:numId w:val="1"/>
      </w:numPr>
      <w:keepLines/>
      <w:keepNext/>
      <w:spacing w:before="240" w:after="64" w:line="320" w:lineRule="auto"/>
      <w:outlineLvl w:val="8"/>
    </w:pPr>
    <w:rPr>
      <w:rFonts w:ascii="Arial" w:hAnsi="Arial" w:eastAsia="黑体"/>
    </w:rPr>
  </w:style>
  <w:style w:type="character" w:styleId="911" w:customStyle="1">
    <w:name w:val="默认段落字体1"/>
    <w:link w:val="707"/>
    <w:uiPriority w:val="1"/>
    <w:unhideWhenUsed/>
    <w:qFormat/>
  </w:style>
  <w:style w:type="table" w:styleId="912" w:customStyle="1">
    <w:name w:val="普通表格1"/>
    <w:uiPriority w:val="99"/>
    <w:unhideWhenUsed/>
    <w:qFormat/>
    <w:tblPr/>
  </w:style>
  <w:style w:type="character" w:styleId="913" w:customStyle="1">
    <w:name w:val="标题 1 Char"/>
    <w:link w:val="901"/>
    <w:uiPriority w:val="0"/>
    <w:qFormat/>
    <w:rPr>
      <w:rFonts w:ascii="楷体_GB2312" w:hAnsi="Times New Roman" w:eastAsia="楷体_GB2312" w:cs="Times New Roman"/>
      <w:sz w:val="28"/>
      <w:szCs w:val="28"/>
    </w:rPr>
  </w:style>
  <w:style w:type="character" w:styleId="914" w:customStyle="1">
    <w:name w:val="标题 2 Char"/>
    <w:link w:val="902"/>
    <w:uiPriority w:val="0"/>
    <w:qFormat/>
    <w:rPr>
      <w:rFonts w:ascii="Arial" w:hAnsi="Arial" w:eastAsia="幼圆" w:cs="Arial"/>
      <w:b/>
      <w:bCs/>
      <w:sz w:val="44"/>
      <w:szCs w:val="44"/>
    </w:rPr>
  </w:style>
  <w:style w:type="character" w:styleId="915" w:customStyle="1">
    <w:name w:val="标题 3 Char"/>
    <w:link w:val="903"/>
    <w:uiPriority w:val="0"/>
    <w:qFormat/>
    <w:rPr>
      <w:rFonts w:ascii="Times New Roman" w:hAnsi="Times New Roman" w:eastAsia="宋体" w:cs="Times New Roman"/>
      <w:b/>
      <w:bCs/>
      <w:sz w:val="32"/>
      <w:szCs w:val="32"/>
    </w:rPr>
  </w:style>
  <w:style w:type="character" w:styleId="916" w:customStyle="1">
    <w:name w:val="正文缩进 Char"/>
    <w:link w:val="904"/>
    <w:uiPriority w:val="0"/>
    <w:qFormat/>
    <w:rPr>
      <w:rFonts w:ascii="Times New Roman" w:hAnsi="Times New Roman" w:eastAsia="宋体" w:cs="Times New Roman"/>
      <w:szCs w:val="21"/>
    </w:rPr>
  </w:style>
  <w:style w:type="character" w:styleId="917" w:customStyle="1">
    <w:name w:val="标题 4 Char"/>
    <w:link w:val="905"/>
    <w:uiPriority w:val="0"/>
    <w:qFormat/>
    <w:rPr>
      <w:rFonts w:ascii="Arial" w:hAnsi="Arial" w:eastAsia="黑体" w:cs="Arial"/>
      <w:b/>
      <w:bCs/>
      <w:sz w:val="28"/>
      <w:szCs w:val="28"/>
    </w:rPr>
  </w:style>
  <w:style w:type="character" w:styleId="918" w:customStyle="1">
    <w:name w:val="标题 5 Char"/>
    <w:link w:val="906"/>
    <w:uiPriority w:val="0"/>
    <w:qFormat/>
    <w:rPr>
      <w:rFonts w:ascii="宋体" w:hAnsi="Times New Roman" w:eastAsia="宋体" w:cs="Times New Roman"/>
      <w:color w:val="000000"/>
      <w:sz w:val="28"/>
      <w:szCs w:val="28"/>
    </w:rPr>
  </w:style>
  <w:style w:type="character" w:styleId="919" w:customStyle="1">
    <w:name w:val="标题 6 Char"/>
    <w:link w:val="907"/>
    <w:uiPriority w:val="0"/>
    <w:qFormat/>
    <w:rPr>
      <w:rFonts w:ascii="Arial" w:hAnsi="Arial" w:eastAsia="黑体" w:cs="Times New Roman"/>
      <w:b/>
      <w:bCs/>
      <w:sz w:val="24"/>
      <w:szCs w:val="24"/>
    </w:rPr>
  </w:style>
  <w:style w:type="character" w:styleId="920" w:customStyle="1">
    <w:name w:val="标题 7 Char"/>
    <w:link w:val="908"/>
    <w:uiPriority w:val="0"/>
    <w:qFormat/>
    <w:rPr>
      <w:rFonts w:ascii="Times New Roman" w:hAnsi="Times New Roman" w:eastAsia="宋体" w:cs="Times New Roman"/>
      <w:b/>
      <w:bCs/>
      <w:sz w:val="24"/>
      <w:szCs w:val="24"/>
    </w:rPr>
  </w:style>
  <w:style w:type="character" w:styleId="921" w:customStyle="1">
    <w:name w:val="标题 8 Char"/>
    <w:link w:val="909"/>
    <w:uiPriority w:val="0"/>
    <w:qFormat/>
    <w:rPr>
      <w:rFonts w:ascii="Arial" w:hAnsi="Arial" w:eastAsia="黑体" w:cs="Times New Roman"/>
      <w:sz w:val="24"/>
      <w:szCs w:val="24"/>
    </w:rPr>
  </w:style>
  <w:style w:type="character" w:styleId="922" w:customStyle="1">
    <w:name w:val="标题 9 Char"/>
    <w:link w:val="910"/>
    <w:uiPriority w:val="0"/>
    <w:qFormat/>
    <w:rPr>
      <w:rFonts w:ascii="Arial" w:hAnsi="Arial" w:eastAsia="黑体" w:cs="Times New Roman"/>
      <w:szCs w:val="21"/>
    </w:rPr>
  </w:style>
  <w:style w:type="paragraph" w:styleId="923" w:customStyle="1">
    <w:name w:val="列表 31"/>
    <w:basedOn w:val="707"/>
    <w:uiPriority w:val="0"/>
    <w:qFormat/>
    <w:pPr>
      <w:ind w:left="100" w:hanging="200"/>
    </w:pPr>
  </w:style>
  <w:style w:type="paragraph" w:styleId="924" w:customStyle="1">
    <w:name w:val="目录 71"/>
    <w:basedOn w:val="707"/>
    <w:next w:val="707"/>
    <w:uiPriority w:val="0"/>
    <w:semiHidden/>
    <w:qFormat/>
    <w:pPr>
      <w:ind w:left="1260"/>
      <w:jc w:val="left"/>
    </w:pPr>
  </w:style>
  <w:style w:type="paragraph" w:styleId="925" w:customStyle="1">
    <w:name w:val="文档结构图1"/>
    <w:basedOn w:val="707"/>
    <w:link w:val="926"/>
    <w:uiPriority w:val="0"/>
    <w:semiHidden/>
    <w:qFormat/>
    <w:pPr>
      <w:shd w:val="clear" w:color="auto" w:fill="000080"/>
    </w:pPr>
  </w:style>
  <w:style w:type="character" w:styleId="926" w:customStyle="1">
    <w:name w:val="文档结构图 Char"/>
    <w:link w:val="925"/>
    <w:uiPriority w:val="0"/>
    <w:semiHidden/>
    <w:qFormat/>
    <w:rPr>
      <w:rFonts w:ascii="Times New Roman" w:hAnsi="Times New Roman" w:eastAsia="宋体" w:cs="Times New Roman"/>
      <w:szCs w:val="21"/>
      <w:shd w:val="clear" w:color="auto" w:fill="000080"/>
    </w:rPr>
  </w:style>
  <w:style w:type="paragraph" w:styleId="927" w:customStyle="1">
    <w:name w:val="批注文字1"/>
    <w:basedOn w:val="707"/>
    <w:link w:val="928"/>
    <w:uiPriority w:val="0"/>
    <w:semiHidden/>
    <w:qFormat/>
    <w:pPr>
      <w:jc w:val="left"/>
    </w:pPr>
  </w:style>
  <w:style w:type="character" w:styleId="928" w:customStyle="1">
    <w:name w:val="批注文字 Char"/>
    <w:link w:val="927"/>
    <w:uiPriority w:val="0"/>
    <w:semiHidden/>
    <w:qFormat/>
    <w:rPr>
      <w:rFonts w:ascii="Times New Roman" w:hAnsi="Times New Roman" w:eastAsia="宋体" w:cs="Times New Roman"/>
      <w:szCs w:val="21"/>
    </w:rPr>
  </w:style>
  <w:style w:type="paragraph" w:styleId="929" w:customStyle="1">
    <w:name w:val="正文文本 31"/>
    <w:basedOn w:val="707"/>
    <w:link w:val="930"/>
    <w:uiPriority w:val="0"/>
    <w:qFormat/>
    <w:rPr>
      <w:rFonts w:ascii="仿宋_GB2312" w:hAnsi="Arial" w:eastAsia="仿宋_GB2312"/>
      <w:sz w:val="32"/>
      <w:szCs w:val="32"/>
    </w:rPr>
  </w:style>
  <w:style w:type="character" w:styleId="930" w:customStyle="1">
    <w:name w:val="正文文本 3 Char"/>
    <w:link w:val="929"/>
    <w:uiPriority w:val="0"/>
    <w:qFormat/>
    <w:rPr>
      <w:rFonts w:ascii="仿宋_GB2312" w:hAnsi="Arial" w:eastAsia="仿宋_GB2312" w:cs="Times New Roman"/>
      <w:sz w:val="32"/>
      <w:szCs w:val="32"/>
    </w:rPr>
  </w:style>
  <w:style w:type="paragraph" w:styleId="931" w:customStyle="1">
    <w:name w:val="正文文本1"/>
    <w:basedOn w:val="707"/>
    <w:link w:val="932"/>
    <w:uiPriority w:val="0"/>
    <w:qFormat/>
    <w:rPr>
      <w:rFonts w:ascii="楷体_GB2312" w:hAnsi="Arial" w:eastAsia="楷体_GB2312"/>
      <w:sz w:val="28"/>
      <w:szCs w:val="28"/>
    </w:rPr>
  </w:style>
  <w:style w:type="character" w:styleId="932" w:customStyle="1">
    <w:name w:val="正文文本 Char"/>
    <w:link w:val="931"/>
    <w:uiPriority w:val="0"/>
    <w:qFormat/>
    <w:rPr>
      <w:rFonts w:ascii="楷体_GB2312" w:hAnsi="Arial" w:eastAsia="楷体_GB2312" w:cs="Times New Roman"/>
      <w:sz w:val="28"/>
      <w:szCs w:val="28"/>
    </w:rPr>
  </w:style>
  <w:style w:type="paragraph" w:styleId="933" w:customStyle="1">
    <w:name w:val="正文文本缩进1"/>
    <w:basedOn w:val="707"/>
    <w:link w:val="934"/>
    <w:uiPriority w:val="0"/>
    <w:qFormat/>
    <w:pPr>
      <w:ind w:firstLine="645"/>
    </w:pPr>
    <w:rPr>
      <w:rFonts w:ascii="楷体_GB2312" w:eastAsia="楷体_GB2312"/>
      <w:sz w:val="32"/>
      <w:szCs w:val="32"/>
    </w:rPr>
  </w:style>
  <w:style w:type="character" w:styleId="934" w:customStyle="1">
    <w:name w:val="正文文本缩进 Char"/>
    <w:link w:val="933"/>
    <w:uiPriority w:val="0"/>
    <w:qFormat/>
    <w:rPr>
      <w:rFonts w:ascii="楷体_GB2312" w:hAnsi="Times New Roman" w:eastAsia="楷体_GB2312" w:cs="Times New Roman"/>
      <w:sz w:val="32"/>
      <w:szCs w:val="32"/>
    </w:rPr>
  </w:style>
  <w:style w:type="paragraph" w:styleId="935" w:customStyle="1">
    <w:name w:val="列表 21"/>
    <w:basedOn w:val="707"/>
    <w:uiPriority w:val="0"/>
    <w:qFormat/>
    <w:pPr>
      <w:ind w:left="100" w:hanging="200"/>
    </w:pPr>
  </w:style>
  <w:style w:type="paragraph" w:styleId="936" w:customStyle="1">
    <w:name w:val="目录 51"/>
    <w:basedOn w:val="707"/>
    <w:next w:val="707"/>
    <w:uiPriority w:val="0"/>
    <w:semiHidden/>
    <w:qFormat/>
    <w:pPr>
      <w:ind w:left="840"/>
      <w:jc w:val="left"/>
    </w:pPr>
  </w:style>
  <w:style w:type="paragraph" w:styleId="937" w:customStyle="1">
    <w:name w:val="目录 31"/>
    <w:basedOn w:val="707"/>
    <w:next w:val="707"/>
    <w:uiPriority w:val="0"/>
    <w:semiHidden/>
    <w:qFormat/>
    <w:pPr>
      <w:ind w:left="420"/>
      <w:jc w:val="left"/>
    </w:pPr>
    <w:rPr>
      <w:i/>
      <w:iCs/>
      <w:szCs w:val="24"/>
    </w:rPr>
  </w:style>
  <w:style w:type="paragraph" w:styleId="938" w:customStyle="1">
    <w:name w:val="纯文本11"/>
    <w:basedOn w:val="707"/>
    <w:link w:val="939"/>
    <w:uiPriority w:val="0"/>
    <w:qFormat/>
    <w:rPr>
      <w:rFonts w:ascii="宋体" w:hAnsi="Courier New" w:cs="Courier New"/>
    </w:rPr>
  </w:style>
  <w:style w:type="character" w:styleId="939" w:customStyle="1">
    <w:name w:val="纯文本 Char"/>
    <w:link w:val="938"/>
    <w:uiPriority w:val="0"/>
    <w:qFormat/>
    <w:rPr>
      <w:rFonts w:ascii="宋体" w:hAnsi="Courier New" w:eastAsia="宋体" w:cs="Courier New"/>
      <w:szCs w:val="21"/>
    </w:rPr>
  </w:style>
  <w:style w:type="paragraph" w:styleId="940" w:customStyle="1">
    <w:name w:val="目录 81"/>
    <w:basedOn w:val="707"/>
    <w:next w:val="707"/>
    <w:uiPriority w:val="0"/>
    <w:semiHidden/>
    <w:qFormat/>
    <w:pPr>
      <w:ind w:left="1470"/>
      <w:jc w:val="left"/>
    </w:pPr>
  </w:style>
  <w:style w:type="paragraph" w:styleId="941" w:customStyle="1">
    <w:name w:val="日期1"/>
    <w:basedOn w:val="707"/>
    <w:next w:val="707"/>
    <w:link w:val="942"/>
    <w:uiPriority w:val="0"/>
    <w:qFormat/>
    <w:rPr>
      <w:sz w:val="24"/>
      <w:szCs w:val="24"/>
    </w:rPr>
  </w:style>
  <w:style w:type="character" w:styleId="942" w:customStyle="1">
    <w:name w:val="日期 Char"/>
    <w:link w:val="941"/>
    <w:uiPriority w:val="0"/>
    <w:qFormat/>
    <w:rPr>
      <w:rFonts w:ascii="Times New Roman" w:hAnsi="Times New Roman" w:eastAsia="宋体" w:cs="Times New Roman"/>
      <w:sz w:val="24"/>
      <w:szCs w:val="24"/>
    </w:rPr>
  </w:style>
  <w:style w:type="paragraph" w:styleId="943" w:customStyle="1">
    <w:name w:val="正文文本缩进 21"/>
    <w:basedOn w:val="707"/>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paragraph" w:styleId="945" w:customStyle="1">
    <w:name w:val="批注框文本1"/>
    <w:basedOn w:val="707"/>
    <w:link w:val="946"/>
    <w:uiPriority w:val="0"/>
    <w:semiHidden/>
    <w:qFormat/>
    <w:rPr>
      <w:sz w:val="18"/>
      <w:szCs w:val="18"/>
    </w:rPr>
  </w:style>
  <w:style w:type="character" w:styleId="946" w:customStyle="1">
    <w:name w:val="批注框文本 Char"/>
    <w:link w:val="945"/>
    <w:uiPriority w:val="0"/>
    <w:semiHidden/>
    <w:qFormat/>
    <w:rPr>
      <w:rFonts w:ascii="Times New Roman" w:hAnsi="Times New Roman" w:eastAsia="宋体" w:cs="Times New Roman"/>
      <w:sz w:val="18"/>
      <w:szCs w:val="18"/>
    </w:rPr>
  </w:style>
  <w:style w:type="paragraph" w:styleId="947" w:customStyle="1">
    <w:name w:val="页脚1"/>
    <w:basedOn w:val="707"/>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rFonts w:ascii="Times New Roman" w:hAnsi="Times New Roman" w:eastAsia="宋体" w:cs="Times New Roman"/>
      <w:sz w:val="18"/>
      <w:szCs w:val="18"/>
    </w:rPr>
  </w:style>
  <w:style w:type="paragraph" w:styleId="949" w:customStyle="1">
    <w:name w:val="页眉1"/>
    <w:basedOn w:val="707"/>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07"/>
    <w:next w:val="707"/>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07"/>
    <w:next w:val="707"/>
    <w:uiPriority w:val="0"/>
    <w:semiHidden/>
    <w:qFormat/>
    <w:pPr>
      <w:ind w:left="630"/>
      <w:jc w:val="left"/>
    </w:pPr>
  </w:style>
  <w:style w:type="paragraph" w:styleId="953" w:customStyle="1">
    <w:name w:val="列表1"/>
    <w:basedOn w:val="707"/>
    <w:uiPriority w:val="0"/>
    <w:qFormat/>
    <w:pPr>
      <w:ind w:left="200" w:hanging="200"/>
    </w:pPr>
  </w:style>
  <w:style w:type="paragraph" w:styleId="954" w:customStyle="1">
    <w:name w:val="目录 61"/>
    <w:basedOn w:val="707"/>
    <w:next w:val="707"/>
    <w:uiPriority w:val="0"/>
    <w:semiHidden/>
    <w:qFormat/>
    <w:pPr>
      <w:ind w:left="1050"/>
      <w:jc w:val="left"/>
    </w:pPr>
  </w:style>
  <w:style w:type="paragraph" w:styleId="955" w:customStyle="1">
    <w:name w:val="正文文本缩进 31"/>
    <w:basedOn w:val="707"/>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Char"/>
    <w:link w:val="955"/>
    <w:uiPriority w:val="0"/>
    <w:qFormat/>
    <w:rPr>
      <w:rFonts w:ascii="Arial" w:hAnsi="Arial" w:eastAsia="仿宋_GB2312" w:cs="Arial"/>
      <w:color w:val="ffff00"/>
      <w:sz w:val="32"/>
      <w:szCs w:val="32"/>
    </w:rPr>
  </w:style>
  <w:style w:type="paragraph" w:styleId="957" w:customStyle="1">
    <w:name w:val="图表目录1"/>
    <w:basedOn w:val="707"/>
    <w:next w:val="707"/>
    <w:uiPriority w:val="0"/>
    <w:semiHidden/>
    <w:qFormat/>
    <w:pPr>
      <w:ind w:left="840" w:hanging="420"/>
    </w:pPr>
  </w:style>
  <w:style w:type="paragraph" w:styleId="958" w:customStyle="1">
    <w:name w:val="目录 21"/>
    <w:basedOn w:val="707"/>
    <w:next w:val="707"/>
    <w:uiPriority w:val="0"/>
    <w:semiHidden/>
    <w:qFormat/>
    <w:pPr>
      <w:ind w:left="210"/>
      <w:jc w:val="left"/>
    </w:pPr>
    <w:rPr>
      <w:smallCaps/>
      <w:szCs w:val="24"/>
    </w:rPr>
  </w:style>
  <w:style w:type="paragraph" w:styleId="959" w:customStyle="1">
    <w:name w:val="目录 91"/>
    <w:basedOn w:val="707"/>
    <w:next w:val="707"/>
    <w:uiPriority w:val="0"/>
    <w:semiHidden/>
    <w:qFormat/>
    <w:pPr>
      <w:ind w:left="1680"/>
      <w:jc w:val="left"/>
    </w:pPr>
  </w:style>
  <w:style w:type="paragraph" w:styleId="960" w:customStyle="1">
    <w:name w:val="正文文本 21"/>
    <w:basedOn w:val="707"/>
    <w:link w:val="961"/>
    <w:uiPriority w:val="0"/>
    <w:qFormat/>
    <w:pPr>
      <w:jc w:val="center"/>
      <w:widowControl/>
    </w:pPr>
    <w:rPr>
      <w:rFonts w:ascii="楷体_GB2312" w:eastAsia="楷体_GB2312"/>
      <w:sz w:val="28"/>
      <w:szCs w:val="28"/>
    </w:rPr>
  </w:style>
  <w:style w:type="character" w:styleId="961" w:customStyle="1">
    <w:name w:val="正文文本 2 Char"/>
    <w:link w:val="960"/>
    <w:uiPriority w:val="0"/>
    <w:qFormat/>
    <w:rPr>
      <w:rFonts w:ascii="楷体_GB2312" w:hAnsi="Times New Roman" w:eastAsia="楷体_GB2312" w:cs="Times New Roman"/>
      <w:sz w:val="28"/>
      <w:szCs w:val="28"/>
    </w:rPr>
  </w:style>
  <w:style w:type="paragraph" w:styleId="962" w:customStyle="1">
    <w:name w:val="HTML 预设格式1"/>
    <w:basedOn w:val="7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3" w:customStyle="1">
    <w:name w:val="普通(网站)1"/>
    <w:basedOn w:val="707"/>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707"/>
    <w:next w:val="707"/>
    <w:uiPriority w:val="0"/>
    <w:semiHidden/>
    <w:qFormat/>
    <w:pPr>
      <w:spacing w:line="240" w:lineRule="atLeast"/>
    </w:pPr>
    <w:rPr>
      <w:b/>
      <w:bCs/>
    </w:rPr>
  </w:style>
  <w:style w:type="paragraph" w:styleId="965" w:customStyle="1">
    <w:name w:val="批注主题1"/>
    <w:basedOn w:val="927"/>
    <w:next w:val="927"/>
    <w:link w:val="966"/>
    <w:uiPriority w:val="0"/>
    <w:semiHidden/>
    <w:qFormat/>
    <w:rPr>
      <w:b/>
      <w:bCs/>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707"/>
    <w:link w:val="968"/>
    <w:uiPriority w:val="0"/>
    <w:qFormat/>
    <w:pPr>
      <w:ind w:firstLine="200"/>
      <w:spacing w:line="360" w:lineRule="auto"/>
    </w:pPr>
    <w:rPr>
      <w:rFonts w:ascii="仿宋_GB2312"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3"/>
    <w:link w:val="970"/>
    <w:uiPriority w:val="0"/>
    <w:qFormat/>
    <w:pPr>
      <w:ind w:firstLine="420"/>
      <w:spacing w:line="360" w:lineRule="auto"/>
    </w:pPr>
    <w:rPr>
      <w:rFonts w:ascii="宋体" w:hAnsi="宋体" w:eastAsia="宋体"/>
      <w:sz w:val="21"/>
      <w:szCs w:val="20"/>
    </w:rPr>
  </w:style>
  <w:style w:type="character" w:styleId="970" w:customStyle="1">
    <w:name w:val="正文首行缩进 2 Char"/>
    <w:link w:val="969"/>
    <w:uiPriority w:val="0"/>
    <w:qFormat/>
    <w:rPr>
      <w:rFonts w:ascii="宋体" w:hAnsi="宋体" w:eastAsia="宋体" w:cs="Times New Roman"/>
      <w:sz w:val="32"/>
      <w:szCs w:val="20"/>
    </w:rPr>
  </w:style>
  <w:style w:type="table" w:styleId="971" w:customStyle="1">
    <w:name w:val="网格型1"/>
    <w:basedOn w:val="912"/>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707"/>
    <w:uiPriority w:val="0"/>
    <w:qFormat/>
    <w:rPr>
      <w:b/>
      <w:bCs/>
    </w:rPr>
  </w:style>
  <w:style w:type="character" w:styleId="973" w:customStyle="1">
    <w:name w:val="页码1"/>
    <w:link w:val="707"/>
    <w:uiPriority w:val="0"/>
    <w:qFormat/>
  </w:style>
  <w:style w:type="character" w:styleId="974" w:customStyle="1">
    <w:name w:val="已访问的超链接1"/>
    <w:link w:val="707"/>
    <w:uiPriority w:val="0"/>
    <w:qFormat/>
    <w:rPr>
      <w:color w:val="800080"/>
      <w:u w:val="single"/>
    </w:rPr>
  </w:style>
  <w:style w:type="character" w:styleId="975" w:customStyle="1">
    <w:name w:val="强调1"/>
    <w:basedOn w:val="911"/>
    <w:link w:val="707"/>
    <w:uiPriority w:val="20"/>
    <w:qFormat/>
    <w:rPr>
      <w:i/>
    </w:rPr>
  </w:style>
  <w:style w:type="character" w:styleId="976" w:customStyle="1">
    <w:name w:val="超链接1"/>
    <w:link w:val="707"/>
    <w:uiPriority w:val="0"/>
    <w:qFormat/>
    <w:rPr>
      <w:color w:val="0000ff"/>
      <w:u w:val="single"/>
    </w:rPr>
  </w:style>
  <w:style w:type="character" w:styleId="977" w:customStyle="1">
    <w:name w:val="批注引用1"/>
    <w:link w:val="707"/>
    <w:uiPriority w:val="0"/>
    <w:semiHidden/>
    <w:qFormat/>
    <w:rPr>
      <w:sz w:val="21"/>
      <w:szCs w:val="21"/>
    </w:rPr>
  </w:style>
  <w:style w:type="paragraph" w:styleId="978" w:customStyle="1">
    <w:name w:val="标题 5（有编号）（绿盟科技）"/>
    <w:basedOn w:val="707"/>
    <w:next w:val="97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7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07"/>
    <w:link w:val="98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font5 Char"/>
    <w:link w:val="707"/>
    <w:uiPriority w:val="0"/>
    <w:qFormat/>
    <w:rPr>
      <w:rFonts w:ascii="宋体" w:hAnsi="宋体" w:eastAsia="宋体"/>
      <w:sz w:val="28"/>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07"/>
    <w:link w:val="983"/>
    <w:uiPriority w:val="0"/>
    <w:qFormat/>
    <w:pPr>
      <w:contextualSpacing/>
      <w:ind w:left="720"/>
      <w:jc w:val="left"/>
      <w:widowControl/>
    </w:pPr>
    <w:rPr>
      <w:rFonts w:ascii="Calibri" w:hAnsi="Calibri" w:eastAsia="宋体" w:cs="Times New Roman"/>
      <w:sz w:val="24"/>
      <w:szCs w:val="24"/>
      <w:lang w:eastAsia="en-US" w:bidi="en-US"/>
    </w:rPr>
  </w:style>
  <w:style w:type="character" w:styleId="985" w:customStyle="1">
    <w:name w:val="MSG_EN_FONT_STYLE_NAME_TEMPLATE_ROLE_NUMBER MSG_EN_FONT_STYLE_NAME_BY_ROLE_TEXT 2 + MSG_EN_FONT_STYLE_MODIFER_SIZE 8"/>
    <w:link w:val="707"/>
    <w:uiPriority w:val="0"/>
    <w:qFormat/>
    <w:rPr>
      <w:rFonts w:hint="eastAsia" w:ascii="PMingLiU" w:hAnsi="PMingLiU" w:eastAsia="PMingLiU" w:cs="PMingLiU"/>
      <w:spacing w:val="10"/>
      <w:sz w:val="16"/>
      <w:szCs w:val="16"/>
      <w:u w:val="none"/>
    </w:rPr>
  </w:style>
  <w:style w:type="paragraph" w:styleId="986" w:customStyle="1">
    <w:name w:val="table_lines"/>
    <w:basedOn w:val="707"/>
    <w:uiPriority w:val="0"/>
    <w:qFormat/>
    <w:pPr>
      <w:jc w:val="left"/>
      <w:widowControl/>
    </w:pPr>
    <w:rPr>
      <w:sz w:val="20"/>
      <w:szCs w:val="20"/>
      <w:lang w:val="de-DE" w:eastAsia="de-DE"/>
    </w:rPr>
  </w:style>
  <w:style w:type="paragraph" w:styleId="987" w:customStyle="1">
    <w:name w:val="普通正文"/>
    <w:basedOn w:val="707"/>
    <w:uiPriority w:val="0"/>
    <w:qFormat/>
    <w:pPr>
      <w:ind w:firstLine="480"/>
      <w:jc w:val="left"/>
      <w:spacing w:before="120" w:after="120" w:line="360" w:lineRule="auto"/>
    </w:pPr>
    <w:rPr>
      <w:rFonts w:ascii="Arial" w:hAnsi="Arial"/>
      <w:sz w:val="24"/>
      <w:szCs w:val="24"/>
    </w:rPr>
  </w:style>
  <w:style w:type="paragraph" w:styleId="988" w:customStyle="1">
    <w:name w:val="xl27"/>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6"/>
    <w:basedOn w:val="707"/>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标题1"/>
    <w:basedOn w:val="707"/>
    <w:next w:val="7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 Char Char Char Char"/>
    <w:basedOn w:val="925"/>
    <w:uiPriority w:val="0"/>
    <w:qFormat/>
    <w:pPr>
      <w:spacing w:line="360" w:lineRule="auto"/>
    </w:pPr>
    <w:rPr>
      <w:rFonts w:ascii="Tahoma" w:hAnsi="Tahoma"/>
      <w:sz w:val="24"/>
      <w:szCs w:val="24"/>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996" w:customStyle="1">
    <w:name w:val="列出段落2"/>
    <w:basedOn w:val="707"/>
    <w:uiPriority w:val="0"/>
    <w:qFormat/>
    <w:pPr>
      <w:ind w:firstLine="200"/>
    </w:pPr>
    <w:rPr>
      <w:rFonts w:ascii="Times New Roman" w:hAnsi="Times New Roman" w:eastAsia="宋体" w:cs="Times New Roman"/>
      <w:szCs w:val="20"/>
    </w:rPr>
  </w:style>
  <w:style w:type="paragraph" w:styleId="997" w:customStyle="1">
    <w:name w:val="xl24"/>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Body Text(ch)"/>
    <w:basedOn w:val="707"/>
    <w:next w:val="931"/>
    <w:uiPriority w:val="0"/>
    <w:qFormat/>
    <w:pPr>
      <w:spacing w:after="120"/>
    </w:pPr>
    <w:rPr>
      <w:rFonts w:ascii="宋体" w:hAnsi="Arial"/>
      <w:bCs/>
      <w:iCs/>
      <w:szCs w:val="24"/>
    </w:rPr>
  </w:style>
  <w:style w:type="paragraph" w:styleId="999" w:customStyle="1">
    <w:name w:val=" 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1000" w:customStyle="1">
    <w:name w:val="xl2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Char Char Char"/>
    <w:basedOn w:val="925"/>
    <w:uiPriority w:val="0"/>
    <w:qFormat/>
    <w:pPr>
      <w:spacing w:line="360" w:lineRule="auto"/>
    </w:pPr>
    <w:rPr>
      <w:rFonts w:ascii="Tahoma" w:hAnsi="Tahoma"/>
      <w:sz w:val="24"/>
      <w:szCs w:val="24"/>
    </w:rPr>
  </w:style>
  <w:style w:type="paragraph" w:styleId="1002" w:customStyle="1">
    <w:name w:val="Char"/>
    <w:basedOn w:val="707"/>
    <w:uiPriority w:val="0"/>
    <w:qFormat/>
    <w:pPr>
      <w:ind w:firstLine="200"/>
      <w:tabs>
        <w:tab w:val="left" w:pos="360" w:leader="none"/>
      </w:tabs>
    </w:pPr>
    <w:rPr>
      <w:sz w:val="28"/>
      <w:szCs w:val="30"/>
    </w:rPr>
  </w:style>
  <w:style w:type="paragraph" w:styleId="1003" w:customStyle="1">
    <w:name w:val="font7"/>
    <w:basedOn w:val="707"/>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 Char"/>
    <w:basedOn w:val="925"/>
    <w:uiPriority w:val="0"/>
    <w:qFormat/>
    <w:rPr>
      <w:rFonts w:ascii="Tahoma" w:hAnsi="Tahoma"/>
      <w:sz w:val="24"/>
      <w:szCs w:val="24"/>
    </w:rPr>
  </w:style>
  <w:style w:type="paragraph" w:styleId="1005" w:customStyle="1">
    <w:name w:val="列出段落"/>
    <w:basedOn w:val="707"/>
    <w:uiPriority w:val="0"/>
    <w:qFormat/>
    <w:pPr>
      <w:contextualSpacing/>
      <w:ind w:left="720"/>
      <w:jc w:val="left"/>
      <w:widowControl/>
    </w:pPr>
    <w:rPr>
      <w:rFonts w:ascii="Calibri" w:hAnsi="Calibri"/>
      <w:sz w:val="24"/>
      <w:szCs w:val="24"/>
      <w:lang w:eastAsia="en-US" w:bidi="en-US"/>
    </w:rPr>
  </w:style>
  <w:style w:type="paragraph" w:styleId="1006" w:customStyle="1">
    <w:name w:val="4"/>
    <w:basedOn w:val="707"/>
    <w:next w:val="955"/>
    <w:uiPriority w:val="0"/>
    <w:qFormat/>
    <w:pPr>
      <w:ind w:firstLine="420"/>
      <w:spacing w:line="360" w:lineRule="auto"/>
    </w:pPr>
    <w:rPr>
      <w:color w:val="ff0000"/>
      <w:sz w:val="24"/>
      <w:szCs w:val="24"/>
    </w:rPr>
  </w:style>
  <w:style w:type="paragraph" w:styleId="1007" w:customStyle="1">
    <w:name w:val="普通 (Web)"/>
    <w:basedOn w:val="707"/>
    <w:uiPriority w:val="0"/>
    <w:qFormat/>
    <w:pPr>
      <w:jc w:val="left"/>
      <w:spacing w:before="100" w:beforeAutospacing="1" w:after="100" w:afterAutospacing="1"/>
      <w:widowControl/>
    </w:pPr>
    <w:rPr>
      <w:rFonts w:ascii="宋体" w:hAnsi="宋体"/>
      <w:sz w:val="24"/>
      <w:szCs w:val="24"/>
    </w:rPr>
  </w:style>
  <w:style w:type="paragraph" w:styleId="1008" w:customStyle="1">
    <w:name w:val=" Char Char Char Char Char Char Char Char Char Char"/>
    <w:basedOn w:val="707"/>
    <w:uiPriority w:val="0"/>
    <w:qFormat/>
    <w:pPr>
      <w:spacing w:line="360" w:lineRule="auto"/>
    </w:pPr>
    <w:rPr>
      <w:sz w:val="24"/>
      <w:szCs w:val="20"/>
    </w:rPr>
  </w:style>
  <w:style w:type="paragraph" w:styleId="1009" w:customStyle="1">
    <w:name w:val="样式1"/>
    <w:basedOn w:val="707"/>
    <w:uiPriority w:val="0"/>
    <w:qFormat/>
    <w:pPr>
      <w:numPr>
        <w:ilvl w:val="0"/>
        <w:numId w:val="4"/>
      </w:numPr>
    </w:pPr>
    <w:rPr>
      <w:rFonts w:ascii="宋体" w:hAnsi="宋体"/>
    </w:rPr>
  </w:style>
  <w:style w:type="paragraph" w:styleId="10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1" w:customStyle="1">
    <w:name w:val="xl25"/>
    <w:basedOn w:val="7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07"/>
    <w:next w:val="7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07"/>
    <w:next w:val="707"/>
    <w:uiPriority w:val="0"/>
    <w:qFormat/>
    <w:pPr>
      <w:ind w:firstLine="624"/>
      <w:spacing w:line="590" w:lineRule="atLeast"/>
    </w:pPr>
    <w:rPr>
      <w:rFonts w:ascii="方正黑体_GBK" w:eastAsia="方正黑体_GBK"/>
      <w:sz w:val="32"/>
      <w:szCs w:val="32"/>
    </w:rPr>
  </w:style>
  <w:style w:type="paragraph" w:styleId="1014" w:customStyle="1">
    <w:name w:val="xl29"/>
    <w:basedOn w:val="7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xl30"/>
    <w:basedOn w:val="707"/>
    <w:uiPriority w:val="0"/>
    <w:qFormat/>
    <w:pPr>
      <w:jc w:val="center"/>
      <w:spacing w:before="100" w:beforeAutospacing="1" w:after="100" w:afterAutospacing="1"/>
      <w:widowControl/>
    </w:pPr>
    <w:rPr>
      <w:rFonts w:ascii="宋体" w:hAnsi="宋体"/>
      <w:b/>
      <w:bCs/>
      <w:sz w:val="36"/>
      <w:szCs w:val="36"/>
    </w:rPr>
  </w:style>
  <w:style w:type="paragraph" w:styleId="1016" w:customStyle="1">
    <w:name w:val="table_1stline"/>
    <w:basedOn w:val="707"/>
    <w:uiPriority w:val="0"/>
    <w:qFormat/>
    <w:pPr>
      <w:jc w:val="left"/>
      <w:spacing w:before="120"/>
      <w:widowControl/>
    </w:pPr>
    <w:rPr>
      <w:bCs/>
      <w:sz w:val="20"/>
      <w:szCs w:val="20"/>
      <w:lang w:val="de-DE" w:eastAsia="de-DE"/>
    </w:rPr>
  </w:style>
  <w:style w:type="paragraph" w:styleId="1017" w:customStyle="1">
    <w:name w:val="font5"/>
    <w:basedOn w:val="707"/>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纯文本1"/>
    <w:basedOn w:val="707"/>
    <w:uiPriority w:val="0"/>
    <w:qFormat/>
    <w:rPr>
      <w:rFonts w:ascii="宋体" w:hAnsi="Courier New" w:cs="Courier New"/>
    </w:rPr>
  </w:style>
  <w:style w:type="paragraph" w:styleId="1019" w:customStyle="1">
    <w:name w:val="标题 31"/>
    <w:basedOn w:val="707"/>
    <w:next w:val="707"/>
    <w:uiPriority w:val="9"/>
    <w:qFormat/>
    <w:pPr>
      <w:keepLines/>
      <w:keepNext/>
      <w:spacing w:before="260" w:after="260" w:line="416" w:lineRule="auto"/>
      <w:outlineLvl w:val="2"/>
    </w:pPr>
    <w:rPr>
      <w:rFonts w:ascii="Times New Roman" w:hAnsi="Times New Roman"/>
      <w:b/>
      <w:bCs/>
      <w:sz w:val="32"/>
      <w:szCs w:val="32"/>
    </w:rPr>
  </w:style>
  <w:style w:type="character" w:styleId="1020" w:customStyle="1">
    <w:name w:val="NormalCharacter"/>
    <w:uiPriority w:val="0"/>
    <w:qFormat/>
  </w:style>
  <w:style w:type="paragraph" w:styleId="1021" w:customStyle="1">
    <w:name w:val=".o.a"/>
    <w:basedOn w:val="751"/>
    <w:next w:val="751"/>
    <w:uiPriority w:val="0"/>
    <w:qFormat/>
    <w:rPr>
      <w:rFonts w:ascii="宋体" w:eastAsia="宋体"/>
      <w:color w:val="auto"/>
    </w:rPr>
  </w:style>
  <w:style w:type="paragraph" w:styleId="1022" w:customStyle="1">
    <w:name w:val="Table Paragraph"/>
    <w:basedOn w:val="707"/>
    <w:uiPriority w:val="1"/>
    <w:unhideWhenUsed/>
    <w:qFormat/>
    <w:pPr>
      <w:jc w:val="center"/>
    </w:pPr>
    <w:rPr>
      <w:rFonts w:hint="eastAsia" w:ascii="楷体" w:hAnsi="楷体" w:eastAsia="楷体" w:cs="楷体"/>
      <w:sz w:val="22"/>
      <w:lang w:val="zh-CN"/>
    </w:rPr>
  </w:style>
  <w:style w:type="paragraph" w:styleId="1023" w:customStyle="1">
    <w:name w:val="普通(网站)11"/>
    <w:uiPriority w:val="99"/>
    <w:unhideWhenUsed/>
    <w:qFormat/>
    <w:pPr>
      <w:ind w:left="0" w:right="0"/>
      <w:jc w:val="left"/>
      <w:spacing w:before="100" w:beforeAutospacing="1" w:after="100" w:afterAutospacing="1"/>
      <w:widowControl w:val="off"/>
    </w:pPr>
    <w:rPr>
      <w:rFonts w:hint="default" w:ascii="Times New Roman" w:hAnsi="Times New Roman" w:eastAsia="宋体" w:cs="Times New Roman"/>
      <w:sz w:val="24"/>
      <w:szCs w:val="21"/>
      <w:lang w:val="en-US" w:eastAsia="zh-CN" w:bidi="ar"/>
    </w:rPr>
  </w:style>
  <w:style w:type="paragraph" w:styleId="1024" w:customStyle="1">
    <w:name w:val="Heading 3"/>
    <w:next w:val="721"/>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lang w:eastAsia="zh-CN"/>
    </w:rPr>
  </w:style>
  <w:style w:type="paragraph" w:styleId="1025" w:customStyle="1">
    <w:name w:val="表格文本"/>
    <w:basedOn w:val="707"/>
    <w:uiPriority w:val="0"/>
    <w:qFormat/>
    <w:pPr>
      <w:ind w:firstLine="0"/>
      <w:jc w:val="center"/>
      <w:spacing w:line="240" w:lineRule="auto"/>
    </w:pPr>
    <w:rPr>
      <w:rFonts w:ascii="仿宋" w:hAnsi="仿宋" w:cs="Times New Roman"/>
      <w:color w:val="000000"/>
      <w:sz w:val="21"/>
      <w:szCs w:val="21"/>
    </w:rPr>
  </w:style>
  <w:style w:type="character" w:styleId="1026" w:customStyle="1">
    <w:name w:val="font11"/>
    <w:basedOn w:val="717"/>
    <w:uiPriority w:val="0"/>
    <w:qFormat/>
    <w:rPr>
      <w:rFonts w:ascii="宋体" w:hAnsi="宋体" w:eastAsia="宋体" w:cs="宋体"/>
      <w:color w:val="000000"/>
      <w:sz w:val="24"/>
      <w:szCs w:val="24"/>
      <w:u w:val="none"/>
    </w:rPr>
  </w:style>
  <w:style w:type="numbering" w:styleId="205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cd241cbc-37dc-4ebb-9c0a-fcda29c22c54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715c9573-01d0-42a6-ac88-3f89aced0591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f930db92-707d-4700-ba85-b91f3120aef3</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29D3AFDA</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b8d25f47-951a-470f-85b5-847f99e3cfed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1A7BA4C6</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127419cb-8fb4-4a81-beae-254169a10e36</errorID>
      <errorWord xmlns="http://schemas.wps.cn/vas-ai-hub/contract-review">23:59分</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23:59</item>
      </candidateList>
      <explain xmlns="http://schemas.wps.cn/vas-ai-hub/contract-review">冒号时间格式（XX:XX）后不需要加“分”。</explain>
      <paraID xmlns="http://schemas.wps.cn/vas-ai-hub/contract-review">796D285A</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d2c6c724-d159-4b68-bf0f-fbaab186a33b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4AABF781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77943573-2635-4807-9f51-0a00dbac0682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1B64A710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b7a08b38-abcd-483d-bfd5-9c51e4b59ef4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55C686C6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3d72e143-f55e-436c-8eb9-a25099ce9d59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5F129882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6e3ce55a-bb11-4cad-8d93-b85c0da9df83</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E57C581</paraID>
      <start xmlns="http://schemas.wps.cn/vas-ai-hub/contract-review">25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d0e432eb-566a-4485-916e-6050f4233db5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6E43AE17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c28ce5f6-4926-475f-a4b9-e76645933b0b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572B64B0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6e41f374-10be-473a-b324-4abcd367bf89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794441AB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7f31570a-348a-4e10-bb4c-1f5987b225cc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45C07F8A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d7932936-1c01-4dcf-8f83-5d6447ad2a4a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75C33B93</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bae13b94-9379-46ce-b3fa-636b1ea21874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175BF1A0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de315387-c2c7-43ec-8227-04d120d7e8d9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729DD2CE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a64181d9-f9aa-4783-b4b5-5f551bb71a9f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3C2B92DF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46a355c5-e478-4db9-b4f3-979cc462add1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7051F663</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ff4e3910-bd10-4eb1-bbe7-733856307577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2E2F8C9B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30e4277e-6c68-4597-b0b5-ea7da16f881f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6A36BB0E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977fe132-da57-47d0-bc07-5cc40148f1cf</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4103ACCD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ee71a082-1578-4873-b89e-0db3c559463c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4200ACB1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d27a8f18-bf7c-43b3-91f2-038f37d61d5b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3B04BC84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798d5a5c-81ac-4456-9e30-46feda18d3c4</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798976BF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0c3e4f26-e4d6-4c63-aec8-847b6ff57ccf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4713186A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7a81c1f5-a81f-4e06-8324-a99e38357860</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2D8480B7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e36ad978-b4eb-48bc-a122-97b229bbb2f3</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8331187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92fea4b1-f5ac-4bce-b57c-e2a9cfea06b7</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6B6A25E9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39f17ffb-eab2-476e-a9de-571e9e299d33</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16BF8C88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cebdfacf-26bf-479d-a903-00832694f9fd</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1C34414A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e1675c7a-f574-4e33-a295-072695847fbc</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48FA0965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ab7e3241-c953-4281-a42d-3580e899a80e</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5F430A36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bfd326b8-4573-4456-b81d-b2a109963351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5826F7E4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1bc99193-87ca-43ad-8405-c9bf6f065ae1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2A40DD78</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0f574b9c-fe83-45a5-b21c-4055b6eb5e51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61F48D31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f2cdc4c9-1cca-48c8-b4e6-d953dcb8ebbd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5D07BB64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7430e947-5cda-42f3-816f-bab4cf05b553</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2A92BBE6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5961a3bc-81dc-45d2-907d-06fbc596fb62</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56BA46F5</paraID>
      <start xmlns="http://schemas.wps.cn/vas-ai-hub/contract-review">676</start>
      <end xmlns="http://schemas.wps.cn/vas-ai-hub/contract-review">679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43b191f7-721d-461f-b2bc-ef27715cc351</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4B17D960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c7812a4a-6ba9-45d5-93d4-b77f0bf26a04</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7BB85BA5</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6cc14f78-9d18-42af-9493-6d6beea5c96d</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5562F81E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d7d3545d-3aaf-4068-a78d-6d8effe3d818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2FFBAEBE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8201db73-dbe9-47d2-8fb5-083ce39f102d</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2FFBAEBE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cde847ce-60d1-4961-bc54-390095a9c64b</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7FD3F2B6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6a83d198-ec92-48b5-afe5-08baca5cf9cf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687F6C2F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fa8cda04-408a-471d-ad61-10501408e242</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68567213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b31c7f1e-9767-4b61-9314-dc8aa908d19b</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须在</item>
      </candidateList>
      <explain xmlns="http://schemas.wps.cn/vas-ai-hub/contract-review"/>
      <paraID xmlns="http://schemas.wps.cn/vas-ai-hub/contract-review">47FE8B52</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8d40ff49-d743-46e4-b37e-52ee08aaa2ca</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5BABFBFC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ba07c679-c62f-4c88-b9c5-b7cac6a8da7b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125FB52D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8a0593d7-d2a4-4a89-9135-9d1815049068</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6735466C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c5a821a8-8419-414d-b16c-450fcb857cb1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3D386C0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2765591e-6470-41ac-9b61-96bde86ba6d9</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 3D386C0</paraID>
      <start xmlns="http://schemas.wps.cn/vas-ai-hub/contract-review">32</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37fb5f4e-2b32-4f84-93d5-e95a13ce0ba3</errorID>
      <errorWord xmlns="http://schemas.wps.cn/vas-ai-hub/contract-review">34、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6E376D95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2151901f-a123-412d-9e66-b1905f05113c</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68C871AE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3d2bf373-e550-45a1-bd51-c86797abe6da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31258c92-a7c4-4247-acba-3b397925ce97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c1a5ba4e-51be-4b6f-ab08-d3ec1097e605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73</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2a835b67-f49f-4bd2-966c-67505ff7f9a3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98</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d1e86091-d510-4842-9db7-5fecdd646bac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082c235c-692c-4564-ad71-0a953025fb08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144</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16a73c30-cef0-44fb-958c-ff823b60514d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167</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cdc6aee7-d861-4d8c-a28f-b4f127c81822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28FD32EE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74a7506f-1557-4b1e-b0c1-188a4c02fb56</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28FD32EE</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65caa2ed-8699-47f4-9081-34cab25e39cd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556ae4bd-8f4b-464d-a0cc-5d40b79eb884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bcadb598-654e-43fa-80a0-dda624ab9b20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727aacae-8140-419b-8f8f-be7eb472fe73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fe2d87a0-b9c8-4d4b-b22c-70bed60b8d49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39B4D204</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94ccdaba-6516-448b-a66d-e537582a63f0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412B56D5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0f840836-4929-4545-9b1b-a89c039329ef</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412B56D5</paraID>
      <start xmlns="http://schemas.wps.cn/vas-ai-hub/contract-review">58</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e7616cf8-7df8-4151-a6d6-be5d39cb32af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2C4B75E1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ed48957c-b445-473e-9f3f-93825f26a4b0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05a11bab-164b-41b4-8e8f-03882a079d68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f4f2a671-c799-4c33-a78d-d712fe2ace36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26BF6660</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928351ed-1a6d-47ae-b614-698f17392698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147ff233-74de-4e5b-9b9c-da0bbb3ce58b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4e4d7928-8139-4adc-b034-16b58594fc2f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3AC21DE8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1d274ba7-320c-4c85-9bf3-464940d27e40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46241C54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c52b3ee6-332d-4f0c-b4a6-26f54b1f1de7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15909B48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636d5d7f-c736-4af3-899b-d13558f94e1d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5E983E7E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71bb803c-cdeb-4111-bd7e-605ace5b660f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eff4d425-5b5a-41be-a1bd-12433b18e1e2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639ce44d-eb8f-4792-ae25-4daff3e226bd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202436ed-26f2-4de4-8b18-41c9d9d6d32a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d7b62792-f0e0-440c-b554-548db3975b5c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1d87b8f8-8c63-442e-a5d3-ef1baff2e928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f1da2d4d-4062-4ab8-9b48-246b3456dc7a</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652E7302</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1b1737b6-0c0c-4239-a887-8d44ed1e9cb4</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4FC07E40</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d74f723b-6107-402a-858d-769786746226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5CF9C170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1975057e-711c-4199-bdb8-5c0a4de2f52b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2FBFA980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a2825b99-e153-4be0-8b12-5dadd63fcc12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2844886B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c8f91832-80ed-4e22-8da9-e32551bda734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d47feaf5-aec8-459f-a992-f705a04059be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3ccb2cee-68d9-4122-b335-9831120abcd0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cb906d99-88c8-43b5-a51c-71373f8c1ee4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b90b305c-509b-493a-b94d-04832b3a7b9d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48AF3FA7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a8381b14-8c79-4024-9f82-823c88479b0b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5ff3a72b-d932-4a9e-80c5-b9d71201b9d8</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626599F0</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31b80e19-4ac1-4e4c-a745-930f449ebcae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138b9d7c-a816-4eb8-afdf-70f8d9da3eab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163</start>
      <end xmlns="http://schemas.wps.cn/vas-ai-hub/contract-review">164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a2ed4ea4-203b-40b8-8f77-52e080a6de49</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626599F0</paraID>
      <start xmlns="http://schemas.wps.cn/vas-ai-hub/contract-review">170</start>
      <end xmlns="http://schemas.wps.cn/vas-ai-hub/contract-review">180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609fbc2d-5dd2-4d5b-be70-c2e6f4bc7cfa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18f310a3-7c7e-4082-b3f8-a733876e1462</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E4F6D2D</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a02ddeac-fd89-497c-a0ba-8138ed025f64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0544e012-e1c0-404d-ac76-e16911a1f47e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10</cp:revision>
  <dcterms:created xsi:type="dcterms:W3CDTF">2023-03-16T10:16:00Z</dcterms:created>
  <dcterms:modified xsi:type="dcterms:W3CDTF">2026-08-10T06:07:15Z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eyJoZGlkIjoiMTk3OTVkYjJjYTEyY2M4ZmRjZmMzNmM3YTdkMGNkYWQiLCJ1c2VySWQiOiIzODEzNTcxNTUifQ==</vt:lpwstr>
  </property>
  <property fmtid="{D5CDD505-2E9C-101B-9397-08002B2CF9AE}" pid="3" name="KSOProductBuildVer">
    <vt:lpwstr>2052-12.1.0.26895</vt:lpwstr>
  </property>
  <property fmtid="{D5CDD505-2E9C-101B-9397-08002B2CF9AE}" pid="4" name="ICV">
    <vt:lpwstr>97185EA3BB8B49FB8F1594DA81C0264D_13</vt:lpwstr>
  </property>
</Properties>
</file>