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1026"/>
        <w:ind w:firstLine="0"/>
        <w:jc w:val="center"/>
        <w:rPr>
          <w:rFonts w:eastAsia="黑体"/>
          <w:b/>
          <w:bCs/>
          <w:color w:val="000000"/>
          <w:sz w:val="84"/>
        </w:rPr>
      </w:pPr>
      <w:r>
        <w:rPr>
          <w:rFonts w:hint="eastAsia" w:eastAsia="黑体"/>
          <w:b/>
          <w:bCs/>
          <w:color w:val="000000"/>
          <w:sz w:val="84"/>
        </w:rPr>
        <w:t xml:space="preserve">竞争性磋商文件</w:t>
      </w:r>
      <w:r/>
    </w:p>
    <w:p>
      <w:pPr>
        <w:ind w:firstLine="1606"/>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1606"/>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1606"/>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1606"/>
        <w:jc w:val="left"/>
        <w:spacing w:before="120" w:after="120" w:line="360" w:lineRule="auto"/>
        <w:rPr>
          <w:rFonts w:ascii="Arial" w:hAnsi="Arial"/>
          <w:b/>
          <w:bCs/>
          <w:sz w:val="32"/>
          <w:szCs w:val="24"/>
          <w:u w:val="single"/>
        </w:rPr>
      </w:pPr>
      <w:r>
        <w:rPr>
          <w:rFonts w:hint="eastAsia" w:ascii="Arial" w:hAnsi="Arial"/>
          <w:b/>
          <w:bCs/>
          <w:sz w:val="32"/>
          <w:szCs w:val="24"/>
        </w:rPr>
        <w:t xml:space="preserve">项目名称：</w:t>
      </w:r>
      <w:r>
        <w:rPr>
          <w:rFonts w:hint="eastAsia" w:ascii="Arial" w:hAnsi="Arial"/>
          <w:b/>
          <w:bCs/>
          <w:sz w:val="32"/>
          <w:szCs w:val="24"/>
          <w:lang w:eastAsia="zh-CN"/>
        </w:rPr>
        <w:t xml:space="preserve">桥林街道2026年小区垃圾分类服务外包项目</w:t>
      </w:r>
      <w:r>
        <w:rPr>
          <w:rFonts w:hint="eastAsia" w:ascii="Arial" w:hAnsi="Arial"/>
          <w:b/>
          <w:bCs/>
          <w:sz w:val="32"/>
          <w:szCs w:val="24"/>
        </w:rPr>
        <w:t xml:space="preserve">  </w:t>
      </w:r>
      <w:r>
        <w:rPr>
          <w:rFonts w:hint="eastAsia"/>
          <w:b/>
          <w:color w:val="000000"/>
          <w:sz w:val="30"/>
          <w:szCs w:val="30"/>
        </w:rPr>
        <w:t xml:space="preserve"> </w:t>
      </w:r>
      <w:r/>
    </w:p>
    <w:p>
      <w:pPr>
        <w:ind w:firstLine="1606"/>
        <w:jc w:val="left"/>
        <w:spacing w:before="120" w:after="120" w:line="360" w:lineRule="auto"/>
        <w:rPr>
          <w:rFonts w:hint="eastAsia" w:eastAsia="宋体"/>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JSZC-320111-ZHJZ-C2026-0002</w:t>
      </w:r>
      <w:r/>
    </w:p>
    <w:p>
      <w:pPr>
        <w:ind w:firstLine="1606"/>
        <w:jc w:val="left"/>
        <w:spacing w:before="120" w:after="120" w:line="360" w:lineRule="auto"/>
        <w:rPr>
          <w:rFonts w:hint="eastAsia" w:ascii="Times New Roman" w:hAnsi="Times New Roman"/>
          <w:b/>
          <w:sz w:val="30"/>
          <w:szCs w:val="30"/>
          <w:highlight w:val="none"/>
        </w:rPr>
      </w:pPr>
      <w:r>
        <w:rPr>
          <w:rFonts w:hint="eastAsia" w:ascii="Arial" w:hAnsi="Arial"/>
          <w:b/>
          <w:bCs/>
          <w:color w:val="000000"/>
          <w:sz w:val="32"/>
          <w:szCs w:val="24"/>
          <w:highlight w:val="none"/>
        </w:rPr>
        <w:t xml:space="preserve">（</w:t>
      </w:r>
      <w:r>
        <w:rPr>
          <w:rFonts w:hint="eastAsia" w:ascii="Arial" w:hAnsi="Arial"/>
          <w:b/>
          <w:bCs/>
          <w:color w:val="000000"/>
          <w:sz w:val="32"/>
          <w:szCs w:val="24"/>
          <w:highlight w:val="none"/>
          <w:lang w:eastAsia="zh-CN"/>
        </w:rPr>
        <w:t xml:space="preserve">服务类项目，非专门面向中小企业采购</w:t>
      </w:r>
      <w:r>
        <w:rPr>
          <w:rFonts w:hint="eastAsia" w:ascii="Arial" w:hAnsi="Arial"/>
          <w:b/>
          <w:bCs/>
          <w:color w:val="000000"/>
          <w:sz w:val="32"/>
          <w:szCs w:val="24"/>
          <w:highlight w:val="none"/>
        </w:rPr>
        <w:t xml:space="preserve">）</w:t>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1026"/>
        <w:ind w:firstLine="0"/>
        <w:jc w:val="center"/>
        <w:rPr>
          <w:rFonts w:hint="eastAsia" w:ascii="Times New Roman" w:hAnsi="Times New Roman" w:eastAsia="宋体" w:cs="Times New Roman"/>
          <w:b/>
          <w:bCs/>
          <w:sz w:val="32"/>
          <w:highlight w:val="none"/>
          <w:u w:val="single"/>
          <w:lang w:val="en-US" w:eastAsia="zh-CN"/>
        </w:rPr>
      </w:pPr>
      <w:r>
        <w:rPr>
          <w:rFonts w:hint="eastAsia" w:cs="Times New Roman"/>
          <w:b/>
          <w:bCs/>
          <w:sz w:val="32"/>
          <w:highlight w:val="none"/>
          <w:lang w:eastAsia="zh-CN"/>
        </w:rPr>
        <w:t xml:space="preserve">中环建（北京）工程管理有限责任公司</w:t>
      </w:r>
      <w:r/>
    </w:p>
    <w:p>
      <w:pPr>
        <w:pStyle w:val="1026"/>
        <w:ind w:firstLine="0"/>
        <w:jc w:val="center"/>
        <w:rPr>
          <w:rFonts w:ascii="Times New Roman" w:hAnsi="Times New Roman" w:eastAsia="宋体" w:cs="Times New Roman"/>
          <w:b/>
          <w:bCs/>
          <w:sz w:val="32"/>
          <w:highlight w:val="none"/>
        </w:rPr>
      </w:pPr>
      <w:r>
        <w:rPr>
          <w:rFonts w:hint="eastAsia" w:ascii="Times New Roman" w:hAnsi="Times New Roman" w:cs="Times New Roman"/>
          <w:b/>
          <w:bCs/>
          <w:sz w:val="32"/>
          <w:highlight w:val="none"/>
          <w:u w:val="single"/>
          <w:lang w:val="en-US" w:eastAsia="zh-CN"/>
        </w:rPr>
        <w:t xml:space="preserve">2026</w:t>
      </w:r>
      <w:r>
        <w:rPr>
          <w:rFonts w:hint="eastAsia" w:ascii="Times New Roman" w:hAnsi="Times New Roman" w:eastAsia="宋体" w:cs="Times New Roman"/>
          <w:b/>
          <w:bCs/>
          <w:sz w:val="32"/>
          <w:highlight w:val="none"/>
          <w:u w:val="single"/>
          <w:lang w:val="en-US" w:eastAsia="zh-CN"/>
        </w:rPr>
        <w:t xml:space="preserve"> </w:t>
      </w:r>
      <w:r>
        <w:rPr>
          <w:rFonts w:hint="eastAsia" w:ascii="Arial" w:hAnsi="Arial" w:eastAsia="宋体" w:cs="Times New Roman"/>
          <w:b/>
          <w:bCs/>
          <w:sz w:val="32"/>
          <w:highlight w:val="none"/>
          <w:lang w:eastAsia="zh-CN"/>
        </w:rPr>
        <w:t xml:space="preserve">年</w:t>
      </w:r>
      <w:r>
        <w:rPr>
          <w:rFonts w:hint="eastAsia" w:ascii="Times New Roman" w:hAnsi="Times New Roman" w:eastAsia="宋体" w:cs="Times New Roman"/>
          <w:b/>
          <w:bCs/>
          <w:sz w:val="32"/>
          <w:highlight w:val="none"/>
          <w:u w:val="single"/>
          <w:lang w:val="en-US" w:eastAsia="zh-CN"/>
        </w:rPr>
        <w:t xml:space="preserve"> 0</w:t>
      </w:r>
      <w:r>
        <w:rPr>
          <w:rFonts w:hint="eastAsia" w:ascii="Times New Roman" w:hAnsi="Times New Roman" w:cs="Times New Roman"/>
          <w:b/>
          <w:bCs/>
          <w:sz w:val="32"/>
          <w:highlight w:val="none"/>
          <w:u w:val="single"/>
          <w:lang w:val="en-US" w:eastAsia="zh-CN"/>
        </w:rPr>
        <w:t xml:space="preserve">7</w:t>
      </w:r>
      <w:r>
        <w:rPr>
          <w:rFonts w:hint="eastAsia" w:ascii="Times New Roman" w:hAnsi="Times New Roman" w:eastAsia="宋体" w:cs="Times New Roman"/>
          <w:b/>
          <w:bCs/>
          <w:sz w:val="32"/>
          <w:highlight w:val="none"/>
        </w:rPr>
        <w:t xml:space="preserve">月</w:t>
      </w:r>
      <w:r/>
    </w:p>
    <w:p>
      <w:pPr>
        <w:jc w:val="left"/>
        <w:spacing w:before="120" w:after="120" w:line="360" w:lineRule="auto"/>
        <w:rPr>
          <w:rFonts w:hint="eastAsia" w:ascii="Arial" w:hAnsi="Arial"/>
          <w:sz w:val="24"/>
          <w:szCs w:val="24"/>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Arial" w:hAnsi="Arial"/>
          <w:sz w:val="24"/>
          <w:szCs w:val="24"/>
        </w:rPr>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磋商邀请…………………………………… 2</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供应商须知………………………………… 4</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合同文本……………………………………12</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采购需求……………………………………16</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评审方法与评审标准………………………2</w:t>
      </w:r>
      <w:r>
        <w:rPr>
          <w:rFonts w:hint="eastAsia" w:ascii="黑体" w:hAnsi="宋体" w:eastAsia="黑体"/>
          <w:color w:val="000000"/>
          <w:sz w:val="36"/>
          <w:szCs w:val="21"/>
          <w:lang w:val="en-US" w:eastAsia="zh-CN"/>
        </w:rPr>
        <w:t xml:space="preserve">2</w:t>
      </w:r>
      <w:r/>
    </w:p>
    <w:p>
      <w:pPr>
        <w:numPr>
          <w:ilvl w:val="0"/>
          <w:numId w:val="4"/>
        </w:numPr>
        <w:spacing w:line="960" w:lineRule="auto"/>
        <w:rPr>
          <w:rFonts w:hint="default" w:ascii="黑体" w:hAnsi="宋体" w:eastAsia="黑体"/>
          <w:color w:val="000000"/>
          <w:sz w:val="36"/>
          <w:szCs w:val="21"/>
          <w:lang w:val="en-US"/>
        </w:rPr>
        <w:outlineLvl w:val="0"/>
      </w:pPr>
      <w:r>
        <w:rPr>
          <w:rFonts w:hint="eastAsia" w:ascii="黑体" w:hAnsi="宋体" w:eastAsia="黑体"/>
          <w:color w:val="000000"/>
          <w:sz w:val="36"/>
          <w:szCs w:val="21"/>
        </w:rPr>
        <w:t xml:space="preserve">响应文件格式………………………………2</w:t>
      </w:r>
      <w:r>
        <w:rPr>
          <w:rFonts w:hint="eastAsia" w:ascii="黑体" w:hAnsi="宋体" w:eastAsia="黑体"/>
          <w:color w:val="000000"/>
          <w:sz w:val="36"/>
          <w:szCs w:val="21"/>
          <w:lang w:val="en-US" w:eastAsia="zh-CN"/>
        </w:rPr>
        <w:t xml:space="preserve">5</w:t>
      </w:r>
      <w:r/>
    </w:p>
    <w:p>
      <w:pPr>
        <w:rPr>
          <w:szCs w:val="21"/>
        </w:rPr>
        <w:sectPr>
          <w:footerReference w:type="default"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pPr>
      <w:r>
        <w:rPr>
          <w:szCs w:val="21"/>
        </w:rPr>
      </w:r>
      <w:r/>
    </w:p>
    <w:p>
      <w:pPr>
        <w:rPr>
          <w:szCs w:val="21"/>
        </w:rPr>
      </w:pPr>
      <w:r>
        <w:rPr>
          <w:szCs w:val="21"/>
        </w:r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hint="eastAsia" w:ascii="Arial Unicode MS" w:hAnsi="Arial Unicode MS" w:eastAsia="Arial Unicode MS" w:cs="Arial Unicode MS"/>
          <w:color w:val="000000"/>
          <w:sz w:val="36"/>
          <w:szCs w:val="36"/>
          <w:lang w:val="en-US"/>
        </w:rPr>
        <w:t xml:space="preserve">第一章  </w:t>
      </w:r>
      <w:bookmarkEnd w:id="0"/>
      <w:r>
        <w:rPr>
          <w:rFonts w:hint="eastAsia" w:ascii="Arial Unicode MS" w:hAnsi="Arial Unicode MS" w:eastAsia="Arial Unicode MS" w:cs="Arial Unicode MS"/>
          <w:color w:val="000000"/>
          <w:sz w:val="36"/>
          <w:szCs w:val="36"/>
          <w:lang w:val="en-US"/>
        </w:rPr>
        <w:t xml:space="preserve">磋商邀请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rPr>
          <w:rFonts w:hint="eastAsia" w:ascii="宋体" w:hAnsi="宋体"/>
          <w:sz w:val="24"/>
          <w:szCs w:val="24"/>
        </w:rPr>
        <w:t xml:space="preserve">受南京市浦口区人民政府</w:t>
      </w:r>
      <w:r>
        <w:rPr>
          <w:rFonts w:hint="eastAsia" w:ascii="宋体" w:hAnsi="宋体"/>
          <w:sz w:val="24"/>
          <w:szCs w:val="24"/>
          <w:lang w:eastAsia="zh-CN"/>
        </w:rPr>
        <w:t xml:space="preserve">桥林街道</w:t>
      </w:r>
      <w:r>
        <w:rPr>
          <w:rFonts w:hint="eastAsia" w:ascii="宋体" w:hAnsi="宋体"/>
          <w:sz w:val="24"/>
          <w:szCs w:val="24"/>
        </w:rPr>
        <w:t xml:space="preserve">办事处委托，</w:t>
      </w:r>
      <w:r>
        <w:rPr>
          <w:rFonts w:hint="eastAsia" w:ascii="宋体" w:hAnsi="宋体"/>
          <w:sz w:val="24"/>
          <w:szCs w:val="24"/>
          <w:highlight w:val="none"/>
          <w:lang w:val="en-US" w:eastAsia="zh-CN"/>
        </w:rPr>
        <w:t xml:space="preserve">中环建（北京）工程管理有限责任公司</w:t>
      </w:r>
      <w:r>
        <w:rPr>
          <w:rFonts w:hint="eastAsia" w:ascii="宋体" w:hAnsi="宋体"/>
          <w:sz w:val="24"/>
          <w:szCs w:val="24"/>
        </w:rPr>
        <w:t xml:space="preserve">就</w:t>
      </w:r>
      <w:r>
        <w:rPr>
          <w:rFonts w:hint="eastAsia" w:ascii="宋体" w:hAnsi="宋体"/>
          <w:sz w:val="24"/>
          <w:szCs w:val="24"/>
          <w:lang w:eastAsia="zh-CN"/>
        </w:rPr>
        <w:t xml:space="preserve">桥林街道2026年小区垃圾分类服务外包项目</w:t>
      </w:r>
      <w:r>
        <w:rPr>
          <w:rFonts w:hint="eastAsia" w:ascii="宋体" w:hAnsi="宋体"/>
          <w:sz w:val="24"/>
          <w:szCs w:val="24"/>
        </w:rPr>
        <w:t xml:space="preserve">进行竞争性磋商采购，欢迎符合条件的供应商参加磋商。</w:t>
      </w:r>
      <w:r/>
    </w:p>
    <w:p>
      <w:pPr>
        <w:pStyle w:val="793"/>
        <w:ind w:firstLine="465"/>
        <w:spacing w:before="145" w:after="145" w:line="264" w:lineRule="auto"/>
        <w:rPr>
          <w:rFonts w:ascii="方正黑体_GBK" w:hAnsi="方正黑体_GBK" w:eastAsia="方正黑体_GBK" w:cs="方正黑体_GBK"/>
          <w:b w:val="0"/>
          <w:bCs w:val="0"/>
          <w:color w:val="000000"/>
          <w:sz w:val="30"/>
          <w:szCs w:val="30"/>
        </w:rPr>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
    </w:p>
    <w:p>
      <w:pPr>
        <w:ind w:firstLine="480"/>
        <w:spacing w:line="264" w:lineRule="auto"/>
        <w:rPr>
          <w:rFonts w:ascii="宋体" w:hAnsi="宋体"/>
          <w:sz w:val="24"/>
          <w:szCs w:val="24"/>
        </w:rPr>
      </w:pPr>
      <w:r>
        <w:rPr>
          <w:rFonts w:hint="eastAsia" w:ascii="宋体" w:hAnsi="宋体"/>
          <w:sz w:val="24"/>
          <w:szCs w:val="24"/>
        </w:rPr>
        <w:t xml:space="preserve">1.项目编号：</w:t>
      </w:r>
      <w:r>
        <w:rPr>
          <w:rFonts w:hint="eastAsia" w:ascii="宋体" w:hAnsi="宋体"/>
          <w:sz w:val="24"/>
          <w:szCs w:val="24"/>
          <w:lang w:eastAsia="zh-CN"/>
        </w:rPr>
        <w:t xml:space="preserve">JSZC-320111-ZHJZ-C2026-0006</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lang w:eastAsia="zh-CN"/>
        </w:rPr>
        <w:t xml:space="preserve">桥林街道2026年小区垃圾分类服务外包项目</w:t>
      </w:r>
      <w:r>
        <w:rPr>
          <w:rFonts w:hint="eastAsia" w:ascii="宋体" w:hAnsi="宋体"/>
          <w:sz w:val="24"/>
          <w:szCs w:val="24"/>
        </w:rPr>
        <w:t xml:space="preserve"> </w:t>
      </w:r>
      <w:r/>
    </w:p>
    <w:p>
      <w:pPr>
        <w:ind w:firstLine="480"/>
        <w:spacing w:line="264" w:lineRule="auto"/>
        <w:rPr>
          <w:rFonts w:ascii="宋体" w:hAnsi="宋体" w:cs="宋体"/>
          <w:sz w:val="24"/>
          <w:szCs w:val="24"/>
          <w:highlight w:val="yellow"/>
        </w:rPr>
      </w:pPr>
      <w:r>
        <w:rPr>
          <w:rFonts w:hint="eastAsia" w:ascii="宋体" w:hAnsi="宋体"/>
          <w:sz w:val="24"/>
          <w:szCs w:val="24"/>
        </w:rPr>
        <w:t xml:space="preserve">3.预算金额：</w:t>
      </w:r>
      <w:r>
        <w:rPr>
          <w:rFonts w:hint="eastAsia" w:ascii="宋体" w:hAnsi="宋体"/>
          <w:sz w:val="24"/>
          <w:szCs w:val="24"/>
          <w:lang w:val="en-US" w:eastAsia="zh-CN"/>
        </w:rPr>
        <w:t xml:space="preserve">100万元</w:t>
      </w:r>
      <w:r/>
    </w:p>
    <w:p>
      <w:pPr>
        <w:ind w:firstLine="480"/>
        <w:spacing w:line="264" w:lineRule="auto"/>
        <w:rPr>
          <w:rFonts w:ascii="宋体" w:hAnsi="宋体"/>
          <w:color w:val="000000"/>
          <w:sz w:val="24"/>
          <w:szCs w:val="24"/>
        </w:rPr>
      </w:pPr>
      <w:r/>
      <w:bookmarkStart w:id="12" w:name="_Toc28359003"/>
      <w:r/>
      <w:bookmarkStart w:id="13" w:name="_Toc35393791"/>
      <w:r/>
      <w:bookmarkStart w:id="14" w:name="_Toc38985264"/>
      <w:r/>
      <w:bookmarkStart w:id="15" w:name="_Toc28359080"/>
      <w:r/>
      <w:bookmarkStart w:id="16" w:name="_Toc35393622"/>
      <w:r>
        <w:rPr>
          <w:rFonts w:hint="eastAsia" w:ascii="宋体" w:hAnsi="宋体"/>
          <w:sz w:val="24"/>
          <w:szCs w:val="24"/>
        </w:rPr>
        <w:t xml:space="preserve">4.</w:t>
      </w:r>
      <w:r>
        <w:rPr>
          <w:rFonts w:hint="eastAsia" w:ascii="宋体" w:hAnsi="宋体"/>
          <w:color w:val="000000"/>
          <w:sz w:val="24"/>
          <w:szCs w:val="24"/>
        </w:rPr>
        <w:t xml:space="preserve">本项目最高限价</w:t>
      </w:r>
      <w:r>
        <w:rPr>
          <w:rFonts w:hint="eastAsia" w:ascii="宋体" w:hAnsi="宋体"/>
          <w:color w:val="000000"/>
          <w:sz w:val="24"/>
          <w:szCs w:val="24"/>
          <w:lang w:val="en-US" w:eastAsia="zh-CN"/>
        </w:rPr>
        <w:t xml:space="preserve">100万元</w:t>
      </w:r>
      <w:r>
        <w:rPr>
          <w:rFonts w:hint="eastAsia" w:ascii="宋体" w:hAnsi="宋体"/>
          <w:color w:val="000000"/>
          <w:sz w:val="24"/>
          <w:szCs w:val="24"/>
        </w:rPr>
        <w:t xml:space="preserve">。</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5.采购需求（简介）</w:t>
      </w:r>
      <w:r>
        <w:rPr>
          <w:rFonts w:hint="eastAsia" w:ascii="宋体" w:hAnsi="宋体" w:eastAsia="宋体" w:cs="Times New Roman"/>
          <w:sz w:val="24"/>
          <w:szCs w:val="24"/>
          <w:lang w:eastAsia="zh-CN"/>
        </w:rPr>
        <w:t xml:space="preserve">：为深入推进桥林街道垃圾分类全覆盖工作，响应南京市垃城分类工作任务，根据2020年全市垃圾分类工作总体要求，深入推进桥林街道垃圾分类工作，按照南京市城乡生活垃圾分类专项行动要求，针对辖区现有兰桥雅居等22个小区共73个垃圾分类房以及新交付小区进行垃圾分类收运，同时开展垃圾分类宣传活动，项目预算100万元</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eastAsia="zh-CN"/>
        </w:rPr>
        <w:t xml:space="preserve">（详细内容见本磋商文件第四章）。</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6.合同履行期限：本次服务自合同签订之日起为期一年。首次签订前三个月为试用期，试用期满考核合格后，合同方为有效。</w:t>
      </w:r>
      <w:r/>
    </w:p>
    <w:p>
      <w:pPr>
        <w:ind w:firstLine="480"/>
        <w:spacing w:line="264" w:lineRule="auto"/>
        <w:rPr>
          <w:rFonts w:ascii="宋体" w:hAnsi="宋体"/>
          <w:sz w:val="24"/>
          <w:szCs w:val="24"/>
        </w:rPr>
      </w:pPr>
      <w:r>
        <w:rPr>
          <w:rFonts w:hint="eastAsia" w:ascii="宋体" w:hAnsi="宋体"/>
          <w:sz w:val="24"/>
          <w:szCs w:val="24"/>
        </w:rPr>
        <w:t xml:space="preserve">7.本项目不接受联合体参与磋商。</w:t>
      </w:r>
      <w:r/>
    </w:p>
    <w:p>
      <w:pPr>
        <w:pStyle w:val="793"/>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olor w:val="000000"/>
          <w:sz w:val="24"/>
          <w:szCs w:val="24"/>
        </w:rPr>
      </w:pPr>
      <w:r/>
      <w:bookmarkStart w:id="17" w:name="_Toc35393792"/>
      <w:r/>
      <w:bookmarkStart w:id="18" w:name="_Toc38985265"/>
      <w:r/>
      <w:bookmarkStart w:id="19" w:name="_Toc28359081"/>
      <w:r/>
      <w:bookmarkStart w:id="20" w:name="_Toc35393623"/>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264" w:lineRule="auto"/>
        <w:rPr>
          <w:rFonts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p>
    <w:p>
      <w:pPr>
        <w:ind w:firstLine="480"/>
        <w:spacing w:line="264" w:lineRule="auto"/>
        <w:rPr>
          <w:rFonts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w:t>
      </w:r>
      <w:r>
        <w:rPr>
          <w:rFonts w:hint="eastAsia" w:ascii="宋体" w:hAnsi="宋体"/>
          <w:sz w:val="24"/>
          <w:szCs w:val="24"/>
          <w:lang w:val="zh-CN"/>
        </w:rPr>
        <w:t xml:space="preserve">格式见第六章</w:t>
      </w:r>
      <w:r>
        <w:rPr>
          <w:rFonts w:hint="eastAsia" w:ascii="宋体" w:hAnsi="宋体"/>
          <w:color w:val="000000"/>
          <w:sz w:val="24"/>
          <w:szCs w:val="24"/>
          <w:lang w:val="zh-CN"/>
        </w:rPr>
        <w:t xml:space="preserve">）。</w:t>
      </w:r>
      <w:r/>
    </w:p>
    <w:p>
      <w:pPr>
        <w:ind w:firstLine="480"/>
        <w:spacing w:line="264" w:lineRule="auto"/>
        <w:rPr>
          <w:rFonts w:hint="eastAsia" w:ascii="宋体" w:hAnsi="宋体"/>
          <w:color w:val="000000"/>
          <w:sz w:val="24"/>
          <w:szCs w:val="24"/>
          <w:highlight w:val="none"/>
          <w:lang w:val="zh-CN"/>
        </w:rPr>
      </w:pPr>
      <w:r>
        <w:rPr>
          <w:rFonts w:hint="eastAsia" w:ascii="宋体" w:hAnsi="宋体"/>
          <w:sz w:val="24"/>
          <w:szCs w:val="24"/>
        </w:rPr>
        <w:t xml:space="preserve">1.2法律、行政法规规定的其他条件：无</w:t>
      </w:r>
      <w:r/>
    </w:p>
    <w:p>
      <w:pPr>
        <w:ind w:firstLine="480"/>
        <w:spacing w:line="264"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2.落实政府采购政策需满足的资格要求：</w:t>
      </w:r>
      <w:r/>
    </w:p>
    <w:p>
      <w:pPr>
        <w:ind w:firstLine="480"/>
        <w:spacing w:line="264" w:lineRule="auto"/>
        <w:rPr>
          <w:rFonts w:ascii="宋体" w:hAnsi="宋体"/>
          <w:sz w:val="24"/>
          <w:szCs w:val="24"/>
        </w:rPr>
      </w:pPr>
      <w:r>
        <w:rPr>
          <w:rFonts w:hint="eastAsia" w:ascii="宋体" w:hAnsi="宋体"/>
          <w:b/>
          <w:sz w:val="24"/>
          <w:szCs w:val="24"/>
        </w:rPr>
        <w:t xml:space="preserve">本项目专门面向中小微企业采购，供应商应为中小微企业。提供《中小企业声明函》（格式见第六章）；</w:t>
      </w:r>
      <w:r>
        <w:rPr>
          <w:rFonts w:hint="eastAsia" w:ascii="宋体" w:hAnsi="宋体"/>
          <w:sz w:val="24"/>
          <w:szCs w:val="24"/>
        </w:rPr>
        <w:t xml:space="preserve">监狱和戒毒企业视同小型、微型企业，提供由省级以上监狱管理局、戒毒管理局</w:t>
      </w:r>
      <w:r>
        <w:rPr>
          <w:rFonts w:hint="eastAsia" w:ascii="宋体" w:hAnsi="宋体"/>
          <w:sz w:val="24"/>
          <w:szCs w:val="24"/>
          <w:lang w:eastAsia="zh-CN"/>
        </w:rPr>
        <w:t xml:space="preserve">（</w:t>
      </w:r>
      <w:r>
        <w:rPr>
          <w:rFonts w:hint="eastAsia" w:ascii="宋体" w:hAnsi="宋体"/>
          <w:sz w:val="24"/>
          <w:szCs w:val="24"/>
        </w:rPr>
        <w:t xml:space="preserve">含新疆生产建设兵团</w:t>
      </w:r>
      <w:r>
        <w:rPr>
          <w:rFonts w:hint="eastAsia" w:ascii="宋体" w:hAnsi="宋体"/>
          <w:sz w:val="24"/>
          <w:szCs w:val="24"/>
          <w:lang w:eastAsia="zh-CN"/>
        </w:rPr>
        <w:t xml:space="preserve">）</w:t>
      </w:r>
      <w:r>
        <w:rPr>
          <w:rFonts w:hint="eastAsia" w:ascii="宋体" w:hAnsi="宋体"/>
          <w:sz w:val="24"/>
          <w:szCs w:val="24"/>
        </w:rPr>
        <w:t xml:space="preserve">出具的属于监狱企业的证明文件；残疾人福利性单位视同小型、微型企业，提供《残疾人福利性单位声明函》（格式见第六章）。</w:t>
      </w:r>
      <w:r/>
    </w:p>
    <w:p>
      <w:pPr>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default" w:ascii="宋体" w:hAnsi="宋体"/>
          <w:bCs/>
          <w:sz w:val="24"/>
          <w:szCs w:val="24"/>
          <w:u w:val="single"/>
        </w:rPr>
        <w:t xml:space="preserve">其他未列明行业</w:t>
      </w:r>
      <w:r>
        <w:rPr>
          <w:rFonts w:hint="eastAsia" w:ascii="宋体" w:hAnsi="宋体"/>
          <w:color w:val="000000"/>
          <w:sz w:val="24"/>
          <w:szCs w:val="24"/>
          <w:highlight w:val="none"/>
        </w:rPr>
        <w:t xml:space="preserve">。</w:t>
      </w:r>
      <w:r>
        <w:rPr>
          <w:rFonts w:hint="eastAsia" w:ascii="宋体" w:hAnsi="宋体"/>
          <w:sz w:val="24"/>
          <w:szCs w:val="24"/>
          <w:highlight w:val="none"/>
        </w:rPr>
        <w:t xml:space="preserve">根据《中小企业划型标准规定》工信部联企业</w:t>
      </w:r>
      <w:r>
        <w:rPr>
          <w:rFonts w:hint="eastAsia" w:ascii="宋体" w:hAnsi="宋体"/>
          <w:sz w:val="24"/>
          <w:szCs w:val="24"/>
          <w:highlight w:val="none"/>
          <w:lang w:eastAsia="zh-CN"/>
        </w:rPr>
        <w:t xml:space="preserve">〔2011〕300号</w:t>
      </w:r>
      <w:r>
        <w:rPr>
          <w:rFonts w:hint="eastAsia" w:ascii="宋体" w:hAnsi="宋体"/>
          <w:sz w:val="24"/>
          <w:szCs w:val="24"/>
          <w:highlight w:val="none"/>
        </w:rPr>
        <w:t xml:space="preserve">规定</w:t>
      </w:r>
      <w:r>
        <w:rPr>
          <w:rFonts w:hint="eastAsia" w:ascii="宋体" w:hAnsi="宋体"/>
          <w:sz w:val="24"/>
          <w:szCs w:val="24"/>
        </w:rPr>
        <w:t xml:space="preserve">，从业人员300人以下的为中小微型企业，其中从业人员100人及以上的为中型企业，从业人员10人及以上的为小型企业，从业人员10人以下的为微型企业。</w:t>
      </w:r>
      <w:r/>
    </w:p>
    <w:p>
      <w:pPr>
        <w:ind w:firstLine="480"/>
        <w:spacing w:line="264" w:lineRule="auto"/>
        <w:rPr>
          <w:rFonts w:hint="eastAsia" w:eastAsia="宋体"/>
          <w:highlight w:val="none"/>
          <w:lang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val="en-US" w:eastAsia="zh-CN"/>
        </w:rPr>
        <w:t xml:space="preserve">无。</w:t>
      </w:r>
      <w:r/>
    </w:p>
    <w:p>
      <w:pPr>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p>
    <w:p>
      <w:pPr>
        <w:ind w:firstLine="480"/>
        <w:spacing w:line="264" w:lineRule="auto"/>
        <w:rPr>
          <w:rFonts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cs="宋体"/>
          <w:sz w:val="24"/>
          <w:szCs w:val="24"/>
          <w:highlight w:val="yellow"/>
        </w:rPr>
      </w:pPr>
      <w:r>
        <w:rPr>
          <w:rFonts w:hint="eastAsia" w:ascii="宋体" w:hAnsi="宋体" w:cs="宋体"/>
          <w:sz w:val="24"/>
          <w:szCs w:val="24"/>
        </w:rPr>
        <w:t xml:space="preserve">3.供应商被“信用中国”网站（www.creditchina.gov.cn）、“中国政府采购网”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sz w:val="24"/>
          <w:szCs w:val="24"/>
        </w:rPr>
        <w:t xml:space="preserve">列入失信被执行人、重大税收违法案件当事人名单、政府采购严重违法失信行为记录名单。（上传本单位在信用中国网站最新截屏）</w:t>
      </w:r>
      <w:r/>
    </w:p>
    <w:p>
      <w:pPr>
        <w:ind w:firstLine="480"/>
        <w:spacing w:line="264" w:lineRule="auto"/>
        <w:rPr>
          <w:rFonts w:ascii="宋体" w:hAnsi="宋体" w:cs="宋体"/>
          <w:sz w:val="24"/>
          <w:szCs w:val="24"/>
        </w:rPr>
      </w:pPr>
      <w:r>
        <w:rPr>
          <w:rFonts w:ascii="宋体" w:hAnsi="宋体" w:cs="宋体"/>
          <w:sz w:val="24"/>
          <w:szCs w:val="24"/>
        </w:rPr>
      </w:r>
      <w:r/>
    </w:p>
    <w:p>
      <w:pPr>
        <w:pStyle w:val="793"/>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ind w:firstLine="480"/>
        <w:spacing w:line="264" w:lineRule="auto"/>
        <w:rPr>
          <w:rFonts w:ascii="宋体" w:hAnsi="宋体" w:cs="宋体"/>
          <w:sz w:val="24"/>
          <w:szCs w:val="24"/>
        </w:rPr>
      </w:pPr>
      <w:r>
        <w:rPr>
          <w:rFonts w:hint="eastAsia" w:ascii="宋体" w:hAnsi="宋体" w:cs="宋体"/>
          <w:sz w:val="24"/>
          <w:szCs w:val="24"/>
        </w:rPr>
        <w:t xml:space="preserve">1.时间：自磋商文件公告发布之日起。</w:t>
      </w:r>
      <w:r/>
    </w:p>
    <w:p>
      <w:pPr>
        <w:ind w:firstLine="480"/>
        <w:spacing w:line="264" w:lineRule="auto"/>
        <w:rPr>
          <w:rFonts w:ascii="宋体" w:hAnsi="宋体" w:cs="宋体"/>
          <w:sz w:val="24"/>
          <w:szCs w:val="24"/>
        </w:rPr>
      </w:pPr>
      <w:r>
        <w:rPr>
          <w:rFonts w:hint="eastAsia" w:ascii="宋体" w:hAnsi="宋体" w:cs="宋体"/>
          <w:sz w:val="24"/>
          <w:szCs w:val="24"/>
        </w:rPr>
        <w:t xml:space="preserve">2.方式：在“江苏政府采购网”免费下载。</w:t>
      </w:r>
      <w:r/>
    </w:p>
    <w:p>
      <w:pPr>
        <w:pStyle w:val="793"/>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ind w:firstLine="480"/>
        <w:spacing w:line="264" w:lineRule="auto"/>
        <w:rPr>
          <w:rFonts w:ascii="宋体" w:hAnsi="宋体"/>
          <w:bCs/>
          <w:sz w:val="24"/>
          <w:szCs w:val="24"/>
        </w:rPr>
      </w:pPr>
      <w:r>
        <w:rPr>
          <w:rFonts w:hint="eastAsia" w:ascii="宋体" w:hAnsi="宋体"/>
          <w:bCs/>
          <w:sz w:val="24"/>
          <w:szCs w:val="24"/>
          <w:u w:val="single"/>
        </w:rPr>
        <w:t xml:space="preserve"> </w:t>
      </w:r>
      <w:r>
        <w:rPr>
          <w:rFonts w:hint="eastAsia"/>
          <w:bCs/>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日</w:t>
      </w:r>
      <w:r>
        <w:rPr>
          <w:rFonts w:hint="eastAsia"/>
          <w:bCs/>
          <w:sz w:val="24"/>
          <w:szCs w:val="24"/>
          <w:u w:val="single"/>
          <w:lang w:val="en-US" w:eastAsia="zh-CN"/>
        </w:rPr>
        <w:t xml:space="preserve">14</w:t>
      </w:r>
      <w:r>
        <w:rPr>
          <w:rFonts w:hint="eastAsia" w:ascii="宋体" w:hAnsi="宋体"/>
          <w:bCs/>
          <w:sz w:val="24"/>
          <w:szCs w:val="24"/>
          <w:u w:val="single"/>
        </w:rPr>
        <w:t xml:space="preserve">点</w:t>
      </w:r>
      <w:r>
        <w:rPr>
          <w:rFonts w:hint="eastAsia"/>
          <w:bCs/>
          <w:sz w:val="24"/>
          <w:szCs w:val="24"/>
          <w:u w:val="single"/>
          <w:lang w:val="en-US" w:eastAsia="zh-CN"/>
        </w:rPr>
        <w:t xml:space="preserve">0</w:t>
      </w:r>
      <w:r>
        <w:rPr>
          <w:rFonts w:hint="eastAsia"/>
          <w:bCs/>
          <w:sz w:val="24"/>
          <w:szCs w:val="24"/>
          <w:u w:val="single"/>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pStyle w:val="793"/>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spacing w:line="264" w:lineRule="auto"/>
        <w:rPr>
          <w:rFonts w:ascii="宋体" w:hAnsi="宋体" w:cs="宋体"/>
          <w:sz w:val="24"/>
          <w:szCs w:val="24"/>
        </w:rPr>
      </w:pPr>
      <w:r>
        <w:rPr>
          <w:rFonts w:hint="eastAsia" w:ascii="宋体" w:hAnsi="宋体" w:cs="宋体"/>
          <w:sz w:val="24"/>
          <w:szCs w:val="24"/>
        </w:rPr>
        <w:t xml:space="preserve">磋商公告及磋商文件公告期限为自本公告发布之日起</w:t>
      </w:r>
      <w:r>
        <w:rPr>
          <w:rFonts w:hint="eastAsia" w:ascii="宋体" w:hAnsi="宋体" w:cs="宋体"/>
          <w:sz w:val="24"/>
          <w:szCs w:val="24"/>
          <w:lang w:val="en-US" w:eastAsia="zh-CN"/>
        </w:rPr>
        <w:t xml:space="preserve">3</w:t>
      </w:r>
      <w:r>
        <w:rPr>
          <w:rFonts w:hint="eastAsia" w:ascii="宋体" w:hAnsi="宋体" w:cs="宋体"/>
          <w:sz w:val="24"/>
          <w:szCs w:val="24"/>
        </w:rPr>
        <w:t xml:space="preserve">个工作日。</w:t>
      </w:r>
      <w:r/>
    </w:p>
    <w:p>
      <w:pPr>
        <w:pStyle w:val="793"/>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六、其他补充事宜</w:t>
      </w:r>
      <w:r/>
    </w:p>
    <w:p>
      <w:pPr>
        <w:ind w:firstLine="480"/>
        <w:spacing w:line="264" w:lineRule="auto"/>
        <w:rPr>
          <w:rFonts w:ascii="宋体" w:hAnsi="宋体" w:cs="宋体"/>
          <w:sz w:val="24"/>
          <w:szCs w:val="24"/>
        </w:rPr>
      </w:pPr>
      <w:r>
        <w:rPr>
          <w:rFonts w:hint="eastAsia" w:ascii="宋体" w:hAnsi="宋体" w:cs="宋体"/>
          <w:sz w:val="24"/>
          <w:szCs w:val="24"/>
        </w:rPr>
        <w:t xml:space="preserve">1.本次磋商不收取磋商保证金。</w:t>
      </w:r>
      <w:r/>
    </w:p>
    <w:p>
      <w:pPr>
        <w:ind w:firstLine="480"/>
        <w:spacing w:line="264" w:lineRule="auto"/>
        <w:rPr>
          <w:rFonts w:ascii="宋体" w:hAnsi="宋体" w:cs="宋体"/>
          <w:sz w:val="24"/>
          <w:szCs w:val="24"/>
        </w:rPr>
      </w:pPr>
      <w:r>
        <w:rPr>
          <w:rFonts w:hint="eastAsia" w:ascii="宋体" w:hAnsi="宋体" w:cs="宋体"/>
          <w:sz w:val="24"/>
          <w:szCs w:val="24"/>
        </w:rPr>
        <w:t xml:space="preserve">2.现场勘察及答疑</w:t>
      </w:r>
      <w:r/>
    </w:p>
    <w:p>
      <w:pPr>
        <w:ind w:firstLine="480"/>
        <w:spacing w:line="264" w:lineRule="auto"/>
        <w:rPr>
          <w:rFonts w:ascii="宋体" w:hAnsi="宋体" w:cs="宋体"/>
          <w:sz w:val="24"/>
          <w:szCs w:val="24"/>
        </w:rPr>
      </w:pPr>
      <w:r>
        <w:rPr>
          <w:rFonts w:hint="eastAsia" w:ascii="宋体" w:hAnsi="宋体" w:cs="宋体"/>
          <w:sz w:val="24"/>
          <w:szCs w:val="24"/>
        </w:rPr>
        <w:t xml:space="preserve">本项目不组织集中勘察及答疑，供应商如对采购需求有疑问，请咨询采购单位联系人。</w:t>
      </w:r>
      <w:r/>
    </w:p>
    <w:p>
      <w:pPr>
        <w:ind w:firstLine="480"/>
        <w:spacing w:line="62" w:lineRule="atLeast"/>
        <w:rPr>
          <w:sz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color w:val="000000"/>
          <w:sz w:val="24"/>
        </w:rPr>
        <w:t xml:space="preserve">“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w:t>
      </w:r>
      <w:r>
        <w:rPr>
          <w:rFonts w:hint="eastAsia" w:ascii="宋体" w:hAnsi="宋体" w:cs="宋体"/>
          <w:color w:val="000000"/>
          <w:sz w:val="24"/>
          <w:lang w:eastAsia="zh-CN"/>
        </w:rPr>
        <w:t xml:space="preserve">南京市公共资源交易中心</w:t>
      </w:r>
      <w:r>
        <w:rPr>
          <w:rFonts w:ascii="宋体" w:hAnsi="宋体" w:cs="宋体"/>
          <w:color w:val="000000"/>
          <w:sz w:val="24"/>
        </w:rPr>
        <w:t xml:space="preserve">北门外1255室（025-68505941）办理）。具体联系方式见《苏采云系统供应商操作手册》（以下简称《操作手册》）。</w:t>
      </w:r>
      <w:r/>
    </w:p>
    <w:p>
      <w:pPr>
        <w:ind w:firstLine="480"/>
        <w:rPr>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供应商按《苏采云系统供应商操作手册》要求进行注册，并制作上传电子投标文件（“苏采云”南京地区客服热线025-83633744、025-83633743）。江苏省政府采购管理交易系统供应商操作指南，下载地址：</w:t>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fldChar w:fldCharType="begin"/>
      </w:r>
      <w:r>
        <w:rPr>
          <w:rFonts w:ascii="宋体" w:hAnsi="宋体" w:cs="宋体"/>
          <w:color w:val="000000"/>
        </w:rPr>
        <w:instrText xml:space="preserve"> HYPERLINK "http://www.ccgp-jiangsu.gov.cn/jiangsu/zlxz/ee/ee3a4bc5a3454aa2b0d9312230633ce9.html" </w:instrText>
      </w:r>
      <w:r>
        <w:rPr>
          <w:rFonts w:ascii="宋体" w:hAnsi="宋体" w:cs="宋体"/>
          <w:color w:val="000000"/>
        </w:rPr>
        <w:fldChar w:fldCharType="separate"/>
      </w:r>
      <w:r>
        <w:rPr>
          <w:rStyle w:val="788"/>
          <w:rFonts w:ascii="宋体" w:hAnsi="宋体" w:cs="宋体"/>
          <w:color w:val="000000"/>
        </w:rPr>
        <w:t xml:space="preserve">http://www.ccgp-jiangsu.gov.cn/jiangsu/zlxz/ee/ee3a4bc5a3454aa2b0d9312230633ce9.html</w:t>
      </w:r>
      <w:r>
        <w:rPr>
          <w:rFonts w:ascii="宋体" w:hAnsi="宋体" w:cs="宋体"/>
          <w:color w:val="000000"/>
        </w:rPr>
        <w:fldChar w:fldCharType="end"/>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4.有关本次磋商的事项若存在变动或修改，请及时关注“江苏政府采购网”（www.ccgp-jiangsu.gov.cn）更正公告。</w:t>
      </w:r>
      <w:bookmarkEnd w:id="17"/>
      <w:bookmarkEnd w:id="18"/>
      <w:bookmarkEnd w:id="19"/>
      <w:bookmarkEnd w:id="20"/>
      <w:bookmarkEnd w:id="21"/>
      <w:r/>
    </w:p>
    <w:p>
      <w:pPr>
        <w:pStyle w:val="793"/>
        <w:ind w:firstLine="465"/>
        <w:spacing w:before="145" w:after="145" w:line="264" w:lineRule="auto"/>
        <w:rPr>
          <w:rFonts w:ascii="方正黑体_GBK" w:hAnsi="方正黑体_GBK" w:eastAsia="方正黑体_GBK" w:cs="方正黑体_GBK"/>
          <w:b w:val="0"/>
          <w:bCs w:val="0"/>
          <w:color w:val="000000"/>
          <w:sz w:val="30"/>
          <w:szCs w:val="30"/>
        </w:rPr>
      </w:pPr>
      <w:r/>
      <w:bookmarkStart w:id="22" w:name="_Toc35393796"/>
      <w:r/>
      <w:bookmarkStart w:id="23" w:name="_Toc35393627"/>
      <w:r/>
      <w:bookmarkStart w:id="24" w:name="_Toc28359085"/>
      <w:r/>
      <w:bookmarkStart w:id="25" w:name="_Toc28359008"/>
      <w:r/>
      <w:bookmarkStart w:id="26" w:name="_Toc38985269"/>
      <w:r>
        <w:rPr>
          <w:rFonts w:hint="eastAsia" w:ascii="方正黑体_GBK" w:hAnsi="方正黑体_GBK" w:eastAsia="方正黑体_GBK" w:cs="方正黑体_GBK"/>
          <w:b w:val="0"/>
          <w:bCs w:val="0"/>
          <w:color w:val="000000"/>
          <w:sz w:val="30"/>
          <w:szCs w:val="30"/>
        </w:rPr>
        <w:t xml:space="preserve">七、本次磋商联系方式</w:t>
      </w:r>
      <w:bookmarkEnd w:id="22"/>
      <w:r/>
      <w:bookmarkEnd w:id="23"/>
      <w:r/>
      <w:bookmarkEnd w:id="24"/>
      <w:r/>
      <w:bookmarkEnd w:id="25"/>
      <w:r/>
      <w:bookmarkEnd w:id="26"/>
      <w:r/>
      <w:r/>
    </w:p>
    <w:p>
      <w:pPr>
        <w:ind w:firstLine="480"/>
        <w:spacing w:line="264" w:lineRule="auto"/>
        <w:rPr>
          <w:rFonts w:ascii="宋体" w:hAnsi="宋体"/>
          <w:sz w:val="24"/>
          <w:szCs w:val="24"/>
        </w:rPr>
      </w:pPr>
      <w:r>
        <w:rPr>
          <w:rFonts w:hint="eastAsia" w:ascii="宋体" w:hAnsi="宋体"/>
          <w:sz w:val="24"/>
          <w:szCs w:val="24"/>
        </w:rPr>
        <w:t xml:space="preserve">1.采购人信息</w:t>
      </w:r>
      <w:r/>
    </w:p>
    <w:p>
      <w:pPr>
        <w:ind w:firstLine="480"/>
        <w:spacing w:line="264" w:lineRule="auto"/>
        <w:rPr>
          <w:rFonts w:ascii="宋体" w:hAnsi="宋体"/>
          <w:sz w:val="24"/>
          <w:szCs w:val="24"/>
        </w:rPr>
      </w:pPr>
      <w:r>
        <w:rPr>
          <w:rFonts w:hint="eastAsia" w:ascii="宋体" w:hAnsi="宋体"/>
          <w:sz w:val="24"/>
          <w:szCs w:val="24"/>
        </w:rPr>
        <w:t xml:space="preserve">名  称：</w:t>
      </w:r>
      <w:r>
        <w:rPr>
          <w:rFonts w:hint="eastAsia" w:ascii="宋体" w:hAnsi="宋体" w:eastAsia="宋体" w:cs="Times New Roman"/>
          <w:sz w:val="24"/>
          <w:szCs w:val="24"/>
          <w:highlight w:val="none"/>
          <w:u w:val="single"/>
          <w:lang w:val="en-US" w:eastAsia="zh-CN"/>
        </w:rPr>
        <w:t xml:space="preserve">南京市浦口区人民政府桥林街道办事处</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eastAsia="宋体" w:cs="Times New Roman"/>
          <w:sz w:val="24"/>
          <w:szCs w:val="24"/>
          <w:highlight w:val="none"/>
          <w:u w:val="single"/>
          <w:lang w:val="en-US" w:eastAsia="zh-CN"/>
        </w:rPr>
        <w:t xml:space="preserve">江苏省南京市浦口区桥林街道明因路1号</w:t>
      </w:r>
      <w:r>
        <w:rPr>
          <w:rFonts w:hint="eastAsia" w:ascii="宋体" w:hAnsi="宋体"/>
          <w:sz w:val="24"/>
          <w:szCs w:val="24"/>
          <w:lang w:eastAsia="zh-CN"/>
        </w:rPr>
        <w:t xml:space="preserve">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w:t>
      </w:r>
      <w:r>
        <w:rPr>
          <w:rFonts w:hint="eastAsia" w:ascii="宋体" w:hAnsi="宋体" w:eastAsia="宋体" w:cs="Times New Roman"/>
          <w:sz w:val="24"/>
          <w:szCs w:val="24"/>
          <w:highlight w:val="none"/>
          <w:u w:val="single"/>
          <w:lang w:val="en-US" w:eastAsia="zh-CN"/>
        </w:rPr>
        <w:t xml:space="preserve">胡科</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联系电话：</w:t>
      </w:r>
      <w:r>
        <w:rPr>
          <w:rFonts w:hint="eastAsia" w:ascii="宋体" w:hAnsi="宋体" w:eastAsia="宋体" w:cs="Times New Roman"/>
          <w:sz w:val="24"/>
          <w:szCs w:val="24"/>
          <w:highlight w:val="none"/>
          <w:u w:val="single"/>
          <w:lang w:val="en-US" w:eastAsia="zh-CN"/>
        </w:rPr>
        <w:t xml:space="preserve">17366399402</w:t>
      </w:r>
      <w:r>
        <w:rPr>
          <w:rFonts w:hint="eastAsia" w:ascii="宋体" w:hAnsi="宋体"/>
          <w:sz w:val="24"/>
          <w:szCs w:val="24"/>
        </w:rPr>
        <w:t xml:space="preserve">　　　　　　　 </w:t>
      </w:r>
      <w:bookmarkStart w:id="27" w:name="_Toc28359009"/>
      <w:r/>
      <w:bookmarkStart w:id="28" w:name="_Toc28359086"/>
      <w:r/>
      <w:bookmarkEnd w:id="27"/>
      <w:bookmarkEnd w:id="28"/>
      <w:r/>
    </w:p>
    <w:p>
      <w:pPr>
        <w:ind w:firstLine="480"/>
        <w:pageBreakBefore w:val="0"/>
        <w:spacing w:line="264" w:lineRule="auto"/>
        <w:widowControl w:val="off"/>
        <w:rPr>
          <w:rFonts w:hint="default"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2.</w:t>
      </w:r>
      <w:r>
        <w:rPr>
          <w:rFonts w:hint="eastAsia" w:ascii="宋体" w:hAnsi="宋体" w:cs="Times New Roman"/>
          <w:sz w:val="24"/>
          <w:szCs w:val="24"/>
          <w:highlight w:val="none"/>
          <w:u w:val="none"/>
          <w:lang w:val="en-US" w:eastAsia="zh-CN"/>
        </w:rPr>
        <w:t xml:space="preserve">磋商代理信息</w:t>
      </w:r>
      <w:r/>
    </w:p>
    <w:p>
      <w:pPr>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w:t>
      </w:r>
      <w:r>
        <w:rPr>
          <w:rFonts w:hint="eastAsia" w:ascii="宋体" w:hAnsi="宋体" w:cs="Times New Roman"/>
          <w:sz w:val="24"/>
          <w:szCs w:val="24"/>
          <w:highlight w:val="none"/>
          <w:u w:val="single"/>
          <w:lang w:val="en-US" w:eastAsia="zh-CN"/>
        </w:rPr>
        <w:t xml:space="preserve">中环建（北京）工程管理有限责任公司</w:t>
      </w:r>
      <w:r/>
    </w:p>
    <w:p>
      <w:pPr>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地　址：</w:t>
      </w:r>
      <w:r>
        <w:rPr>
          <w:rFonts w:hint="eastAsia" w:ascii="宋体" w:hAnsi="宋体" w:cs="Times New Roman"/>
          <w:sz w:val="24"/>
          <w:szCs w:val="24"/>
          <w:highlight w:val="none"/>
          <w:u w:val="single"/>
          <w:lang w:val="en-US" w:eastAsia="zh-CN"/>
        </w:rPr>
        <w:t xml:space="preserve">南京市建邺区广聚路33号安科大厦A座14楼</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 xml:space="preserve">　　　　　　　　　　　</w:t>
      </w:r>
      <w:r/>
    </w:p>
    <w:p>
      <w:pPr>
        <w:ind w:firstLine="480"/>
        <w:spacing w:line="264" w:lineRule="auto"/>
        <w:rPr>
          <w:rFonts w:hint="eastAsia" w:ascii="宋体" w:hAnsi="宋体"/>
          <w:sz w:val="24"/>
          <w:szCs w:val="24"/>
          <w:lang w:val="en-US" w:eastAsia="zh-CN"/>
        </w:rPr>
      </w:pPr>
      <w:r>
        <w:rPr>
          <w:rFonts w:hint="eastAsia" w:ascii="宋体" w:hAnsi="宋体"/>
          <w:sz w:val="24"/>
          <w:szCs w:val="24"/>
          <w:lang w:val="en-US" w:eastAsia="zh-CN"/>
        </w:rPr>
        <w:t xml:space="preserve">联系人：　</w:t>
      </w:r>
      <w:r>
        <w:rPr>
          <w:rFonts w:hint="eastAsia" w:ascii="宋体" w:hAnsi="宋体" w:eastAsia="宋体" w:cs="Times New Roman"/>
          <w:sz w:val="24"/>
          <w:szCs w:val="24"/>
          <w:highlight w:val="none"/>
          <w:u w:val="single"/>
          <w:lang w:val="en-US" w:eastAsia="zh-CN"/>
        </w:rPr>
        <w:t xml:space="preserve">沈工</w:t>
      </w:r>
      <w:r>
        <w:rPr>
          <w:rFonts w:hint="eastAsia" w:ascii="宋体" w:hAnsi="宋体"/>
          <w:sz w:val="24"/>
          <w:szCs w:val="24"/>
          <w:lang w:val="en-US" w:eastAsia="zh-CN"/>
        </w:rPr>
        <w:t xml:space="preserve">                      </w:t>
      </w:r>
      <w:r/>
    </w:p>
    <w:p>
      <w:pPr>
        <w:ind w:firstLine="480"/>
      </w:pPr>
      <w:r>
        <w:rPr>
          <w:rFonts w:hint="eastAsia" w:ascii="宋体" w:hAnsi="宋体"/>
          <w:sz w:val="24"/>
          <w:szCs w:val="24"/>
          <w:lang w:val="en-US" w:eastAsia="zh-CN"/>
        </w:rPr>
        <w:t xml:space="preserve">联系电话：</w:t>
      </w:r>
      <w:r>
        <w:rPr>
          <w:rFonts w:hint="eastAsia" w:ascii="宋体" w:hAnsi="宋体" w:eastAsia="宋体" w:cs="Times New Roman"/>
          <w:sz w:val="24"/>
          <w:szCs w:val="24"/>
          <w:highlight w:val="none"/>
          <w:u w:val="single"/>
          <w:lang w:val="en-US" w:eastAsia="zh-CN"/>
        </w:rPr>
        <w:t xml:space="preserve">18502535472 </w:t>
      </w:r>
      <w:r>
        <w:rPr>
          <w:rFonts w:hint="eastAsia" w:ascii="宋体" w:hAnsi="宋体" w:eastAsia="宋体" w:cs="宋体"/>
          <w:sz w:val="24"/>
          <w:szCs w:val="24"/>
          <w:highlight w:val="none"/>
        </w:rPr>
        <w:t xml:space="preserve">　</w:t>
      </w:r>
      <w:r>
        <w:rPr>
          <w:rFonts w:hint="eastAsia" w:ascii="宋体" w:hAnsi="宋体"/>
          <w:sz w:val="24"/>
          <w:szCs w:val="24"/>
        </w:rPr>
        <w:t xml:space="preserve">　　</w:t>
      </w:r>
      <w:r/>
    </w:p>
    <w:p>
      <w:pPr>
        <w:pStyle w:val="803"/>
      </w:p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bookmarkStart w:id="29" w:name="_Toc120614211"/>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03"/>
        <w:ind w:left="0"/>
        <w:jc w:val="both"/>
        <w:tabs>
          <w:tab w:val="left" w:pos="463" w:leader="none"/>
        </w:tabs>
        <w:rPr>
          <w:rFonts w:hint="eastAsia" w:ascii="Arial Unicode MS" w:hAnsi="Arial Unicode MS" w:eastAsia="Arial Unicode MS" w:cs="Arial Unicode MS"/>
          <w:color w:val="000000"/>
          <w:sz w:val="36"/>
          <w:szCs w:val="36"/>
          <w:lang w:val="en-US" w:eastAsia="zh-CN"/>
        </w:rPr>
      </w:pPr>
      <w:r>
        <w:rPr>
          <w:rFonts w:hint="eastAsia" w:ascii="Arial Unicode MS" w:hAnsi="Arial Unicode MS" w:eastAsia="Arial Unicode MS" w:cs="Arial Unicode MS"/>
          <w:color w:val="000000"/>
          <w:sz w:val="36"/>
          <w:szCs w:val="36"/>
          <w:lang w:val="en-US" w:eastAsia="zh-CN"/>
        </w:rPr>
      </w:r>
      <w:r/>
    </w:p>
    <w:p>
      <w:pPr>
        <w:rPr>
          <w:rFonts w:hint="eastAsia" w:ascii="Arial Unicode MS" w:hAnsi="Arial Unicode MS" w:eastAsia="Arial Unicode MS" w:cs="Arial Unicode MS"/>
          <w:color w:val="000000"/>
          <w:sz w:val="36"/>
          <w:szCs w:val="36"/>
          <w:lang w:val="en-US" w:eastAsia="zh-CN"/>
        </w:rPr>
      </w:pPr>
      <w:r>
        <w:rPr>
          <w:rFonts w:hint="eastAsia" w:ascii="Arial Unicode MS" w:hAnsi="Arial Unicode MS" w:eastAsia="Arial Unicode MS" w:cs="Arial Unicode MS"/>
          <w:color w:val="000000"/>
          <w:sz w:val="36"/>
          <w:szCs w:val="36"/>
          <w:lang w:val="en-US" w:eastAsia="zh-CN"/>
        </w:rPr>
      </w:r>
      <w:r/>
    </w:p>
    <w:p>
      <w:pPr>
        <w:rPr>
          <w:rFonts w:hint="eastAsia" w:ascii="Arial Unicode MS" w:hAnsi="Arial Unicode MS" w:eastAsia="Arial Unicode MS" w:cs="Arial Unicode MS"/>
          <w:color w:val="000000"/>
          <w:sz w:val="36"/>
          <w:szCs w:val="36"/>
          <w:lang w:val="en-US" w:eastAsia="zh-CN"/>
        </w:rPr>
      </w:pPr>
      <w:r>
        <w:rPr>
          <w:rFonts w:hint="eastAsia" w:ascii="Arial Unicode MS" w:hAnsi="Arial Unicode MS" w:eastAsia="Arial Unicode MS" w:cs="Arial Unicode MS"/>
          <w:color w:val="000000"/>
          <w:sz w:val="36"/>
          <w:szCs w:val="36"/>
          <w:lang w:val="en-US" w:eastAsia="zh-CN"/>
        </w:rPr>
      </w:r>
      <w:r/>
    </w:p>
    <w:p>
      <w:pPr>
        <w:pStyle w:val="790"/>
        <w:rPr>
          <w:rFonts w:hint="eastAsia" w:ascii="Arial Unicode MS" w:hAnsi="Arial Unicode MS" w:eastAsia="Arial Unicode MS" w:cs="Arial Unicode MS"/>
          <w:color w:val="000000"/>
          <w:sz w:val="36"/>
          <w:szCs w:val="36"/>
          <w:lang w:val="en-US" w:eastAsia="zh-CN"/>
        </w:rPr>
      </w:pPr>
      <w:r>
        <w:rPr>
          <w:rFonts w:hint="eastAsia" w:ascii="Arial Unicode MS" w:hAnsi="Arial Unicode MS" w:eastAsia="Arial Unicode MS" w:cs="Arial Unicode MS"/>
          <w:color w:val="000000"/>
          <w:sz w:val="36"/>
          <w:szCs w:val="36"/>
          <w:lang w:val="en-US" w:eastAsia="zh-CN"/>
        </w:rPr>
      </w:r>
      <w:r/>
    </w:p>
    <w:p>
      <w:pPr>
        <w:pStyle w:val="791"/>
        <w:rPr>
          <w:rFonts w:hint="eastAsia"/>
          <w:lang w:val="en-US" w:eastAsia="zh-CN"/>
        </w:rPr>
      </w:pPr>
      <w:r>
        <w:rPr>
          <w:rFonts w:hint="eastAsia"/>
          <w:lang w:val="en-US" w:eastAsia="zh-CN"/>
        </w:rPr>
      </w:r>
      <w:bookmarkEnd w:id="1"/>
      <w:bookmarkEnd w:id="2"/>
      <w:bookmarkEnd w:id="3"/>
      <w:bookmarkEnd w:id="4"/>
      <w:bookmarkEnd w:id="5"/>
      <w:bookmarkEnd w:id="29"/>
      <w:r/>
    </w:p>
    <w:p>
      <w:pPr>
        <w:jc w:val="center"/>
        <w:keepLines/>
        <w:keepNext/>
        <w:spacing w:before="260" w:after="260" w:line="416" w:lineRule="auto"/>
        <w:rPr>
          <w:rFonts w:hint="eastAsia" w:ascii="Arial Unicode MS" w:hAnsi="Arial Unicode MS" w:eastAsia="Arial Unicode MS" w:cs="Arial Unicode MS"/>
          <w:color w:val="000000"/>
          <w:sz w:val="36"/>
          <w:szCs w:val="36"/>
          <w:lang w:val="en-US" w:eastAsia="zh-CN" w:bidi="ar-SA"/>
        </w:rPr>
        <w:outlineLvl w:val="1"/>
      </w:pPr>
      <w:r/>
      <w:bookmarkStart w:id="30" w:name="_Hlt16619350"/>
      <w:r/>
      <w:bookmarkStart w:id="31" w:name="_Toc20823346"/>
      <w:r/>
      <w:bookmarkStart w:id="32" w:name="_Toc16938590"/>
      <w:r/>
      <w:bookmarkStart w:id="33" w:name="_Toc120614244"/>
      <w:r/>
      <w:bookmarkStart w:id="34" w:name="_Toc479757211"/>
      <w:r/>
      <w:bookmarkStart w:id="35" w:name="_Toc462564139"/>
      <w:r>
        <w:rPr>
          <w:rFonts w:hint="eastAsia" w:ascii="Arial Unicode MS" w:hAnsi="Arial Unicode MS" w:eastAsia="Arial Unicode MS" w:cs="Arial Unicode MS"/>
          <w:color w:val="000000"/>
          <w:sz w:val="36"/>
          <w:szCs w:val="36"/>
          <w:lang w:val="en-US" w:eastAsia="zh-CN" w:bidi="ar-SA"/>
        </w:rPr>
        <w:t xml:space="preserve">第二章  供应商须知</w:t>
      </w:r>
      <w:r/>
    </w:p>
    <w:p>
      <w:pPr>
        <w:ind w:firstLine="498"/>
        <w:keepLines/>
        <w:keepNext/>
        <w:pageBreakBefore w:val="0"/>
        <w:spacing w:before="145" w:after="145" w:line="252" w:lineRule="auto"/>
        <w:widowControl w:val="off"/>
        <w:rPr>
          <w:rFonts w:hint="eastAsia" w:ascii="Times New Roman" w:hAnsi="Times New Roman"/>
          <w:b/>
          <w:bCs/>
          <w:sz w:val="32"/>
          <w:szCs w:val="32"/>
          <w:highlight w:val="none"/>
        </w:rPr>
        <w:outlineLvl w:val="2"/>
      </w:pPr>
      <w:r/>
      <w:bookmarkStart w:id="36" w:name="_Toc16938519"/>
      <w:r/>
      <w:bookmarkStart w:id="37" w:name="_Toc20823275"/>
      <w:r/>
      <w:bookmarkStart w:id="38" w:name="_Toc513029203"/>
      <w:r/>
      <w:bookmarkStart w:id="39" w:name="_Toc120614214"/>
      <w:r>
        <w:rPr>
          <w:rFonts w:hint="eastAsia" w:ascii="Times New Roman" w:hAnsi="Times New Roman"/>
          <w:b/>
          <w:bCs/>
          <w:sz w:val="32"/>
          <w:szCs w:val="32"/>
          <w:highlight w:val="none"/>
        </w:rPr>
        <w:t xml:space="preserve">一、总则</w:t>
      </w:r>
      <w:bookmarkEnd w:id="36"/>
      <w:r/>
      <w:bookmarkEnd w:id="37"/>
      <w:r/>
      <w:bookmarkEnd w:id="38"/>
      <w:r/>
      <w:bookmarkEnd w:id="39"/>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40" w:name="_Hlt16619475"/>
      <w:r/>
      <w:bookmarkEnd w:id="40"/>
      <w:r/>
      <w:bookmarkStart w:id="41" w:name="_Toc458694821"/>
      <w:r/>
      <w:bookmarkStart w:id="42" w:name="_Toc513029204"/>
      <w:r/>
      <w:bookmarkStart w:id="43" w:name="_Toc16938520"/>
      <w:r/>
      <w:bookmarkStart w:id="44" w:name="_Toc20823276"/>
      <w:r>
        <w:rPr>
          <w:rFonts w:hint="eastAsia" w:ascii="Arial" w:hAnsi="Arial" w:eastAsia="黑体" w:cs="Arial"/>
          <w:sz w:val="28"/>
          <w:szCs w:val="28"/>
          <w:highlight w:val="none"/>
          <w:lang w:val="en-US" w:eastAsia="zh-CN"/>
        </w:rPr>
        <w:t xml:space="preserve">1</w:t>
      </w:r>
      <w:bookmarkEnd w:id="41"/>
      <w:r>
        <w:rPr>
          <w:rFonts w:hint="eastAsia" w:ascii="Arial" w:hAnsi="Arial" w:eastAsia="黑体" w:cs="Arial"/>
          <w:sz w:val="28"/>
          <w:szCs w:val="28"/>
          <w:highlight w:val="none"/>
          <w:lang w:val="en-US" w:eastAsia="zh-CN"/>
        </w:rPr>
        <w:t xml:space="preserve">、采购方式</w:t>
      </w:r>
      <w:bookmarkEnd w:id="42"/>
      <w:r/>
      <w:bookmarkEnd w:id="43"/>
      <w:r/>
      <w:bookmarkEnd w:id="44"/>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本次政府采购活动采取竞争性磋商(以下简称磋商)方式，本磋商文件仅适用于磋商公告中所述项目。</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45" w:name="_Toc16938521"/>
      <w:r/>
      <w:bookmarkStart w:id="46" w:name="_Toc20823277"/>
      <w:r/>
      <w:bookmarkStart w:id="47" w:name="_Toc513029205"/>
      <w:r>
        <w:rPr>
          <w:rFonts w:hint="eastAsia" w:ascii="Arial" w:hAnsi="Arial" w:eastAsia="黑体" w:cs="Arial"/>
          <w:sz w:val="28"/>
          <w:szCs w:val="28"/>
          <w:highlight w:val="none"/>
          <w:lang w:val="en-US" w:eastAsia="zh-CN"/>
        </w:rPr>
        <w:t xml:space="preserve">2、合格的</w:t>
      </w:r>
      <w:bookmarkEnd w:id="45"/>
      <w:r/>
      <w:bookmarkEnd w:id="46"/>
      <w:r/>
      <w:bookmarkEnd w:id="47"/>
      <w:r>
        <w:rPr>
          <w:rFonts w:hint="eastAsia" w:ascii="Arial" w:hAnsi="Arial" w:eastAsia="黑体" w:cs="Arial"/>
          <w:sz w:val="28"/>
          <w:szCs w:val="28"/>
          <w:highlight w:val="none"/>
          <w:lang w:val="en-US" w:eastAsia="zh-CN"/>
        </w:rPr>
        <w:t xml:space="preserve">供应商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满足磋商公告中供应商资格要求的规定。</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满足本磋商文件实质性要求和条件的规定。</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48" w:name="_Toc16938522"/>
      <w:r/>
      <w:bookmarkStart w:id="49" w:name="_Toc513029206"/>
      <w:r/>
      <w:bookmarkStart w:id="50" w:name="_Toc20823278"/>
      <w:r>
        <w:rPr>
          <w:rFonts w:hint="eastAsia" w:ascii="Arial" w:hAnsi="Arial" w:eastAsia="黑体" w:cs="Arial"/>
          <w:sz w:val="28"/>
          <w:szCs w:val="28"/>
          <w:highlight w:val="none"/>
          <w:lang w:val="en-US" w:eastAsia="zh-CN"/>
        </w:rPr>
        <w:t xml:space="preserve">3、适用法律</w:t>
      </w:r>
      <w:bookmarkEnd w:id="48"/>
      <w:r/>
      <w:bookmarkEnd w:id="49"/>
      <w:r/>
      <w:bookmarkEnd w:id="50"/>
      <w:r/>
      <w:r/>
    </w:p>
    <w:p>
      <w:pPr>
        <w:ind w:firstLine="420"/>
        <w:pageBreakBefore w:val="0"/>
        <w:spacing w:line="252" w:lineRule="auto"/>
        <w:widowControl w:val="off"/>
        <w:rPr>
          <w:rFonts w:hint="eastAsia" w:ascii="宋体" w:hAnsi="宋体"/>
          <w:sz w:val="24"/>
          <w:szCs w:val="21"/>
          <w:highlight w:val="none"/>
        </w:rPr>
      </w:pPr>
      <w:r>
        <w:rPr>
          <w:rFonts w:hint="eastAsia" w:ascii="宋体" w:hAnsi="宋体"/>
          <w:sz w:val="24"/>
          <w:szCs w:val="21"/>
          <w:highlight w:val="none"/>
        </w:rPr>
        <w:t xml:space="preserve">3.1 本次磋商及由此产生的合同受中华人民共和国有关的法律法规制约和保护</w:t>
      </w:r>
      <w:r>
        <w:rPr>
          <w:rFonts w:ascii="宋体" w:hAnsi="宋体"/>
          <w:sz w:val="24"/>
          <w:szCs w:val="21"/>
          <w:highlight w:val="none"/>
        </w:rPr>
        <w:t xml:space="preserve">。</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51" w:name="_Toc513029207"/>
      <w:r/>
      <w:bookmarkStart w:id="52" w:name="_Toc20823279"/>
      <w:r/>
      <w:bookmarkStart w:id="53" w:name="_Toc462564067"/>
      <w:r/>
      <w:bookmarkStart w:id="54" w:name="_Toc16938523"/>
      <w:r>
        <w:rPr>
          <w:rFonts w:hint="eastAsia" w:ascii="Arial" w:hAnsi="Arial" w:eastAsia="黑体" w:cs="Arial"/>
          <w:sz w:val="28"/>
          <w:szCs w:val="28"/>
          <w:highlight w:val="none"/>
          <w:lang w:val="en-US" w:eastAsia="zh-CN"/>
        </w:rPr>
        <w:t xml:space="preserve">4、磋商费用</w:t>
      </w:r>
      <w:bookmarkEnd w:id="51"/>
      <w:r/>
      <w:bookmarkEnd w:id="52"/>
      <w:r/>
      <w:bookmarkEnd w:id="53"/>
      <w:r/>
      <w:bookmarkEnd w:id="54"/>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供应商应自行承担所有与参加本次磋商有关的费用，无论磋商过程中的做法和结果如何，</w:t>
      </w:r>
      <w:r>
        <w:rPr>
          <w:rFonts w:hint="eastAsia" w:ascii="宋体" w:hAnsi="宋体" w:cs="Times New Roman"/>
          <w:color w:val="000000"/>
          <w:sz w:val="24"/>
          <w:szCs w:val="21"/>
          <w:highlight w:val="none"/>
          <w:lang w:val="en-US" w:eastAsia="zh-CN"/>
        </w:rPr>
        <w:t xml:space="preserve">中环建（北京）工程管理有限责任公司</w:t>
      </w:r>
      <w:r>
        <w:rPr>
          <w:rFonts w:hint="eastAsia" w:ascii="宋体" w:hAnsi="宋体" w:eastAsia="宋体" w:cs="Times New Roman"/>
          <w:color w:val="000000"/>
          <w:sz w:val="24"/>
          <w:szCs w:val="21"/>
          <w:highlight w:val="none"/>
        </w:rPr>
        <w:t xml:space="preserve">（以下简称</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rPr>
        <w:t xml:space="preserve">）在任何情况下均无义务和责任承担这些费用。</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rPr>
          <w:rFonts w:hint="eastAsia" w:ascii="Arial" w:hAnsi="Arial" w:eastAsia="黑体" w:cs="Arial"/>
          <w:sz w:val="28"/>
          <w:szCs w:val="28"/>
          <w:highlight w:val="none"/>
          <w:lang w:val="en-US" w:eastAsia="zh-CN"/>
        </w:rPr>
        <w:t xml:space="preserve">5、磋商文件的约束力</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供应商一旦参加本项目采购活动，即被认为接受了本磋商文件的规定和约束。</w:t>
      </w:r>
      <w:r/>
    </w:p>
    <w:p>
      <w:pPr>
        <w:ind w:firstLine="498"/>
        <w:keepLines/>
        <w:keepNext/>
        <w:pageBreakBefore w:val="0"/>
        <w:spacing w:before="145" w:after="145" w:line="252" w:lineRule="auto"/>
        <w:widowControl w:val="off"/>
        <w:rPr>
          <w:rFonts w:hint="eastAsia" w:ascii="Times New Roman" w:hAnsi="Times New Roman" w:eastAsia="宋体" w:cs="Times New Roman"/>
          <w:b/>
          <w:bCs/>
          <w:sz w:val="32"/>
          <w:szCs w:val="32"/>
          <w:highlight w:val="none"/>
        </w:rPr>
        <w:outlineLvl w:val="2"/>
      </w:pPr>
      <w:r/>
      <w:bookmarkStart w:id="55" w:name="_Toc120614215"/>
      <w:r/>
      <w:bookmarkStart w:id="56" w:name="_Toc513029209"/>
      <w:r/>
      <w:bookmarkStart w:id="57" w:name="_Toc16938525"/>
      <w:r/>
      <w:bookmarkStart w:id="58" w:name="_Toc20823281"/>
      <w:r>
        <w:rPr>
          <w:rFonts w:hint="eastAsia" w:ascii="Times New Roman" w:hAnsi="Times New Roman" w:eastAsia="宋体" w:cs="Times New Roman"/>
          <w:b/>
          <w:bCs/>
          <w:sz w:val="32"/>
          <w:szCs w:val="32"/>
          <w:highlight w:val="none"/>
        </w:rPr>
        <w:t xml:space="preserve">二、</w:t>
      </w:r>
      <w:bookmarkEnd w:id="55"/>
      <w:r/>
      <w:bookmarkEnd w:id="56"/>
      <w:r/>
      <w:bookmarkEnd w:id="57"/>
      <w:r/>
      <w:bookmarkEnd w:id="58"/>
      <w:r>
        <w:rPr>
          <w:rFonts w:hint="eastAsia" w:ascii="Times New Roman" w:hAnsi="Times New Roman" w:eastAsia="宋体" w:cs="Times New Roman"/>
          <w:b/>
          <w:bCs/>
          <w:sz w:val="32"/>
          <w:szCs w:val="32"/>
          <w:highlight w:val="none"/>
        </w:rPr>
        <w:t xml:space="preserve">磋商文件</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59" w:name="_Toc16938526"/>
      <w:r/>
      <w:bookmarkStart w:id="60" w:name="_Toc20823282"/>
      <w:r/>
      <w:bookmarkStart w:id="61" w:name="_Toc513029210"/>
      <w:r>
        <w:rPr>
          <w:rFonts w:hint="eastAsia" w:ascii="Arial" w:hAnsi="Arial" w:eastAsia="黑体" w:cs="Arial"/>
          <w:sz w:val="28"/>
          <w:szCs w:val="28"/>
          <w:highlight w:val="none"/>
          <w:lang w:val="en-US" w:eastAsia="zh-CN"/>
        </w:rPr>
        <w:t xml:space="preserve">6、磋商文件构成</w:t>
      </w:r>
      <w:bookmarkEnd w:id="59"/>
      <w:r/>
      <w:bookmarkEnd w:id="60"/>
      <w:r/>
      <w:bookmarkEnd w:id="61"/>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仔细检查磋商文件是否齐全，如有缺漏请立即与</w:t>
      </w:r>
      <w:r>
        <w:rPr>
          <w:rFonts w:hint="eastAsia" w:ascii="宋体" w:hAnsi="宋体" w:cs="Times New Roman"/>
          <w:color w:val="000000"/>
          <w:sz w:val="24"/>
          <w:szCs w:val="21"/>
          <w:highlight w:val="none"/>
          <w:lang w:eastAsia="zh-CN"/>
        </w:rPr>
        <w:t xml:space="preserve">磋商代理</w:t>
      </w:r>
      <w:r>
        <w:rPr>
          <w:rFonts w:hint="eastAsia" w:ascii="宋体" w:hAnsi="宋体" w:eastAsia="宋体" w:cs="Times New Roman"/>
          <w:color w:val="000000"/>
          <w:sz w:val="24"/>
          <w:szCs w:val="21"/>
          <w:highlight w:val="none"/>
        </w:rPr>
        <w:t xml:space="preserve">联系解决。</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62" w:name="_Toc513029211"/>
      <w:r/>
      <w:bookmarkStart w:id="63" w:name="_Toc16938527"/>
      <w:r/>
      <w:bookmarkStart w:id="64" w:name="_Toc20823283"/>
      <w:r/>
      <w:bookmarkStart w:id="65" w:name="_Toc462564070"/>
      <w:r>
        <w:rPr>
          <w:rFonts w:hint="eastAsia" w:ascii="Arial" w:hAnsi="Arial" w:eastAsia="黑体" w:cs="Arial"/>
          <w:sz w:val="28"/>
          <w:szCs w:val="28"/>
          <w:highlight w:val="none"/>
          <w:lang w:val="en-US" w:eastAsia="zh-CN"/>
        </w:rPr>
        <w:t xml:space="preserve">7、磋商文件的澄清</w:t>
      </w:r>
      <w:bookmarkEnd w:id="62"/>
      <w:r/>
      <w:bookmarkEnd w:id="63"/>
      <w:r/>
      <w:bookmarkEnd w:id="64"/>
      <w:r/>
      <w:bookmarkEnd w:id="65"/>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任何要求对磋商文件进行澄清的供应商，应在磋商截止期5日前按磋商公告中的通讯地址，以书面形式通知</w:t>
      </w:r>
      <w:r>
        <w:rPr>
          <w:rFonts w:hint="eastAsia" w:ascii="宋体" w:hAnsi="宋体" w:cs="Times New Roman"/>
          <w:color w:val="000000"/>
          <w:sz w:val="24"/>
          <w:szCs w:val="21"/>
          <w:highlight w:val="none"/>
          <w:lang w:eastAsia="zh-CN"/>
        </w:rPr>
        <w:t xml:space="preserve">磋商代理</w:t>
      </w:r>
      <w:r>
        <w:rPr>
          <w:rFonts w:hint="eastAsia" w:ascii="宋体" w:hAnsi="宋体" w:eastAsia="宋体" w:cs="Times New Roman"/>
          <w:color w:val="000000"/>
          <w:sz w:val="24"/>
          <w:szCs w:val="21"/>
          <w:highlight w:val="none"/>
        </w:rPr>
        <w:t xml:space="preserve">。</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66" w:name="_Toc462564071"/>
      <w:r/>
      <w:bookmarkStart w:id="67" w:name="_Toc513029212"/>
      <w:r/>
      <w:bookmarkStart w:id="68" w:name="_Toc20823284"/>
      <w:r/>
      <w:bookmarkStart w:id="69" w:name="_Toc16938528"/>
      <w:r>
        <w:rPr>
          <w:rFonts w:hint="eastAsia" w:ascii="Arial" w:hAnsi="Arial" w:eastAsia="黑体" w:cs="Arial"/>
          <w:sz w:val="28"/>
          <w:szCs w:val="28"/>
          <w:highlight w:val="none"/>
          <w:lang w:val="en-US" w:eastAsia="zh-CN"/>
        </w:rPr>
        <w:t xml:space="preserve">8、磋商文件的澄清和修改</w:t>
      </w:r>
      <w:bookmarkEnd w:id="66"/>
      <w:r/>
      <w:bookmarkEnd w:id="67"/>
      <w:r/>
      <w:bookmarkEnd w:id="68"/>
      <w:r/>
      <w:bookmarkEnd w:id="69"/>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8.1 在响应文件提交截止时间前，</w:t>
      </w:r>
      <w:r>
        <w:rPr>
          <w:rFonts w:hint="eastAsia" w:ascii="宋体" w:hAnsi="宋体" w:cs="Times New Roman"/>
          <w:color w:val="000000"/>
          <w:sz w:val="24"/>
          <w:szCs w:val="21"/>
          <w:highlight w:val="none"/>
          <w:lang w:eastAsia="zh-CN"/>
        </w:rPr>
        <w:t xml:space="preserve">磋商代理</w:t>
      </w:r>
      <w:r>
        <w:rPr>
          <w:rFonts w:hint="eastAsia" w:ascii="宋体" w:hAnsi="宋体" w:eastAsia="宋体" w:cs="Times New Roman"/>
          <w:color w:val="000000"/>
          <w:sz w:val="24"/>
          <w:szCs w:val="21"/>
          <w:highlight w:val="none"/>
        </w:rPr>
        <w:t xml:space="preserve">可以对磋商文件进行澄清和修改, 澄清或者修改的内容作为磋商文件的组成部分。澄清或者修改的内容可能影响响应文件编制的，</w:t>
      </w:r>
      <w:r>
        <w:rPr>
          <w:rFonts w:hint="eastAsia" w:ascii="宋体" w:hAnsi="宋体" w:cs="Times New Roman"/>
          <w:color w:val="000000"/>
          <w:sz w:val="24"/>
          <w:szCs w:val="21"/>
          <w:highlight w:val="none"/>
          <w:lang w:eastAsia="zh-CN"/>
        </w:rPr>
        <w:t xml:space="preserve">磋商代理</w:t>
      </w:r>
      <w:r>
        <w:rPr>
          <w:rFonts w:hint="eastAsia" w:ascii="宋体" w:hAnsi="宋体" w:eastAsia="宋体" w:cs="Times New Roman"/>
          <w:color w:val="000000"/>
          <w:sz w:val="24"/>
          <w:szCs w:val="21"/>
          <w:highlight w:val="none"/>
        </w:rPr>
        <w:t xml:space="preserve">将在提交首次响应文件截止时间至少5日前，在“</w:t>
      </w:r>
      <w:r>
        <w:rPr>
          <w:rFonts w:hint="eastAsia" w:ascii="宋体" w:hAnsi="宋体" w:cs="Times New Roman"/>
          <w:color w:val="000000"/>
          <w:sz w:val="24"/>
          <w:szCs w:val="21"/>
          <w:highlight w:val="none"/>
          <w:lang w:eastAsia="zh-CN"/>
        </w:rPr>
        <w:t xml:space="preserve">江苏省政府采购网</w:t>
      </w:r>
      <w:r>
        <w:rPr>
          <w:rFonts w:hint="eastAsia" w:ascii="宋体" w:hAnsi="宋体" w:eastAsia="宋体" w:cs="Times New Roman"/>
          <w:color w:val="000000"/>
          <w:sz w:val="24"/>
          <w:szCs w:val="21"/>
          <w:highlight w:val="none"/>
        </w:rPr>
        <w:t xml:space="preserve">”上发布书面更正公告形式通知所有获取磋商文件的供应商, 更正公告内容将作为磋商文件的组成部分，并对供应商具有约束力。不足5日的，</w:t>
      </w:r>
      <w:r>
        <w:rPr>
          <w:rFonts w:hint="eastAsia" w:ascii="宋体" w:hAnsi="宋体" w:cs="Times New Roman"/>
          <w:color w:val="000000"/>
          <w:sz w:val="24"/>
          <w:szCs w:val="21"/>
          <w:highlight w:val="none"/>
          <w:lang w:eastAsia="zh-CN"/>
        </w:rPr>
        <w:t xml:space="preserve">磋商代理</w:t>
      </w:r>
      <w:r>
        <w:rPr>
          <w:rFonts w:hint="eastAsia" w:ascii="宋体" w:hAnsi="宋体" w:eastAsia="宋体" w:cs="Times New Roman"/>
          <w:color w:val="000000"/>
          <w:sz w:val="24"/>
          <w:szCs w:val="21"/>
          <w:highlight w:val="none"/>
        </w:rPr>
        <w:t xml:space="preserve">将顺延提交首次响应文件截止时间。</w:t>
      </w:r>
      <w:r/>
    </w:p>
    <w:p>
      <w:pPr>
        <w:ind w:firstLine="498"/>
        <w:keepLines/>
        <w:keepNext/>
        <w:pageBreakBefore w:val="0"/>
        <w:spacing w:before="145" w:after="145" w:line="252" w:lineRule="auto"/>
        <w:widowControl w:val="off"/>
        <w:rPr>
          <w:rFonts w:hint="eastAsia" w:ascii="Times New Roman" w:hAnsi="Times New Roman" w:eastAsia="宋体" w:cs="Times New Roman"/>
          <w:b/>
          <w:bCs/>
          <w:sz w:val="32"/>
          <w:szCs w:val="32"/>
          <w:highlight w:val="none"/>
        </w:rPr>
        <w:outlineLvl w:val="2"/>
      </w:pPr>
      <w:r/>
      <w:bookmarkStart w:id="70" w:name="_Toc16938529"/>
      <w:r/>
      <w:bookmarkStart w:id="71" w:name="_Toc513029213"/>
      <w:r/>
      <w:bookmarkStart w:id="72" w:name="_Toc20823285"/>
      <w:r/>
      <w:bookmarkStart w:id="73" w:name="_Toc120614216"/>
      <w:r/>
      <w:bookmarkStart w:id="74" w:name="_Toc462564072"/>
      <w:r>
        <w:rPr>
          <w:rFonts w:hint="eastAsia" w:ascii="Times New Roman" w:hAnsi="Times New Roman" w:eastAsia="宋体" w:cs="Times New Roman"/>
          <w:b/>
          <w:bCs/>
          <w:sz w:val="32"/>
          <w:szCs w:val="32"/>
          <w:highlight w:val="none"/>
        </w:rPr>
        <w:t xml:space="preserve">三、响应文件的编制</w:t>
      </w:r>
      <w:bookmarkEnd w:id="70"/>
      <w:r/>
      <w:bookmarkEnd w:id="71"/>
      <w:r/>
      <w:bookmarkEnd w:id="72"/>
      <w:r/>
      <w:bookmarkEnd w:id="73"/>
      <w:r/>
      <w:bookmarkEnd w:id="74"/>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75" w:name="_Toc513029214"/>
      <w:r/>
      <w:bookmarkStart w:id="76" w:name="_Toc20823286"/>
      <w:r/>
      <w:bookmarkStart w:id="77" w:name="_Toc16938530"/>
      <w:r/>
      <w:bookmarkStart w:id="78" w:name="_Toc462564073"/>
      <w:r>
        <w:rPr>
          <w:rFonts w:hint="eastAsia" w:ascii="Arial" w:hAnsi="Arial" w:eastAsia="黑体" w:cs="Arial"/>
          <w:sz w:val="28"/>
          <w:szCs w:val="28"/>
          <w:highlight w:val="none"/>
          <w:lang w:val="en-US" w:eastAsia="zh-CN"/>
        </w:rPr>
        <w:t xml:space="preserve">9、响应文件的语言及度量衡单位</w:t>
      </w:r>
      <w:bookmarkEnd w:id="75"/>
      <w:r/>
      <w:bookmarkEnd w:id="76"/>
      <w:r/>
      <w:bookmarkEnd w:id="77"/>
      <w:r/>
      <w:bookmarkEnd w:id="78"/>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cs="Times New Roman"/>
          <w:color w:val="000000"/>
          <w:sz w:val="24"/>
          <w:szCs w:val="21"/>
          <w:highlight w:val="none"/>
          <w:lang w:eastAsia="zh-CN"/>
        </w:rPr>
        <w:t xml:space="preserve">磋商代理</w:t>
      </w:r>
      <w:r>
        <w:rPr>
          <w:rFonts w:hint="eastAsia" w:ascii="宋体" w:hAnsi="宋体" w:eastAsia="宋体" w:cs="Times New Roman"/>
          <w:color w:val="000000"/>
          <w:sz w:val="24"/>
          <w:szCs w:val="21"/>
          <w:highlight w:val="none"/>
        </w:rPr>
        <w:t xml:space="preserve">就有关磋商的所有来往通知、函件和文件均应使用简体中文。</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除技术性能另有规定外，响应文件所使用的度量衡单位，均须采用国家法定计量单位。</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79" w:name="_Toc20823287"/>
      <w:r/>
      <w:bookmarkStart w:id="80" w:name="_Toc462564074"/>
      <w:r/>
      <w:bookmarkStart w:id="81" w:name="_Toc513029215"/>
      <w:r/>
      <w:bookmarkStart w:id="82" w:name="_Toc16938531"/>
      <w:r>
        <w:rPr>
          <w:rFonts w:hint="eastAsia" w:ascii="Arial" w:hAnsi="Arial" w:eastAsia="黑体" w:cs="Arial"/>
          <w:sz w:val="28"/>
          <w:szCs w:val="28"/>
          <w:highlight w:val="none"/>
          <w:lang w:val="en-US" w:eastAsia="zh-CN"/>
        </w:rPr>
        <w:t xml:space="preserve">10、响应文件构成</w:t>
      </w:r>
      <w:bookmarkEnd w:id="79"/>
      <w:r/>
      <w:bookmarkEnd w:id="80"/>
      <w:r/>
      <w:bookmarkEnd w:id="81"/>
      <w:r/>
      <w:bookmarkEnd w:id="82"/>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83" w:name="_Hlt26954838"/>
      <w:r/>
      <w:bookmarkEnd w:id="83"/>
      <w:r/>
      <w:bookmarkStart w:id="84" w:name="_Hlt26670360"/>
      <w:r/>
      <w:bookmarkEnd w:id="84"/>
      <w:r/>
      <w:bookmarkStart w:id="85" w:name="_Hlt26668975"/>
      <w:r/>
      <w:bookmarkEnd w:id="85"/>
      <w:r/>
      <w:bookmarkStart w:id="86" w:name="_Toc49090509"/>
      <w:r/>
      <w:bookmarkStart w:id="87" w:name="_Toc513029216"/>
      <w:r/>
      <w:bookmarkStart w:id="88" w:name="_Toc513029219"/>
      <w:r/>
      <w:bookmarkStart w:id="89" w:name="_Toc49090507"/>
      <w:r/>
      <w:bookmarkStart w:id="90" w:name="_Toc14577354"/>
      <w:r/>
      <w:bookmarkStart w:id="91" w:name="_Toc14577357"/>
      <w:r/>
      <w:bookmarkStart w:id="92" w:name="_Toc14577355"/>
      <w:r/>
      <w:bookmarkStart w:id="93" w:name="_Toc49090508"/>
      <w:r>
        <w:rPr>
          <w:rFonts w:hint="eastAsia" w:ascii="Arial" w:hAnsi="Arial" w:eastAsia="黑体" w:cs="Arial"/>
          <w:sz w:val="28"/>
          <w:szCs w:val="28"/>
          <w:highlight w:val="none"/>
          <w:lang w:val="en-US" w:eastAsia="zh-CN"/>
        </w:rPr>
        <w:t xml:space="preserve">11、证明磋商响应标的符合磋商文件规定的文件</w:t>
      </w:r>
      <w:bookmarkEnd w:id="86"/>
      <w:r/>
      <w:bookmarkEnd w:id="87"/>
      <w:r/>
      <w:bookmarkEnd w:id="88"/>
      <w:r/>
      <w:bookmarkEnd w:id="89"/>
      <w:r/>
      <w:bookmarkEnd w:id="90"/>
      <w:r/>
      <w:bookmarkEnd w:id="91"/>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供应商应按照磋商文件要求提交证明文件，证明其及磋商响应标的符合磋商文件规定。</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磋商文件对证明文件无明确形式要求的，证明文件可以以文字资料、图纸和数据等形式提交。</w:t>
      </w:r>
      <w:bookmarkEnd w:id="92"/>
      <w:r/>
      <w:bookmarkEnd w:id="93"/>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rPr>
          <w:rFonts w:hint="eastAsia" w:ascii="Arial" w:hAnsi="Arial" w:eastAsia="黑体" w:cs="Arial"/>
          <w:sz w:val="28"/>
          <w:szCs w:val="28"/>
          <w:highlight w:val="none"/>
          <w:lang w:val="en-US" w:eastAsia="zh-CN"/>
        </w:rPr>
        <w:t xml:space="preserve">12、分项报价表</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供应商应按照磋商文件规定格式填报分项报价表。</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磋商货币。响应文件中的单价和总价无特殊规定的采用人民币报价，以元为单位标注。磋商文件中另有规定的按规定执行。</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94" w:name="_Hlt26954731"/>
      <w:r/>
      <w:bookmarkEnd w:id="94"/>
      <w:r/>
      <w:bookmarkStart w:id="95" w:name="_Hlt26954846"/>
      <w:r/>
      <w:bookmarkEnd w:id="95"/>
      <w:r/>
      <w:bookmarkStart w:id="96" w:name="_Hlt26670482"/>
      <w:r/>
      <w:bookmarkEnd w:id="96"/>
      <w:r/>
      <w:bookmarkStart w:id="97" w:name="_Hlt26954848"/>
      <w:r/>
      <w:bookmarkEnd w:id="97"/>
      <w:r/>
      <w:bookmarkStart w:id="98" w:name="_Hlt26670486"/>
      <w:r/>
      <w:bookmarkEnd w:id="98"/>
      <w:r>
        <w:rPr>
          <w:rFonts w:hint="eastAsia" w:ascii="Arial" w:hAnsi="Arial" w:eastAsia="黑体" w:cs="Arial"/>
          <w:sz w:val="28"/>
          <w:szCs w:val="28"/>
          <w:highlight w:val="none"/>
          <w:lang w:val="en-US" w:eastAsia="zh-CN"/>
        </w:rPr>
        <w:t xml:space="preserve">13、技术要求响应及偏离表、商务要求响应及偏离表</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供应商需对磋商文件中的技术要求与商务要求逐项作出响应或偏离，并说明原因。</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99" w:name="_Toc49090510"/>
      <w:r/>
      <w:bookmarkStart w:id="100" w:name="_Toc14577359"/>
      <w:r>
        <w:rPr>
          <w:rFonts w:hint="eastAsia" w:ascii="Arial" w:hAnsi="Arial" w:eastAsia="黑体" w:cs="Arial"/>
          <w:sz w:val="28"/>
          <w:szCs w:val="28"/>
          <w:highlight w:val="none"/>
          <w:lang w:val="en-US" w:eastAsia="zh-CN"/>
        </w:rPr>
        <w:t xml:space="preserve">14、磋商响应函</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.1供应商应按照磋商文件中提供的格式完整、正确填写磋商响应函。</w:t>
      </w:r>
      <w:bookmarkEnd w:id="99"/>
      <w:r/>
      <w:bookmarkEnd w:id="100"/>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101" w:name="_Toc49090511"/>
      <w:r/>
      <w:bookmarkStart w:id="102" w:name="_Toc14577360"/>
      <w:r>
        <w:rPr>
          <w:rFonts w:hint="eastAsia" w:ascii="Arial" w:hAnsi="Arial" w:eastAsia="黑体" w:cs="Arial"/>
          <w:sz w:val="28"/>
          <w:szCs w:val="28"/>
          <w:highlight w:val="none"/>
          <w:lang w:val="en-US" w:eastAsia="zh-CN"/>
        </w:rPr>
        <w:t xml:space="preserve">15、磋商有效期</w:t>
      </w:r>
      <w:bookmarkEnd w:id="101"/>
      <w:r/>
      <w:bookmarkEnd w:id="102"/>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cs="Times New Roman"/>
          <w:color w:val="000000"/>
          <w:sz w:val="24"/>
          <w:szCs w:val="21"/>
          <w:highlight w:val="none"/>
          <w:lang w:eastAsia="zh-CN"/>
        </w:rPr>
        <w:t xml:space="preserve">磋商代理</w:t>
      </w:r>
      <w:r>
        <w:rPr>
          <w:rFonts w:hint="eastAsia" w:ascii="宋体" w:hAnsi="宋体" w:eastAsia="宋体" w:cs="Times New Roman"/>
          <w:color w:val="000000"/>
          <w:sz w:val="24"/>
          <w:szCs w:val="21"/>
          <w:highlight w:val="none"/>
        </w:rPr>
        <w:t xml:space="preserve">规定的提交响应文件截止之日后</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。磋商有效期比规定短的将被视为非实质性响应磋商文件而予以拒绝。</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rPr>
          <w:rFonts w:hint="eastAsia" w:ascii="Arial" w:hAnsi="Arial" w:eastAsia="黑体" w:cs="Arial"/>
          <w:sz w:val="28"/>
          <w:szCs w:val="28"/>
          <w:highlight w:val="none"/>
          <w:lang w:val="en-US" w:eastAsia="zh-CN"/>
        </w:rPr>
        <w:t xml:space="preserve">16、磋商有效期的延长</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cs="Times New Roman"/>
          <w:color w:val="000000"/>
          <w:sz w:val="24"/>
          <w:szCs w:val="21"/>
          <w:highlight w:val="none"/>
          <w:lang w:eastAsia="zh-CN"/>
        </w:rPr>
        <w:t xml:space="preserve">磋商代理</w:t>
      </w:r>
      <w:r>
        <w:rPr>
          <w:rFonts w:hint="eastAsia" w:ascii="宋体" w:hAnsi="宋体" w:eastAsia="宋体" w:cs="Times New Roman"/>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cs="Times New Roman"/>
          <w:color w:val="000000"/>
          <w:sz w:val="24"/>
          <w:szCs w:val="21"/>
          <w:highlight w:val="none"/>
          <w:lang w:eastAsia="zh-CN"/>
        </w:rPr>
        <w:t xml:space="preserve">磋商代理</w:t>
      </w:r>
      <w:r>
        <w:rPr>
          <w:rFonts w:hint="eastAsia" w:ascii="宋体" w:hAnsi="宋体" w:eastAsia="宋体" w:cs="Times New Roman"/>
          <w:color w:val="000000"/>
          <w:sz w:val="24"/>
          <w:szCs w:val="21"/>
          <w:highlight w:val="none"/>
        </w:rPr>
        <w:t xml:space="preserve">的这一要求而放弃磋商，同意延长磋商有效期的供应商既不能要求也不允许修改其响应文件。受磋商有效期约束的所有权利与义务均延长至新的有效期。</w:t>
      </w:r>
      <w:r/>
    </w:p>
    <w:p>
      <w:pPr>
        <w:ind w:firstLine="498"/>
        <w:keepLines/>
        <w:keepNext/>
        <w:pageBreakBefore w:val="0"/>
        <w:spacing w:before="145" w:after="145" w:line="252" w:lineRule="auto"/>
        <w:widowControl w:val="off"/>
        <w:rPr>
          <w:rFonts w:hint="eastAsia" w:ascii="Times New Roman" w:hAnsi="Times New Roman" w:eastAsia="宋体" w:cs="Times New Roman"/>
          <w:b/>
          <w:bCs/>
          <w:sz w:val="32"/>
          <w:szCs w:val="32"/>
          <w:highlight w:val="none"/>
        </w:rPr>
        <w:outlineLvl w:val="2"/>
      </w:pPr>
      <w:r/>
      <w:bookmarkStart w:id="103" w:name="_Hlt26954852"/>
      <w:r/>
      <w:bookmarkEnd w:id="103"/>
      <w:r/>
      <w:bookmarkStart w:id="104" w:name="_Hlt26954739"/>
      <w:r/>
      <w:bookmarkEnd w:id="104"/>
      <w:r/>
      <w:bookmarkStart w:id="105" w:name="_Toc120614217"/>
      <w:r/>
      <w:bookmarkStart w:id="106" w:name="_Toc20823296"/>
      <w:r/>
      <w:bookmarkStart w:id="107" w:name="_Toc513029224"/>
      <w:r/>
      <w:bookmarkStart w:id="108" w:name="_Toc16938540"/>
      <w:r>
        <w:rPr>
          <w:rFonts w:hint="eastAsia" w:ascii="Times New Roman" w:hAnsi="Times New Roman" w:eastAsia="宋体" w:cs="Times New Roman"/>
          <w:b/>
          <w:bCs/>
          <w:sz w:val="32"/>
          <w:szCs w:val="32"/>
          <w:highlight w:val="none"/>
        </w:rPr>
        <w:t xml:space="preserve">四、响应文件的递交</w:t>
      </w:r>
      <w:bookmarkEnd w:id="105"/>
      <w:r/>
      <w:bookmarkEnd w:id="106"/>
      <w:r/>
      <w:bookmarkEnd w:id="107"/>
      <w:r/>
      <w:bookmarkEnd w:id="108"/>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109" w:name="_Toc513029225"/>
      <w:r/>
      <w:bookmarkStart w:id="110" w:name="_Toc462564084"/>
      <w:r/>
      <w:bookmarkStart w:id="111" w:name="_Toc16938541"/>
      <w:r/>
      <w:bookmarkStart w:id="112" w:name="_Toc20823297"/>
      <w:r>
        <w:rPr>
          <w:rFonts w:hint="eastAsia" w:ascii="Arial" w:hAnsi="Arial" w:eastAsia="黑体" w:cs="Arial"/>
          <w:sz w:val="28"/>
          <w:szCs w:val="28"/>
          <w:highlight w:val="none"/>
          <w:lang w:val="en-US" w:eastAsia="zh-CN"/>
        </w:rPr>
        <w:t xml:space="preserve">17、磋商</w:t>
      </w:r>
      <w:bookmarkEnd w:id="109"/>
      <w:r/>
      <w:bookmarkEnd w:id="110"/>
      <w:r/>
      <w:bookmarkEnd w:id="111"/>
      <w:r/>
      <w:bookmarkEnd w:id="112"/>
      <w:r>
        <w:rPr>
          <w:rFonts w:hint="eastAsia" w:ascii="Arial" w:hAnsi="Arial" w:eastAsia="黑体" w:cs="Arial"/>
          <w:sz w:val="28"/>
          <w:szCs w:val="28"/>
          <w:highlight w:val="none"/>
          <w:lang w:val="en-US" w:eastAsia="zh-CN"/>
        </w:rPr>
        <w:t xml:space="preserve">响应文件的递交</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供应商应当在提交响应文件截止时间前</w:t>
      </w:r>
      <w:r>
        <w:rPr>
          <w:rFonts w:hint="eastAsia" w:ascii="宋体" w:hAnsi="宋体" w:cs="Times New Roman"/>
          <w:color w:val="000000"/>
          <w:sz w:val="24"/>
          <w:szCs w:val="21"/>
          <w:highlight w:val="none"/>
          <w:lang w:val="en-US" w:eastAsia="zh-CN"/>
        </w:rPr>
        <w:t xml:space="preserve">递交</w:t>
      </w:r>
      <w:r>
        <w:rPr>
          <w:rFonts w:hint="eastAsia" w:ascii="宋体" w:hAnsi="宋体" w:eastAsia="宋体" w:cs="Times New Roman"/>
          <w:color w:val="000000"/>
          <w:sz w:val="24"/>
          <w:szCs w:val="21"/>
          <w:highlight w:val="none"/>
        </w:rPr>
        <w:t xml:space="preserve">响应文件。</w:t>
      </w:r>
      <w:bookmarkStart w:id="113" w:name="_Toc513029226"/>
      <w:r/>
      <w:bookmarkStart w:id="114" w:name="_Toc16938542"/>
      <w:r/>
      <w:bookmarkStart w:id="115" w:name="_Toc20823298"/>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rPr>
          <w:rFonts w:hint="eastAsia" w:ascii="Arial" w:hAnsi="Arial" w:eastAsia="黑体" w:cs="Arial"/>
          <w:sz w:val="28"/>
          <w:szCs w:val="28"/>
          <w:highlight w:val="none"/>
          <w:lang w:val="en-US" w:eastAsia="zh-CN"/>
        </w:rPr>
        <w:t xml:space="preserve">18、提交响应文件截止时间</w:t>
      </w:r>
      <w:bookmarkEnd w:id="113"/>
      <w:r/>
      <w:bookmarkEnd w:id="114"/>
      <w:r/>
      <w:bookmarkEnd w:id="115"/>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eastAsia="zh-CN"/>
        </w:rPr>
      </w:pPr>
      <w:r/>
      <w:bookmarkStart w:id="116" w:name="_Toc513029227"/>
      <w:r/>
      <w:bookmarkStart w:id="117" w:name="_Toc16938543"/>
      <w:r/>
      <w:bookmarkStart w:id="118" w:name="_Toc20823299"/>
      <w:r>
        <w:rPr>
          <w:rFonts w:hint="eastAsia" w:ascii="宋体" w:hAnsi="宋体" w:eastAsia="宋体" w:cs="Times New Roman"/>
          <w:color w:val="000000"/>
          <w:sz w:val="24"/>
          <w:szCs w:val="21"/>
          <w:highlight w:val="none"/>
          <w:lang w:eastAsia="zh-CN"/>
        </w:rPr>
        <w:t xml:space="preserve">18.1 供应商递交响应文件的时间不得迟于磋商公告中规定的截止时间。</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供应商应充分考虑到交通拥堵、人为等风险因素，如因供应商自身原因造成的响应文件无法准时递交由供应商自行承担全部责任。</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18.2</w:t>
      </w:r>
      <w:r>
        <w:rPr>
          <w:rFonts w:hint="eastAsia" w:ascii="宋体" w:hAnsi="宋体" w:eastAsia="宋体" w:cs="Times New Roman"/>
          <w:color w:val="000000"/>
          <w:sz w:val="24"/>
          <w:szCs w:val="21"/>
          <w:highlight w:val="none"/>
          <w:lang w:val="en-US" w:eastAsia="zh-CN"/>
        </w:rPr>
        <w:t xml:space="preserve">磋商</w:t>
      </w:r>
      <w:r>
        <w:rPr>
          <w:rFonts w:hint="eastAsia" w:ascii="宋体" w:hAnsi="宋体" w:eastAsia="宋体" w:cs="Times New Roman"/>
          <w:color w:val="000000"/>
          <w:sz w:val="24"/>
          <w:szCs w:val="21"/>
          <w:highlight w:val="none"/>
          <w:lang w:eastAsia="zh-CN"/>
        </w:rPr>
        <w:t xml:space="preserve">代理可以按照规定，通过修改磋商文件酌情延长截止日期，在此情况下，供应商的所有权利和义务以及供应商受制的截止日期均应以延长后新的截止日期为准。</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rPr>
          <w:rFonts w:hint="eastAsia" w:ascii="Arial" w:hAnsi="Arial" w:eastAsia="黑体" w:cs="Arial"/>
          <w:sz w:val="28"/>
          <w:szCs w:val="28"/>
          <w:highlight w:val="none"/>
          <w:lang w:val="en-US" w:eastAsia="zh-CN"/>
        </w:rPr>
        <w:t xml:space="preserve">19、响应文件</w:t>
      </w:r>
      <w:bookmarkEnd w:id="116"/>
      <w:r/>
      <w:bookmarkEnd w:id="117"/>
      <w:r/>
      <w:bookmarkEnd w:id="118"/>
      <w:r>
        <w:rPr>
          <w:rFonts w:hint="eastAsia" w:ascii="Arial" w:hAnsi="Arial" w:eastAsia="黑体" w:cs="Arial"/>
          <w:sz w:val="28"/>
          <w:szCs w:val="28"/>
          <w:highlight w:val="none"/>
          <w:lang w:val="en-US" w:eastAsia="zh-CN"/>
        </w:rPr>
        <w:t xml:space="preserve">的拒收</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 </w:t>
      </w:r>
      <w:r>
        <w:rPr>
          <w:rFonts w:hint="eastAsia" w:ascii="宋体" w:hAnsi="宋体" w:eastAsia="宋体" w:cs="Times New Roman"/>
          <w:color w:val="000000"/>
          <w:sz w:val="24"/>
          <w:szCs w:val="21"/>
          <w:highlight w:val="none"/>
          <w:lang w:eastAsia="zh-CN"/>
        </w:rPr>
        <w:t xml:space="preserve">磋商代理拒绝接收在其规定的响应文件提交截止时间后递交任何响应文件。</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119" w:name="_Toc20823300"/>
      <w:r/>
      <w:bookmarkStart w:id="120" w:name="_Toc513029228"/>
      <w:r/>
      <w:bookmarkStart w:id="121" w:name="_Toc16938544"/>
      <w:r>
        <w:rPr>
          <w:rFonts w:hint="eastAsia" w:ascii="Arial" w:hAnsi="Arial" w:eastAsia="黑体" w:cs="Arial"/>
          <w:sz w:val="28"/>
          <w:szCs w:val="28"/>
          <w:highlight w:val="none"/>
          <w:lang w:val="en-US" w:eastAsia="zh-CN"/>
        </w:rPr>
        <w:t xml:space="preserve">20、响应文件的撤回和修改</w:t>
      </w:r>
      <w:bookmarkEnd w:id="119"/>
      <w:r/>
      <w:bookmarkEnd w:id="120"/>
      <w:r/>
      <w:bookmarkEnd w:id="121"/>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eastAsia="zh-CN"/>
        </w:rPr>
      </w:pPr>
      <w:r/>
      <w:bookmarkStart w:id="122" w:name="_Toc513029229"/>
      <w:r/>
      <w:bookmarkStart w:id="123" w:name="_Toc16938545"/>
      <w:r/>
      <w:bookmarkStart w:id="124" w:name="_Toc20823301"/>
      <w:r/>
      <w:bookmarkStart w:id="125" w:name="_Toc120614218"/>
      <w:r>
        <w:rPr>
          <w:rFonts w:hint="eastAsia" w:ascii="宋体" w:hAnsi="宋体" w:eastAsia="宋体" w:cs="Times New Roman"/>
          <w:color w:val="000000"/>
          <w:sz w:val="24"/>
          <w:szCs w:val="21"/>
          <w:highlight w:val="none"/>
          <w:lang w:eastAsia="zh-CN"/>
        </w:rPr>
        <w:t xml:space="preserve">20.1 响应文件的撤回</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20.1.1 响应文件的撤回</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供应商可在响应文件提交截止时间前，撤回其响应文件。</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20.1.2 供应商撤回响应文件，则认为其不再参与本项采购活动。</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20.2 响应文件的修改</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供应商可在响应文件提交截止时间前，对其响应文件进行修改。</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20.3在响应文件提交截止时间之后，供应商不得对其响应文件作任何修改。</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20.4在响应文件提交截止时间至磋商文件中规定的响应文件有效期满之间的这段时间内，供应商不得撤回其响应文件。</w:t>
      </w:r>
      <w:r/>
    </w:p>
    <w:p>
      <w:pPr>
        <w:ind w:firstLine="498"/>
        <w:keepLines/>
        <w:keepNext/>
        <w:pageBreakBefore w:val="0"/>
        <w:spacing w:before="145" w:after="145" w:line="252" w:lineRule="auto"/>
        <w:widowControl w:val="off"/>
        <w:rPr>
          <w:rFonts w:hint="eastAsia" w:ascii="Times New Roman" w:hAnsi="Times New Roman" w:eastAsia="宋体" w:cs="Times New Roman"/>
          <w:b/>
          <w:bCs/>
          <w:sz w:val="32"/>
          <w:szCs w:val="32"/>
          <w:highlight w:val="none"/>
        </w:rPr>
        <w:outlineLvl w:val="2"/>
      </w:pPr>
      <w:r>
        <w:rPr>
          <w:rFonts w:hint="eastAsia" w:ascii="Times New Roman" w:hAnsi="Times New Roman" w:eastAsia="宋体" w:cs="Times New Roman"/>
          <w:b/>
          <w:bCs/>
          <w:sz w:val="32"/>
          <w:szCs w:val="32"/>
          <w:highlight w:val="none"/>
        </w:rPr>
        <w:t xml:space="preserve">五、</w:t>
      </w:r>
      <w:bookmarkEnd w:id="122"/>
      <w:r/>
      <w:bookmarkEnd w:id="123"/>
      <w:r/>
      <w:bookmarkEnd w:id="124"/>
      <w:r/>
      <w:bookmarkEnd w:id="125"/>
      <w:r>
        <w:rPr>
          <w:rFonts w:hint="eastAsia" w:ascii="Times New Roman" w:hAnsi="Times New Roman" w:eastAsia="宋体" w:cs="Times New Roman"/>
          <w:b/>
          <w:bCs/>
          <w:sz w:val="32"/>
          <w:szCs w:val="32"/>
          <w:highlight w:val="none"/>
          <w:lang w:eastAsia="zh-CN"/>
        </w:rPr>
        <w:t xml:space="preserve">响应文件的开启与评审</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126" w:name="_Toc20823302"/>
      <w:r/>
      <w:bookmarkStart w:id="127" w:name="_Toc513029230"/>
      <w:r/>
      <w:bookmarkStart w:id="128" w:name="_Toc16938546"/>
      <w:r>
        <w:rPr>
          <w:rFonts w:hint="eastAsia" w:ascii="Arial" w:hAnsi="Arial" w:eastAsia="黑体" w:cs="Arial"/>
          <w:sz w:val="28"/>
          <w:szCs w:val="28"/>
          <w:highlight w:val="none"/>
          <w:lang w:val="en-US" w:eastAsia="zh-CN"/>
        </w:rPr>
        <w:t xml:space="preserve">21、</w:t>
      </w:r>
      <w:bookmarkEnd w:id="126"/>
      <w:r/>
      <w:bookmarkEnd w:id="127"/>
      <w:r/>
      <w:bookmarkEnd w:id="128"/>
      <w:r>
        <w:rPr>
          <w:rFonts w:hint="eastAsia" w:ascii="Arial" w:hAnsi="Arial" w:eastAsia="黑体" w:cs="Arial"/>
          <w:sz w:val="28"/>
          <w:szCs w:val="28"/>
          <w:highlight w:val="none"/>
          <w:lang w:val="en-US" w:eastAsia="zh-CN"/>
        </w:rPr>
        <w:t xml:space="preserve">响应文件的开启</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bookmarkStart w:id="129" w:name="_Toc20823303"/>
      <w:r/>
      <w:bookmarkStart w:id="130" w:name="_Toc16938547"/>
      <w:r/>
      <w:bookmarkStart w:id="131" w:name="_Toc513029231"/>
      <w:r>
        <w:rPr>
          <w:rFonts w:hint="eastAsia" w:ascii="宋体" w:hAnsi="宋体" w:eastAsia="宋体" w:cs="Times New Roman"/>
          <w:color w:val="000000"/>
          <w:sz w:val="24"/>
          <w:szCs w:val="21"/>
          <w:highlight w:val="none"/>
          <w:lang w:val="en-US" w:eastAsia="zh-CN"/>
        </w:rPr>
        <w:t xml:space="preserve">21.1</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将在磋商公告中规定的时间和地点组织开启响应文件。</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21.2响应文件开启仪式由</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组织。</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开启各供应商的响应文件，并公布各供应商的报价。</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21.3供应商如果对响应文件开启过程和开启记录有疑义，应当唱标结束后5分钟内未提出，如未提出视同认可开启结果。</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21.4唱标结束后如未提出疑义，供应商须进行结果确认等工作。</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rPr>
          <w:rFonts w:hint="eastAsia" w:ascii="Arial" w:hAnsi="Arial" w:eastAsia="黑体" w:cs="Arial"/>
          <w:sz w:val="28"/>
          <w:szCs w:val="28"/>
          <w:highlight w:val="none"/>
          <w:lang w:val="en-US" w:eastAsia="zh-CN"/>
        </w:rPr>
        <w:t xml:space="preserve">22、磋商小组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 </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将组织磋商小组对响应文件进行评审。磋商小组由采购人代表和有关技术、经济等方面的专家组成，且人员构成符合政府采购有关规定。</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磋商小组独立工作，负责评审所有响应文件并确定成交侯选人。</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rPr>
          <w:rFonts w:hint="eastAsia" w:ascii="Arial" w:hAnsi="Arial" w:eastAsia="黑体" w:cs="Arial"/>
          <w:sz w:val="28"/>
          <w:szCs w:val="28"/>
          <w:highlight w:val="none"/>
          <w:lang w:val="en-US" w:eastAsia="zh-CN"/>
        </w:rPr>
        <w:t xml:space="preserve">23、评审过程的保密与公正</w:t>
      </w:r>
      <w:bookmarkEnd w:id="129"/>
      <w:r/>
      <w:bookmarkEnd w:id="130"/>
      <w:r/>
      <w:bookmarkEnd w:id="131"/>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磋商小组、采购人和</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工作人员、相关监督人员等与评审工作有关的人员，对评审情况以及在评审过程中获悉的国家秘密、商业秘密负有保密责任。</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在评审过程中，供应商不得以任何行为影响磋商评审过程，否则其响应文件将被作为无效响应文件。</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和磋商小组不向未成交的供应商解释未成交原因，也不公布评审过程中的相关细节。</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132" w:name="_Toc16938548"/>
      <w:r/>
      <w:bookmarkStart w:id="133" w:name="_Toc20823304"/>
      <w:r/>
      <w:bookmarkStart w:id="134" w:name="_Toc513029232"/>
      <w:r>
        <w:rPr>
          <w:rFonts w:hint="eastAsia" w:ascii="Arial" w:hAnsi="Arial" w:eastAsia="黑体" w:cs="Arial"/>
          <w:sz w:val="28"/>
          <w:szCs w:val="28"/>
          <w:highlight w:val="none"/>
          <w:lang w:val="en-US" w:eastAsia="zh-CN"/>
        </w:rPr>
        <w:t xml:space="preserve">24、评审过程中的的澄清</w:t>
      </w:r>
      <w:bookmarkEnd w:id="132"/>
      <w:r/>
      <w:bookmarkEnd w:id="133"/>
      <w:r/>
      <w:bookmarkEnd w:id="134"/>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项目评审期间，磋商小组有权要求供应商对响应文件中含义不明确、同类问题表述不一致或者有明显文字和计算错误的内容等作出必要的澄清、说明或者更正。</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供应商的澄清、说明或者更正不得超出响应文件的范围或者改变响应文件的实质性内容。</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磋商小组并非对每个供应商都作澄清要求。</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24.2 需要供应商进行澄清、说明和更正的，磋商小组将</w:t>
      </w:r>
      <w:r>
        <w:rPr>
          <w:rFonts w:hint="eastAsia" w:ascii="宋体" w:hAnsi="宋体" w:cs="Times New Roman"/>
          <w:color w:val="000000"/>
          <w:sz w:val="24"/>
          <w:szCs w:val="21"/>
          <w:highlight w:val="none"/>
          <w:lang w:val="en-US" w:eastAsia="zh-CN"/>
        </w:rPr>
        <w:t xml:space="preserve">要求</w:t>
      </w:r>
      <w:r>
        <w:rPr>
          <w:rFonts w:hint="eastAsia" w:ascii="宋体" w:hAnsi="宋体" w:eastAsia="宋体" w:cs="Times New Roman"/>
          <w:color w:val="000000"/>
          <w:sz w:val="24"/>
          <w:szCs w:val="21"/>
          <w:highlight w:val="none"/>
          <w:lang w:val="en-US" w:eastAsia="zh-CN"/>
        </w:rPr>
        <w:t xml:space="preserve">供应商按照要求在</w:t>
      </w:r>
      <w:r>
        <w:rPr>
          <w:rFonts w:hint="eastAsia" w:ascii="宋体" w:hAnsi="宋体" w:cs="Times New Roman"/>
          <w:color w:val="000000"/>
          <w:sz w:val="24"/>
          <w:szCs w:val="21"/>
          <w:highlight w:val="none"/>
          <w:lang w:val="en-US" w:eastAsia="zh-CN"/>
        </w:rPr>
        <w:t xml:space="preserve">规定的时间内</w:t>
      </w:r>
      <w:r>
        <w:rPr>
          <w:rFonts w:hint="eastAsia" w:ascii="宋体" w:hAnsi="宋体" w:eastAsia="宋体" w:cs="Times New Roman"/>
          <w:color w:val="000000"/>
          <w:sz w:val="24"/>
          <w:szCs w:val="21"/>
          <w:highlight w:val="none"/>
          <w:lang w:val="en-US" w:eastAsia="zh-CN"/>
        </w:rPr>
        <w:t xml:space="preserve">澄清、说明和更正的内容作为响应文件的补充部分。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接到磋商小组澄清、说明和更正要求的供应商如未按规定做出澄清、说明和 更正，其风险由供应商自行承担。</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135" w:name="_Toc513029233"/>
      <w:r/>
      <w:bookmarkStart w:id="136" w:name="_Toc16938549"/>
      <w:r/>
      <w:bookmarkStart w:id="137" w:name="_Toc20823305"/>
      <w:r>
        <w:rPr>
          <w:rFonts w:hint="eastAsia" w:ascii="Arial" w:hAnsi="Arial" w:eastAsia="黑体" w:cs="Arial"/>
          <w:sz w:val="28"/>
          <w:szCs w:val="28"/>
          <w:highlight w:val="none"/>
          <w:lang w:val="en-US" w:eastAsia="zh-CN"/>
        </w:rPr>
        <w:t xml:space="preserve">25、对响应文件的审</w:t>
      </w:r>
      <w:bookmarkEnd w:id="135"/>
      <w:r/>
      <w:bookmarkEnd w:id="136"/>
      <w:r/>
      <w:bookmarkEnd w:id="137"/>
      <w:r>
        <w:rPr>
          <w:rFonts w:hint="eastAsia" w:ascii="Arial" w:hAnsi="Arial" w:eastAsia="黑体" w:cs="Arial"/>
          <w:sz w:val="28"/>
          <w:szCs w:val="28"/>
          <w:highlight w:val="none"/>
          <w:lang w:val="en-US" w:eastAsia="zh-CN"/>
        </w:rPr>
        <w:t xml:space="preserve">查</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响应文件审查分为资格审查和符合性审查。</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磋商小组在进行资格审查的同时，将在“信用中国”网站（www.creditchina.gov.cn）查询供应商的信用记录，以确定供应商是否具备磋商资格,查询结果留存并归档。</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25.1.3未通过资格审查或符合性审查的供应商，磋商小组将告知未通过资格审查或符合性审查的原因，评审结束后，磋商小组将不再告知未通过资格审查或符合性审查的原因。</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所谓重大偏离或保留是指与磋商文件规定的实质性要求存在负偏离，或者在实质上与磋商文件不一致，而且限制了合同中买方和</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未实质性响应磋商文件的情形</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25.3.1供应商未按规定时间递交响应文件的。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25.3.2供应商未按照磋商文件要求密封响应文件的。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25.3.3同一供应商提交两个（含两个）以上不同的响应文件或者最后报价的。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25.3.4供应商不具备磋商文件中规定资格要求的。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25.3.5供应商的最后报价超过了采购预算或最高限价的。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25.3.6不符合磋商文件中规定的实质性要求和条件的（</w:t>
      </w:r>
      <w:r>
        <w:rPr>
          <w:rFonts w:hint="eastAsia" w:ascii="宋体" w:hAnsi="宋体" w:eastAsia="宋体" w:cs="Times New Roman"/>
          <w:i/>
          <w:iCs/>
          <w:color w:val="000000"/>
          <w:sz w:val="24"/>
          <w:szCs w:val="21"/>
          <w:highlight w:val="none"/>
          <w:u w:val="single"/>
          <w:lang w:val="en-US" w:eastAsia="zh-CN"/>
        </w:rPr>
        <w:t xml:space="preserve">本磋商文件中斜体且有下划线部分</w:t>
      </w:r>
      <w:r>
        <w:rPr>
          <w:rFonts w:hint="eastAsia" w:ascii="宋体" w:hAnsi="宋体" w:eastAsia="宋体" w:cs="Times New Roman"/>
          <w:color w:val="000000"/>
          <w:sz w:val="24"/>
          <w:szCs w:val="21"/>
          <w:highlight w:val="none"/>
          <w:lang w:val="zh-CN" w:eastAsia="zh-CN"/>
        </w:rPr>
        <w:t xml:space="preserve">或者打“</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zh-CN" w:eastAsia="zh-CN"/>
        </w:rPr>
        <w:t xml:space="preserve">”内容，</w:t>
      </w:r>
      <w:r>
        <w:rPr>
          <w:rFonts w:hint="eastAsia" w:ascii="宋体" w:hAnsi="宋体" w:eastAsia="宋体" w:cs="Times New Roman"/>
          <w:color w:val="000000"/>
          <w:sz w:val="24"/>
          <w:szCs w:val="21"/>
          <w:highlight w:val="none"/>
          <w:lang w:val="en-US" w:eastAsia="zh-CN"/>
        </w:rPr>
        <w:t xml:space="preserve">为实质性要求和条件）。</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25.3.8响应文件含有采购人不能接受的附加条件的。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5</w:t>
      </w:r>
      <w:r>
        <w:rPr>
          <w:rFonts w:hint="eastAsia" w:ascii="宋体" w:hAnsi="宋体" w:eastAsia="宋体" w:cs="Times New Roman"/>
          <w:color w:val="auto"/>
          <w:sz w:val="24"/>
          <w:szCs w:val="21"/>
          <w:lang w:val="en-US" w:eastAsia="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bookmarkStart w:id="138" w:name="_Toc20823306"/>
      <w:r/>
      <w:bookmarkStart w:id="139" w:name="_Toc513029234"/>
      <w:r/>
      <w:bookmarkStart w:id="140" w:name="_Toc16938550"/>
      <w:r>
        <w:rPr>
          <w:rFonts w:hint="eastAsia" w:ascii="宋体" w:hAnsi="宋体" w:eastAsia="宋体" w:cs="Times New Roman"/>
          <w:color w:val="auto"/>
          <w:sz w:val="24"/>
          <w:szCs w:val="21"/>
          <w:lang w:val="en-US" w:eastAsia="zh-CN"/>
        </w:rPr>
        <w:t xml:space="preserve">关于推动解决政府采购异常低价问题相关工作的通知（苏财购〔2025〕62号），评审委员会启动异常低价投标（响应）审查的情形和具体要求，包括：</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（一）评审过程中出现下列情形之一的，评审委员会应当启动异常低价投标（响应）审查程序：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1．投标（响应）报价低于采购项目预算50%的，即投标（响应）报价&lt;采购项目预算×50%；</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2．投标（响应）报价低于采购项目最高限价45%的，即投标（响应）报价&lt;采购项目最高限价×45%；</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3. 评审委员会认定的供应商报价过低、有可能影响产品质量或者不能诚信履约的其他情形。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5</w:t>
      </w:r>
      <w:r>
        <w:rPr>
          <w:rFonts w:hint="eastAsia" w:ascii="宋体" w:hAnsi="宋体" w:eastAsia="宋体" w:cs="Times New Roman"/>
          <w:color w:val="auto"/>
          <w:sz w:val="24"/>
          <w:szCs w:val="21"/>
          <w:lang w:val="en-US" w:eastAsia="zh-CN"/>
        </w:rPr>
        <w:t xml:space="preserve">.3.10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5</w:t>
      </w:r>
      <w:r>
        <w:rPr>
          <w:rFonts w:hint="eastAsia" w:ascii="宋体" w:hAnsi="宋体" w:eastAsia="宋体" w:cs="Times New Roman"/>
          <w:color w:val="auto"/>
          <w:sz w:val="24"/>
          <w:szCs w:val="21"/>
          <w:lang w:val="en-US" w:eastAsia="zh-CN"/>
        </w:rPr>
        <w:t xml:space="preserve">.3.11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5</w:t>
      </w:r>
      <w:r>
        <w:rPr>
          <w:rFonts w:hint="eastAsia" w:ascii="宋体" w:hAnsi="宋体" w:eastAsia="宋体" w:cs="Times New Roman"/>
          <w:color w:val="auto"/>
          <w:sz w:val="24"/>
          <w:szCs w:val="21"/>
          <w:lang w:val="en-US" w:eastAsia="zh-CN"/>
        </w:rPr>
        <w:t xml:space="preserve">.4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5</w:t>
      </w:r>
      <w:r>
        <w:rPr>
          <w:rFonts w:hint="eastAsia" w:ascii="宋体" w:hAnsi="宋体" w:eastAsia="宋体" w:cs="Times New Roman"/>
          <w:color w:val="auto"/>
          <w:sz w:val="24"/>
          <w:szCs w:val="21"/>
          <w:lang w:val="en-US" w:eastAsia="zh-CN"/>
        </w:rPr>
        <w:t xml:space="preserve">.5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auto"/>
          <w:sz w:val="24"/>
          <w:szCs w:val="21"/>
          <w:lang w:val="en-US" w:eastAsia="zh-CN"/>
        </w:rPr>
        <w:t xml:space="preserve">2</w:t>
      </w:r>
      <w:r>
        <w:rPr>
          <w:rFonts w:hint="eastAsia" w:ascii="宋体" w:hAnsi="宋体" w:cs="Times New Roman"/>
          <w:color w:val="auto"/>
          <w:sz w:val="24"/>
          <w:szCs w:val="21"/>
          <w:lang w:val="en-US" w:eastAsia="zh-CN"/>
        </w:rPr>
        <w:t xml:space="preserve">5</w:t>
      </w:r>
      <w:r>
        <w:rPr>
          <w:rFonts w:hint="eastAsia" w:ascii="宋体" w:hAnsi="宋体" w:eastAsia="宋体" w:cs="Times New Roman"/>
          <w:color w:val="auto"/>
          <w:sz w:val="24"/>
          <w:szCs w:val="21"/>
          <w:lang w:val="en-US" w:eastAsia="zh-CN"/>
        </w:rPr>
        <w:t xml:space="preserve">.6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cs="Times New Roman"/>
          <w:color w:val="auto"/>
          <w:sz w:val="24"/>
          <w:lang w:val="en-US" w:eastAsia="zh-CN"/>
        </w:rPr>
        <w:t xml:space="preserve">代理机构</w:t>
      </w:r>
      <w:r>
        <w:rPr>
          <w:rFonts w:hint="eastAsia" w:ascii="宋体" w:hAnsi="宋体" w:eastAsia="宋体" w:cs="Times New Roman"/>
          <w:color w:val="auto"/>
          <w:sz w:val="24"/>
          <w:lang w:val="zh-CN"/>
        </w:rPr>
        <w:t xml:space="preserve">及磋商小组联系。</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rPr>
          <w:rFonts w:hint="eastAsia" w:ascii="Arial" w:hAnsi="Arial" w:eastAsia="黑体" w:cs="Arial"/>
          <w:sz w:val="28"/>
          <w:szCs w:val="28"/>
          <w:highlight w:val="none"/>
          <w:lang w:val="en-US" w:eastAsia="zh-CN"/>
        </w:rPr>
        <w:t xml:space="preserve">26、</w:t>
      </w:r>
      <w:bookmarkEnd w:id="138"/>
      <w:r/>
      <w:bookmarkEnd w:id="139"/>
      <w:r/>
      <w:bookmarkEnd w:id="140"/>
      <w:r>
        <w:rPr>
          <w:rFonts w:hint="eastAsia" w:ascii="Arial" w:hAnsi="Arial" w:eastAsia="黑体" w:cs="Arial"/>
          <w:sz w:val="28"/>
          <w:szCs w:val="28"/>
          <w:highlight w:val="none"/>
          <w:lang w:val="en-US" w:eastAsia="zh-CN"/>
        </w:rPr>
        <w:t xml:space="preserve">磋商程序及评审方法和评审标准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磋商程序</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26.1.1对于通过资格审查和符合性审查的供应商，磋商小组将集中与单一供应商分别进行磋商。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通知所有参加磋商的供应商。供应商应当按照磋商文件的变动情况和磋商小组的要求重新提交响应文件，并加盖公章。</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26.1.2磋商文件能够详细列明采购标的的技术、服务要求的，磋商结束后，磋商小组将向所有实质性响应的供应商发布“最后报价要求函”及最后报价格式表，要求所有实质性响应的供应商在规定时间内提交最后报价。</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向其发布“最后报价要求函”及最后报价格式表，要求其在规定时间内提交最后报价。</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26.1.3供应商未在磋商小组规定的时间内提交最后报价的视为放弃磋商，其响应文件按无效响应处理。已提交响应文件的供应商，在提交最后报价之前，可以根据磋商情况退出磋商。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评审方法和评审标准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26.2.2评审标准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见本磋商文件第五章规定。</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采购活动终止的情况</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出现下列情形之一的，本次竞争性磋商采购活动将被终止：</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26.3.1因情况变化，不再符合规定的竞争性磋商采购方式适用情形的。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26.3.2出现影响采购公正的违法、违规行为的。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26.3.3除本磋商文件第二章第26.1.2条第三款规定的情形外，在采购过程中符合要求的供应商或者最后报价未超过采购预算的供应商不足3家的。</w:t>
      </w:r>
      <w:r/>
    </w:p>
    <w:p>
      <w:pPr>
        <w:ind w:firstLine="498"/>
        <w:keepLines/>
        <w:keepNext/>
        <w:pageBreakBefore w:val="0"/>
        <w:spacing w:before="145" w:after="145" w:line="252" w:lineRule="auto"/>
        <w:widowControl w:val="off"/>
        <w:rPr>
          <w:rFonts w:hint="eastAsia" w:ascii="Times New Roman" w:hAnsi="Times New Roman" w:eastAsia="宋体" w:cs="Times New Roman"/>
          <w:b/>
          <w:bCs/>
          <w:sz w:val="32"/>
          <w:szCs w:val="32"/>
          <w:highlight w:val="none"/>
        </w:rPr>
        <w:outlineLvl w:val="2"/>
      </w:pPr>
      <w:r/>
      <w:bookmarkStart w:id="141" w:name="_Toc120614219"/>
      <w:r/>
      <w:bookmarkStart w:id="142" w:name="_Toc16938551"/>
      <w:r/>
      <w:bookmarkStart w:id="143" w:name="_Toc20823307"/>
      <w:r/>
      <w:bookmarkStart w:id="144" w:name="_Toc513029235"/>
      <w:r>
        <w:rPr>
          <w:rFonts w:hint="eastAsia" w:ascii="Times New Roman" w:hAnsi="Times New Roman" w:eastAsia="宋体" w:cs="Times New Roman"/>
          <w:b/>
          <w:bCs/>
          <w:sz w:val="32"/>
          <w:szCs w:val="32"/>
          <w:highlight w:val="none"/>
        </w:rPr>
        <w:t xml:space="preserve">六、</w:t>
      </w:r>
      <w:bookmarkEnd w:id="141"/>
      <w:r/>
      <w:bookmarkEnd w:id="142"/>
      <w:r/>
      <w:bookmarkEnd w:id="143"/>
      <w:r/>
      <w:bookmarkEnd w:id="144"/>
      <w:r>
        <w:rPr>
          <w:rFonts w:hint="eastAsia" w:ascii="Times New Roman" w:hAnsi="Times New Roman" w:eastAsia="宋体" w:cs="Times New Roman"/>
          <w:b/>
          <w:bCs/>
          <w:sz w:val="32"/>
          <w:szCs w:val="32"/>
          <w:highlight w:val="none"/>
        </w:rPr>
        <w:t xml:space="preserve">成交</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145" w:name="_Toc513029238"/>
      <w:r/>
      <w:bookmarkStart w:id="146" w:name="_Toc20823310"/>
      <w:r/>
      <w:bookmarkStart w:id="147" w:name="_Toc16938554"/>
      <w:r>
        <w:rPr>
          <w:rFonts w:hint="eastAsia" w:ascii="Arial" w:hAnsi="Arial" w:eastAsia="黑体" w:cs="Arial"/>
          <w:sz w:val="28"/>
          <w:szCs w:val="28"/>
          <w:highlight w:val="none"/>
          <w:lang w:val="en-US" w:eastAsia="zh-CN"/>
        </w:rPr>
        <w:t xml:space="preserve">27、</w:t>
      </w:r>
      <w:bookmarkEnd w:id="145"/>
      <w:r>
        <w:rPr>
          <w:rFonts w:hint="eastAsia" w:ascii="Arial" w:hAnsi="Arial" w:eastAsia="黑体" w:cs="Arial"/>
          <w:sz w:val="28"/>
          <w:szCs w:val="28"/>
          <w:highlight w:val="none"/>
          <w:lang w:val="en-US" w:eastAsia="zh-CN"/>
        </w:rPr>
        <w:t xml:space="preserve">确定</w:t>
      </w:r>
      <w:bookmarkEnd w:id="146"/>
      <w:r/>
      <w:bookmarkEnd w:id="147"/>
      <w:r>
        <w:rPr>
          <w:rFonts w:hint="eastAsia" w:ascii="Arial" w:hAnsi="Arial" w:eastAsia="黑体" w:cs="Arial"/>
          <w:sz w:val="28"/>
          <w:szCs w:val="28"/>
          <w:highlight w:val="none"/>
          <w:lang w:val="en-US" w:eastAsia="zh-CN"/>
        </w:rPr>
        <w:t xml:space="preserve">成交单位</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第三章 评审方法与评审标准”确定的顺序推荐。</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keepLines w:val="0"/>
        <w:keepNext w:val="0"/>
        <w:pageBreakBefore w:val="0"/>
        <w:spacing w:line="252"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w:t>
      </w:r>
      <w:r>
        <w:rPr>
          <w:rFonts w:hint="eastAsia" w:ascii="宋体" w:hAnsi="宋体" w:cs="Times New Roman"/>
          <w:color w:val="000000"/>
          <w:sz w:val="24"/>
          <w:szCs w:val="21"/>
          <w:highlight w:val="none"/>
          <w:lang w:val="zh-CN" w:eastAsia="zh-CN"/>
        </w:rPr>
        <w:t xml:space="preserve">磋商代理</w:t>
      </w:r>
      <w:r>
        <w:rPr>
          <w:rFonts w:hint="eastAsia" w:ascii="宋体" w:hAnsi="宋体" w:eastAsia="宋体" w:cs="Times New Roman"/>
          <w:color w:val="000000"/>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采购人从评审报告提出的成交候选供应商中，按照排序由高到低的原则确定成交供应商。采购人确定成交供应商后，</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将在“</w:t>
      </w:r>
      <w:r>
        <w:rPr>
          <w:rFonts w:hint="eastAsia" w:ascii="宋体" w:hAnsi="宋体" w:cs="Times New Roman"/>
          <w:color w:val="000000"/>
          <w:sz w:val="24"/>
          <w:szCs w:val="21"/>
          <w:highlight w:val="none"/>
          <w:lang w:val="en-US" w:eastAsia="zh-CN"/>
        </w:rPr>
        <w:t xml:space="preserve">江苏省政府采购网</w:t>
      </w:r>
      <w:r>
        <w:rPr>
          <w:rFonts w:hint="eastAsia" w:ascii="宋体" w:hAnsi="宋体" w:eastAsia="宋体" w:cs="Times New Roman"/>
          <w:color w:val="000000"/>
          <w:sz w:val="24"/>
          <w:szCs w:val="21"/>
          <w:highlight w:val="none"/>
          <w:lang w:val="en-US" w:eastAsia="zh-CN"/>
        </w:rPr>
        <w:t xml:space="preserve">”发布成交结果公告，公告期限为1个工作日。</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27.3 若有充分证据证明，成交供应商出现下列情况之一的，一经查实，将被取消成交资格：</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27.3.1提供虚假材料谋取成交的。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27.3.2与评审专家、采购人、其他供应商或者</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工作人员恶意串通的。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27.3.3向评审专家、采购人或</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工作人员行贿或者提供其他不正当利益的。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27.3.4恶意竞争，最后报价明显低于其自身合理成本且又无法提供证明的。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27.3.5不满足本磋商文件规定的实质性要求，但在评审过程中又未被磋商小组发现的。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27.3.6成交后无正当理由拒不与采购人签订政府采购合同或者未按照磋商文件确定的事项签订政府采购合同的。</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27.3.7将政府采购合同转包的。</w:t>
      </w:r>
      <w:r/>
    </w:p>
    <w:p>
      <w:pPr>
        <w:ind w:firstLine="420"/>
        <w:keepLines/>
        <w:keepNext/>
        <w:pageBreakBefore w:val="0"/>
        <w:spacing w:line="252" w:lineRule="auto"/>
        <w:widowControl w:val="off"/>
        <w:rPr>
          <w:rFonts w:hint="eastAsia" w:ascii="Arial" w:hAnsi="Arial" w:eastAsia="黑体" w:cs="Arial"/>
          <w:sz w:val="28"/>
          <w:szCs w:val="28"/>
          <w:highlight w:val="none"/>
          <w:lang w:val="en-US" w:eastAsia="zh-CN"/>
        </w:rPr>
        <w:outlineLvl w:val="3"/>
      </w:pPr>
      <w:r/>
      <w:bookmarkStart w:id="148" w:name="_Toc200451960"/>
      <w:r>
        <w:rPr>
          <w:rFonts w:hint="eastAsia" w:ascii="Arial" w:hAnsi="Arial" w:eastAsia="黑体" w:cs="Arial"/>
          <w:sz w:val="28"/>
          <w:szCs w:val="28"/>
          <w:highlight w:val="none"/>
          <w:lang w:val="en-US" w:eastAsia="zh-CN"/>
        </w:rPr>
        <w:t xml:space="preserve">28、质疑处理</w:t>
      </w:r>
      <w:bookmarkEnd w:id="148"/>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28.1 提出质疑的供应商应当是参与所质疑项目采购活动的供应商。潜在供应商依法获取其可质疑的采购文件的，可以对采购文件提出质疑。</w:t>
      </w:r>
      <w:r/>
    </w:p>
    <w:p>
      <w:pPr>
        <w:ind w:firstLine="420"/>
        <w:keepLines w:val="0"/>
        <w:keepNext w:val="0"/>
        <w:pageBreakBefore w:val="0"/>
        <w:spacing w:line="252"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供应商认为采购文件、采购过程和采购结果使自己的权益受到损害的，可以在知道或应知其权益受到损害之日起七个工作日内，以书面形式根据下述28.4条款的规定向</w:t>
      </w:r>
      <w:r>
        <w:rPr>
          <w:rFonts w:hint="eastAsia" w:ascii="宋体" w:hAnsi="宋体" w:cs="Times New Roman"/>
          <w:color w:val="auto"/>
          <w:sz w:val="24"/>
          <w:szCs w:val="21"/>
          <w:lang w:val="en-US" w:eastAsia="zh-CN"/>
        </w:rPr>
        <w:t xml:space="preserve">磋商代理</w:t>
      </w:r>
      <w:r>
        <w:rPr>
          <w:rFonts w:hint="eastAsia" w:ascii="宋体" w:hAnsi="宋体" w:eastAsia="宋体" w:cs="Times New Roman"/>
          <w:color w:val="auto"/>
          <w:sz w:val="24"/>
          <w:szCs w:val="21"/>
          <w:lang w:val="en-US" w:eastAsia="zh-CN"/>
        </w:rPr>
        <w:t xml:space="preserve">或采购人提出质疑。上述应知其权益受到损害之日，是指：</w:t>
      </w:r>
      <w:r/>
    </w:p>
    <w:p>
      <w:pPr>
        <w:ind w:firstLine="480"/>
        <w:jc w:val="left"/>
        <w:keepLines w:val="0"/>
        <w:keepNext w:val="0"/>
        <w:pageBreakBefore w:val="0"/>
        <w:spacing w:line="252"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28.2.1对可以质疑的采购文件提出质疑的，为收到采购文件之日或者采购文件公告期限届满之日。</w:t>
      </w:r>
      <w:r/>
    </w:p>
    <w:p>
      <w:pPr>
        <w:ind w:firstLine="480"/>
        <w:jc w:val="left"/>
        <w:keepLines w:val="0"/>
        <w:keepNext w:val="0"/>
        <w:pageBreakBefore w:val="0"/>
        <w:spacing w:line="252"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　　28.2.2对采购过程提出质疑的，为各采购程序环节结束之日。</w:t>
      </w:r>
      <w:r/>
    </w:p>
    <w:p>
      <w:pPr>
        <w:ind w:firstLine="480"/>
        <w:jc w:val="left"/>
        <w:keepLines w:val="0"/>
        <w:keepNext w:val="0"/>
        <w:pageBreakBefore w:val="0"/>
        <w:spacing w:line="252"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　　28.2.3对成交结果提出质疑的，为成交结果公告期限届满之日。</w:t>
      </w:r>
      <w:r/>
    </w:p>
    <w:p>
      <w:pPr>
        <w:ind w:firstLine="420"/>
        <w:keepLines w:val="0"/>
        <w:keepNext w:val="0"/>
        <w:pageBreakBefore w:val="0"/>
        <w:spacing w:line="252"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供应商应当在法定质疑期内一次性提出针对同一采购程序环节的质疑。供应商如在法定期限内对同一采购程序环节提出多次质疑的，</w:t>
      </w:r>
      <w:r>
        <w:rPr>
          <w:rFonts w:hint="eastAsia" w:ascii="宋体" w:hAnsi="宋体" w:cs="Times New Roman"/>
          <w:color w:val="auto"/>
          <w:sz w:val="24"/>
          <w:szCs w:val="21"/>
          <w:lang w:val="en-US" w:eastAsia="zh-CN"/>
        </w:rPr>
        <w:t xml:space="preserve">磋商代理</w:t>
      </w:r>
      <w:r>
        <w:rPr>
          <w:rFonts w:hint="eastAsia" w:ascii="宋体" w:hAnsi="宋体" w:eastAsia="宋体" w:cs="Times New Roman"/>
          <w:color w:val="auto"/>
          <w:sz w:val="24"/>
          <w:szCs w:val="21"/>
          <w:lang w:val="en-US" w:eastAsia="zh-CN"/>
        </w:rPr>
        <w:t xml:space="preserve">、采购人将只对供应商第一次质疑作出答复。</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供应商（含潜在供应商）对与本项目有关的所有询问、质疑均请向采购人提出，由采购人负责答复。</w:t>
      </w:r>
      <w:r/>
    </w:p>
    <w:p>
      <w:pPr>
        <w:ind w:firstLine="48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采购人及</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只接收以纸质原件形式送达的质疑,建议供应商尽量通过邮寄方式提交质疑（采购人和</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不接受未填写快递运单的快件）。</w:t>
      </w:r>
      <w:r/>
    </w:p>
    <w:p>
      <w:pPr>
        <w:ind w:firstLine="480"/>
        <w:keepLines w:val="0"/>
        <w:keepNext w:val="0"/>
        <w:pageBreakBefore w:val="0"/>
        <w:spacing w:line="252"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质疑接收</w:t>
      </w:r>
      <w:r>
        <w:rPr>
          <w:rFonts w:hint="eastAsia" w:ascii="宋体" w:hAnsi="宋体" w:cs="Times New Roman"/>
          <w:color w:val="000000"/>
          <w:sz w:val="24"/>
          <w:szCs w:val="21"/>
          <w:highlight w:val="none"/>
          <w:lang w:val="en-US" w:eastAsia="zh-CN"/>
        </w:rPr>
        <w:t xml:space="preserve">人为沈工</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sz w:val="24"/>
          <w:szCs w:val="24"/>
          <w:highlight w:val="none"/>
          <w:lang w:val="zh-CN" w:eastAsia="zh-CN"/>
        </w:rPr>
        <w:t xml:space="preserve">联系</w:t>
      </w:r>
      <w:r>
        <w:rPr>
          <w:rFonts w:hint="eastAsia" w:ascii="宋体" w:hAnsi="宋体" w:eastAsia="宋体" w:cs="Times New Roman"/>
          <w:color w:val="000000"/>
          <w:sz w:val="24"/>
          <w:szCs w:val="21"/>
          <w:highlight w:val="none"/>
          <w:lang w:val="zh-CN" w:eastAsia="zh-CN"/>
        </w:rPr>
        <w:t xml:space="preserve">地址：</w:t>
      </w:r>
      <w:r>
        <w:rPr>
          <w:rFonts w:hint="eastAsia" w:ascii="宋体" w:hAnsi="宋体" w:cs="Times New Roman"/>
          <w:color w:val="000000"/>
          <w:sz w:val="24"/>
          <w:szCs w:val="21"/>
          <w:highlight w:val="none"/>
          <w:lang w:val="en-US" w:eastAsia="zh-CN"/>
        </w:rPr>
        <w:t xml:space="preserve">南京市建邺区广聚路33号安科大厦A座14楼</w:t>
      </w:r>
      <w:r>
        <w:rPr>
          <w:rFonts w:hint="eastAsia" w:ascii="宋体" w:hAnsi="宋体" w:eastAsia="宋体" w:cs="Times New Roman"/>
          <w:color w:val="000000"/>
          <w:sz w:val="24"/>
          <w:szCs w:val="21"/>
          <w:highlight w:val="none"/>
          <w:lang w:val="zh-CN" w:eastAsia="zh-CN"/>
        </w:rPr>
        <w:t xml:space="preserve">，联系电话：</w:t>
      </w:r>
      <w:r>
        <w:rPr>
          <w:rFonts w:hint="eastAsia" w:ascii="宋体" w:hAnsi="宋体" w:cs="Times New Roman"/>
          <w:color w:val="000000"/>
          <w:sz w:val="24"/>
          <w:szCs w:val="21"/>
          <w:highlight w:val="none"/>
          <w:lang w:val="en-US" w:eastAsia="zh-CN"/>
        </w:rPr>
        <w:t xml:space="preserve">18502535472</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采购人质疑接收人及联系方式见本磋商文件第一章。</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28.5 以下情形的质疑不予受理</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28.5.1内容不符合《政府采购质疑和投诉办法》第十二条规定的质疑。</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28.5.2超出政府采购法定期限的质疑。</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28.5.3以传真、电子邮件等方式递交的非原件形式的质疑。</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28.5.4未参加磋商活动的供应商或在磋商活动中自身权益未受到损害的供应商所提出的质疑。</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28.5.5供应商组成联合体参加磋商，联合体中任何一方或多方未按要求签字、盖章、加盖公章的质疑。</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28.6 供应商提出书面质疑必须有理、有据，不得捏造事实、提供虚假材料进行恶意质疑。否则，一经查实，</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有权依据政府采购的有关规定，报请政府采购监管部门对该供应商进行相应的行政处罚和记录该供应商的失信信息。</w:t>
      </w:r>
      <w:r/>
    </w:p>
    <w:p>
      <w:pPr>
        <w:ind w:firstLine="420"/>
        <w:keepLines/>
        <w:keepNext/>
        <w:pageBreakBefore w:val="0"/>
        <w:spacing w:line="252" w:lineRule="auto"/>
        <w:widowControl w:val="off"/>
        <w:rPr>
          <w:rFonts w:hint="eastAsia" w:ascii="Arial" w:hAnsi="Arial" w:eastAsia="黑体" w:cs="Arial"/>
          <w:sz w:val="28"/>
          <w:szCs w:val="28"/>
          <w:highlight w:val="none"/>
        </w:rPr>
        <w:outlineLvl w:val="3"/>
      </w:pPr>
      <w:r>
        <w:rPr>
          <w:rFonts w:hint="eastAsia" w:ascii="Arial" w:hAnsi="Arial" w:eastAsia="黑体" w:cs="Arial"/>
          <w:sz w:val="28"/>
          <w:szCs w:val="28"/>
          <w:highlight w:val="none"/>
          <w:lang w:val="en-US" w:eastAsia="zh-CN"/>
        </w:rPr>
        <w:t xml:space="preserve">29</w:t>
      </w:r>
      <w:r>
        <w:rPr>
          <w:rFonts w:hint="eastAsia" w:ascii="Arial" w:hAnsi="Arial" w:eastAsia="黑体" w:cs="Arial"/>
          <w:sz w:val="28"/>
          <w:szCs w:val="28"/>
          <w:highlight w:val="none"/>
        </w:rPr>
        <w:t xml:space="preserve">、成交通知书</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成交结果确定后，</w:t>
      </w:r>
      <w:r>
        <w:rPr>
          <w:rFonts w:hint="eastAsia" w:ascii="宋体" w:hAnsi="宋体" w:cs="Times New Roman"/>
          <w:color w:val="000000"/>
          <w:sz w:val="24"/>
          <w:szCs w:val="21"/>
          <w:highlight w:val="none"/>
          <w:lang w:val="en-US" w:eastAsia="zh-CN"/>
        </w:rPr>
        <w:t xml:space="preserve">磋商代理</w:t>
      </w:r>
      <w:r>
        <w:rPr>
          <w:rFonts w:hint="eastAsia" w:ascii="宋体" w:hAnsi="宋体" w:eastAsia="宋体" w:cs="Times New Roman"/>
          <w:color w:val="000000"/>
          <w:sz w:val="24"/>
          <w:szCs w:val="21"/>
          <w:highlight w:val="none"/>
          <w:lang w:val="en-US" w:eastAsia="zh-CN"/>
        </w:rPr>
        <w:t xml:space="preserve">将向成交供应商发出成交通知书</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pageBreakBefore w:val="0"/>
        <w:spacing w:before="145" w:after="145" w:line="252" w:lineRule="auto"/>
        <w:widowControl w:val="off"/>
        <w:rPr>
          <w:rFonts w:hint="eastAsia" w:ascii="Times New Roman" w:hAnsi="Times New Roman" w:eastAsia="宋体" w:cs="Times New Roman"/>
          <w:b/>
          <w:bCs/>
          <w:sz w:val="32"/>
          <w:szCs w:val="32"/>
          <w:highlight w:val="none"/>
        </w:rPr>
        <w:outlineLvl w:val="2"/>
      </w:pPr>
      <w:r/>
      <w:bookmarkStart w:id="149" w:name="_Toc513029236"/>
      <w:r/>
      <w:bookmarkStart w:id="150" w:name="_Toc16938552"/>
      <w:r/>
      <w:bookmarkStart w:id="151" w:name="_Toc20823308"/>
      <w:r/>
      <w:bookmarkStart w:id="152" w:name="_Toc120614220"/>
      <w:r>
        <w:rPr>
          <w:rFonts w:hint="eastAsia" w:ascii="Times New Roman" w:hAnsi="Times New Roman" w:eastAsia="宋体" w:cs="Times New Roman"/>
          <w:b/>
          <w:bCs/>
          <w:sz w:val="32"/>
          <w:szCs w:val="32"/>
          <w:highlight w:val="none"/>
        </w:rPr>
        <w:t xml:space="preserve">七、授予合同</w:t>
      </w:r>
      <w:bookmarkEnd w:id="149"/>
      <w:r/>
      <w:bookmarkEnd w:id="150"/>
      <w:r/>
      <w:bookmarkEnd w:id="151"/>
      <w:r/>
      <w:bookmarkEnd w:id="152"/>
      <w:r/>
      <w:r/>
    </w:p>
    <w:p>
      <w:pPr>
        <w:ind w:firstLine="420"/>
        <w:keepLines/>
        <w:keepNext/>
        <w:pageBreakBefore w:val="0"/>
        <w:spacing w:line="252" w:lineRule="auto"/>
        <w:widowControl w:val="off"/>
        <w:rPr>
          <w:rFonts w:hint="eastAsia" w:ascii="Arial" w:hAnsi="Arial" w:eastAsia="黑体" w:cs="Arial"/>
          <w:sz w:val="28"/>
          <w:szCs w:val="28"/>
          <w:highlight w:val="none"/>
        </w:rPr>
        <w:outlineLvl w:val="3"/>
      </w:pPr>
      <w:r/>
      <w:bookmarkStart w:id="153" w:name="_Toc513029237"/>
      <w:r/>
      <w:bookmarkStart w:id="154" w:name="_Toc20823309"/>
      <w:r/>
      <w:bookmarkStart w:id="155" w:name="_Toc16938553"/>
      <w:r>
        <w:rPr>
          <w:rFonts w:hint="eastAsia" w:ascii="Arial" w:hAnsi="Arial" w:eastAsia="黑体" w:cs="Arial"/>
          <w:sz w:val="28"/>
          <w:szCs w:val="28"/>
          <w:highlight w:val="none"/>
        </w:rPr>
        <w:t xml:space="preserve">3</w:t>
      </w:r>
      <w:r>
        <w:rPr>
          <w:rFonts w:hint="eastAsia" w:ascii="Arial" w:hAnsi="Arial" w:eastAsia="黑体" w:cs="Arial"/>
          <w:sz w:val="28"/>
          <w:szCs w:val="28"/>
          <w:highlight w:val="none"/>
          <w:lang w:val="en-US" w:eastAsia="zh-CN"/>
        </w:rPr>
        <w:t xml:space="preserve">0</w:t>
      </w:r>
      <w:r>
        <w:rPr>
          <w:rFonts w:hint="eastAsia" w:ascii="Arial" w:hAnsi="Arial" w:eastAsia="黑体" w:cs="Arial"/>
          <w:sz w:val="28"/>
          <w:szCs w:val="28"/>
          <w:highlight w:val="none"/>
        </w:rPr>
        <w:t xml:space="preserve">. 签订合同</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30.l 成交供应商应当在成交通知书发出之日起三十日内，按照磋商文件确定的事项与采购人签订政府采购合同。</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30.2 磋商文件、成交供应商的响应文件及磋商过程中有关澄清、承诺文件均应作为合同附件。</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30.4 成交供应商因自身原因拒绝与采购人签订合同的，一年内不得参加采购人开展的所有政府采购活动。</w:t>
      </w:r>
      <w:r/>
    </w:p>
    <w:p>
      <w:pPr>
        <w:ind w:firstLine="420"/>
        <w:keepLines/>
        <w:keepNext/>
        <w:pageBreakBefore w:val="0"/>
        <w:spacing w:line="252" w:lineRule="auto"/>
        <w:widowControl w:val="off"/>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3</w:t>
      </w:r>
      <w:r>
        <w:rPr>
          <w:rFonts w:hint="eastAsia" w:ascii="Arial" w:hAnsi="Arial" w:eastAsia="黑体" w:cs="Arial"/>
          <w:sz w:val="28"/>
          <w:szCs w:val="28"/>
          <w:highlight w:val="none"/>
          <w:lang w:val="en-US" w:eastAsia="zh-CN"/>
        </w:rPr>
        <w:t xml:space="preserve">1</w:t>
      </w:r>
      <w:r>
        <w:rPr>
          <w:rFonts w:hint="eastAsia" w:ascii="Arial" w:hAnsi="Arial" w:eastAsia="黑体" w:cs="Arial"/>
          <w:sz w:val="28"/>
          <w:szCs w:val="28"/>
          <w:highlight w:val="none"/>
        </w:rPr>
        <w:t xml:space="preserve">、标的物的追加</w:t>
      </w:r>
      <w:r/>
    </w:p>
    <w:p>
      <w:pPr>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3"/>
      <w:r/>
      <w:bookmarkEnd w:id="154"/>
      <w:r/>
      <w:bookmarkEnd w:id="155"/>
      <w:r/>
      <w:r/>
    </w:p>
    <w:p>
      <w:pPr>
        <w:pStyle w:val="803"/>
        <w:ind w:left="0"/>
        <w:jc w:val="center"/>
        <w:tabs>
          <w:tab w:val="left" w:pos="463" w:leader="none"/>
        </w:tabs>
        <w:rPr>
          <w:rFonts w:ascii="Arial Unicode MS" w:hAnsi="Arial Unicode MS" w:eastAsia="Arial Unicode MS" w:cs="Arial Unicode MS"/>
          <w:color w:val="000000"/>
          <w:sz w:val="36"/>
          <w:szCs w:val="36"/>
          <w:lang w:val="en-US"/>
        </w:rPr>
      </w:pPr>
      <w:r/>
      <w:bookmarkStart w:id="156" w:name="_Toc479757207"/>
      <w:r/>
      <w:bookmarkStart w:id="157" w:name="_Toc16938558"/>
      <w:r/>
      <w:bookmarkStart w:id="158" w:name="_Toc513029242"/>
      <w:r/>
      <w:bookmarkStart w:id="159" w:name="_Toc120614221"/>
      <w:r/>
      <w:bookmarkStart w:id="160" w:name="_Toc20823314"/>
      <w:r>
        <w:rPr>
          <w:rFonts w:hint="eastAsia" w:ascii="黑体" w:hAnsi="Times New Roman" w:eastAsia="黑体"/>
          <w:bCs/>
          <w:sz w:val="44"/>
          <w:szCs w:val="28"/>
          <w:highlight w:val="none"/>
        </w:rPr>
        <w:br w:type="page" w:clear="all"/>
      </w:r>
      <w:bookmarkEnd w:id="156"/>
      <w:r/>
      <w:bookmarkEnd w:id="157"/>
      <w:r/>
      <w:bookmarkEnd w:id="158"/>
      <w:r/>
      <w:bookmarkEnd w:id="159"/>
      <w:r/>
      <w:bookmarkEnd w:id="160"/>
      <w:r/>
      <w:bookmarkStart w:id="161" w:name="_Toc20823315"/>
      <w:r/>
      <w:bookmarkStart w:id="162" w:name="_Toc513029243"/>
      <w:r/>
      <w:bookmarkStart w:id="163" w:name="_Toc16938559"/>
      <w:r>
        <w:rPr>
          <w:rFonts w:hint="eastAsia" w:ascii="Arial Unicode MS" w:hAnsi="Arial Unicode MS" w:eastAsia="Arial Unicode MS" w:cs="Arial Unicode MS"/>
          <w:color w:val="000000"/>
          <w:sz w:val="36"/>
          <w:szCs w:val="36"/>
          <w:lang w:val="en-US"/>
        </w:rPr>
        <w:t xml:space="preserve">第三章  合同文本</w:t>
      </w:r>
      <w:r/>
    </w:p>
    <w:p>
      <w:pPr>
        <w:ind w:firstLine="480"/>
        <w:spacing w:line="264" w:lineRule="auto"/>
        <w:rPr>
          <w:rFonts w:ascii="宋体" w:hAnsi="宋体"/>
          <w:bCs/>
          <w:sz w:val="24"/>
        </w:rPr>
      </w:pPr>
      <w:r/>
      <w:bookmarkStart w:id="164" w:name="_Hlt16619369"/>
      <w:r/>
      <w:bookmarkEnd w:id="164"/>
      <w:r>
        <w:rPr>
          <w:rFonts w:hint="eastAsia" w:ascii="宋体" w:hAnsi="宋体"/>
          <w:bCs/>
          <w:sz w:val="24"/>
        </w:rPr>
        <w:t xml:space="preserve">以下为成交后</w:t>
      </w:r>
      <w:r>
        <w:rPr>
          <w:rFonts w:hint="eastAsia" w:ascii="宋体" w:hAnsi="宋体"/>
          <w:bCs/>
          <w:sz w:val="24"/>
          <w:lang w:eastAsia="zh-CN"/>
        </w:rPr>
        <w:t xml:space="preserve">签订</w:t>
      </w:r>
      <w:r>
        <w:rPr>
          <w:rFonts w:hint="eastAsia" w:ascii="宋体" w:hAnsi="宋体"/>
          <w:bCs/>
          <w:sz w:val="24"/>
        </w:rPr>
        <w:t xml:space="preserve">本项目合同的通用条款，供应商不得提出实质性的修改。</w:t>
      </w:r>
      <w:r/>
    </w:p>
    <w:p>
      <w:pPr>
        <w:jc w:val="center"/>
        <w:spacing w:line="560" w:lineRule="exact"/>
        <w:widowControl/>
        <w:rPr>
          <w:rFonts w:ascii="黑体" w:hAnsi="黑体" w:eastAsia="黑体"/>
          <w:sz w:val="20"/>
          <w:szCs w:val="20"/>
        </w:rPr>
      </w:pPr>
      <w:r>
        <w:rPr>
          <w:rFonts w:ascii="黑体" w:hAnsi="黑体" w:eastAsia="黑体"/>
          <w:sz w:val="20"/>
          <w:szCs w:val="20"/>
        </w:rPr>
      </w:r>
      <w:r/>
    </w:p>
    <w:p>
      <w:pPr>
        <w:jc w:val="center"/>
        <w:keepLines w:val="0"/>
        <w:keepNext w:val="0"/>
        <w:pageBreakBefore w:val="0"/>
        <w:spacing w:before="145" w:after="145" w:line="288" w:lineRule="auto"/>
        <w:widowControl w:val="off"/>
        <w:rPr>
          <w:rFonts w:ascii="宋体" w:hAnsi="宋体"/>
          <w:b/>
          <w:bCs/>
          <w:sz w:val="30"/>
          <w:szCs w:val="20"/>
          <w:highlight w:val="none"/>
        </w:rPr>
        <w:outlineLvl w:val="0"/>
      </w:pPr>
      <w:r>
        <w:rPr>
          <w:rFonts w:hint="eastAsia" w:ascii="宋体" w:hAnsi="宋体"/>
          <w:b/>
          <w:sz w:val="30"/>
          <w:highlight w:val="none"/>
          <w:lang w:eastAsia="zh-CN"/>
        </w:rPr>
        <w:t xml:space="preserve">南京市</w:t>
      </w:r>
      <w:r>
        <w:rPr>
          <w:rFonts w:hint="eastAsia" w:ascii="宋体" w:hAnsi="宋体"/>
          <w:b/>
          <w:sz w:val="30"/>
          <w:highlight w:val="none"/>
        </w:rPr>
        <w:t xml:space="preserve">政府采购合同（服务）（合同编号）</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0"/>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中环建（北京）工程管理有限责任公司</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olor w:val="000000"/>
          <w:sz w:val="24"/>
          <w:szCs w:val="24"/>
          <w:lang w:eastAsia="zh-CN"/>
        </w:rPr>
        <w:t xml:space="preserve">按磋商文件及响应文件执行。</w:t>
      </w:r>
      <w:r/>
    </w:p>
    <w:p>
      <w:pPr>
        <w:keepLines w:val="0"/>
        <w:keepNext w:val="0"/>
        <w:pageBreakBefore w:val="0"/>
        <w:spacing w:before="0" w:after="0" w:line="264" w:lineRule="auto"/>
        <w:widowControl w:val="off"/>
        <w:rPr>
          <w:rFonts w:hint="eastAsia" w:ascii="宋体" w:hAnsi="宋体" w:cs="Courier New"/>
          <w:color w:val="000000"/>
          <w:sz w:val="24"/>
          <w:szCs w:val="24"/>
        </w:rPr>
      </w:pPr>
      <w:r>
        <w:rPr>
          <w:rFonts w:hint="default"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p>
    <w:p>
      <w:pPr>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default"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olor w:val="000000"/>
          <w:sz w:val="24"/>
          <w:szCs w:val="24"/>
        </w:rPr>
        <w:t xml:space="preserve">本次服务自合同签订之日起为期一年</w:t>
      </w:r>
      <w:r>
        <w:rPr>
          <w:rFonts w:hint="eastAsia" w:ascii="宋体" w:hAnsi="宋体"/>
          <w:color w:val="000000"/>
          <w:sz w:val="24"/>
          <w:szCs w:val="24"/>
          <w:lang w:eastAsia="zh-CN"/>
        </w:rPr>
        <w:t xml:space="preserve">。</w:t>
      </w:r>
      <w:r>
        <w:rPr>
          <w:rFonts w:hint="eastAsia" w:ascii="宋体" w:hAnsi="宋体"/>
          <w:color w:val="000000"/>
          <w:sz w:val="24"/>
          <w:szCs w:val="24"/>
        </w:rPr>
        <w:t xml:space="preserve">合同期满后，采购人有权根据供应商的履约情况以及政府采购相关政策决定是否与成交供应商签订后续服务合同或另行采购，续签合同期限一次一年，续签不超过两次。</w:t>
      </w:r>
      <w:r/>
    </w:p>
    <w:p>
      <w:pPr>
        <w:keepLines w:val="0"/>
        <w:keepNext w:val="0"/>
        <w:pageBreakBefore w:val="0"/>
        <w:spacing w:before="0" w:after="0" w:line="264" w:lineRule="auto"/>
        <w:widowControl w:val="off"/>
        <w:rPr>
          <w:rFonts w:hint="eastAsia" w:ascii="宋体" w:hAnsi="宋体"/>
          <w:color w:val="000000"/>
          <w:sz w:val="24"/>
          <w:szCs w:val="24"/>
          <w:lang w:val="en-US" w:eastAsia="zh-CN"/>
        </w:rPr>
      </w:pPr>
      <w:r>
        <w:rPr>
          <w:rFonts w:hint="default"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w:t>
      </w:r>
      <w:r>
        <w:rPr>
          <w:rFonts w:hint="eastAsia" w:ascii="宋体" w:hAnsi="宋体"/>
          <w:color w:val="000000"/>
          <w:sz w:val="24"/>
          <w:szCs w:val="24"/>
          <w:lang w:eastAsia="zh-CN"/>
        </w:rPr>
        <w:t xml:space="preserve">点：采购人指定地点。</w:t>
      </w:r>
      <w:r/>
    </w:p>
    <w:p>
      <w:pPr>
        <w:keepLines w:val="0"/>
        <w:keepNext w:val="0"/>
        <w:pageBreakBefore w:val="0"/>
        <w:spacing w:before="0" w:after="0" w:line="264" w:lineRule="auto"/>
        <w:widowControl w:val="off"/>
        <w:rPr>
          <w:rFonts w:hint="eastAsia" w:ascii="宋体" w:hAnsi="宋体"/>
          <w:color w:val="000000"/>
          <w:sz w:val="24"/>
          <w:szCs w:val="24"/>
          <w:lang w:eastAsia="zh-CN"/>
        </w:rPr>
      </w:pPr>
      <w:r>
        <w:rPr>
          <w:rFonts w:hint="default" w:ascii="宋体" w:hAnsi="宋体"/>
          <w:color w:val="000000"/>
          <w:sz w:val="24"/>
          <w:szCs w:val="24"/>
          <w:lang w:val="en-US" w:eastAsia="zh-CN"/>
        </w:rPr>
        <w:t xml:space="preserve">1</w:t>
      </w:r>
      <w:r>
        <w:rPr>
          <w:rFonts w:hint="eastAsia" w:ascii="宋体" w:hAnsi="宋体"/>
          <w:color w:val="000000"/>
          <w:sz w:val="24"/>
          <w:szCs w:val="24"/>
          <w:lang w:eastAsia="zh-CN"/>
        </w:rPr>
        <w:t xml:space="preserve">.6 履行方式：按磋商文件及响应文件执行。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768"/>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color w:val="000000"/>
          <w:sz w:val="24"/>
          <w:szCs w:val="24"/>
          <w:lang w:val="en-US" w:eastAsia="zh-CN"/>
        </w:rPr>
        <w:t xml:space="preserve">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768"/>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spacing w:line="0" w:lineRule="atLeast"/>
        <w:rPr>
          <w:rFonts w:hint="eastAsia" w:ascii="宋体" w:hAnsi="宋体" w:eastAsia="宋体" w:cs="宋体"/>
          <w:sz w:val="24"/>
          <w:szCs w:val="24"/>
          <w:highlight w:val="none"/>
        </w:rPr>
      </w:pPr>
      <w:r>
        <w:rPr>
          <w:rFonts w:hint="eastAsia" w:ascii="宋体" w:hAnsi="宋体" w:eastAsia="宋体" w:cs="Courier New"/>
          <w:color w:val="auto"/>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cs="宋体"/>
          <w:sz w:val="24"/>
          <w:szCs w:val="24"/>
          <w:highlight w:val="none"/>
          <w:lang w:val="en-US" w:eastAsia="zh-CN"/>
        </w:rPr>
        <w:t xml:space="preserve">供应商完成合同内所有服务，经采购人确认无误后付款，具体付款时间以区级拨付时间为准</w:t>
      </w:r>
      <w:r>
        <w:rPr>
          <w:rFonts w:hint="eastAsia" w:ascii="宋体" w:hAnsi="宋体" w:cs="宋体"/>
          <w:sz w:val="24"/>
          <w:szCs w:val="24"/>
          <w:highlight w:val="none"/>
          <w:lang w:eastAsia="zh-CN"/>
        </w:rPr>
        <w:t xml:space="preserve">。</w:t>
      </w:r>
      <w:r/>
    </w:p>
    <w:p>
      <w:pPr>
        <w:spacing w:line="0" w:lineRule="atLeast"/>
        <w:rPr>
          <w:rFonts w:hint="eastAsia" w:ascii="宋体" w:hAnsi="宋体" w:eastAsia="宋体" w:cs="Courier New"/>
          <w:sz w:val="24"/>
          <w:szCs w:val="24"/>
        </w:rPr>
      </w:pPr>
      <w:r>
        <w:rPr>
          <w:rFonts w:hint="eastAsia" w:ascii="宋体" w:hAnsi="宋体" w:eastAsia="宋体" w:cs="宋体"/>
          <w:sz w:val="24"/>
          <w:szCs w:val="24"/>
          <w:highlight w:val="none"/>
        </w:rPr>
        <w:t xml:space="preserve">提示：根据工业和信息化部关于印发《保障中小企业款项支付投诉处理暂行办法》的通知（工信部企业〔2021〕224 号），采购人未按合同约定支付款项的</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供应商可以向有关部门投诉。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76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768"/>
        <w:ind w:firstLine="24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6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6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68"/>
        <w:ind w:firstLine="24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6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p>
    <w:p>
      <w:pPr>
        <w:pStyle w:val="979"/>
        <w:spacing w:before="120" w:after="120" w:line="264" w:lineRule="auto"/>
        <w:rPr>
          <w:rFonts w:hint="eastAsia" w:hAnsi="宋体"/>
          <w:sz w:val="24"/>
          <w:szCs w:val="24"/>
        </w:rPr>
      </w:pPr>
      <w:r>
        <w:rPr>
          <w:rFonts w:hint="eastAsia" w:hAnsi="宋体"/>
          <w:sz w:val="24"/>
          <w:szCs w:val="24"/>
        </w:rPr>
      </w:r>
      <w:r/>
    </w:p>
    <w:p>
      <w:pPr>
        <w:pStyle w:val="979"/>
        <w:spacing w:before="120" w:after="120" w:line="264" w:lineRule="auto"/>
        <w:rPr>
          <w:rFonts w:hint="eastAsia" w:hAnsi="宋体"/>
          <w:sz w:val="24"/>
          <w:szCs w:val="24"/>
        </w:rPr>
      </w:pPr>
      <w:r>
        <w:rPr>
          <w:rFonts w:hint="eastAsia" w:hAnsi="宋体"/>
          <w:sz w:val="24"/>
          <w:szCs w:val="24"/>
        </w:rPr>
      </w:r>
      <w:r/>
    </w:p>
    <w:p>
      <w:pPr>
        <w:jc w:val="center"/>
        <w:spacing w:before="145" w:after="145" w:line="264" w:lineRule="auto"/>
        <w:rPr>
          <w:rFonts w:ascii="宋体" w:hAnsi="宋体"/>
          <w:b/>
          <w:sz w:val="30"/>
          <w:szCs w:val="21"/>
        </w:rPr>
        <w:outlineLvl w:val="0"/>
      </w:pPr>
      <w:r>
        <w:rPr>
          <w:rFonts w:hint="eastAsia" w:ascii="宋体" w:hAnsi="宋体"/>
          <w:b/>
          <w:sz w:val="30"/>
          <w:szCs w:val="21"/>
        </w:rPr>
        <w:t xml:space="preserve">《*******合同》补充协议（合同附件）</w:t>
      </w:r>
      <w:r/>
    </w:p>
    <w:p>
      <w:pPr>
        <w:pStyle w:val="979"/>
        <w:jc w:val="left"/>
        <w:spacing w:before="120" w:after="120" w:line="264" w:lineRule="auto"/>
        <w:rPr>
          <w:rFonts w:hAnsi="宋体"/>
          <w:color w:val="000000"/>
          <w:sz w:val="24"/>
          <w:szCs w:val="24"/>
        </w:rPr>
      </w:pPr>
      <w:r>
        <w:rPr>
          <w:rFonts w:hint="eastAsia" w:hAnsi="宋体"/>
          <w:color w:val="000000"/>
          <w:sz w:val="24"/>
          <w:szCs w:val="24"/>
        </w:rPr>
        <w:t xml:space="preserve">    如遇磋商文件及合同未约定事项，双方可友好协商签订补充协议。</w:t>
      </w:r>
      <w:bookmarkEnd w:id="161"/>
      <w:bookmarkEnd w:id="162"/>
      <w:bookmarkEnd w:id="163"/>
      <w:r/>
    </w:p>
    <w:p>
      <w:pPr>
        <w:pStyle w:val="979"/>
        <w:ind w:firstLine="4800"/>
        <w:keepLines w:val="0"/>
        <w:keepNext w:val="0"/>
        <w:pageBreakBefore w:val="0"/>
        <w:spacing w:before="120" w:after="120" w:line="288"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79"/>
        <w:ind w:firstLine="4800"/>
        <w:keepLines w:val="0"/>
        <w:keepNext w:val="0"/>
        <w:pageBreakBefore w:val="0"/>
        <w:spacing w:before="120" w:after="120" w:line="288"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79"/>
        <w:ind w:firstLine="4800"/>
        <w:keepLines w:val="0"/>
        <w:keepNext w:val="0"/>
        <w:pageBreakBefore w:val="0"/>
        <w:spacing w:before="120" w:after="120" w:line="288"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79"/>
        <w:ind w:firstLine="4800"/>
        <w:keepLines w:val="0"/>
        <w:keepNext w:val="0"/>
        <w:pageBreakBefore w:val="0"/>
        <w:spacing w:before="120" w:after="120" w:line="288"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jc w:val="center"/>
        <w:spacing w:line="252" w:lineRule="auto"/>
        <w:rPr>
          <w:rFonts w:ascii="黑体" w:hAnsi="Courier New" w:eastAsia="黑体" w:cs="Courier New"/>
          <w:bCs/>
          <w:sz w:val="44"/>
          <w:szCs w:val="21"/>
        </w:rPr>
      </w:pPr>
      <w:r>
        <w:rPr>
          <w:rFonts w:ascii="黑体" w:hAnsi="Courier New" w:eastAsia="黑体" w:cs="Courier New"/>
          <w:bCs/>
          <w:sz w:val="44"/>
          <w:szCs w:val="21"/>
          <w:highlight w:val="none"/>
        </w:rPr>
        <w:br w:type="page" w:clear="all"/>
      </w:r>
      <w:r>
        <w:rPr>
          <w:rFonts w:hint="eastAsia" w:ascii="Arial Unicode MS" w:hAnsi="Arial Unicode MS" w:eastAsia="Arial Unicode MS" w:cs="Arial Unicode MS"/>
          <w:color w:val="000000"/>
          <w:sz w:val="36"/>
          <w:szCs w:val="36"/>
        </w:rPr>
        <w:t xml:space="preserve">第</w:t>
      </w:r>
      <w:bookmarkEnd w:id="30"/>
      <w:r>
        <w:rPr>
          <w:rFonts w:hint="eastAsia" w:ascii="Arial Unicode MS" w:hAnsi="Arial Unicode MS" w:eastAsia="Arial Unicode MS" w:cs="Arial Unicode MS"/>
          <w:color w:val="000000"/>
          <w:sz w:val="36"/>
          <w:szCs w:val="36"/>
        </w:rPr>
        <w:t xml:space="preserve">四章 采购需求</w:t>
      </w:r>
      <w:bookmarkEnd w:id="31"/>
      <w:r/>
      <w:bookmarkEnd w:id="32"/>
      <w:r/>
      <w:bookmarkEnd w:id="33"/>
      <w:r/>
      <w:bookmarkStart w:id="165" w:name="_Toc49090575"/>
      <w:r/>
      <w:bookmarkStart w:id="166" w:name="_Toc26554093"/>
      <w:r/>
      <w:r/>
    </w:p>
    <w:p>
      <w:pPr>
        <w:spacing w:line="0" w:lineRule="atLeast"/>
        <w:rPr>
          <w:rFonts w:hint="eastAsia" w:ascii="宋体" w:hAnsi="宋体" w:eastAsia="宋体" w:cs="Times New Roman"/>
          <w:bCs/>
          <w:sz w:val="24"/>
          <w:szCs w:val="24"/>
          <w:highlight w:val="none"/>
        </w:rPr>
      </w:pPr>
      <w:r/>
      <w:bookmarkStart w:id="167" w:name="_Toc120614281"/>
      <w:r>
        <w:rPr>
          <w:rFonts w:hint="eastAsia" w:ascii="宋体" w:hAnsi="宋体" w:eastAsia="宋体" w:cs="Times New Roman"/>
          <w:bCs/>
          <w:sz w:val="24"/>
          <w:szCs w:val="24"/>
          <w:highlight w:val="none"/>
        </w:rPr>
        <w:t xml:space="preserve">一、项目属性：服务类项目。</w:t>
      </w:r>
      <w:r/>
    </w:p>
    <w:p>
      <w:pP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二、项目概况：</w:t>
      </w:r>
      <w:r/>
    </w:p>
    <w:p>
      <w:pP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（一）项目背景</w:t>
      </w:r>
      <w:r/>
    </w:p>
    <w:p>
      <w:pPr>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扎实推进街道环境卫生整治工作深入开展，打造整洁、舒适、健康的城乡环境，实现镇街、乡村文明创建全覆盖。实行常态化垃圾清运保洁管理措施，提高街道环境卫生管理水平和作业质量，建立环卫作业市场化长效机制。 </w:t>
      </w:r>
      <w:r/>
    </w:p>
    <w:p>
      <w:pPr>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（二）项目建设遵循标准</w:t>
      </w:r>
      <w:r/>
    </w:p>
    <w:p>
      <w:pPr>
        <w:pStyle w:val="1064"/>
        <w:ind w:firstLine="480"/>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所有居民小区按照省级达标小区标准创建，并通过市、区垃分办验收。完成省、市、区垃圾分类各项考核指标。</w:t>
      </w:r>
      <w:r/>
    </w:p>
    <w:p>
      <w:pPr>
        <w:numPr>
          <w:ilvl w:val="0"/>
          <w:numId w:val="0"/>
        </w:numPr>
        <w:spacing w:line="0" w:lineRule="atLeast"/>
        <w:rPr>
          <w:rFonts w:hint="eastAsia" w:ascii="宋体" w:hAnsi="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（三）目标任务</w:t>
      </w:r>
      <w:r/>
    </w:p>
    <w:p>
      <w:pPr>
        <w:numPr>
          <w:ilvl w:val="0"/>
          <w:numId w:val="5"/>
        </w:numPr>
        <w:ind w:firstLine="480"/>
        <w:jc w:val="left"/>
        <w:keepLines w:val="0"/>
        <w:keepNext w:val="0"/>
        <w:pageBreakBefore w:val="0"/>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所有居民小区按照省级达标小区标准创建，并通过市、区垃分办验收。</w:t>
      </w:r>
      <w:r/>
    </w:p>
    <w:p>
      <w:pPr>
        <w:numPr>
          <w:ilvl w:val="0"/>
          <w:numId w:val="5"/>
        </w:numPr>
        <w:ind w:firstLine="480"/>
        <w:jc w:val="left"/>
        <w:keepLines w:val="0"/>
        <w:keepNext w:val="0"/>
        <w:pageBreakBefore w:val="0"/>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垃圾分类小区居民知晓率达100%，参与率达到90%以上。市、区考核标准高于此要求的以市区要求为主。 </w:t>
      </w:r>
      <w:r/>
    </w:p>
    <w:p>
      <w:pPr>
        <w:numPr>
          <w:ilvl w:val="0"/>
          <w:numId w:val="5"/>
        </w:numPr>
        <w:ind w:firstLine="480"/>
        <w:jc w:val="left"/>
        <w:keepLines w:val="0"/>
        <w:keepNext w:val="0"/>
        <w:pageBreakBefore w:val="0"/>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完成上级部门下发的垃圾分类工作任务和要求。</w:t>
      </w:r>
      <w:r/>
    </w:p>
    <w:p>
      <w:pPr>
        <w:numPr>
          <w:ilvl w:val="0"/>
          <w:numId w:val="5"/>
        </w:numPr>
        <w:ind w:firstLine="480"/>
        <w:jc w:val="left"/>
        <w:keepLines w:val="0"/>
        <w:keepNext w:val="0"/>
        <w:pageBreakBefore w:val="0"/>
        <w:widowControl w:val="off"/>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完成省、市、区各项考核指标。</w:t>
      </w:r>
      <w:r/>
    </w:p>
    <w:p>
      <w:pPr>
        <w:numPr>
          <w:ilvl w:val="0"/>
          <w:numId w:val="5"/>
        </w:numPr>
        <w:ind w:firstLine="480"/>
        <w:jc w:val="left"/>
        <w:keepLines w:val="0"/>
        <w:keepNext w:val="0"/>
        <w:pageBreakBefore w:val="0"/>
        <w:widowControl w:val="off"/>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所有标段在中标后一个月内全部正常开展。</w:t>
      </w:r>
      <w:r/>
    </w:p>
    <w:p>
      <w:pPr>
        <w:spacing w:line="0" w:lineRule="atLeast"/>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eastAsia="zh-CN"/>
        </w:rPr>
        <w:t xml:space="preserve">三、</w:t>
      </w:r>
      <w:r>
        <w:rPr>
          <w:rFonts w:hint="eastAsia" w:ascii="宋体" w:hAnsi="宋体" w:cs="Times New Roman"/>
          <w:sz w:val="24"/>
          <w:szCs w:val="24"/>
          <w:highlight w:val="none"/>
          <w:lang w:val="en-US" w:eastAsia="zh-CN"/>
        </w:rPr>
        <w:t xml:space="preserve">服务内容</w:t>
      </w:r>
      <w:r/>
    </w:p>
    <w:tbl>
      <w:tblPr>
        <w:tblStyle w:val="1052"/>
        <w:tblW w:w="515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7"/>
        <w:gridCol w:w="2022"/>
        <w:gridCol w:w="761"/>
        <w:gridCol w:w="771"/>
        <w:gridCol w:w="1504"/>
        <w:gridCol w:w="1664"/>
        <w:gridCol w:w="2553"/>
      </w:tblGrid>
      <w:tr>
        <w:trPr>
          <w:trHeight w:val="470"/>
        </w:trPr>
        <w:tc>
          <w:tcPr>
            <w:tcW w:w="758"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序号</w:t>
            </w:r>
            <w:r/>
          </w:p>
        </w:tc>
        <w:tc>
          <w:tcPr>
            <w:tcW w:w="2025"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名称</w:t>
            </w:r>
            <w:r/>
          </w:p>
        </w:tc>
        <w:tc>
          <w:tcPr>
            <w:tcW w:w="762"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数量</w:t>
            </w:r>
            <w:r/>
          </w:p>
        </w:tc>
        <w:tc>
          <w:tcPr>
            <w:tcW w:w="772"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单位</w:t>
            </w:r>
            <w:r/>
          </w:p>
        </w:tc>
        <w:tc>
          <w:tcPr>
            <w:tcW w:w="1506" w:type="dxa"/>
            <w:vAlign w:val="center"/>
            <w:textDirection w:val="lrTb"/>
            <w:noWrap w:val="false"/>
          </w:tcPr>
          <w:p>
            <w:pPr>
              <w:jc w:val="center"/>
              <w:spacing w:line="0" w:lineRule="atLeast"/>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rPr>
              <w:t xml:space="preserve">产品类型</w:t>
            </w:r>
            <w:r/>
          </w:p>
        </w:tc>
        <w:tc>
          <w:tcPr>
            <w:tcW w:w="1667" w:type="dxa"/>
            <w:vAlign w:val="center"/>
            <w:textDirection w:val="lrTb"/>
            <w:noWrap w:val="false"/>
          </w:tcPr>
          <w:p>
            <w:pPr>
              <w:jc w:val="center"/>
              <w:spacing w:line="0" w:lineRule="atLeast"/>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rPr>
              <w:t xml:space="preserve">所属</w:t>
            </w:r>
            <w:r>
              <w:rPr>
                <w:rFonts w:hint="eastAsia" w:ascii="宋体" w:hAnsi="宋体" w:eastAsia="宋体" w:cs="Times New Roman"/>
                <w:bCs/>
                <w:sz w:val="24"/>
                <w:szCs w:val="24"/>
                <w:highlight w:val="none"/>
                <w:lang w:eastAsia="zh-CN"/>
              </w:rPr>
              <w:t xml:space="preserve">行业</w:t>
            </w:r>
            <w:r>
              <w:rPr>
                <w:rFonts w:hint="eastAsia" w:ascii="宋体" w:hAnsi="宋体" w:eastAsia="宋体" w:cs="Times New Roman"/>
                <w:bCs/>
                <w:sz w:val="24"/>
                <w:szCs w:val="24"/>
                <w:highlight w:val="none"/>
              </w:rPr>
              <w:t xml:space="preserve">类型</w:t>
            </w:r>
            <w:r/>
          </w:p>
        </w:tc>
        <w:tc>
          <w:tcPr>
            <w:tcW w:w="2557" w:type="dxa"/>
            <w:vAlign w:val="center"/>
            <w:textDirection w:val="lrTb"/>
            <w:noWrap w:val="false"/>
          </w:tcPr>
          <w:p>
            <w:pPr>
              <w:jc w:val="center"/>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备注</w:t>
            </w:r>
            <w:r/>
          </w:p>
        </w:tc>
      </w:tr>
      <w:tr>
        <w:trPr>
          <w:trHeight w:val="1005"/>
        </w:trPr>
        <w:tc>
          <w:tcPr>
            <w:tcW w:w="758"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p>
        </w:tc>
        <w:tc>
          <w:tcPr>
            <w:tcW w:w="2025"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sz w:val="24"/>
                <w:szCs w:val="24"/>
                <w:lang w:eastAsia="zh-CN"/>
              </w:rPr>
              <w:t xml:space="preserve">桥林街道2026年小区垃圾分类服务外包项目</w:t>
            </w:r>
            <w:r/>
          </w:p>
        </w:tc>
        <w:tc>
          <w:tcPr>
            <w:tcW w:w="762"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p>
        </w:tc>
        <w:tc>
          <w:tcPr>
            <w:tcW w:w="772"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项</w:t>
            </w:r>
            <w:r/>
          </w:p>
        </w:tc>
        <w:tc>
          <w:tcPr>
            <w:tcW w:w="1506" w:type="dxa"/>
            <w:vAlign w:val="center"/>
            <w:textDirection w:val="lrTb"/>
            <w:noWrap w:val="false"/>
          </w:tcPr>
          <w:p>
            <w:pPr>
              <w:jc w:val="center"/>
              <w:spacing w:line="0" w:lineRule="atLeast"/>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rPr>
              <w:t xml:space="preserve">主要产品</w:t>
            </w:r>
            <w:r/>
          </w:p>
        </w:tc>
        <w:tc>
          <w:tcPr>
            <w:tcW w:w="1667" w:type="dxa"/>
            <w:vAlign w:val="center"/>
            <w:textDirection w:val="lrTb"/>
            <w:noWrap w:val="false"/>
          </w:tcPr>
          <w:p>
            <w:pPr>
              <w:jc w:val="center"/>
              <w:spacing w:line="0" w:lineRule="atLeast"/>
              <w:rPr>
                <w:rFonts w:hint="default" w:ascii="宋体" w:hAnsi="宋体" w:eastAsia="宋体" w:cs="Times New Roman"/>
                <w:bCs/>
                <w:sz w:val="24"/>
                <w:szCs w:val="24"/>
                <w:highlight w:val="none"/>
                <w:lang w:val="en-US" w:eastAsia="zh-CN" w:bidi="ar-SA"/>
              </w:rPr>
            </w:pPr>
            <w:r>
              <w:rPr>
                <w:rFonts w:hint="eastAsia" w:ascii="宋体" w:hAnsi="宋体" w:cs="Times New Roman"/>
                <w:bCs/>
                <w:sz w:val="24"/>
                <w:szCs w:val="24"/>
                <w:highlight w:val="none"/>
                <w:lang w:val="en-US" w:eastAsia="zh-CN" w:bidi="ar-SA"/>
              </w:rPr>
              <w:t xml:space="preserve">其他未列明行业</w:t>
            </w:r>
            <w:r/>
          </w:p>
        </w:tc>
        <w:tc>
          <w:tcPr>
            <w:tcW w:w="2557"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c>
      </w:tr>
    </w:tbl>
    <w:p>
      <w:pPr>
        <w:spacing w:line="0" w:lineRule="atLeast"/>
        <w:rPr>
          <w:rFonts w:hint="eastAsia" w:ascii="宋体" w:hAnsi="宋体"/>
          <w:bCs/>
          <w:sz w:val="24"/>
          <w:szCs w:val="24"/>
          <w:highlight w:val="none"/>
        </w:rPr>
      </w:pPr>
      <w:r>
        <w:rPr>
          <w:rFonts w:hint="eastAsia" w:ascii="宋体" w:hAnsi="宋体" w:eastAsia="宋体" w:cs="Times New Roman"/>
          <w:b/>
          <w:bCs/>
          <w:i w:val="0"/>
          <w:iCs w:val="0"/>
          <w:sz w:val="24"/>
          <w:highlight w:val="none"/>
          <w:u w:val="none"/>
          <w:lang w:val="en-US" w:eastAsia="zh-CN"/>
        </w:rPr>
        <w:t xml:space="preserve">★</w:t>
      </w:r>
      <w:r>
        <w:rPr>
          <w:rFonts w:hint="eastAsia" w:ascii="宋体" w:hAnsi="宋体"/>
          <w:bCs/>
          <w:sz w:val="24"/>
          <w:szCs w:val="24"/>
          <w:highlight w:val="none"/>
          <w:lang w:eastAsia="zh-CN"/>
        </w:rPr>
        <w:t xml:space="preserve">四、</w:t>
      </w:r>
      <w:r>
        <w:rPr>
          <w:rFonts w:hint="eastAsia" w:ascii="宋体" w:hAnsi="宋体"/>
          <w:bCs/>
          <w:sz w:val="24"/>
          <w:szCs w:val="24"/>
          <w:highlight w:val="none"/>
        </w:rPr>
        <w:t xml:space="preserve">采购需求包括拟采购的标的及其需要满足的技术、商务要求。</w:t>
      </w:r>
      <w:r/>
    </w:p>
    <w:p>
      <w:pPr>
        <w:spacing w:line="0" w:lineRule="atLeast"/>
        <w:rPr>
          <w:rFonts w:hint="eastAsia" w:ascii="宋体" w:hAnsi="宋体"/>
          <w:bCs/>
          <w:sz w:val="24"/>
          <w:szCs w:val="24"/>
          <w:highlight w:val="none"/>
        </w:rPr>
      </w:pPr>
      <w:r>
        <w:rPr>
          <w:rFonts w:hint="eastAsia" w:ascii="宋体" w:hAnsi="宋体"/>
          <w:bCs/>
          <w:sz w:val="24"/>
          <w:szCs w:val="24"/>
          <w:highlight w:val="none"/>
        </w:rPr>
        <w:t xml:space="preserve">（一）技术要求</w:t>
      </w:r>
      <w:r/>
    </w:p>
    <w:p>
      <w:pPr>
        <w:spacing w:line="0" w:lineRule="atLeast"/>
        <w:rPr>
          <w:rFonts w:hint="eastAsia" w:ascii="宋体" w:hAnsi="宋体" w:eastAsia="宋体" w:cs="宋体"/>
          <w:b/>
          <w:bCs/>
          <w:spacing w:val="-1"/>
          <w:sz w:val="24"/>
          <w:szCs w:val="24"/>
          <w:highlight w:val="none"/>
          <w:lang w:eastAsia="zh-CN"/>
        </w:rPr>
      </w:pPr>
      <w:r>
        <w:rPr>
          <w:rFonts w:hint="eastAsia" w:ascii="宋体" w:hAnsi="宋体" w:eastAsia="宋体" w:cs="宋体"/>
          <w:b/>
          <w:bCs/>
          <w:spacing w:val="-1"/>
          <w:sz w:val="24"/>
          <w:szCs w:val="24"/>
          <w:highlight w:val="none"/>
          <w:lang w:val="en-US" w:eastAsia="zh-CN"/>
        </w:rPr>
        <w:t xml:space="preserve">1.</w:t>
      </w:r>
      <w:r>
        <w:rPr>
          <w:rFonts w:hint="eastAsia" w:ascii="宋体" w:hAnsi="宋体" w:eastAsia="宋体" w:cs="宋体"/>
          <w:b/>
          <w:bCs/>
          <w:spacing w:val="-1"/>
          <w:sz w:val="24"/>
          <w:szCs w:val="24"/>
          <w:highlight w:val="none"/>
        </w:rPr>
        <w:t xml:space="preserve">总体要求</w:t>
      </w:r>
      <w:r/>
    </w:p>
    <w:tbl>
      <w:tblPr>
        <w:tblStyle w:val="1010"/>
        <w:tblW w:w="10327" w:type="dxa"/>
        <w:tblInd w:w="-1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7"/>
      </w:tblGrid>
      <w:tr>
        <w:trPr/>
        <w:tc>
          <w:tcPr>
            <w:tcW w:w="10327" w:type="dxa"/>
            <w:vAlign w:val="top"/>
            <w:textDirection w:val="lrTb"/>
            <w:noWrap w:val="false"/>
          </w:tcPr>
          <w:p>
            <w:pPr>
              <w:ind w:firstLine="480"/>
              <w:spacing w:line="264" w:lineRule="auto"/>
              <w:rPr>
                <w:rFonts w:hint="default" w:ascii="宋体" w:hAnsi="宋体" w:eastAsia="宋体" w:cs="宋体"/>
                <w:color w:val="auto"/>
                <w:sz w:val="24"/>
                <w:szCs w:val="24"/>
                <w:lang w:val="en-US" w:eastAsia="zh-CN" w:bidi="ar"/>
              </w:rPr>
            </w:pPr>
            <w:r>
              <w:rPr>
                <w:rFonts w:hint="eastAsia" w:ascii="宋体" w:hAnsi="宋体"/>
                <w:color w:val="000000"/>
                <w:sz w:val="24"/>
                <w:szCs w:val="24"/>
              </w:rPr>
              <w:t xml:space="preserve">为深入推进桥林街道垃圾分类覆盖工作，响应南京市垃圾分类工作服务，根据2020年全市垃圾分类工作总体要求，深入推进桥林街道垃圾分类工作，按照南京市城乡生活垃圾分类专项行动要求，加快推进桥林街道垃圾分类放、分类收集、分类运输、分类管理的循环体系</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桥林街道</w:t>
            </w:r>
            <w:r>
              <w:rPr>
                <w:rFonts w:hint="eastAsia" w:ascii="宋体" w:hAnsi="宋体"/>
                <w:color w:val="000000"/>
                <w:sz w:val="24"/>
                <w:szCs w:val="24"/>
              </w:rPr>
              <w:t xml:space="preserve">综合行政执法局针对兰桥雅居、兰花雅苑等</w:t>
            </w:r>
            <w:r>
              <w:rPr>
                <w:rFonts w:hint="eastAsia" w:ascii="宋体" w:hAnsi="宋体"/>
                <w:color w:val="000000"/>
                <w:sz w:val="24"/>
                <w:szCs w:val="24"/>
                <w:lang w:val="en-US" w:eastAsia="zh-CN"/>
              </w:rPr>
              <w:t xml:space="preserve">22</w:t>
            </w:r>
            <w:r>
              <w:rPr>
                <w:rFonts w:hint="eastAsia" w:ascii="宋体" w:hAnsi="宋体"/>
                <w:color w:val="000000"/>
                <w:sz w:val="24"/>
                <w:szCs w:val="24"/>
              </w:rPr>
              <w:t xml:space="preserve">个小区共</w:t>
            </w:r>
            <w:r>
              <w:rPr>
                <w:rFonts w:hint="eastAsia" w:ascii="宋体" w:hAnsi="宋体"/>
                <w:color w:val="000000"/>
                <w:sz w:val="24"/>
                <w:szCs w:val="24"/>
                <w:lang w:val="en-US" w:eastAsia="zh-CN"/>
              </w:rPr>
              <w:t xml:space="preserve">73</w:t>
            </w:r>
            <w:r>
              <w:rPr>
                <w:rFonts w:hint="eastAsia" w:ascii="宋体" w:hAnsi="宋体"/>
                <w:color w:val="000000"/>
                <w:sz w:val="24"/>
                <w:szCs w:val="24"/>
              </w:rPr>
              <w:t xml:space="preserve">个垃圾分类房</w:t>
            </w:r>
            <w:r>
              <w:rPr>
                <w:rFonts w:hint="eastAsia" w:ascii="宋体" w:hAnsi="宋体"/>
                <w:color w:val="000000"/>
                <w:sz w:val="24"/>
                <w:szCs w:val="24"/>
                <w:lang w:val="en-US" w:eastAsia="zh-CN"/>
              </w:rPr>
              <w:t xml:space="preserve">进行垃圾分类服务外包</w:t>
            </w:r>
            <w:r>
              <w:rPr>
                <w:rFonts w:hint="eastAsia" w:ascii="宋体" w:hAnsi="宋体"/>
                <w:color w:val="000000"/>
                <w:sz w:val="24"/>
                <w:szCs w:val="24"/>
              </w:rPr>
              <w:t xml:space="preserve">。</w:t>
            </w:r>
            <w:r/>
          </w:p>
        </w:tc>
      </w:tr>
    </w:tbl>
    <w:p>
      <w:pPr>
        <w:spacing w:line="0" w:lineRule="atLeast"/>
        <w:rPr>
          <w:rFonts w:hint="default" w:ascii="宋体" w:hAnsi="宋体" w:eastAsia="宋体" w:cs="宋体"/>
          <w:b/>
          <w:bCs/>
          <w:spacing w:val="-1"/>
          <w:sz w:val="24"/>
          <w:szCs w:val="24"/>
          <w:highlight w:val="none"/>
          <w:lang w:val="en-US"/>
        </w:rPr>
      </w:pPr>
      <w:r>
        <w:rPr>
          <w:rFonts w:hint="eastAsia" w:ascii="宋体" w:hAnsi="宋体" w:eastAsia="宋体" w:cs="宋体"/>
          <w:b/>
          <w:bCs/>
          <w:spacing w:val="-1"/>
          <w:sz w:val="24"/>
          <w:szCs w:val="24"/>
          <w:highlight w:val="none"/>
        </w:rPr>
        <w:t xml:space="preserve">2</w:t>
      </w:r>
      <w:r>
        <w:rPr>
          <w:rFonts w:hint="eastAsia" w:ascii="宋体" w:hAnsi="宋体" w:eastAsia="宋体" w:cs="宋体"/>
          <w:b/>
          <w:bCs/>
          <w:spacing w:val="-1"/>
          <w:sz w:val="24"/>
          <w:szCs w:val="24"/>
          <w:highlight w:val="none"/>
          <w:lang w:val="en-US" w:eastAsia="zh-CN"/>
        </w:rPr>
        <w:t xml:space="preserve">.</w:t>
      </w:r>
      <w:r>
        <w:rPr>
          <w:rFonts w:hint="eastAsia" w:ascii="宋体" w:hAnsi="宋体" w:cs="宋体"/>
          <w:b/>
          <w:bCs/>
          <w:spacing w:val="-1"/>
          <w:sz w:val="24"/>
          <w:szCs w:val="24"/>
          <w:highlight w:val="none"/>
          <w:lang w:val="en-US" w:eastAsia="zh-CN"/>
        </w:rPr>
        <w:t xml:space="preserve">宣传要求</w:t>
      </w:r>
      <w:r/>
    </w:p>
    <w:tbl>
      <w:tblPr>
        <w:tblStyle w:val="1010"/>
        <w:tblW w:w="1028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0"/>
      </w:tblGrid>
      <w:tr>
        <w:trPr/>
        <w:tc>
          <w:tcPr>
            <w:tcW w:w="10280" w:type="dxa"/>
            <w:vAlign w:val="top"/>
            <w:textDirection w:val="lrTb"/>
            <w:noWrap w:val="false"/>
          </w:tcPr>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（1）每月组织物业管理人员、清洁人员，志愿者等参加培训指导，培训形式包括上岗前培训和在岗培训，培训内容包括生活垃圾分类知识、与居民的沟通技巧、生活垃圾分类收集操作规范等。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每个小区在启用时开展一次启动仪式，举办活动之前把方案递交垃圾分类办、街道审核。活动的奖品、照片、工作信息由中标单位落实完成。每次举办活动的相关照片、信息、参加活动名单等及时交付垃圾分类办、街道，所上报的动态信息稿件要求具有时效性。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（3）小区居民垃圾分类知识的宣传和相关人员培训，以及垃圾分类置换、兑换专项活动的宣传推广。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（4）涉及原宣传设施未到位小区需要按照市、区城管局及街道要求将各类硬件设施在规定时间内设置完毕。（按南京市统一要求设定）</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5）小区的内原垃圾分类宣传栏用于介绍垃圾分类知识，公示垃圾分类运行管理信息，包括小区基本信息、分类种类、分类投放点布局图、分类收运方式、投诉举报等，内容清晰，无张贴、无破损。（每月更新）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（6）小区内公示栏及原楼道内的公示牌及时更新收集点点位图、红灰榜等相关信息的公示。（缺失的需要及时补全）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（7）按照市、区两级城管局要求完成各类的宣传活动。（垃圾分类大家谈、每月主题宣传等）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（8）每个小区每月至少开展5次入户宣传工作。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（9）制定项目全年的宣传计划，按照计划进行实施。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（10）配合市、区、街道各部门做好各类宣传配合工作。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（11）成立垃圾分类志愿者服务队伍，每周自行组织至少 1 次活动，提供活动照片及文字描述，每次人数不低于 20 人（志愿者）。</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（12）定期举行小区垃圾分类协商会议并留存会议记录（每月至少一场）。</w:t>
            </w:r>
            <w:r/>
          </w:p>
          <w:p>
            <w:pPr>
              <w:jc w:val="both"/>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（13）每个月3号以前更新所有小区公示栏红灰榜，垃圾亭、房的红灰榜（并拍照），所有小区楼栋红灰榜！红灰榜要定期自查，发现损坏或者缺失必须及时整改！</w:t>
            </w:r>
            <w:r/>
          </w:p>
        </w:tc>
      </w:tr>
    </w:tbl>
    <w:p>
      <w:pPr>
        <w:spacing w:line="0" w:lineRule="atLeast"/>
        <w:rPr>
          <w:rFonts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3.垃圾分类运营工作要求</w:t>
      </w:r>
      <w:r/>
    </w:p>
    <w:tbl>
      <w:tblPr>
        <w:tblStyle w:val="1010"/>
        <w:tblW w:w="1028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0"/>
      </w:tblGrid>
      <w:tr>
        <w:trPr>
          <w:trHeight w:val="383"/>
        </w:trPr>
        <w:tc>
          <w:tcPr>
            <w:tcW w:w="10280" w:type="dxa"/>
            <w:vAlign w:val="top"/>
            <w:textDirection w:val="lrTb"/>
            <w:noWrap w:val="false"/>
          </w:tcPr>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（1）每日做好厨余垃圾的分类收集，每日每个点位清运两次，并完成打卡。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（2）做好居民有害垃圾的回收，并及时清运到区垃分办指定的有害垃圾收集点； 每周每个小区至少一次。</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（3）做好可回收物和低附加值垃圾的分类收集（确保居民可以随时投放）和清运；每周每个小区至少一次。</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（4）定期对垃圾分类收集容器进行清洗，保持整洁并摆放有序。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（5）有关垃圾分类投放、收集、清运记录清楚、准确、台账明确。做好每日垃圾减量的数据登记统计及相关数据的分析工作。</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（6）周一至周五每日不少于四小时、节假日应在中午增加一小时实行定点收集，并对分类收运、分类投放的易腐垃圾进行 登记、积分，每日上传；厨余垃圾应交由辖区具有资质的环卫部门负责转运处置。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（7）有害垃圾收集全覆盖供应商应按照安全和无害化标准进行操作，由供应商暂存至一定数量后交由采购人指定的方式贮存或处理。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（8）每月对小区居民参与垃圾分类及积分兑换情况进行公示；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（9）建立小区垃圾分类信息管理系统并做好日常维护工作,确保市、区、街道垃分办能实时查询。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（10）做好有害垃圾的回收，并暂存在指定地点，由招标单位负责对接安排环保部门定期转运。</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（11）可回收物须收集运输到再生资源回收站点，有害垃圾须收集运输到采购人指定地点，厨余垃圾须运输到相应街道生活垃圾分类处理站处理，并按采购人要求做好分类及处理工作。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（12）完善各项安全生产管理制度，建立健全的台帐管理机制，每月定时向采购人提交垃圾分类台帐资料。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（13）清运人员（分拣员）需全面落实二次分拣工作，对垃圾桶内误丢的垃圾进行正确分类，并对丢垃圾的居民实时督导宜 教，提高垃圾分类准确率。中标人每年对分拣员开展不少于一次的培训，每月开展垃圾分拣员的评优工作，做好记录和并上报采购人。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（14）确保垃圾分类设施、容器干净整洁、完好。分类容器出现破旧、遗失或者数量不足的，必须及时维修、更换或补设。</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（15）做到垃圾分类明确、投放正确，垃圾分类投放准确率要求90%。（每季度按比例进行抽检考核并记录数据，年投放准确率以四个季度考核数据汇总计算为考核指标） </w:t>
            </w:r>
            <w:r/>
          </w:p>
          <w:p>
            <w:pPr>
              <w:jc w:val="both"/>
              <w:spacing w:line="0" w:lineRule="atLeast"/>
              <w:rPr>
                <w:rFonts w:hint="eastAsia" w:ascii="宋体" w:hAnsi="宋体" w:eastAsia="宋体" w:cs="宋体"/>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（16）将垃圾分类工作纳入社区基层党建工作，党员领导干部带头实施垃圾分类。</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4.垃圾运输</w:t>
      </w:r>
      <w:r>
        <w:rPr>
          <w:rFonts w:hint="eastAsia" w:ascii="宋体" w:hAnsi="宋体" w:cs="宋体"/>
          <w:b/>
          <w:bCs/>
          <w:spacing w:val="-1"/>
          <w:sz w:val="24"/>
          <w:szCs w:val="24"/>
          <w:highlight w:val="none"/>
          <w:lang w:val="en-US" w:eastAsia="zh-CN"/>
        </w:rPr>
        <w:t xml:space="preserve">质量</w:t>
      </w:r>
      <w:r>
        <w:rPr>
          <w:rFonts w:hint="eastAsia" w:ascii="宋体" w:hAnsi="宋体" w:eastAsia="宋体" w:cs="宋体"/>
          <w:b/>
          <w:bCs/>
          <w:spacing w:val="-1"/>
          <w:sz w:val="24"/>
          <w:szCs w:val="24"/>
          <w:highlight w:val="none"/>
          <w:lang w:val="en-US" w:eastAsia="zh-CN"/>
        </w:rPr>
        <w:t xml:space="preserve">标准</w:t>
      </w:r>
      <w:r/>
    </w:p>
    <w:tbl>
      <w:tblPr>
        <w:tblStyle w:val="1010"/>
        <w:tblW w:w="1025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0"/>
      </w:tblGrid>
      <w:tr>
        <w:trPr/>
        <w:tc>
          <w:tcPr>
            <w:tcW w:w="10250" w:type="dxa"/>
            <w:vAlign w:val="top"/>
            <w:textDirection w:val="lrTb"/>
            <w:noWrap w:val="false"/>
          </w:tcPr>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严格按照片区划分实施垃圾统一收集、统一处理，禁止将本片区范围内垃圾未经允许擅自运往其他垃圾处理场所处理；垃圾实行全程密闭运输，在运输过程中无抛、洒、滴、漏现象；垃圾装运量应以车辆的额定荷载和有效容积为限，不得超重、超高 运输；装卸垃圾应符合作业规范要求，不得乱倒、乱卸垃圾；垃圾运输车应保持车容整洁，车体外部无明显污物、灰垢；清运路 线要合理规划设置，并报采购人备案认可。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（2）垃圾应及时转运，蚊蝇孳生季节应定时喷药灭蚊蝇，做到无恶臭。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（3）运输作业结束，应将车辆清洗干净，清洗污水符合现行行业标准《污水排入城市下水道水质标准》（GJ18—86） 或现行国家标准《污水综合排放标准》（GB8978）后，方可排入城市污水管网或附近水体。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（4）垃圾压缩站及周围环境应整洁，装卸作业完毕，应及时清扫场地。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（5）垃圾清运（中转）环节中造成二次污染均由投标人承担并予以解决。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6）厨余垃圾清运每日不低于2次，可回收物、有害垃圾各小区每周至少清运一次。（7）垃圾收运安全作业：严格遵守交通规则，环卫作业车辆尽量避开交通高峰时段作业；作业车辆车尾应有反光标志（或加贴反光膜），作业时须亮警示灯，夜间作业时须开启示宽灯，白天作业应开启提示音乐；保洁人员作业时应注意避让行人和车辆。保洁人员作业时要着有 安全标志的作业服，反光标志要完整，服装整洁干净，作业服应按劳保标准定期发放和更换。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cs="宋体"/>
                <w:b w:val="0"/>
                <w:bCs w:val="0"/>
                <w:spacing w:val="-1"/>
                <w:sz w:val="24"/>
                <w:szCs w:val="24"/>
                <w:highlight w:val="none"/>
                <w:lang w:val="en-US" w:eastAsia="zh-CN"/>
              </w:rPr>
              <w:t xml:space="preserve">（8）</w:t>
            </w:r>
            <w:r>
              <w:rPr>
                <w:rFonts w:hint="eastAsia" w:ascii="宋体" w:hAnsi="宋体" w:eastAsia="宋体" w:cs="宋体"/>
                <w:b w:val="0"/>
                <w:bCs w:val="0"/>
                <w:spacing w:val="-1"/>
                <w:sz w:val="24"/>
                <w:szCs w:val="24"/>
                <w:highlight w:val="none"/>
                <w:lang w:val="en-US" w:eastAsia="zh-CN"/>
              </w:rPr>
              <w:t xml:space="preserve">垃圾运输车辆要求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a.垃圾运输车辆干净整洁（不准安装外挂袋），一日一洗，保持安全正常运转，定期维护；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b.垃圾运输车车身应印刷公司名称、编号，字迹清晰、整洁；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c.作业时车辆应靠边停放，不能太靠近车行线； </w:t>
            </w:r>
            <w:r/>
          </w:p>
          <w:p>
            <w:pPr>
              <w:jc w:val="both"/>
              <w:spacing w:line="0" w:lineRule="atLeast"/>
              <w:rPr>
                <w:rFonts w:ascii="Times New Roman" w:hAnsi="Times New Roman" w:eastAsia="宋体" w:cs="Times New Roman"/>
                <w:highlight w:val="none"/>
                <w:lang w:val="en-US"/>
              </w:rPr>
            </w:pPr>
            <w:r>
              <w:rPr>
                <w:rFonts w:hint="eastAsia" w:ascii="宋体" w:hAnsi="宋体" w:eastAsia="宋体" w:cs="宋体"/>
                <w:b w:val="0"/>
                <w:bCs w:val="0"/>
                <w:spacing w:val="-1"/>
                <w:sz w:val="24"/>
                <w:szCs w:val="24"/>
                <w:highlight w:val="none"/>
                <w:lang w:val="en-US" w:eastAsia="zh-CN"/>
              </w:rPr>
              <w:t xml:space="preserve">d.车辆上的作业工具应摆放整齐，不能对交通安全产生影响。 </w:t>
            </w:r>
            <w:r/>
          </w:p>
        </w:tc>
      </w:tr>
    </w:tbl>
    <w:p>
      <w:pPr>
        <w:spacing w:line="0" w:lineRule="atLeast"/>
        <w:rPr>
          <w:rFonts w:hint="default"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5.</w:t>
      </w:r>
      <w:r>
        <w:rPr>
          <w:rFonts w:hint="eastAsia" w:ascii="宋体" w:hAnsi="宋体" w:cs="宋体"/>
          <w:b/>
          <w:bCs/>
          <w:spacing w:val="-1"/>
          <w:sz w:val="24"/>
          <w:szCs w:val="24"/>
          <w:highlight w:val="none"/>
          <w:lang w:val="en-US" w:eastAsia="zh-CN"/>
        </w:rPr>
        <w:t xml:space="preserve">垃圾分类外包资料整理归档要求</w:t>
      </w:r>
      <w:r/>
    </w:p>
    <w:tbl>
      <w:tblPr>
        <w:tblStyle w:val="1010"/>
        <w:tblW w:w="10235"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35"/>
      </w:tblGrid>
      <w:tr>
        <w:trPr/>
        <w:tc>
          <w:tcPr>
            <w:tcW w:w="10235" w:type="dxa"/>
            <w:vAlign w:val="top"/>
            <w:textDirection w:val="lrTb"/>
            <w:noWrap w:val="false"/>
          </w:tcPr>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（1）对市、区街道垃圾分办或者其他部门检查通报的问题及时整改到位，按照要求及时、准确报送相关信息、数据。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（2）应根据市、区街道垃分办时间节点要求，报送垃圾分类兑换各类数据、图片等相关材料。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（3）回收物、有害垃圾、厨余垃圾回收量和电子积分数据应录入积分管理系统进行管理，街道每月应对回收量和电子积分 数据进行审核，并对辖区回收量和电子积分数据进行核实确认。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（4）按照市、区、街道要求在规定时间内做好各类台账。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（5）做好垃圾分类专职人员及兼职人员的管理及监督工作。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（6）积极主动配合街道完成文明创建、省级示范小区等。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（7）小区组建垃圾分类志愿者队伍，做好相关台账。 </w:t>
            </w:r>
            <w:r/>
          </w:p>
          <w:p>
            <w:pPr>
              <w:jc w:val="both"/>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宋体"/>
                <w:b w:val="0"/>
                <w:bCs w:val="0"/>
                <w:spacing w:val="-1"/>
                <w:sz w:val="24"/>
                <w:szCs w:val="24"/>
                <w:highlight w:val="none"/>
                <w:lang w:val="en-US" w:eastAsia="zh-CN"/>
              </w:rPr>
              <w:t xml:space="preserve">（8）每月 25 日前上报上月的工作情况(包括垃圾分类工作的相关数据及统计汇总)，每月底前上报次月重点工作计划。</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6.作业人员配置及要求</w:t>
      </w:r>
      <w:r/>
    </w:p>
    <w:tbl>
      <w:tblPr>
        <w:tblStyle w:val="1010"/>
        <w:tblW w:w="10235"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35"/>
      </w:tblGrid>
      <w:tr>
        <w:trPr/>
        <w:tc>
          <w:tcPr>
            <w:tcW w:w="10235" w:type="dxa"/>
            <w:vAlign w:val="top"/>
            <w:textDirection w:val="lrTb"/>
            <w:noWrap w:val="false"/>
          </w:tcPr>
          <w:p>
            <w:pPr>
              <w:jc w:val="both"/>
              <w:spacing w:line="0" w:lineRule="atLeast"/>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（1）人员配置要求</w:t>
            </w:r>
            <w:r/>
          </w:p>
          <w:p>
            <w:pPr>
              <w:jc w:val="both"/>
              <w:spacing w:line="0" w:lineRule="atLeast"/>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为保证本项目服务质量标准，根据采购人项目实际情况，需配备项目总负责人、宣传培训员、质量监督安全员、数据专员和驾驶员、具体人员配备情况如下：（提供承诺书）</w:t>
            </w:r>
            <w:r/>
          </w:p>
          <w:p>
            <w:pPr>
              <w:jc w:val="both"/>
              <w:spacing w:line="0" w:lineRule="atLeast"/>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a.项目总负责人：1名（项目负责人每天需要到各小区统筹垃圾分类实际情况，采购人如有需求项目负责人需要在12小时内与采购人联系，并解决采购人需求）。 </w:t>
            </w:r>
            <w:r/>
          </w:p>
          <w:p>
            <w:pPr>
              <w:jc w:val="both"/>
              <w:spacing w:line="0" w:lineRule="atLeast"/>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b</w:t>
            </w:r>
            <w:r>
              <w:rPr>
                <w:rFonts w:hint="eastAsia" w:ascii="宋体" w:hAnsi="宋体" w:eastAsia="宋体" w:cs="宋体"/>
                <w:b w:val="0"/>
                <w:bCs w:val="0"/>
                <w:color w:val="auto"/>
                <w:spacing w:val="-1"/>
                <w:sz w:val="24"/>
                <w:szCs w:val="24"/>
                <w:highlight w:val="none"/>
                <w:lang w:val="en-US" w:eastAsia="zh-CN"/>
              </w:rPr>
              <w:t xml:space="preserve">.数据专员：1人。</w:t>
            </w:r>
            <w:r/>
          </w:p>
          <w:p>
            <w:pPr>
              <w:jc w:val="both"/>
              <w:spacing w:line="0" w:lineRule="atLeast"/>
              <w:rPr>
                <w:rFonts w:hint="default"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c</w:t>
            </w:r>
            <w:r>
              <w:rPr>
                <w:rFonts w:hint="eastAsia" w:ascii="宋体" w:hAnsi="宋体" w:eastAsia="宋体" w:cs="宋体"/>
                <w:b w:val="0"/>
                <w:bCs w:val="0"/>
                <w:color w:val="auto"/>
                <w:spacing w:val="-1"/>
                <w:sz w:val="24"/>
                <w:szCs w:val="24"/>
                <w:highlight w:val="none"/>
                <w:lang w:val="en-US" w:eastAsia="zh-CN"/>
              </w:rPr>
              <w:t xml:space="preserve">.宣传员：2人。</w:t>
            </w:r>
            <w:r/>
          </w:p>
          <w:p>
            <w:pPr>
              <w:jc w:val="both"/>
              <w:spacing w:line="0" w:lineRule="atLeast"/>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d</w:t>
            </w:r>
            <w:r>
              <w:rPr>
                <w:rFonts w:hint="eastAsia" w:ascii="宋体" w:hAnsi="宋体" w:eastAsia="宋体" w:cs="宋体"/>
                <w:b w:val="0"/>
                <w:bCs w:val="0"/>
                <w:color w:val="auto"/>
                <w:spacing w:val="-1"/>
                <w:sz w:val="24"/>
                <w:szCs w:val="24"/>
                <w:highlight w:val="none"/>
                <w:lang w:val="en-US" w:eastAsia="zh-CN"/>
              </w:rPr>
              <w:t xml:space="preserve">.驾驶员：</w:t>
            </w:r>
            <w:r>
              <w:rPr>
                <w:rFonts w:hint="eastAsia" w:ascii="宋体" w:hAnsi="宋体" w:cs="宋体"/>
                <w:b w:val="0"/>
                <w:bCs w:val="0"/>
                <w:color w:val="auto"/>
                <w:spacing w:val="-1"/>
                <w:sz w:val="24"/>
                <w:szCs w:val="24"/>
                <w:highlight w:val="none"/>
                <w:lang w:val="en-US" w:eastAsia="zh-CN"/>
              </w:rPr>
              <w:t xml:space="preserve">3</w:t>
            </w:r>
            <w:r>
              <w:rPr>
                <w:rFonts w:hint="eastAsia" w:ascii="宋体" w:hAnsi="宋体" w:eastAsia="宋体" w:cs="宋体"/>
                <w:b w:val="0"/>
                <w:bCs w:val="0"/>
                <w:color w:val="auto"/>
                <w:spacing w:val="-1"/>
                <w:sz w:val="24"/>
                <w:szCs w:val="24"/>
                <w:highlight w:val="none"/>
                <w:lang w:val="en-US" w:eastAsia="zh-CN"/>
              </w:rPr>
              <w:t xml:space="preserve">人。（驾驶员需要做到垃圾满后2小时内拖走）</w:t>
            </w:r>
            <w:r/>
          </w:p>
          <w:p>
            <w:pPr>
              <w:jc w:val="both"/>
              <w:spacing w:line="0" w:lineRule="atLeast"/>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注：以上配置为人员配置最低要求。除垃圾分类志愿者外，其余均应当为中标单位全职员工（工资福利待遇按国家相关政策及规定执行），采购人有权对中标人的人员配置投入情况进行考察，发现有不符合要求的，有权要求中标单位进行更换。 </w:t>
            </w:r>
            <w:r/>
          </w:p>
          <w:p>
            <w:pPr>
              <w:jc w:val="both"/>
              <w:spacing w:line="0" w:lineRule="atLeast"/>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（2）人员管理要求 </w:t>
            </w:r>
            <w:r/>
          </w:p>
          <w:p>
            <w:pPr>
              <w:jc w:val="both"/>
              <w:spacing w:line="0" w:lineRule="atLeast"/>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a.乙方具有用工自主权，所聘请的员工必须遵守劳动法规、南京市有关用工规定签订劳动合同，为员工购买相关的保险（含员工养老保险、失业保险、医疗保险、工伤保险、生育保险、个人意外险等） </w:t>
            </w:r>
            <w:r/>
          </w:p>
          <w:p>
            <w:pPr>
              <w:jc w:val="both"/>
              <w:spacing w:line="0" w:lineRule="atLeast"/>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b</w:t>
            </w:r>
            <w:r>
              <w:rPr>
                <w:rFonts w:hint="eastAsia" w:ascii="宋体" w:hAnsi="宋体" w:eastAsia="宋体" w:cs="宋体"/>
                <w:b w:val="0"/>
                <w:bCs w:val="0"/>
                <w:color w:val="auto"/>
                <w:spacing w:val="-1"/>
                <w:sz w:val="24"/>
                <w:szCs w:val="24"/>
                <w:highlight w:val="none"/>
                <w:lang w:val="en-US" w:eastAsia="zh-CN"/>
              </w:rPr>
              <w:t xml:space="preserve">.合同期内，即使遇南京市最低工资上调，合同总额也不得变动。物价上涨等其它因素一律不予调整合同总价款。 </w:t>
            </w:r>
            <w:r/>
          </w:p>
          <w:p>
            <w:pPr>
              <w:jc w:val="left"/>
              <w:spacing w:line="0" w:lineRule="atLeast"/>
              <w:rPr>
                <w:rFonts w:hint="eastAsia" w:ascii="宋体" w:hAnsi="宋体" w:eastAsia="宋体" w:cs="宋体"/>
                <w:b/>
                <w:bCs/>
                <w:spacing w:val="-1"/>
                <w:sz w:val="24"/>
                <w:szCs w:val="24"/>
                <w:highlight w:val="none"/>
                <w:vertAlign w:val="baseline"/>
              </w:rPr>
            </w:pPr>
            <w:r>
              <w:rPr>
                <w:rFonts w:hint="eastAsia" w:ascii="宋体" w:hAnsi="宋体" w:cs="宋体"/>
                <w:b w:val="0"/>
                <w:bCs w:val="0"/>
                <w:color w:val="auto"/>
                <w:spacing w:val="-1"/>
                <w:sz w:val="24"/>
                <w:szCs w:val="24"/>
                <w:highlight w:val="none"/>
                <w:lang w:val="en-US" w:eastAsia="zh-CN"/>
              </w:rPr>
              <w:t xml:space="preserve">c.</w:t>
            </w:r>
            <w:r>
              <w:rPr>
                <w:rFonts w:hint="eastAsia" w:ascii="宋体" w:hAnsi="宋体" w:eastAsia="宋体" w:cs="宋体"/>
                <w:b w:val="0"/>
                <w:bCs w:val="0"/>
                <w:color w:val="auto"/>
                <w:spacing w:val="-1"/>
                <w:sz w:val="24"/>
                <w:szCs w:val="24"/>
                <w:highlight w:val="none"/>
                <w:lang w:val="en-US" w:eastAsia="zh-CN"/>
              </w:rPr>
              <w:t xml:space="preserve">乙方负责对运营服务工作人员的安全管理，加强对工作人员的业务安全教育培训，每月召集一次业务安全培训例会，培训 资料及时上报街道管理部门，出现的安全责任事故由乙方负责处理并承担责任，所有发生的安全责任事故与甲方无关。</w:t>
            </w:r>
            <w:r/>
          </w:p>
        </w:tc>
      </w:tr>
    </w:tbl>
    <w:p>
      <w:pPr>
        <w:jc w:val="both"/>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7.机械设备配置与作业要求 </w:t>
      </w:r>
      <w:r/>
    </w:p>
    <w:tbl>
      <w:tblPr>
        <w:tblStyle w:val="1010"/>
        <w:tblW w:w="10265"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65"/>
      </w:tblGrid>
      <w:tr>
        <w:trPr/>
        <w:tc>
          <w:tcPr>
            <w:tcW w:w="10265" w:type="dxa"/>
            <w:vAlign w:val="top"/>
            <w:textDirection w:val="lrTb"/>
            <w:noWrap w:val="false"/>
          </w:tcPr>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（1）为确保中标单位的服务质量，并满足保洁及垃圾清运的要求，根据往年车辆配置实际投入数量并结合本次项目的实际情况确定，各种环卫车辆配置数量如下：</w:t>
            </w:r>
            <w:r/>
          </w:p>
          <w:p>
            <w:pPr>
              <w:jc w:val="both"/>
              <w:spacing w:line="0" w:lineRule="atLeast"/>
              <w:rPr>
                <w:rFonts w:hint="eastAsia" w:ascii="宋体" w:hAnsi="宋体" w:cs="宋体"/>
                <w:spacing w:val="-1"/>
                <w:sz w:val="24"/>
                <w:szCs w:val="24"/>
              </w:rPr>
            </w:pPr>
            <w:r>
              <w:rPr>
                <w:rFonts w:hint="eastAsia" w:ascii="宋体" w:hAnsi="宋体" w:eastAsia="宋体" w:cs="宋体"/>
                <w:b w:val="0"/>
                <w:bCs w:val="0"/>
                <w:spacing w:val="-1"/>
                <w:sz w:val="24"/>
                <w:szCs w:val="24"/>
                <w:highlight w:val="none"/>
                <w:lang w:val="en-US" w:eastAsia="zh-CN"/>
              </w:rPr>
              <w:t xml:space="preserve">a.收运车辆，不少于5辆，投标人投标方案中承诺的各种环卫车辆配置数量均不得低于上述要求，否则投标无效。</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b.所有机械设备的折旧费、维修保养费、年检费、保险费及燃料费（油费、水费、电费等）、停放费等所有一切费用均包含 在投标总价内；</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c.以上所有作业机械设备必须为本项目单独配备使用，且为自有机械设备并提供承诺书。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d.所有车辆必须符合上路行车标准及环保规定。以上车辆按照采购人的统一要求喷涂统一标识，安装GPS汽车行驶记录仪，并能够与南京市城管系统、环卫车辆管理监控系统及与区数字城管系统等实现技术对接。安装GPS汽车行驶记录仪费用、运行服务费用和喷涂费用由中标人承担。</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e.中标人必须提供上述车辆的行驶证，并统一停指定地点备用。 </w:t>
            </w:r>
            <w:r/>
          </w:p>
          <w:p>
            <w:pPr>
              <w:jc w:val="both"/>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宋体"/>
                <w:b w:val="0"/>
                <w:bCs w:val="0"/>
                <w:spacing w:val="-1"/>
                <w:sz w:val="24"/>
                <w:szCs w:val="24"/>
                <w:highlight w:val="none"/>
                <w:lang w:val="en-US" w:eastAsia="zh-CN"/>
              </w:rPr>
              <w:t xml:space="preserve">f.操作环卫机械设备设施的作业人员需经正规培训并有相应的资格证，并按标准操作规范进行安全作业，禁止无证作业。因车辆事故、违规所导致的一切责任和经济损失由中标人承担。 </w:t>
            </w:r>
            <w:r/>
          </w:p>
        </w:tc>
      </w:tr>
    </w:tbl>
    <w:p>
      <w:pPr>
        <w:jc w:val="both"/>
        <w:spacing w:line="0" w:lineRule="atLeast"/>
        <w:rPr>
          <w:rFonts w:hint="eastAsia" w:ascii="宋体" w:hAnsi="宋体" w:eastAsia="宋体" w:cs="宋体"/>
          <w:b/>
          <w:bCs/>
          <w:spacing w:val="-1"/>
          <w:sz w:val="24"/>
          <w:szCs w:val="24"/>
          <w:highlight w:val="none"/>
          <w:lang w:val="en-US" w:eastAsia="zh-CN"/>
        </w:rPr>
      </w:pPr>
      <w:r>
        <w:rPr>
          <w:rFonts w:hint="eastAsia" w:ascii="宋体" w:hAnsi="宋体" w:cs="宋体"/>
          <w:b/>
          <w:bCs/>
          <w:spacing w:val="-1"/>
          <w:sz w:val="24"/>
          <w:szCs w:val="24"/>
          <w:highlight w:val="none"/>
          <w:lang w:val="en-US" w:eastAsia="zh-CN"/>
        </w:rPr>
        <w:t xml:space="preserve">8</w:t>
      </w:r>
      <w:r>
        <w:rPr>
          <w:rFonts w:hint="eastAsia" w:ascii="宋体" w:hAnsi="宋体" w:eastAsia="宋体" w:cs="宋体"/>
          <w:b/>
          <w:bCs/>
          <w:spacing w:val="-1"/>
          <w:sz w:val="24"/>
          <w:szCs w:val="24"/>
          <w:highlight w:val="none"/>
          <w:lang w:val="en-US" w:eastAsia="zh-CN"/>
        </w:rPr>
        <w:t xml:space="preserve">.突发应急事件要求</w:t>
      </w:r>
      <w:r/>
    </w:p>
    <w:tbl>
      <w:tblPr>
        <w:tblStyle w:val="1010"/>
        <w:tblW w:w="10265"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65"/>
      </w:tblGrid>
      <w:tr>
        <w:trPr/>
        <w:tc>
          <w:tcPr>
            <w:tcW w:w="10265" w:type="dxa"/>
            <w:vAlign w:val="top"/>
            <w:textDirection w:val="lrTb"/>
            <w:noWrap w:val="false"/>
          </w:tcPr>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（1）必须成立不少于10人的应急突击队伍，遇到上级检查调研、考核等应急情况时由采购人进行调度，应急突击队伍必须 无条件服从采购人的工作安排，应急突击队伍人员名单电话必须列表上报采购人，有人员调整时及时告知。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（2）中标人必须积极配合采购人迎接各次检查，中标人必须在每次检查24小时前完成所有工作内容。否则，采购人将紧急 雇请工程队进行突击维护，费用由中标人承担。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（3）如遇上级主要领导进行考察、参观等各类活动，中标人必须无条件服从采购人的指挥，对运营区域内的相关工作进行 全面配合。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（4）遇重要接待、重大活动、</w:t>
            </w:r>
            <w:r>
              <w:rPr>
                <w:rFonts w:hint="eastAsia" w:ascii="宋体" w:hAnsi="宋体" w:eastAsia="宋体" w:cs="宋体"/>
                <w:b w:val="0"/>
                <w:bCs w:val="0"/>
                <w:spacing w:val="-1"/>
                <w:sz w:val="24"/>
                <w:szCs w:val="24"/>
                <w:highlight w:val="none"/>
                <w:lang w:val="en-US" w:eastAsia="zh-CN"/>
              </w:rPr>
              <w:t xml:space="preserve">节假日期间和灾害性天气（如遇到台风、暴雨、洪水）等情形，需要特殊或应急作业的，乙方无条件服从甲方安排的突击性任务。 按甲方规定的时间、范围和标准完成工作任务。有针对性地调收运人员、垃圾清运车等机械化设备的作业范围和频率；合理调配运营人员加强运营管理，调高作业标准，按需调整工作时间。项目公司加强节假日值班，排定值班表，保证联络畅通，配置 好作业设施设备、工具和劳防用品。一旦启动应急处置方案，迅速赶赴现场，积极参与涉及生活垃圾、处理等特殊事项的现场协 调和应急处置，确保各项任务在要求的规定时限内突击处理完毕。 </w:t>
            </w:r>
            <w:r/>
          </w:p>
          <w:p>
            <w:pPr>
              <w:jc w:val="both"/>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宋体"/>
                <w:b w:val="0"/>
                <w:bCs w:val="0"/>
                <w:spacing w:val="-1"/>
                <w:sz w:val="24"/>
                <w:szCs w:val="24"/>
                <w:highlight w:val="none"/>
                <w:lang w:val="en-US" w:eastAsia="zh-CN"/>
              </w:rPr>
              <w:t xml:space="preserve">（5）中标人在服务期限内的服务电话 24 小时有人接听，响应服务要求时到达现场时限为4小时，恢复正常清运的时限为12 小时。为了确保服务项目的正常运行，中标人需配备专门的运营清运应急作业人员。在接到垃圾堆积堵塞报告后，需在 12 小时内到达现场，给予解决问题。同时需配置常用的清运工具设备，在出现紧急垃圾堵塞的时候立刻清理运走，如现场无法及时清理运走时需有安全引导措施，以保证人民群众的生命财产安全，保证服务项目正常运行。 </w:t>
            </w:r>
            <w:r/>
          </w:p>
        </w:tc>
      </w:tr>
    </w:tbl>
    <w:p>
      <w:pPr>
        <w:spacing w:line="0" w:lineRule="atLeast"/>
        <w:rPr>
          <w:rFonts w:hint="default" w:ascii="宋体" w:hAnsi="宋体" w:eastAsia="宋体" w:cs="宋体"/>
          <w:b/>
          <w:bCs/>
          <w:spacing w:val="-1"/>
          <w:sz w:val="24"/>
          <w:szCs w:val="24"/>
          <w:highlight w:val="none"/>
          <w:lang w:val="en-US" w:eastAsia="zh-CN"/>
        </w:rPr>
      </w:pPr>
      <w:r>
        <w:rPr>
          <w:rFonts w:hint="eastAsia" w:ascii="宋体" w:hAnsi="宋体" w:cs="宋体"/>
          <w:b/>
          <w:bCs/>
          <w:spacing w:val="-1"/>
          <w:sz w:val="24"/>
          <w:szCs w:val="24"/>
          <w:highlight w:val="none"/>
          <w:lang w:val="en-US" w:eastAsia="zh-CN"/>
        </w:rPr>
        <w:t xml:space="preserve">9</w:t>
      </w:r>
      <w:r>
        <w:rPr>
          <w:rFonts w:hint="eastAsia" w:ascii="宋体" w:hAnsi="宋体" w:eastAsia="宋体" w:cs="宋体"/>
          <w:b/>
          <w:bCs/>
          <w:spacing w:val="-1"/>
          <w:sz w:val="24"/>
          <w:szCs w:val="24"/>
          <w:highlight w:val="none"/>
          <w:lang w:val="en-US" w:eastAsia="zh-CN"/>
        </w:rPr>
        <w:t xml:space="preserve">.</w:t>
      </w:r>
      <w:r>
        <w:rPr>
          <w:rFonts w:hint="eastAsia" w:ascii="宋体" w:hAnsi="宋体" w:cs="宋体"/>
          <w:b/>
          <w:bCs/>
          <w:spacing w:val="-1"/>
          <w:sz w:val="24"/>
          <w:szCs w:val="24"/>
          <w:highlight w:val="none"/>
          <w:lang w:val="en-US" w:eastAsia="zh-CN"/>
        </w:rPr>
        <w:t xml:space="preserve">报价要求</w:t>
      </w:r>
      <w:r/>
    </w:p>
    <w:tbl>
      <w:tblPr>
        <w:tblStyle w:val="1010"/>
        <w:tblW w:w="10295"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95"/>
      </w:tblGrid>
      <w:tr>
        <w:trPr/>
        <w:tc>
          <w:tcPr>
            <w:tcW w:w="10295" w:type="dxa"/>
            <w:vAlign w:val="top"/>
            <w:textDirection w:val="lrTb"/>
            <w:noWrap w:val="false"/>
          </w:tcPr>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cs="宋体"/>
                <w:b w:val="0"/>
                <w:bCs w:val="0"/>
                <w:spacing w:val="-1"/>
                <w:sz w:val="24"/>
                <w:szCs w:val="24"/>
                <w:highlight w:val="none"/>
                <w:lang w:val="en-US" w:eastAsia="zh-CN"/>
              </w:rPr>
              <w:t xml:space="preserve">（1）</w:t>
            </w:r>
            <w:r>
              <w:rPr>
                <w:rFonts w:hint="eastAsia" w:ascii="宋体" w:hAnsi="宋体" w:eastAsia="宋体" w:cs="宋体"/>
                <w:b w:val="0"/>
                <w:bCs w:val="0"/>
                <w:spacing w:val="-1"/>
                <w:sz w:val="24"/>
                <w:szCs w:val="24"/>
                <w:highlight w:val="none"/>
                <w:lang w:val="en-US" w:eastAsia="zh-CN"/>
              </w:rPr>
              <w:t xml:space="preserve">本项目投标总报价应包括但不限于服务的人员工资及各种社会福利费（含保险），材料费、机械设备、工器具费，服装费、通讯费、交通费、道路维修养护费，水电费、垃圾清运费，税费等完成本项目的所有费用以及合同实施过程中应预见和不可预见费用。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cs="宋体"/>
                <w:b w:val="0"/>
                <w:bCs w:val="0"/>
                <w:spacing w:val="-1"/>
                <w:sz w:val="24"/>
                <w:szCs w:val="24"/>
                <w:highlight w:val="none"/>
                <w:lang w:val="en-US" w:eastAsia="zh-CN"/>
              </w:rPr>
              <w:t xml:space="preserve">（2）</w:t>
            </w:r>
            <w:r>
              <w:rPr>
                <w:rFonts w:hint="eastAsia" w:ascii="宋体" w:hAnsi="宋体" w:eastAsia="宋体" w:cs="宋体"/>
                <w:b w:val="0"/>
                <w:bCs w:val="0"/>
                <w:spacing w:val="-1"/>
                <w:sz w:val="24"/>
                <w:szCs w:val="24"/>
                <w:highlight w:val="none"/>
                <w:lang w:val="en-US" w:eastAsia="zh-CN"/>
              </w:rPr>
              <w:t xml:space="preserve">在履行合同期间如成本上涨或降低，业主对价格一律不作调整。 </w:t>
            </w:r>
            <w:r/>
          </w:p>
          <w:p>
            <w:pPr>
              <w:jc w:val="both"/>
              <w:spacing w:line="0" w:lineRule="atLeast"/>
              <w:rPr>
                <w:rFonts w:hint="eastAsia" w:ascii="宋体" w:hAnsi="宋体" w:eastAsia="宋体" w:cs="宋体"/>
                <w:b/>
                <w:bCs/>
                <w:spacing w:val="-1"/>
                <w:sz w:val="24"/>
                <w:szCs w:val="24"/>
                <w:highlight w:val="none"/>
                <w:vertAlign w:val="baseline"/>
              </w:rPr>
            </w:pPr>
            <w:r>
              <w:rPr>
                <w:rFonts w:hint="eastAsia" w:ascii="宋体" w:hAnsi="宋体" w:cs="宋体"/>
                <w:b w:val="0"/>
                <w:bCs w:val="0"/>
                <w:spacing w:val="-1"/>
                <w:sz w:val="24"/>
                <w:szCs w:val="24"/>
                <w:highlight w:val="none"/>
                <w:lang w:val="en-US" w:eastAsia="zh-CN"/>
              </w:rPr>
              <w:t xml:space="preserve">（3）</w:t>
            </w:r>
            <w:r>
              <w:rPr>
                <w:rFonts w:hint="eastAsia" w:ascii="宋体" w:hAnsi="宋体" w:eastAsia="宋体" w:cs="宋体"/>
                <w:b w:val="0"/>
                <w:bCs w:val="0"/>
                <w:spacing w:val="-1"/>
                <w:sz w:val="24"/>
                <w:szCs w:val="24"/>
                <w:highlight w:val="none"/>
                <w:lang w:val="en-US" w:eastAsia="zh-CN"/>
              </w:rPr>
              <w:t xml:space="preserve">本次报价须为人民币报价。</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cs="宋体"/>
          <w:b/>
          <w:bCs/>
          <w:spacing w:val="-1"/>
          <w:sz w:val="24"/>
          <w:szCs w:val="24"/>
          <w:highlight w:val="none"/>
          <w:lang w:val="en-US" w:eastAsia="zh-CN"/>
        </w:rPr>
        <w:t xml:space="preserve">10</w:t>
      </w:r>
      <w:r>
        <w:rPr>
          <w:rFonts w:hint="eastAsia" w:ascii="宋体" w:hAnsi="宋体" w:eastAsia="宋体" w:cs="宋体"/>
          <w:b/>
          <w:bCs/>
          <w:spacing w:val="-1"/>
          <w:sz w:val="24"/>
          <w:szCs w:val="24"/>
          <w:highlight w:val="none"/>
          <w:lang w:val="en-US" w:eastAsia="zh-CN"/>
        </w:rPr>
        <w:t xml:space="preserve">.考核说明</w:t>
      </w:r>
      <w:r/>
    </w:p>
    <w:tbl>
      <w:tblPr>
        <w:tblStyle w:val="1010"/>
        <w:tblW w:w="1034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40"/>
      </w:tblGrid>
      <w:tr>
        <w:trPr/>
        <w:tc>
          <w:tcPr>
            <w:tcW w:w="10340" w:type="dxa"/>
            <w:vAlign w:val="top"/>
            <w:textDirection w:val="lrTb"/>
            <w:noWrap w:val="false"/>
          </w:tcPr>
          <w:p>
            <w:pPr>
              <w:jc w:val="left"/>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宋体"/>
                <w:b w:val="0"/>
                <w:bCs w:val="0"/>
                <w:spacing w:val="-1"/>
                <w:sz w:val="24"/>
                <w:szCs w:val="24"/>
                <w:highlight w:val="none"/>
                <w:lang w:val="en-US" w:eastAsia="zh-CN"/>
              </w:rPr>
              <w:t xml:space="preserve">1、考核标准：结合每月考核得出总分， 如总分 95 分(含 95 分) 以上不处罚， 90 分(含) -95 分(不含)每下降一分扣 500 元； 85 分(含) -90 分(不含)每下降一分扣 1000 元； 85 分(不含) 以下不合格， 每下降一分扣 2000 元，每年度有 3 次考核低于 85 分采购人有权解除合同。 成交供应商须对所有扣分项做出书面整改承诺。采购人有权直接从应付未付款项中扣除。</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1</w:t>
      </w:r>
      <w:r>
        <w:rPr>
          <w:rFonts w:hint="eastAsia" w:ascii="宋体" w:hAnsi="宋体" w:cs="宋体"/>
          <w:b/>
          <w:bCs/>
          <w:spacing w:val="-1"/>
          <w:sz w:val="24"/>
          <w:szCs w:val="24"/>
          <w:highlight w:val="none"/>
          <w:lang w:val="en-US" w:eastAsia="zh-CN"/>
        </w:rPr>
        <w:t xml:space="preserve">1</w:t>
      </w:r>
      <w:r>
        <w:rPr>
          <w:rFonts w:hint="eastAsia" w:ascii="宋体" w:hAnsi="宋体" w:eastAsia="宋体" w:cs="宋体"/>
          <w:b/>
          <w:bCs/>
          <w:spacing w:val="-1"/>
          <w:sz w:val="24"/>
          <w:szCs w:val="24"/>
          <w:highlight w:val="none"/>
          <w:lang w:val="en-US" w:eastAsia="zh-CN"/>
        </w:rPr>
        <w:t xml:space="preserve">.服务周期</w:t>
      </w:r>
      <w:r/>
    </w:p>
    <w:tbl>
      <w:tblPr>
        <w:tblStyle w:val="1010"/>
        <w:tblW w:w="1040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00"/>
      </w:tblGrid>
      <w:tr>
        <w:trPr/>
        <w:tc>
          <w:tcPr>
            <w:tcW w:w="10400" w:type="dxa"/>
            <w:vAlign w:val="top"/>
            <w:textDirection w:val="lrTb"/>
            <w:noWrap w:val="false"/>
          </w:tcPr>
          <w:p>
            <w:pPr>
              <w:jc w:val="left"/>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宋体"/>
                <w:b w:val="0"/>
                <w:bCs w:val="0"/>
                <w:spacing w:val="-1"/>
                <w:sz w:val="24"/>
                <w:szCs w:val="24"/>
                <w:highlight w:val="none"/>
                <w:lang w:val="en-US" w:eastAsia="zh-CN"/>
              </w:rPr>
              <w:t xml:space="preserve">合同周期为壹年。前三个月为试用期，经采购人考核合格后，转为正式合同，如试用期考核不合格，采购人有权无条件解除合同。。成交供应商若在履行合同期间出现违反法律、行政法规、地方性法规、违反竞争性磋商文件及双方合同的约定或发生食品安全事故、人身伤亡事故和经济纠纷等影响社会和谐稳定事件的，采购人有权终止合同或拒签下一年度合同并追究成 交供应商相关法律责任。</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12.代理服务费</w:t>
      </w:r>
      <w:r/>
    </w:p>
    <w:tbl>
      <w:tblPr>
        <w:tblStyle w:val="786"/>
        <w:tblW w:w="0" w:type="auto"/>
        <w:tblInd w:w="-8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3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本次采购的代理服务费由成交供应商承担，依据《招标代理服务收费管理暂行办法》（计价格［2002］1980号）基准费率，以中标价为基准价，按基准费率的70%计取。</w:t>
            </w:r>
            <w:r/>
          </w:p>
        </w:tc>
      </w:tr>
    </w:tbl>
    <w:p>
      <w:pPr>
        <w:spacing w:line="0" w:lineRule="atLeast"/>
        <w:rPr>
          <w:rFonts w:hint="eastAsia" w:ascii="宋体" w:hAnsi="宋体"/>
          <w:bCs/>
          <w:sz w:val="24"/>
          <w:szCs w:val="24"/>
          <w:highlight w:val="none"/>
        </w:rPr>
      </w:pPr>
      <w:r>
        <w:rPr>
          <w:rFonts w:hint="eastAsia" w:ascii="宋体" w:hAnsi="宋体"/>
          <w:bCs/>
          <w:sz w:val="24"/>
          <w:szCs w:val="24"/>
          <w:highlight w:val="none"/>
        </w:rPr>
      </w:r>
      <w:r/>
    </w:p>
    <w:p>
      <w:pPr>
        <w:spacing w:line="0" w:lineRule="atLeast"/>
        <w:rPr>
          <w:rFonts w:hint="eastAsia" w:ascii="宋体" w:hAnsi="宋体"/>
          <w:bCs/>
          <w:sz w:val="24"/>
          <w:szCs w:val="24"/>
          <w:highlight w:val="none"/>
        </w:rPr>
      </w:pPr>
      <w:r>
        <w:rPr>
          <w:rFonts w:hint="eastAsia" w:ascii="宋体" w:hAnsi="宋体"/>
          <w:bCs/>
          <w:sz w:val="24"/>
          <w:szCs w:val="24"/>
          <w:highlight w:val="none"/>
        </w:rPr>
        <w:t xml:space="preserve">（二）商务要求</w:t>
      </w:r>
      <w:r/>
    </w:p>
    <w:p>
      <w:pPr>
        <w:spacing w:line="0" w:lineRule="atLeast"/>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r>
      <w:r/>
    </w:p>
    <w:p>
      <w:pPr>
        <w:spacing w:line="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付款条件</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1、根据考核结果按季度支付合同价的25%。甲方每月进行考核，每季度统计扣款金额，从每季度服务费中扣除扣款金额，乙方据实开具发票，甲方根据每季度实际金额进行付款。</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cs="宋体"/>
          <w:b w:val="0"/>
          <w:bCs w:val="0"/>
          <w:spacing w:val="-1"/>
          <w:sz w:val="24"/>
          <w:szCs w:val="24"/>
          <w:highlight w:val="none"/>
          <w:lang w:val="en-US" w:eastAsia="zh-CN"/>
        </w:rPr>
        <w:t xml:space="preserve">2</w:t>
      </w:r>
      <w:r>
        <w:rPr>
          <w:rFonts w:hint="eastAsia" w:ascii="宋体" w:hAnsi="宋体" w:eastAsia="宋体" w:cs="宋体"/>
          <w:b w:val="0"/>
          <w:bCs w:val="0"/>
          <w:spacing w:val="-1"/>
          <w:sz w:val="24"/>
          <w:szCs w:val="24"/>
          <w:highlight w:val="none"/>
          <w:lang w:val="en-US" w:eastAsia="zh-CN"/>
        </w:rPr>
        <w:t xml:space="preserve">、每次付款前成交供应商须提供等额发票，否则采购人有权拒绝付款。</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cs="宋体"/>
          <w:b w:val="0"/>
          <w:bCs w:val="0"/>
          <w:spacing w:val="-1"/>
          <w:sz w:val="24"/>
          <w:szCs w:val="24"/>
          <w:highlight w:val="none"/>
          <w:lang w:val="en-US" w:eastAsia="zh-CN"/>
        </w:rPr>
        <w:t xml:space="preserve">3</w:t>
      </w:r>
      <w:r>
        <w:rPr>
          <w:rFonts w:hint="eastAsia" w:ascii="宋体" w:hAnsi="宋体" w:eastAsia="宋体" w:cs="宋体"/>
          <w:b w:val="0"/>
          <w:bCs w:val="0"/>
          <w:spacing w:val="-1"/>
          <w:sz w:val="24"/>
          <w:szCs w:val="24"/>
          <w:highlight w:val="none"/>
          <w:lang w:val="en-US" w:eastAsia="zh-CN"/>
        </w:rPr>
        <w:t xml:space="preserve">、因财政审批导致的迟延支付，采购人不承担迟延支付的违约责任。</w:t>
      </w:r>
      <w:r/>
    </w:p>
    <w:p>
      <w:pPr>
        <w:spacing w:line="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spacing w:line="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2.服务时间和地点</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1.服务期限：</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日起至202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31</w:t>
      </w:r>
      <w:r>
        <w:rPr>
          <w:rFonts w:hint="eastAsia" w:ascii="宋体" w:hAnsi="宋体" w:eastAsia="宋体" w:cs="宋体"/>
          <w:sz w:val="24"/>
          <w:szCs w:val="24"/>
          <w:highlight w:val="none"/>
        </w:rPr>
        <w:t xml:space="preserve">日止</w:t>
      </w:r>
      <w:r>
        <w:rPr>
          <w:rFonts w:hint="eastAsia" w:ascii="宋体" w:hAnsi="宋体" w:eastAsia="宋体" w:cs="宋体"/>
          <w:sz w:val="24"/>
          <w:szCs w:val="24"/>
          <w:highlight w:val="none"/>
          <w:lang w:eastAsia="zh-CN"/>
        </w:rPr>
        <w:t xml:space="preserve">（以合同签订之日为准）</w:t>
      </w:r>
      <w:r>
        <w:rPr>
          <w:rFonts w:hint="eastAsia" w:ascii="宋体" w:hAnsi="宋体" w:eastAsia="宋体" w:cs="宋体"/>
          <w:sz w:val="24"/>
          <w:szCs w:val="24"/>
          <w:highlight w:val="none"/>
        </w:rPr>
        <w:t xml:space="preserve">。</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2.服务地点：采购人指定地点。</w:t>
      </w:r>
      <w:r/>
    </w:p>
    <w:p>
      <w:pPr>
        <w:spacing w:line="0" w:lineRule="atLeast"/>
        <w:rPr>
          <w:rFonts w:hint="eastAsia" w:ascii="宋体" w:hAnsi="宋体"/>
          <w:sz w:val="24"/>
          <w:szCs w:val="24"/>
          <w:highlight w:val="none"/>
        </w:rPr>
      </w:pPr>
      <w:r>
        <w:rPr>
          <w:rFonts w:hint="eastAsia" w:ascii="宋体" w:hAnsi="宋体"/>
          <w:sz w:val="24"/>
          <w:szCs w:val="24"/>
          <w:highlight w:val="none"/>
        </w:rPr>
      </w:r>
      <w:r/>
    </w:p>
    <w:p>
      <w:r/>
      <w:r/>
    </w:p>
    <w:p>
      <w:pPr>
        <w:jc w:val="center"/>
        <w:spacing w:line="264" w:lineRule="auto"/>
        <w:rPr>
          <w:rFonts w:ascii="黑体" w:eastAsia="黑体"/>
          <w:bCs/>
          <w:sz w:val="44"/>
          <w:szCs w:val="28"/>
        </w:rPr>
      </w:pPr>
      <w:r>
        <w:rPr>
          <w:rFonts w:hint="eastAsia" w:ascii="黑体" w:eastAsia="黑体"/>
          <w:bCs/>
          <w:sz w:val="44"/>
          <w:szCs w:val="28"/>
        </w:rPr>
        <w:br w:type="page" w:clear="all"/>
      </w:r>
      <w:r>
        <w:rPr>
          <w:rFonts w:hint="eastAsia" w:ascii="Arial Unicode MS" w:hAnsi="Arial Unicode MS" w:eastAsia="Arial Unicode MS" w:cs="Arial Unicode MS"/>
          <w:color w:val="000000"/>
          <w:sz w:val="36"/>
          <w:szCs w:val="36"/>
        </w:rPr>
        <w:t xml:space="preserve">第五章  评审方法与评审标准</w:t>
      </w:r>
      <w:r/>
    </w:p>
    <w:p>
      <w:pPr>
        <w:spacing w:line="264" w:lineRule="auto"/>
        <w:rPr>
          <w:szCs w:val="21"/>
        </w:rPr>
      </w:pPr>
      <w:r>
        <w:rPr>
          <w:szCs w:val="21"/>
        </w:rPr>
      </w:r>
      <w:bookmarkEnd w:id="34"/>
      <w:bookmarkEnd w:id="35"/>
      <w:bookmarkEnd w:id="165"/>
      <w:bookmarkEnd w:id="166"/>
      <w:bookmarkEnd w:id="167"/>
      <w:r/>
    </w:p>
    <w:p>
      <w:pPr>
        <w:numPr>
          <w:ilvl w:val="0"/>
          <w:numId w:val="0"/>
        </w:numPr>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ascii="宋体" w:hAnsi="宋体" w:cs="宋体"/>
          <w:sz w:val="24"/>
          <w:szCs w:val="24"/>
        </w:rPr>
      </w:pPr>
      <w:r>
        <w:rPr>
          <w:rFonts w:hint="eastAsia" w:ascii="宋体" w:hAnsi="宋体" w:cs="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spacing w:line="264" w:lineRule="auto"/>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264" w:lineRule="auto"/>
        <w:rPr>
          <w:rFonts w:ascii="宋体" w:hAnsi="宋体" w:cs="宋体"/>
          <w:sz w:val="24"/>
          <w:szCs w:val="24"/>
        </w:rPr>
      </w:pPr>
      <w:r>
        <w:rPr>
          <w:rFonts w:hint="eastAsia" w:ascii="宋体" w:hAnsi="宋体" w:cs="宋体"/>
          <w:sz w:val="24"/>
          <w:szCs w:val="24"/>
        </w:rPr>
        <w:t xml:space="preserve">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三、评审标准中2.1-2.2项”得分由高到低顺序排列的顺序推荐。</w:t>
      </w:r>
      <w:r/>
    </w:p>
    <w:p>
      <w:pPr>
        <w:numPr>
          <w:ilvl w:val="0"/>
          <w:numId w:val="0"/>
        </w:numPr>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二、政府采购政策功能落实</w:t>
      </w:r>
      <w:r/>
    </w:p>
    <w:p>
      <w:pPr>
        <w:ind w:firstLine="480"/>
        <w:spacing w:line="264" w:lineRule="auto"/>
        <w:rPr>
          <w:rFonts w:ascii="宋体" w:hAnsi="宋体" w:cs="宋体"/>
          <w:sz w:val="24"/>
          <w:szCs w:val="24"/>
        </w:rPr>
      </w:pPr>
      <w:r>
        <w:rPr>
          <w:rFonts w:hint="eastAsia" w:ascii="宋体" w:hAnsi="宋体" w:cs="宋体"/>
          <w:sz w:val="24"/>
          <w:szCs w:val="24"/>
        </w:rPr>
        <w:t xml:space="preserve">本项目专门面向中小企业采购，不执行价格扣除政策，</w:t>
      </w:r>
      <w:r>
        <w:rPr>
          <w:rFonts w:hint="eastAsia" w:ascii="宋体" w:hAnsi="宋体" w:cs="宋体"/>
          <w:sz w:val="24"/>
          <w:szCs w:val="24"/>
          <w:lang w:val="zh-CN"/>
        </w:rPr>
        <w:t xml:space="preserve">供应商应为中小微企业、监狱企业、残疾人福利性单位。</w:t>
      </w:r>
      <w:r>
        <w:rPr>
          <w:rFonts w:hint="eastAsia" w:ascii="宋体" w:hAnsi="宋体" w:cs="宋体"/>
          <w:sz w:val="24"/>
          <w:szCs w:val="24"/>
        </w:rPr>
        <w:t xml:space="preserve"> </w:t>
      </w:r>
      <w:r/>
    </w:p>
    <w:p>
      <w:pPr>
        <w:numPr>
          <w:ilvl w:val="0"/>
          <w:numId w:val="6"/>
        </w:numPr>
        <w:spacing w:line="288"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评审标准</w:t>
      </w:r>
      <w:r/>
    </w:p>
    <w:tbl>
      <w:tblPr>
        <w:tblStyle w:val="786"/>
        <w:tblW w:w="10748" w:type="dxa"/>
        <w:tblInd w:w="-68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097"/>
        <w:gridCol w:w="6531"/>
        <w:gridCol w:w="823"/>
        <w:gridCol w:w="1560"/>
      </w:tblGrid>
      <w:tr>
        <w:trPr>
          <w:trHeight w:val="284"/>
        </w:trPr>
        <w:tc>
          <w:tcPr>
            <w:tcW w:w="737" w:type="dxa"/>
            <w:vAlign w:val="center"/>
            <w:textDirection w:val="lrTb"/>
            <w:noWrap w:val="false"/>
          </w:tcPr>
          <w:p>
            <w:pPr>
              <w:jc w:val="center"/>
              <w:spacing w:after="0" w:line="240" w:lineRule="auto"/>
              <w:rPr>
                <w:b/>
                <w:bCs/>
              </w:rPr>
            </w:pPr>
            <w:r>
              <w:rPr>
                <w:rFonts w:hint="eastAsia"/>
                <w:b/>
                <w:bCs/>
              </w:rPr>
              <w:t xml:space="preserve">序号</w:t>
            </w:r>
            <w:r/>
          </w:p>
        </w:tc>
        <w:tc>
          <w:tcPr>
            <w:tcW w:w="1097" w:type="dxa"/>
            <w:vAlign w:val="center"/>
            <w:textDirection w:val="lrTb"/>
            <w:noWrap w:val="false"/>
          </w:tcPr>
          <w:p>
            <w:pPr>
              <w:jc w:val="center"/>
              <w:spacing w:after="0" w:line="240" w:lineRule="auto"/>
              <w:rPr>
                <w:b/>
                <w:bCs/>
              </w:rPr>
            </w:pPr>
            <w:r>
              <w:rPr>
                <w:rFonts w:hint="eastAsia"/>
                <w:b/>
                <w:bCs/>
              </w:rPr>
              <w:t xml:space="preserve">评分项</w:t>
            </w:r>
            <w:r/>
          </w:p>
        </w:tc>
        <w:tc>
          <w:tcPr>
            <w:tcW w:w="6531" w:type="dxa"/>
            <w:vAlign w:val="center"/>
            <w:textDirection w:val="lrTb"/>
            <w:noWrap w:val="false"/>
          </w:tcPr>
          <w:p>
            <w:pPr>
              <w:jc w:val="center"/>
              <w:spacing w:after="0" w:line="240" w:lineRule="auto"/>
              <w:rPr>
                <w:b/>
                <w:bCs/>
              </w:rPr>
            </w:pPr>
            <w:r>
              <w:rPr>
                <w:rFonts w:hint="eastAsia"/>
                <w:b/>
                <w:bCs/>
              </w:rPr>
              <w:t xml:space="preserve">评分标准</w:t>
            </w:r>
            <w:r/>
          </w:p>
        </w:tc>
        <w:tc>
          <w:tcPr>
            <w:tcW w:w="823" w:type="dxa"/>
            <w:vAlign w:val="center"/>
            <w:textDirection w:val="lrTb"/>
            <w:noWrap w:val="false"/>
          </w:tcPr>
          <w:p>
            <w:pPr>
              <w:jc w:val="center"/>
              <w:spacing w:after="0" w:line="240" w:lineRule="auto"/>
              <w:rPr>
                <w:b/>
                <w:bCs/>
              </w:rPr>
            </w:pPr>
            <w:r>
              <w:rPr>
                <w:rFonts w:hint="eastAsia"/>
                <w:b/>
                <w:bCs/>
              </w:rPr>
              <w:t xml:space="preserve">分值</w:t>
            </w:r>
            <w:r/>
          </w:p>
        </w:tc>
        <w:tc>
          <w:tcPr>
            <w:tcW w:w="1560" w:type="dxa"/>
            <w:vAlign w:val="center"/>
            <w:textDirection w:val="lrTb"/>
            <w:noWrap w:val="false"/>
          </w:tcPr>
          <w:p>
            <w:pPr>
              <w:jc w:val="center"/>
              <w:spacing w:after="0" w:line="240" w:lineRule="auto"/>
              <w:rPr>
                <w:b/>
                <w:bCs/>
              </w:rPr>
            </w:pPr>
            <w:r>
              <w:rPr>
                <w:rFonts w:hint="eastAsia"/>
                <w:b/>
                <w:bCs/>
              </w:rPr>
              <w:t xml:space="preserve">分值类型</w:t>
            </w:r>
            <w:r/>
          </w:p>
        </w:tc>
      </w:tr>
      <w:tr>
        <w:trPr>
          <w:trHeight w:val="284"/>
        </w:trPr>
        <w:tc>
          <w:tcPr>
            <w:gridSpan w:val="5"/>
            <w:tcW w:w="10748" w:type="dxa"/>
            <w:vAlign w:val="center"/>
            <w:textDirection w:val="lrTb"/>
            <w:noWrap w:val="false"/>
          </w:tcPr>
          <w:p>
            <w:pPr>
              <w:jc w:val="left"/>
              <w:spacing w:after="0" w:line="240" w:lineRule="auto"/>
            </w:pPr>
            <w:r>
              <w:rPr>
                <w:rFonts w:hint="eastAsia"/>
              </w:rPr>
              <w:t xml:space="preserve">价格</w:t>
            </w:r>
            <w:r/>
          </w:p>
        </w:tc>
      </w:tr>
      <w:tr>
        <w:trPr>
          <w:trHeight w:val="284"/>
        </w:trPr>
        <w:tc>
          <w:tcPr>
            <w:tcW w:w="737" w:type="dxa"/>
            <w:vAlign w:val="center"/>
            <w:textDirection w:val="lrTb"/>
            <w:noWrap w:val="false"/>
          </w:tcPr>
          <w:p>
            <w:pPr>
              <w:jc w:val="center"/>
              <w:spacing w:after="0" w:line="240" w:lineRule="auto"/>
            </w:pPr>
            <w:r>
              <w:rPr>
                <w:rFonts w:hint="eastAsia"/>
              </w:rPr>
              <w:t xml:space="preserve">1.1</w:t>
            </w:r>
            <w:r/>
          </w:p>
        </w:tc>
        <w:tc>
          <w:tcPr>
            <w:tcW w:w="1097" w:type="dxa"/>
            <w:vAlign w:val="center"/>
            <w:textDirection w:val="lrTb"/>
            <w:noWrap w:val="false"/>
          </w:tcPr>
          <w:p>
            <w:pPr>
              <w:jc w:val="center"/>
              <w:spacing w:after="0" w:line="240" w:lineRule="auto"/>
            </w:pPr>
            <w:r>
              <w:rPr>
                <w:rFonts w:hint="eastAsia"/>
              </w:rPr>
              <w:t xml:space="preserve">价格分</w:t>
            </w:r>
            <w:r/>
          </w:p>
        </w:tc>
        <w:tc>
          <w:tcPr>
            <w:tcW w:w="6531" w:type="dxa"/>
            <w:vAlign w:val="center"/>
            <w:textDirection w:val="lrTb"/>
            <w:noWrap w:val="false"/>
          </w:tcPr>
          <w:p>
            <w:pPr>
              <w:jc w:val="left"/>
              <w:spacing w:after="0" w:line="240" w:lineRule="auto"/>
            </w:pPr>
            <w:r>
              <w:rPr>
                <w:rFonts w:hint="eastAsia"/>
              </w:rPr>
              <w:t xml:space="preserve">采用低价优先法计算，即满足招标文件要求且投标价格最低的投标报价为评标基准价，其价格分为满分。其他投标人的价格分统一按照下列公式计算：投标报价得分=(评标基准价/投标报价)×10</w:t>
            </w:r>
            <w:r/>
          </w:p>
        </w:tc>
        <w:tc>
          <w:tcPr>
            <w:tcW w:w="823" w:type="dxa"/>
            <w:vAlign w:val="center"/>
            <w:textDirection w:val="lrTb"/>
            <w:noWrap w:val="false"/>
          </w:tcPr>
          <w:p>
            <w:pPr>
              <w:jc w:val="center"/>
              <w:spacing w:after="0" w:line="240" w:lineRule="auto"/>
            </w:pPr>
            <w:r>
              <w:rPr>
                <w:rFonts w:hint="eastAsia"/>
              </w:rPr>
              <w:t xml:space="preserve">10</w:t>
            </w:r>
            <w:r/>
          </w:p>
        </w:tc>
        <w:tc>
          <w:tcPr>
            <w:tcW w:w="1560" w:type="dxa"/>
            <w:vAlign w:val="center"/>
            <w:textDirection w:val="lrTb"/>
            <w:noWrap w:val="false"/>
          </w:tcPr>
          <w:p>
            <w:pPr>
              <w:jc w:val="center"/>
              <w:spacing w:after="0" w:line="240" w:lineRule="auto"/>
            </w:pPr>
            <w:r>
              <w:rPr>
                <w:rFonts w:hint="eastAsia"/>
              </w:rPr>
              <w:t xml:space="preserve">自动计算</w:t>
            </w:r>
            <w:r/>
          </w:p>
        </w:tc>
      </w:tr>
      <w:tr>
        <w:trPr>
          <w:trHeight w:val="284"/>
        </w:trPr>
        <w:tc>
          <w:tcPr>
            <w:gridSpan w:val="5"/>
            <w:tcW w:w="10748" w:type="dxa"/>
            <w:vAlign w:val="center"/>
            <w:textDirection w:val="lrTb"/>
            <w:noWrap w:val="false"/>
          </w:tcPr>
          <w:p>
            <w:pPr>
              <w:jc w:val="left"/>
              <w:spacing w:after="0" w:line="240" w:lineRule="auto"/>
            </w:pPr>
            <w:r>
              <w:rPr>
                <w:rFonts w:hint="eastAsia"/>
              </w:rPr>
              <w:t xml:space="preserve">服务</w:t>
            </w:r>
            <w:r/>
          </w:p>
        </w:tc>
      </w:tr>
      <w:tr>
        <w:trPr>
          <w:trHeight w:val="284"/>
        </w:trPr>
        <w:tc>
          <w:tcPr>
            <w:tcW w:w="737" w:type="dxa"/>
            <w:vAlign w:val="center"/>
            <w:textDirection w:val="lrTb"/>
            <w:noWrap w:val="false"/>
          </w:tcPr>
          <w:p>
            <w:pPr>
              <w:jc w:val="center"/>
              <w:spacing w:after="0" w:line="240" w:lineRule="auto"/>
            </w:pPr>
            <w:r>
              <w:rPr>
                <w:rFonts w:hint="eastAsia"/>
              </w:rPr>
              <w:t xml:space="preserve">2.1</w:t>
            </w:r>
            <w:r/>
          </w:p>
        </w:tc>
        <w:tc>
          <w:tcPr>
            <w:tcW w:w="1097" w:type="dxa"/>
            <w:vAlign w:val="center"/>
            <w:textDirection w:val="lrTb"/>
            <w:noWrap w:val="false"/>
          </w:tcPr>
          <w:p>
            <w:pPr>
              <w:jc w:val="center"/>
              <w:spacing w:after="0" w:line="240" w:lineRule="auto"/>
            </w:pPr>
            <w:r>
              <w:rPr>
                <w:rFonts w:hint="eastAsia"/>
              </w:rPr>
              <w:t xml:space="preserve">项目整体运营方案</w:t>
            </w:r>
            <w:r/>
          </w:p>
        </w:tc>
        <w:tc>
          <w:tcPr>
            <w:tcW w:w="6531" w:type="dxa"/>
            <w:vAlign w:val="center"/>
            <w:textDirection w:val="lrTb"/>
            <w:noWrap w:val="false"/>
          </w:tcPr>
          <w:p>
            <w:pPr>
              <w:jc w:val="left"/>
              <w:spacing w:after="0" w:line="240" w:lineRule="auto"/>
            </w:pPr>
            <w:r>
              <w:rPr>
                <w:rFonts w:hint="eastAsia"/>
              </w:rPr>
              <w:t xml:space="preserve">根据本项目实际情况及重点难点进行调查剖析，制定运营和管理，根据方案完整性、科学性 、可行性进行综合分析、比较评分：</w:t>
            </w:r>
            <w:r>
              <w:rPr>
                <w:rFonts w:hint="eastAsia"/>
              </w:rPr>
              <w:br/>
            </w:r>
            <w:r>
              <w:rPr>
                <w:rFonts w:hint="eastAsia"/>
              </w:rPr>
              <w:t xml:space="preserve">整体运营方案完全满足要求，方案详细，管理方案完整、科学且可行性强的得10分；</w:t>
            </w:r>
            <w:r>
              <w:rPr>
                <w:rFonts w:hint="eastAsia"/>
              </w:rPr>
              <w:br/>
            </w:r>
            <w:r>
              <w:rPr>
                <w:rFonts w:hint="eastAsia"/>
              </w:rPr>
              <w:t xml:space="preserve">整体运营方案基本满足要求，管理方 案较为完整、科学且可行性较强的得7分；</w:t>
            </w:r>
            <w:r>
              <w:rPr>
                <w:rFonts w:hint="eastAsia"/>
              </w:rPr>
              <w:br/>
            </w:r>
            <w:r>
              <w:rPr>
                <w:rFonts w:hint="eastAsia"/>
              </w:rPr>
              <w:t xml:space="preserve">整体运营方案基本满足要求，科学性及可行性一般得4分；</w:t>
            </w:r>
            <w:r>
              <w:rPr>
                <w:rFonts w:hint="eastAsia"/>
              </w:rPr>
              <w:br/>
            </w:r>
            <w:r>
              <w:rPr>
                <w:rFonts w:hint="eastAsia"/>
              </w:rPr>
              <w:t xml:space="preserve">整体运营方基本满足求，科学性及可行性较弱得1分。</w:t>
            </w:r>
            <w:r>
              <w:rPr>
                <w:rFonts w:hint="eastAsia"/>
              </w:rPr>
              <w:br/>
            </w:r>
            <w:r>
              <w:rPr>
                <w:rFonts w:hint="eastAsia"/>
              </w:rPr>
              <w:t xml:space="preserve">未提供方案不得分。</w:t>
            </w:r>
            <w:r/>
          </w:p>
        </w:tc>
        <w:tc>
          <w:tcPr>
            <w:tcW w:w="823" w:type="dxa"/>
            <w:vAlign w:val="center"/>
            <w:textDirection w:val="lrTb"/>
            <w:noWrap w:val="false"/>
          </w:tcPr>
          <w:p>
            <w:pPr>
              <w:jc w:val="center"/>
              <w:spacing w:after="0" w:line="240" w:lineRule="auto"/>
            </w:pPr>
            <w:r>
              <w:rPr>
                <w:rFonts w:hint="eastAsia"/>
              </w:rPr>
              <w:t xml:space="preserve">10</w:t>
            </w:r>
            <w:r/>
          </w:p>
        </w:tc>
        <w:tc>
          <w:tcPr>
            <w:tcW w:w="1560" w:type="dxa"/>
            <w:vAlign w:val="center"/>
            <w:textDirection w:val="lrTb"/>
            <w:noWrap w:val="false"/>
          </w:tcPr>
          <w:p>
            <w:pPr>
              <w:jc w:val="center"/>
              <w:spacing w:after="0" w:line="240" w:lineRule="auto"/>
            </w:pPr>
            <w:r>
              <w:rPr>
                <w:rFonts w:hint="eastAsia"/>
              </w:rPr>
              <w:t xml:space="preserve">主观分</w:t>
            </w:r>
            <w:r/>
          </w:p>
        </w:tc>
      </w:tr>
      <w:tr>
        <w:trPr>
          <w:trHeight w:val="284"/>
        </w:trPr>
        <w:tc>
          <w:tcPr>
            <w:tcW w:w="737" w:type="dxa"/>
            <w:vAlign w:val="center"/>
            <w:textDirection w:val="lrTb"/>
            <w:noWrap w:val="false"/>
          </w:tcPr>
          <w:p>
            <w:pPr>
              <w:jc w:val="center"/>
              <w:spacing w:after="0" w:line="240" w:lineRule="auto"/>
            </w:pPr>
            <w:r>
              <w:rPr>
                <w:rFonts w:hint="eastAsia"/>
              </w:rPr>
              <w:t xml:space="preserve">2.2</w:t>
            </w:r>
            <w:r/>
          </w:p>
        </w:tc>
        <w:tc>
          <w:tcPr>
            <w:tcW w:w="1097" w:type="dxa"/>
            <w:vAlign w:val="center"/>
            <w:textDirection w:val="lrTb"/>
            <w:noWrap w:val="false"/>
          </w:tcPr>
          <w:p>
            <w:pPr>
              <w:jc w:val="center"/>
              <w:spacing w:after="0" w:line="240" w:lineRule="auto"/>
            </w:pPr>
            <w:r>
              <w:rPr>
                <w:rFonts w:hint="eastAsia"/>
              </w:rPr>
              <w:t xml:space="preserve">垃圾分类收集点运营方案</w:t>
            </w:r>
            <w:r/>
          </w:p>
        </w:tc>
        <w:tc>
          <w:tcPr>
            <w:tcW w:w="6531" w:type="dxa"/>
            <w:vAlign w:val="center"/>
            <w:textDirection w:val="lrTb"/>
            <w:noWrap w:val="false"/>
          </w:tcPr>
          <w:p>
            <w:pPr>
              <w:jc w:val="left"/>
              <w:spacing w:after="0" w:line="240" w:lineRule="auto"/>
            </w:pPr>
            <w:r>
              <w:rPr>
                <w:rFonts w:hint="eastAsia"/>
              </w:rPr>
              <w:t xml:space="preserve">根据投标人对收集点专职督导员、专职巡查员及整体设备设施运营维护方案的详细性、完整性、可操作性、制度方案进行综合分析、比较评分：</w:t>
            </w:r>
            <w:r>
              <w:rPr>
                <w:rFonts w:hint="eastAsia"/>
              </w:rPr>
              <w:br/>
            </w:r>
            <w:r>
              <w:rPr>
                <w:rFonts w:hint="eastAsia"/>
              </w:rPr>
              <w:t xml:space="preserve">制度方案详细 、责任划定明确、可操作性强，设备设施运营维护方 案措施详细、周全、实施性强得10分；</w:t>
            </w:r>
            <w:r>
              <w:rPr>
                <w:rFonts w:hint="eastAsia"/>
              </w:rPr>
              <w:br/>
            </w:r>
            <w:r>
              <w:rPr>
                <w:rFonts w:hint="eastAsia"/>
              </w:rPr>
              <w:t xml:space="preserve">制度方案较为详细、责任划定较为明确、可操作性较强，设备设施运营维护方案措施较为周全、实施性较强得7分；</w:t>
            </w:r>
            <w:r>
              <w:rPr>
                <w:rFonts w:hint="eastAsia"/>
              </w:rPr>
              <w:br/>
            </w:r>
            <w:r>
              <w:rPr>
                <w:rFonts w:hint="eastAsia"/>
              </w:rPr>
              <w:t xml:space="preserve">制度责任划定模糊、可操作性较弱、设备设施运营维护方案措施简单、粗略、实施性较弱得4分；</w:t>
            </w:r>
            <w:r>
              <w:rPr>
                <w:rFonts w:hint="eastAsia"/>
              </w:rPr>
              <w:br/>
            </w:r>
            <w:r>
              <w:rPr>
                <w:rFonts w:hint="eastAsia"/>
              </w:rPr>
              <w:t xml:space="preserve">方案简洁粗略不完整，实施困难得1分；</w:t>
            </w:r>
            <w:r>
              <w:rPr>
                <w:rFonts w:hint="eastAsia"/>
              </w:rPr>
              <w:br/>
            </w:r>
            <w:r>
              <w:rPr>
                <w:rFonts w:hint="eastAsia"/>
              </w:rPr>
              <w:t xml:space="preserve">未提供方案不得分。</w:t>
            </w:r>
            <w:r/>
          </w:p>
        </w:tc>
        <w:tc>
          <w:tcPr>
            <w:tcW w:w="823" w:type="dxa"/>
            <w:vAlign w:val="center"/>
            <w:textDirection w:val="lrTb"/>
            <w:noWrap w:val="false"/>
          </w:tcPr>
          <w:p>
            <w:pPr>
              <w:jc w:val="center"/>
              <w:spacing w:after="0" w:line="240" w:lineRule="auto"/>
            </w:pPr>
            <w:r>
              <w:rPr>
                <w:rFonts w:hint="eastAsia"/>
              </w:rPr>
              <w:t xml:space="preserve">10</w:t>
            </w:r>
            <w:r/>
          </w:p>
        </w:tc>
        <w:tc>
          <w:tcPr>
            <w:tcW w:w="1560" w:type="dxa"/>
            <w:vAlign w:val="center"/>
            <w:textDirection w:val="lrTb"/>
            <w:noWrap w:val="false"/>
          </w:tcPr>
          <w:p>
            <w:pPr>
              <w:jc w:val="center"/>
              <w:spacing w:after="0" w:line="240" w:lineRule="auto"/>
            </w:pPr>
            <w:r>
              <w:rPr>
                <w:rFonts w:hint="eastAsia"/>
              </w:rPr>
              <w:t xml:space="preserve">主观分</w:t>
            </w:r>
            <w:r/>
          </w:p>
        </w:tc>
      </w:tr>
      <w:tr>
        <w:trPr>
          <w:trHeight w:val="284"/>
        </w:trPr>
        <w:tc>
          <w:tcPr>
            <w:tcW w:w="737" w:type="dxa"/>
            <w:vAlign w:val="center"/>
            <w:textDirection w:val="lrTb"/>
            <w:noWrap w:val="false"/>
          </w:tcPr>
          <w:p>
            <w:pPr>
              <w:jc w:val="center"/>
              <w:spacing w:after="0" w:line="240" w:lineRule="auto"/>
            </w:pPr>
            <w:r>
              <w:rPr>
                <w:rFonts w:hint="eastAsia"/>
              </w:rPr>
              <w:t xml:space="preserve">2.3</w:t>
            </w:r>
            <w:r/>
          </w:p>
        </w:tc>
        <w:tc>
          <w:tcPr>
            <w:tcW w:w="1097" w:type="dxa"/>
            <w:vAlign w:val="center"/>
            <w:textDirection w:val="lrTb"/>
            <w:noWrap w:val="false"/>
          </w:tcPr>
          <w:p>
            <w:pPr>
              <w:jc w:val="center"/>
              <w:spacing w:after="0" w:line="240" w:lineRule="auto"/>
            </w:pPr>
            <w:r>
              <w:rPr>
                <w:rFonts w:hint="eastAsia"/>
              </w:rPr>
              <w:t xml:space="preserve">分类宣传方案</w:t>
            </w:r>
            <w:r/>
          </w:p>
        </w:tc>
        <w:tc>
          <w:tcPr>
            <w:tcW w:w="6531" w:type="dxa"/>
            <w:vAlign w:val="center"/>
            <w:textDirection w:val="lrTb"/>
            <w:noWrap w:val="false"/>
          </w:tcPr>
          <w:p>
            <w:pPr>
              <w:jc w:val="left"/>
              <w:spacing w:after="0" w:line="240" w:lineRule="auto"/>
            </w:pPr>
            <w:r>
              <w:rPr>
                <w:rFonts w:hint="eastAsia"/>
              </w:rPr>
              <w:t xml:space="preserve">根据投标人针对本项目提供的垃圾分类宣传方案及其他各类活动方案的合理性、可行性、可操作 性，进行综合分析比较评分：</w:t>
            </w:r>
            <w:r>
              <w:rPr>
                <w:rFonts w:hint="eastAsia"/>
              </w:rPr>
              <w:br/>
            </w:r>
            <w:r>
              <w:rPr>
                <w:rFonts w:hint="eastAsia"/>
              </w:rPr>
              <w:t xml:space="preserve">方案详细合理、设计新颖、可行性、操作性强的8分；</w:t>
            </w:r>
            <w:r>
              <w:rPr>
                <w:rFonts w:hint="eastAsia"/>
              </w:rPr>
              <w:br/>
            </w:r>
            <w:r>
              <w:rPr>
                <w:rFonts w:hint="eastAsia"/>
              </w:rPr>
              <w:t xml:space="preserve">方案合理、可行性、操作性较强的5分；</w:t>
            </w:r>
            <w:r>
              <w:rPr>
                <w:rFonts w:hint="eastAsia"/>
              </w:rPr>
              <w:br/>
            </w:r>
            <w:r>
              <w:rPr>
                <w:rFonts w:hint="eastAsia"/>
              </w:rPr>
              <w:t xml:space="preserve">方案合理、设计普通、可操作性一般得3分；</w:t>
            </w:r>
            <w:r>
              <w:rPr>
                <w:rFonts w:hint="eastAsia"/>
              </w:rPr>
              <w:br/>
            </w:r>
            <w:r>
              <w:rPr>
                <w:rFonts w:hint="eastAsia"/>
              </w:rPr>
              <w:t xml:space="preserve">方案简洁粗略、可操作性较弱得1分；</w:t>
            </w:r>
            <w:r>
              <w:rPr>
                <w:rFonts w:hint="eastAsia"/>
              </w:rPr>
              <w:br/>
            </w:r>
            <w:r>
              <w:rPr>
                <w:rFonts w:hint="eastAsia"/>
              </w:rPr>
              <w:t xml:space="preserve">未提供方案不得分。</w:t>
            </w:r>
            <w:r/>
          </w:p>
        </w:tc>
        <w:tc>
          <w:tcPr>
            <w:tcW w:w="823" w:type="dxa"/>
            <w:vAlign w:val="center"/>
            <w:textDirection w:val="lrTb"/>
            <w:noWrap w:val="false"/>
          </w:tcPr>
          <w:p>
            <w:pPr>
              <w:jc w:val="center"/>
              <w:spacing w:after="0" w:line="240" w:lineRule="auto"/>
            </w:pPr>
            <w:r>
              <w:rPr>
                <w:rFonts w:hint="eastAsia"/>
              </w:rPr>
              <w:t xml:space="preserve">8</w:t>
            </w:r>
            <w:r/>
          </w:p>
        </w:tc>
        <w:tc>
          <w:tcPr>
            <w:tcW w:w="1560" w:type="dxa"/>
            <w:vAlign w:val="center"/>
            <w:textDirection w:val="lrTb"/>
            <w:noWrap w:val="false"/>
          </w:tcPr>
          <w:p>
            <w:pPr>
              <w:jc w:val="center"/>
              <w:spacing w:after="0" w:line="240" w:lineRule="auto"/>
            </w:pPr>
            <w:r>
              <w:rPr>
                <w:rFonts w:hint="eastAsia"/>
              </w:rPr>
              <w:t xml:space="preserve">主观分</w:t>
            </w:r>
            <w:r/>
          </w:p>
        </w:tc>
      </w:tr>
      <w:tr>
        <w:trPr>
          <w:trHeight w:val="284"/>
        </w:trPr>
        <w:tc>
          <w:tcPr>
            <w:tcW w:w="737" w:type="dxa"/>
            <w:vAlign w:val="center"/>
            <w:textDirection w:val="lrTb"/>
            <w:noWrap w:val="false"/>
          </w:tcPr>
          <w:p>
            <w:pPr>
              <w:jc w:val="center"/>
              <w:spacing w:after="0" w:line="240" w:lineRule="auto"/>
            </w:pPr>
            <w:r>
              <w:rPr>
                <w:rFonts w:hint="eastAsia"/>
              </w:rPr>
              <w:t xml:space="preserve">2.4</w:t>
            </w:r>
            <w:r/>
          </w:p>
        </w:tc>
        <w:tc>
          <w:tcPr>
            <w:tcW w:w="1097" w:type="dxa"/>
            <w:vAlign w:val="center"/>
            <w:textDirection w:val="lrTb"/>
            <w:noWrap w:val="false"/>
          </w:tcPr>
          <w:p>
            <w:pPr>
              <w:jc w:val="center"/>
              <w:spacing w:after="0" w:line="240" w:lineRule="auto"/>
            </w:pPr>
            <w:r>
              <w:rPr>
                <w:rFonts w:hint="eastAsia"/>
              </w:rPr>
              <w:t xml:space="preserve">家庭厨余垃圾收运方案</w:t>
            </w:r>
            <w:r/>
          </w:p>
        </w:tc>
        <w:tc>
          <w:tcPr>
            <w:tcW w:w="6531" w:type="dxa"/>
            <w:vAlign w:val="center"/>
            <w:textDirection w:val="lrTb"/>
            <w:noWrap w:val="false"/>
          </w:tcPr>
          <w:p>
            <w:pPr>
              <w:jc w:val="left"/>
              <w:spacing w:after="0" w:line="240" w:lineRule="auto"/>
            </w:pPr>
            <w:r>
              <w:rPr>
                <w:rFonts w:hint="eastAsia"/>
              </w:rPr>
              <w:t xml:space="preserve">厨余收运的频次、收运时间合理性、收运季节、收运措施不同等各类因素进行方案综合分析：</w:t>
            </w:r>
            <w:r>
              <w:rPr>
                <w:rFonts w:hint="eastAsia"/>
              </w:rPr>
              <w:br/>
            </w:r>
            <w:r>
              <w:rPr>
                <w:rFonts w:hint="eastAsia"/>
              </w:rPr>
              <w:t xml:space="preserve">方案收运频次完全满足要求，收运时间合理且不同季节收运及时，收运措施可操作性强得8分；                                             方案收运频次基本满足要求，收运时间合理性较强，收运措施可操作性较强得5分；</w:t>
            </w:r>
            <w:r>
              <w:rPr>
                <w:rFonts w:hint="eastAsia"/>
              </w:rPr>
              <w:br/>
            </w:r>
            <w:r>
              <w:rPr>
                <w:rFonts w:hint="eastAsia"/>
              </w:rPr>
              <w:t xml:space="preserve">方案收运频次基本满足要求，收运时间合理性较弱，收运措施可操作性较弱3分；</w:t>
            </w:r>
            <w:r>
              <w:rPr>
                <w:rFonts w:hint="eastAsia"/>
              </w:rPr>
              <w:br/>
            </w:r>
            <w:r>
              <w:rPr>
                <w:rFonts w:hint="eastAsia"/>
              </w:rPr>
              <w:t xml:space="preserve">方案收运频次少，收运时间不合理，收运措施操作性难得1分；</w:t>
            </w:r>
            <w:r>
              <w:rPr>
                <w:rFonts w:hint="eastAsia"/>
              </w:rPr>
              <w:br/>
            </w:r>
            <w:r>
              <w:rPr>
                <w:rFonts w:hint="eastAsia"/>
              </w:rPr>
              <w:t xml:space="preserve">未提供方案不得分。</w:t>
            </w:r>
            <w:r/>
          </w:p>
        </w:tc>
        <w:tc>
          <w:tcPr>
            <w:tcW w:w="823" w:type="dxa"/>
            <w:vAlign w:val="center"/>
            <w:textDirection w:val="lrTb"/>
            <w:noWrap w:val="false"/>
          </w:tcPr>
          <w:p>
            <w:pPr>
              <w:jc w:val="center"/>
              <w:spacing w:after="0" w:line="240" w:lineRule="auto"/>
            </w:pPr>
            <w:r>
              <w:rPr>
                <w:rFonts w:hint="eastAsia"/>
              </w:rPr>
              <w:t xml:space="preserve">8</w:t>
            </w:r>
            <w:r/>
          </w:p>
        </w:tc>
        <w:tc>
          <w:tcPr>
            <w:tcW w:w="1560" w:type="dxa"/>
            <w:vAlign w:val="center"/>
            <w:textDirection w:val="lrTb"/>
            <w:noWrap w:val="false"/>
          </w:tcPr>
          <w:p>
            <w:pPr>
              <w:jc w:val="center"/>
              <w:spacing w:after="0" w:line="240" w:lineRule="auto"/>
            </w:pPr>
            <w:r>
              <w:rPr>
                <w:rFonts w:hint="eastAsia"/>
              </w:rPr>
              <w:t xml:space="preserve">主观分</w:t>
            </w:r>
            <w:r/>
          </w:p>
        </w:tc>
      </w:tr>
      <w:tr>
        <w:trPr>
          <w:trHeight w:val="284"/>
        </w:trPr>
        <w:tc>
          <w:tcPr>
            <w:tcW w:w="737" w:type="dxa"/>
            <w:vAlign w:val="center"/>
            <w:textDirection w:val="lrTb"/>
            <w:noWrap w:val="false"/>
          </w:tcPr>
          <w:p>
            <w:pPr>
              <w:jc w:val="center"/>
              <w:spacing w:after="0" w:line="240" w:lineRule="auto"/>
            </w:pPr>
            <w:r>
              <w:rPr>
                <w:rFonts w:hint="eastAsia"/>
              </w:rPr>
              <w:t xml:space="preserve">2.5</w:t>
            </w:r>
            <w:r/>
          </w:p>
        </w:tc>
        <w:tc>
          <w:tcPr>
            <w:tcW w:w="1097" w:type="dxa"/>
            <w:vAlign w:val="center"/>
            <w:textDirection w:val="lrTb"/>
            <w:noWrap w:val="false"/>
          </w:tcPr>
          <w:p>
            <w:pPr>
              <w:jc w:val="center"/>
              <w:spacing w:after="0" w:line="240" w:lineRule="auto"/>
            </w:pPr>
            <w:r>
              <w:rPr>
                <w:rFonts w:hint="eastAsia"/>
              </w:rPr>
              <w:t xml:space="preserve">积分兑换及激励方案</w:t>
            </w:r>
            <w:r/>
          </w:p>
        </w:tc>
        <w:tc>
          <w:tcPr>
            <w:tcW w:w="6531" w:type="dxa"/>
            <w:vAlign w:val="center"/>
            <w:textDirection w:val="lrTb"/>
            <w:noWrap w:val="false"/>
          </w:tcPr>
          <w:p>
            <w:pPr>
              <w:jc w:val="left"/>
              <w:spacing w:after="0" w:line="240" w:lineRule="auto"/>
            </w:pPr>
            <w:r>
              <w:rPr>
                <w:rFonts w:hint="eastAsia"/>
              </w:rPr>
              <w:t xml:space="preserve">提供积分兑换及激励方案，明确具体的积分、兑换标准和流程，提供多种激励居民积极参与垃圾分类，居民满意度高,积分兑换物品便民惠民，并有利于持续提高分类知晓率、参与率、投放正确率的积分激励方案。</w:t>
            </w:r>
            <w:r>
              <w:rPr>
                <w:rFonts w:hint="eastAsia"/>
              </w:rPr>
              <w:br/>
            </w:r>
            <w:r>
              <w:rPr>
                <w:rFonts w:hint="eastAsia"/>
              </w:rPr>
              <w:t xml:space="preserve">兑换方案有激励措施、效果好、新颖性高的具体措施，兑换流程及标准详细明确且通俗易懂、实践有效的案例得8分；</w:t>
            </w:r>
            <w:r>
              <w:rPr>
                <w:rFonts w:hint="eastAsia"/>
              </w:rPr>
              <w:br/>
            </w:r>
            <w:r>
              <w:rPr>
                <w:rFonts w:hint="eastAsia"/>
              </w:rPr>
              <w:t xml:space="preserve">兑换方案有激励措施、效果较好、较为新颖 性的具体措施，兑换流程及标准较为详细、实践有效 的案例得5分；</w:t>
            </w:r>
            <w:r>
              <w:rPr>
                <w:rFonts w:hint="eastAsia"/>
              </w:rPr>
              <w:br/>
            </w:r>
            <w:r>
              <w:rPr>
                <w:rFonts w:hint="eastAsia"/>
              </w:rPr>
              <w:t xml:space="preserve">兑换方案效果一般、较为普通的具体措施，兑换流程及标准一般、实践有效的案例得3分；</w:t>
            </w:r>
            <w:r>
              <w:rPr>
                <w:rFonts w:hint="eastAsia"/>
              </w:rPr>
              <w:br/>
            </w:r>
            <w:r>
              <w:rPr>
                <w:rFonts w:hint="eastAsia"/>
              </w:rPr>
              <w:t xml:space="preserve">兑换方案具体措施粗略普通，兑换流程及标准模糊难以理解的得1分；</w:t>
            </w:r>
            <w:r>
              <w:rPr>
                <w:rFonts w:hint="eastAsia"/>
              </w:rPr>
              <w:br/>
            </w:r>
            <w:r>
              <w:rPr>
                <w:rFonts w:hint="eastAsia"/>
              </w:rPr>
              <w:t xml:space="preserve">未提供方案不得分。</w:t>
            </w:r>
            <w:r/>
          </w:p>
        </w:tc>
        <w:tc>
          <w:tcPr>
            <w:tcW w:w="823" w:type="dxa"/>
            <w:vAlign w:val="center"/>
            <w:textDirection w:val="lrTb"/>
            <w:noWrap w:val="false"/>
          </w:tcPr>
          <w:p>
            <w:pPr>
              <w:jc w:val="center"/>
              <w:spacing w:after="0" w:line="240" w:lineRule="auto"/>
            </w:pPr>
            <w:r>
              <w:rPr>
                <w:rFonts w:hint="eastAsia"/>
              </w:rPr>
              <w:t xml:space="preserve">8</w:t>
            </w:r>
            <w:r/>
          </w:p>
        </w:tc>
        <w:tc>
          <w:tcPr>
            <w:tcW w:w="1560" w:type="dxa"/>
            <w:vAlign w:val="center"/>
            <w:textDirection w:val="lrTb"/>
            <w:noWrap w:val="false"/>
          </w:tcPr>
          <w:p>
            <w:pPr>
              <w:jc w:val="center"/>
              <w:spacing w:after="0" w:line="240" w:lineRule="auto"/>
            </w:pPr>
            <w:r>
              <w:rPr>
                <w:rFonts w:hint="eastAsia"/>
              </w:rPr>
              <w:t xml:space="preserve">主观分</w:t>
            </w:r>
            <w:r/>
          </w:p>
        </w:tc>
      </w:tr>
      <w:tr>
        <w:trPr>
          <w:trHeight w:val="284"/>
        </w:trPr>
        <w:tc>
          <w:tcPr>
            <w:tcW w:w="737" w:type="dxa"/>
            <w:vAlign w:val="center"/>
            <w:textDirection w:val="lrTb"/>
            <w:noWrap w:val="false"/>
          </w:tcPr>
          <w:p>
            <w:pPr>
              <w:jc w:val="center"/>
              <w:spacing w:after="0" w:line="240" w:lineRule="auto"/>
            </w:pPr>
            <w:r>
              <w:rPr>
                <w:rFonts w:hint="eastAsia"/>
              </w:rPr>
              <w:t xml:space="preserve">2.6</w:t>
            </w:r>
            <w:r/>
          </w:p>
        </w:tc>
        <w:tc>
          <w:tcPr>
            <w:tcW w:w="1097" w:type="dxa"/>
            <w:vAlign w:val="center"/>
            <w:textDirection w:val="lrTb"/>
            <w:noWrap w:val="false"/>
          </w:tcPr>
          <w:p>
            <w:pPr>
              <w:jc w:val="center"/>
              <w:spacing w:after="0" w:line="240" w:lineRule="auto"/>
            </w:pPr>
            <w:r>
              <w:rPr>
                <w:rFonts w:hint="eastAsia"/>
              </w:rPr>
              <w:t xml:space="preserve">相关人员培训方案</w:t>
            </w:r>
            <w:r/>
          </w:p>
        </w:tc>
        <w:tc>
          <w:tcPr>
            <w:tcW w:w="6531" w:type="dxa"/>
            <w:vAlign w:val="center"/>
            <w:textDirection w:val="lrTb"/>
            <w:noWrap w:val="false"/>
          </w:tcPr>
          <w:p>
            <w:pPr>
              <w:jc w:val="left"/>
              <w:spacing w:after="0" w:line="240" w:lineRule="auto"/>
            </w:pPr>
            <w:r>
              <w:rPr>
                <w:rFonts w:hint="eastAsia"/>
              </w:rPr>
              <w:t xml:space="preserve">根据各投标人所提供的项目经理、数据专员、收运人员、督导员、巡查员等培训方案是否完备及有针对性。</w:t>
            </w:r>
            <w:r>
              <w:rPr>
                <w:rFonts w:hint="eastAsia"/>
              </w:rPr>
              <w:br/>
            </w:r>
            <w:r>
              <w:rPr>
                <w:rFonts w:hint="eastAsia"/>
              </w:rPr>
              <w:t xml:space="preserve">方案详细、培训全面、可行性强、完全满足采购人实际项目需求的得8分；</w:t>
            </w:r>
            <w:r>
              <w:rPr>
                <w:rFonts w:hint="eastAsia"/>
              </w:rPr>
              <w:br/>
            </w:r>
            <w:r>
              <w:rPr>
                <w:rFonts w:hint="eastAsia"/>
              </w:rPr>
              <w:t xml:space="preserve">方案较详细、培训知识较为全面 、可行性较强、采购人实际项目需求的得5分；</w:t>
            </w:r>
            <w:r>
              <w:rPr>
                <w:rFonts w:hint="eastAsia"/>
              </w:rPr>
              <w:br/>
            </w:r>
            <w:r>
              <w:rPr>
                <w:rFonts w:hint="eastAsia"/>
              </w:rPr>
              <w:t xml:space="preserve">方案 简洁、培训知识一般、可行性一般、满足采购人实际 项目需求的得3分；</w:t>
            </w:r>
            <w:r>
              <w:rPr>
                <w:rFonts w:hint="eastAsia"/>
              </w:rPr>
              <w:br/>
            </w:r>
            <w:r>
              <w:rPr>
                <w:rFonts w:hint="eastAsia"/>
              </w:rPr>
              <w:t xml:space="preserve">方案粗略、培训知识面欠缺、可行性弱、不具备针对性得1分；</w:t>
            </w:r>
            <w:r>
              <w:rPr>
                <w:rFonts w:hint="eastAsia"/>
              </w:rPr>
              <w:br/>
            </w:r>
            <w:r>
              <w:rPr>
                <w:rFonts w:hint="eastAsia"/>
              </w:rPr>
              <w:t xml:space="preserve">未提供方案不得分。</w:t>
            </w:r>
            <w:r/>
          </w:p>
        </w:tc>
        <w:tc>
          <w:tcPr>
            <w:tcW w:w="823" w:type="dxa"/>
            <w:vAlign w:val="center"/>
            <w:textDirection w:val="lrTb"/>
            <w:noWrap w:val="false"/>
          </w:tcPr>
          <w:p>
            <w:pPr>
              <w:jc w:val="center"/>
              <w:spacing w:after="0" w:line="240" w:lineRule="auto"/>
            </w:pPr>
            <w:r>
              <w:rPr>
                <w:rFonts w:hint="eastAsia"/>
              </w:rPr>
              <w:t xml:space="preserve">8</w:t>
            </w:r>
            <w:r/>
          </w:p>
        </w:tc>
        <w:tc>
          <w:tcPr>
            <w:tcW w:w="1560" w:type="dxa"/>
            <w:vAlign w:val="center"/>
            <w:textDirection w:val="lrTb"/>
            <w:noWrap w:val="false"/>
          </w:tcPr>
          <w:p>
            <w:pPr>
              <w:jc w:val="center"/>
              <w:spacing w:after="0" w:line="240" w:lineRule="auto"/>
            </w:pPr>
            <w:r>
              <w:rPr>
                <w:rFonts w:hint="eastAsia"/>
              </w:rPr>
              <w:t xml:space="preserve">主观分</w:t>
            </w:r>
            <w:r/>
          </w:p>
        </w:tc>
      </w:tr>
      <w:tr>
        <w:trPr>
          <w:trHeight w:val="284"/>
        </w:trPr>
        <w:tc>
          <w:tcPr>
            <w:tcW w:w="737" w:type="dxa"/>
            <w:vAlign w:val="center"/>
            <w:textDirection w:val="lrTb"/>
            <w:noWrap w:val="false"/>
          </w:tcPr>
          <w:p>
            <w:pPr>
              <w:jc w:val="center"/>
              <w:spacing w:after="0" w:line="240" w:lineRule="auto"/>
            </w:pPr>
            <w:r>
              <w:rPr>
                <w:rFonts w:hint="eastAsia"/>
              </w:rPr>
              <w:t xml:space="preserve">2.7</w:t>
            </w:r>
            <w:r/>
          </w:p>
        </w:tc>
        <w:tc>
          <w:tcPr>
            <w:tcW w:w="1097" w:type="dxa"/>
            <w:vAlign w:val="center"/>
            <w:textDirection w:val="lrTb"/>
            <w:noWrap w:val="false"/>
          </w:tcPr>
          <w:p>
            <w:pPr>
              <w:jc w:val="center"/>
              <w:spacing w:after="0" w:line="240" w:lineRule="auto"/>
            </w:pPr>
            <w:r>
              <w:rPr>
                <w:rFonts w:hint="eastAsia"/>
              </w:rPr>
              <w:t xml:space="preserve">应急保障方案</w:t>
            </w:r>
            <w:r/>
          </w:p>
        </w:tc>
        <w:tc>
          <w:tcPr>
            <w:tcW w:w="6531" w:type="dxa"/>
            <w:vAlign w:val="center"/>
            <w:textDirection w:val="lrTb"/>
            <w:noWrap w:val="false"/>
          </w:tcPr>
          <w:p>
            <w:pPr>
              <w:jc w:val="left"/>
              <w:spacing w:after="0" w:line="240" w:lineRule="auto"/>
            </w:pPr>
            <w:r>
              <w:rPr>
                <w:rFonts w:hint="eastAsia"/>
              </w:rPr>
              <w:t xml:space="preserve">根据投标人在发生重大性、临时性、突发性事件，暴雨、冰雪等恶劣天气，领导视察，法定节假日，大型活动，重大检查活动等迎检预案的应急方案。</w:t>
            </w:r>
            <w:r>
              <w:rPr>
                <w:rFonts w:hint="eastAsia"/>
              </w:rPr>
              <w:br/>
            </w:r>
            <w:r>
              <w:rPr>
                <w:rFonts w:hint="eastAsia"/>
              </w:rPr>
              <w:t xml:space="preserve">方案措施详细、组织应急可操作性高，对本项目针对性强得</w:t>
            </w:r>
            <w:r>
              <w:rPr>
                <w:rFonts w:hint="eastAsia"/>
                <w:lang w:val="en-US" w:eastAsia="zh-CN"/>
              </w:rPr>
              <w:t xml:space="preserve">8</w:t>
            </w:r>
            <w:r>
              <w:rPr>
                <w:rFonts w:hint="eastAsia"/>
              </w:rPr>
              <w:t xml:space="preserve">分；</w:t>
            </w:r>
            <w:r>
              <w:rPr>
                <w:rFonts w:hint="eastAsia"/>
              </w:rPr>
              <w:br/>
            </w:r>
            <w:r>
              <w:rPr>
                <w:rFonts w:hint="eastAsia"/>
              </w:rPr>
              <w:t xml:space="preserve">方案措施较为详细、组织应急可操作性较高 ,对本项目针对性强得</w:t>
            </w:r>
            <w:r>
              <w:rPr>
                <w:rFonts w:hint="eastAsia"/>
                <w:lang w:val="en-US" w:eastAsia="zh-CN"/>
              </w:rPr>
              <w:t xml:space="preserve">5</w:t>
            </w:r>
            <w:r>
              <w:rPr>
                <w:rFonts w:hint="eastAsia"/>
              </w:rPr>
              <w:t xml:space="preserve">分；</w:t>
            </w:r>
            <w:r>
              <w:rPr>
                <w:rFonts w:hint="eastAsia"/>
              </w:rPr>
              <w:br/>
            </w:r>
            <w:r>
              <w:rPr>
                <w:rFonts w:hint="eastAsia"/>
              </w:rPr>
              <w:t xml:space="preserve">方案措施一般、组织应急可操作性一般，对本项目针对性弱得</w:t>
            </w:r>
            <w:r>
              <w:rPr>
                <w:rFonts w:hint="eastAsia"/>
                <w:lang w:val="en-US" w:eastAsia="zh-CN"/>
              </w:rPr>
              <w:t xml:space="preserve">3</w:t>
            </w:r>
            <w:r>
              <w:rPr>
                <w:rFonts w:hint="eastAsia"/>
              </w:rPr>
              <w:t xml:space="preserve">分；</w:t>
            </w:r>
            <w:r>
              <w:rPr>
                <w:rFonts w:hint="eastAsia"/>
              </w:rPr>
              <w:br/>
            </w:r>
            <w:r>
              <w:rPr>
                <w:rFonts w:hint="eastAsia"/>
              </w:rPr>
              <w:t xml:space="preserve">方案措施粗略、组织应急可操作性弱得1分；</w:t>
            </w:r>
            <w:r>
              <w:rPr>
                <w:rFonts w:hint="eastAsia"/>
              </w:rPr>
              <w:br/>
            </w:r>
            <w:r>
              <w:rPr>
                <w:rFonts w:hint="eastAsia"/>
              </w:rPr>
              <w:t xml:space="preserve">未提供方案不得分。</w:t>
            </w:r>
            <w:r/>
          </w:p>
        </w:tc>
        <w:tc>
          <w:tcPr>
            <w:tcW w:w="823" w:type="dxa"/>
            <w:vAlign w:val="center"/>
            <w:textDirection w:val="lrTb"/>
            <w:noWrap w:val="false"/>
          </w:tcPr>
          <w:p>
            <w:pPr>
              <w:jc w:val="center"/>
              <w:spacing w:after="0" w:line="240" w:lineRule="auto"/>
              <w:rPr>
                <w:rFonts w:hint="eastAsia" w:eastAsia="宋体"/>
                <w:lang w:eastAsia="zh-CN"/>
              </w:rPr>
            </w:pPr>
            <w:r>
              <w:rPr>
                <w:rFonts w:hint="eastAsia"/>
                <w:lang w:val="en-US" w:eastAsia="zh-CN"/>
              </w:rPr>
              <w:t xml:space="preserve">8</w:t>
            </w:r>
            <w:r/>
          </w:p>
        </w:tc>
        <w:tc>
          <w:tcPr>
            <w:tcW w:w="1560" w:type="dxa"/>
            <w:vAlign w:val="center"/>
            <w:textDirection w:val="lrTb"/>
            <w:noWrap w:val="false"/>
          </w:tcPr>
          <w:p>
            <w:pPr>
              <w:jc w:val="center"/>
              <w:spacing w:after="0" w:line="240" w:lineRule="auto"/>
            </w:pPr>
            <w:r>
              <w:rPr>
                <w:rFonts w:hint="eastAsia"/>
              </w:rPr>
              <w:t xml:space="preserve">主观分</w:t>
            </w:r>
            <w:r/>
          </w:p>
        </w:tc>
      </w:tr>
      <w:tr>
        <w:trPr>
          <w:trHeight w:val="284"/>
        </w:trPr>
        <w:tc>
          <w:tcPr>
            <w:gridSpan w:val="5"/>
            <w:tcW w:w="10748" w:type="dxa"/>
            <w:vAlign w:val="center"/>
            <w:textDirection w:val="lrTb"/>
            <w:noWrap w:val="false"/>
          </w:tcPr>
          <w:p>
            <w:pPr>
              <w:jc w:val="left"/>
              <w:spacing w:after="0" w:line="240" w:lineRule="auto"/>
            </w:pPr>
            <w:r>
              <w:rPr>
                <w:rFonts w:hint="eastAsia"/>
              </w:rPr>
              <w:t xml:space="preserve">业绩</w:t>
            </w:r>
            <w:r/>
          </w:p>
        </w:tc>
      </w:tr>
      <w:tr>
        <w:trPr>
          <w:trHeight w:val="284"/>
        </w:trPr>
        <w:tc>
          <w:tcPr>
            <w:tcW w:w="737" w:type="dxa"/>
            <w:vAlign w:val="center"/>
            <w:textDirection w:val="lrTb"/>
            <w:noWrap w:val="false"/>
          </w:tcPr>
          <w:p>
            <w:pPr>
              <w:jc w:val="center"/>
              <w:spacing w:after="0" w:line="240" w:lineRule="auto"/>
            </w:pPr>
            <w:r>
              <w:rPr>
                <w:rFonts w:hint="eastAsia"/>
              </w:rPr>
              <w:t xml:space="preserve">3.1</w:t>
            </w:r>
            <w:r/>
          </w:p>
        </w:tc>
        <w:tc>
          <w:tcPr>
            <w:tcW w:w="1097" w:type="dxa"/>
            <w:vAlign w:val="center"/>
            <w:textDirection w:val="lrTb"/>
            <w:noWrap w:val="false"/>
          </w:tcPr>
          <w:p>
            <w:pPr>
              <w:jc w:val="center"/>
              <w:spacing w:after="0" w:line="240" w:lineRule="auto"/>
            </w:pPr>
            <w:r>
              <w:rPr>
                <w:rFonts w:hint="eastAsia"/>
              </w:rPr>
              <w:t xml:space="preserve">企业业绩</w:t>
            </w:r>
            <w:r/>
          </w:p>
        </w:tc>
        <w:tc>
          <w:tcPr>
            <w:tcW w:w="6531" w:type="dxa"/>
            <w:vAlign w:val="center"/>
            <w:textDirection w:val="lrTb"/>
            <w:noWrap w:val="false"/>
          </w:tcPr>
          <w:p>
            <w:pPr>
              <w:jc w:val="left"/>
              <w:spacing w:after="0" w:line="240" w:lineRule="auto"/>
            </w:pPr>
            <w:r>
              <w:rPr>
                <w:rFonts w:hint="eastAsia"/>
              </w:rPr>
              <w:t xml:space="preserve">投标人自202</w:t>
            </w:r>
            <w:r>
              <w:rPr>
                <w:rFonts w:hint="eastAsia"/>
                <w:lang w:val="en-US" w:eastAsia="zh-CN"/>
              </w:rPr>
              <w:t xml:space="preserve">3</w:t>
            </w:r>
            <w:r>
              <w:rPr>
                <w:rFonts w:hint="eastAsia"/>
              </w:rPr>
              <w:t xml:space="preserve">年</w:t>
            </w:r>
            <w:r>
              <w:rPr>
                <w:rFonts w:hint="eastAsia"/>
                <w:lang w:val="en-US" w:eastAsia="zh-CN"/>
              </w:rPr>
              <w:t xml:space="preserve">7</w:t>
            </w:r>
            <w:r>
              <w:rPr>
                <w:rFonts w:hint="eastAsia"/>
              </w:rPr>
              <w:t xml:space="preserve">月1日（以合同签订日期为准）以来 ,承担过类似服务项目业绩的每提供一份得</w:t>
            </w:r>
            <w:r>
              <w:rPr>
                <w:rFonts w:hint="eastAsia"/>
                <w:lang w:val="en-US" w:eastAsia="zh-CN"/>
              </w:rPr>
              <w:t xml:space="preserve">4</w:t>
            </w:r>
            <w:r>
              <w:rPr>
                <w:rFonts w:hint="eastAsia"/>
              </w:rPr>
              <w:t xml:space="preserve">分，最高得</w:t>
            </w:r>
            <w:r>
              <w:rPr>
                <w:rFonts w:hint="eastAsia"/>
                <w:lang w:val="en-US" w:eastAsia="zh-CN"/>
              </w:rPr>
              <w:t xml:space="preserve">12</w:t>
            </w:r>
            <w:r>
              <w:rPr>
                <w:rFonts w:hint="eastAsia"/>
              </w:rPr>
              <w:t xml:space="preserve">分。 注：（提供合同</w:t>
            </w:r>
            <w:r>
              <w:rPr>
                <w:rFonts w:hint="eastAsia"/>
                <w:lang w:val="en-US" w:eastAsia="zh-CN"/>
              </w:rPr>
              <w:t xml:space="preserve">扫描件上传至系统</w:t>
            </w:r>
            <w:r>
              <w:rPr>
                <w:rFonts w:hint="eastAsia"/>
              </w:rPr>
              <w:t xml:space="preserve">）</w:t>
            </w:r>
            <w:r/>
          </w:p>
        </w:tc>
        <w:tc>
          <w:tcPr>
            <w:tcW w:w="823" w:type="dxa"/>
            <w:vAlign w:val="center"/>
            <w:textDirection w:val="lrTb"/>
            <w:noWrap w:val="false"/>
          </w:tcPr>
          <w:p>
            <w:pPr>
              <w:jc w:val="center"/>
              <w:spacing w:after="0" w:line="240" w:lineRule="auto"/>
              <w:rPr>
                <w:rFonts w:hint="default" w:eastAsia="宋体"/>
                <w:lang w:val="en-US" w:eastAsia="zh-CN"/>
              </w:rPr>
            </w:pPr>
            <w:r>
              <w:rPr>
                <w:rFonts w:hint="eastAsia"/>
                <w:lang w:val="en-US" w:eastAsia="zh-CN"/>
              </w:rPr>
              <w:t xml:space="preserve">12</w:t>
            </w:r>
            <w:r/>
          </w:p>
        </w:tc>
        <w:tc>
          <w:tcPr>
            <w:tcW w:w="1560" w:type="dxa"/>
            <w:vAlign w:val="center"/>
            <w:textDirection w:val="lrTb"/>
            <w:noWrap w:val="false"/>
          </w:tcPr>
          <w:p>
            <w:pPr>
              <w:jc w:val="center"/>
              <w:spacing w:after="0" w:line="240" w:lineRule="auto"/>
            </w:pPr>
            <w:r>
              <w:rPr>
                <w:rFonts w:hint="eastAsia"/>
              </w:rPr>
              <w:t xml:space="preserve">客观分</w:t>
            </w:r>
            <w:r/>
          </w:p>
        </w:tc>
      </w:tr>
      <w:tr>
        <w:trPr>
          <w:trHeight w:val="284"/>
        </w:trPr>
        <w:tc>
          <w:tcPr>
            <w:gridSpan w:val="5"/>
            <w:tcW w:w="10748" w:type="dxa"/>
            <w:vAlign w:val="center"/>
            <w:textDirection w:val="lrTb"/>
            <w:noWrap w:val="false"/>
          </w:tcPr>
          <w:p>
            <w:pPr>
              <w:jc w:val="left"/>
              <w:spacing w:after="0" w:line="240" w:lineRule="auto"/>
            </w:pPr>
            <w:r>
              <w:rPr>
                <w:rFonts w:hint="eastAsia"/>
              </w:rPr>
              <w:t xml:space="preserve">履约能力</w:t>
            </w:r>
            <w:r/>
          </w:p>
        </w:tc>
      </w:tr>
      <w:tr>
        <w:trPr>
          <w:trHeight w:val="284"/>
        </w:trPr>
        <w:tc>
          <w:tcPr>
            <w:tcW w:w="737" w:type="dxa"/>
            <w:vAlign w:val="center"/>
            <w:textDirection w:val="lrTb"/>
            <w:noWrap w:val="false"/>
          </w:tcPr>
          <w:p>
            <w:pPr>
              <w:jc w:val="center"/>
              <w:spacing w:after="0" w:line="240" w:lineRule="auto"/>
            </w:pPr>
            <w:r/>
            <w:bookmarkStart w:id="178" w:name="_GoBack"/>
            <w:r>
              <w:rPr>
                <w:rFonts w:hint="eastAsia"/>
              </w:rPr>
              <w:t xml:space="preserve">4.1</w:t>
            </w:r>
            <w:r/>
          </w:p>
        </w:tc>
        <w:tc>
          <w:tcPr>
            <w:tcW w:w="1097" w:type="dxa"/>
            <w:vAlign w:val="center"/>
            <w:textDirection w:val="lrTb"/>
            <w:noWrap w:val="false"/>
          </w:tcPr>
          <w:p>
            <w:pPr>
              <w:jc w:val="center"/>
              <w:spacing w:after="0" w:line="240" w:lineRule="auto"/>
              <w:rPr>
                <w:color w:val="auto"/>
              </w:rPr>
            </w:pPr>
            <w:r>
              <w:rPr>
                <w:rFonts w:hint="eastAsia"/>
                <w:color w:val="auto"/>
              </w:rPr>
              <w:t xml:space="preserve">车辆配置</w:t>
            </w:r>
            <w:r/>
          </w:p>
        </w:tc>
        <w:tc>
          <w:tcPr>
            <w:tcW w:w="6531" w:type="dxa"/>
            <w:vAlign w:val="center"/>
            <w:textDirection w:val="lrTb"/>
            <w:noWrap w:val="false"/>
          </w:tcPr>
          <w:p>
            <w:pPr>
              <w:jc w:val="left"/>
              <w:spacing w:after="0" w:line="240" w:lineRule="auto"/>
              <w:rPr>
                <w:color w:val="auto"/>
              </w:rPr>
            </w:pPr>
            <w:r>
              <w:rPr>
                <w:rFonts w:hint="eastAsia"/>
                <w:color w:val="auto"/>
              </w:rPr>
              <w:t xml:space="preserve">达到环卫机械作业车辆配置最低数量（</w:t>
            </w:r>
            <w:r>
              <w:rPr>
                <w:rFonts w:hint="eastAsia"/>
                <w:color w:val="auto"/>
                <w:lang w:val="en-US" w:eastAsia="zh-CN"/>
              </w:rPr>
              <w:t xml:space="preserve">垃</w:t>
            </w:r>
            <w:r>
              <w:rPr>
                <w:rFonts w:hint="eastAsia"/>
                <w:color w:val="auto"/>
              </w:rPr>
              <w:t xml:space="preserve">圾收运车</w:t>
            </w:r>
            <w:r>
              <w:rPr>
                <w:rFonts w:hint="eastAsia"/>
                <w:color w:val="auto"/>
                <w:lang w:val="en-US" w:eastAsia="zh-CN"/>
              </w:rPr>
              <w:t xml:space="preserve">5</w:t>
            </w:r>
            <w:r>
              <w:rPr>
                <w:rFonts w:hint="eastAsia"/>
                <w:color w:val="auto"/>
              </w:rPr>
              <w:t xml:space="preserve">辆）要求的不得分。在此基础上，每增加一辆餐厨余垃圾收运车得3分，最高得6分；每增加一辆可回收物收集车得3分，最高得6分；每增加一辆有害垃圾车得3分，最高得3分。 注：</w:t>
            </w:r>
            <w:r>
              <w:rPr>
                <w:rFonts w:hint="eastAsia"/>
                <w:color w:val="auto"/>
                <w:lang w:eastAsia="zh-CN"/>
              </w:rPr>
              <w:t xml:space="preserve">（</w:t>
            </w:r>
            <w:r>
              <w:rPr>
                <w:rFonts w:hint="eastAsia"/>
                <w:color w:val="auto"/>
                <w:lang w:val="en-US" w:eastAsia="zh-CN"/>
              </w:rPr>
              <w:t xml:space="preserve">提供</w:t>
            </w:r>
            <w:r>
              <w:rPr>
                <w:rFonts w:hint="eastAsia"/>
                <w:color w:val="auto"/>
              </w:rPr>
              <w:t xml:space="preserve">车辆行驶证、购置发票</w:t>
            </w:r>
            <w:r>
              <w:rPr>
                <w:rFonts w:hint="eastAsia"/>
                <w:color w:val="auto"/>
                <w:lang w:val="en-US" w:eastAsia="zh-CN"/>
              </w:rPr>
              <w:t xml:space="preserve">等</w:t>
            </w:r>
            <w:r>
              <w:rPr>
                <w:rFonts w:hint="eastAsia"/>
                <w:color w:val="auto"/>
              </w:rPr>
              <w:t xml:space="preserve">相关证明文件</w:t>
            </w:r>
            <w:r>
              <w:rPr>
                <w:rFonts w:hint="eastAsia"/>
                <w:color w:val="auto"/>
                <w:lang w:val="en-US" w:eastAsia="zh-CN"/>
              </w:rPr>
              <w:t xml:space="preserve">扫描件上传至系统，如为租赁车辆请提供驾驶证、租赁合同等</w:t>
            </w:r>
            <w:r>
              <w:rPr>
                <w:rFonts w:hint="eastAsia"/>
                <w:color w:val="auto"/>
              </w:rPr>
              <w:t xml:space="preserve">相关证明文件</w:t>
            </w:r>
            <w:r>
              <w:rPr>
                <w:rFonts w:hint="eastAsia"/>
                <w:color w:val="auto"/>
                <w:lang w:val="en-US" w:eastAsia="zh-CN"/>
              </w:rPr>
              <w:t xml:space="preserve">扫描件上传至系统</w:t>
            </w:r>
            <w:r>
              <w:rPr>
                <w:rFonts w:hint="eastAsia"/>
                <w:color w:val="auto"/>
              </w:rPr>
              <w:t xml:space="preserve">。</w:t>
            </w:r>
            <w:r>
              <w:rPr>
                <w:rFonts w:hint="eastAsia"/>
                <w:color w:val="auto"/>
                <w:lang w:eastAsia="zh-CN"/>
              </w:rPr>
              <w:t xml:space="preserve">）</w:t>
            </w:r>
            <w:r/>
          </w:p>
        </w:tc>
        <w:tc>
          <w:tcPr>
            <w:tcW w:w="823" w:type="dxa"/>
            <w:vAlign w:val="center"/>
            <w:textDirection w:val="lrTb"/>
            <w:noWrap w:val="false"/>
          </w:tcPr>
          <w:p>
            <w:pPr>
              <w:jc w:val="center"/>
              <w:spacing w:after="0" w:line="240" w:lineRule="auto"/>
              <w:rPr>
                <w:color w:val="auto"/>
              </w:rPr>
            </w:pPr>
            <w:r>
              <w:rPr>
                <w:rFonts w:hint="eastAsia"/>
                <w:color w:val="auto"/>
              </w:rPr>
              <w:t xml:space="preserve">15</w:t>
            </w:r>
            <w:r/>
          </w:p>
        </w:tc>
        <w:tc>
          <w:tcPr>
            <w:tcW w:w="1560" w:type="dxa"/>
            <w:vAlign w:val="center"/>
            <w:textDirection w:val="lrTb"/>
            <w:noWrap w:val="false"/>
          </w:tcPr>
          <w:p>
            <w:pPr>
              <w:jc w:val="center"/>
              <w:spacing w:after="0" w:line="240" w:lineRule="auto"/>
              <w:rPr>
                <w:color w:val="auto"/>
              </w:rPr>
            </w:pPr>
            <w:r>
              <w:rPr>
                <w:rFonts w:hint="eastAsia"/>
                <w:color w:val="auto"/>
              </w:rPr>
              <w:t xml:space="preserve">客观分</w:t>
            </w:r>
            <w:bookmarkEnd w:id="178"/>
            <w:r/>
          </w:p>
        </w:tc>
      </w:tr>
      <w:tr>
        <w:trPr>
          <w:trHeight w:val="90"/>
        </w:trPr>
        <w:tc>
          <w:tcPr>
            <w:tcW w:w="737" w:type="dxa"/>
            <w:vAlign w:val="center"/>
            <w:textDirection w:val="lrTb"/>
            <w:noWrap w:val="false"/>
          </w:tcPr>
          <w:p>
            <w:pPr>
              <w:jc w:val="center"/>
              <w:spacing w:after="0" w:line="240" w:lineRule="auto"/>
              <w:rPr>
                <w:rFonts w:hint="default" w:eastAsia="宋体"/>
                <w:lang w:val="en-US" w:eastAsia="zh-CN"/>
              </w:rPr>
            </w:pPr>
            <w:r>
              <w:rPr>
                <w:rFonts w:hint="eastAsia"/>
                <w:lang w:val="en-US" w:eastAsia="zh-CN"/>
              </w:rPr>
              <w:t xml:space="preserve">4.2</w:t>
            </w:r>
            <w:r/>
          </w:p>
        </w:tc>
        <w:tc>
          <w:tcPr>
            <w:tcW w:w="1097" w:type="dxa"/>
            <w:vAlign w:val="center"/>
            <w:textDirection w:val="lrTb"/>
            <w:noWrap w:val="false"/>
          </w:tcPr>
          <w:p>
            <w:pPr>
              <w:jc w:val="center"/>
              <w:spacing w:after="0" w:line="240" w:lineRule="auto"/>
              <w:rPr>
                <w:rFonts w:hint="default" w:eastAsia="宋体"/>
                <w:lang w:val="en-US" w:eastAsia="zh-CN"/>
              </w:rPr>
            </w:pPr>
            <w:r>
              <w:rPr>
                <w:rFonts w:hint="eastAsia"/>
                <w:lang w:val="en-US" w:eastAsia="zh-CN"/>
              </w:rPr>
              <w:t xml:space="preserve">项目负责人</w:t>
            </w:r>
            <w:r/>
          </w:p>
        </w:tc>
        <w:tc>
          <w:tcPr>
            <w:tcW w:w="6531" w:type="dxa"/>
            <w:vAlign w:val="center"/>
            <w:textDirection w:val="lrTb"/>
            <w:noWrap w:val="false"/>
          </w:tcPr>
          <w:p>
            <w:pPr>
              <w:jc w:val="left"/>
              <w:spacing w:after="0" w:line="240" w:lineRule="auto"/>
              <w:rPr>
                <w:rFonts w:hint="eastAsia"/>
              </w:rPr>
            </w:pPr>
            <w:r>
              <w:rPr>
                <w:rFonts w:hint="eastAsia"/>
              </w:rPr>
              <w:t xml:space="preserve">1、拟投入项目负责人具有</w:t>
            </w:r>
            <w:r>
              <w:rPr>
                <w:rFonts w:hint="eastAsia"/>
                <w:lang w:val="en-US" w:eastAsia="zh-CN"/>
              </w:rPr>
              <w:t xml:space="preserve">本科</w:t>
            </w:r>
            <w:r>
              <w:rPr>
                <w:rFonts w:hint="eastAsia"/>
              </w:rPr>
              <w:t xml:space="preserve">（含）以上学历证书且具有</w:t>
            </w:r>
            <w:r>
              <w:rPr>
                <w:rFonts w:hint="eastAsia"/>
                <w:lang w:val="en-US" w:eastAsia="zh-CN"/>
              </w:rPr>
              <w:t xml:space="preserve">环境工程类（</w:t>
            </w:r>
            <w:r>
              <w:rPr>
                <w:rFonts w:hint="eastAsia"/>
              </w:rPr>
              <w:t xml:space="preserve">生态学、环境科学与工程、环境科学、环境工程</w:t>
            </w:r>
            <w:r>
              <w:rPr>
                <w:rFonts w:hint="eastAsia"/>
                <w:lang w:eastAsia="zh-CN"/>
              </w:rPr>
              <w:t xml:space="preserve">、</w:t>
            </w:r>
            <w:r>
              <w:rPr>
                <w:rFonts w:hint="eastAsia"/>
                <w:lang w:val="en-US" w:eastAsia="zh-CN"/>
              </w:rPr>
              <w:t xml:space="preserve">生态环境工程等）职称证书的得3分</w:t>
            </w:r>
            <w:r>
              <w:rPr>
                <w:rFonts w:hint="eastAsia"/>
              </w:rPr>
              <w:t xml:space="preserve">。</w:t>
            </w:r>
            <w:r/>
          </w:p>
          <w:p>
            <w:pPr>
              <w:jc w:val="left"/>
              <w:spacing w:after="0" w:line="240" w:lineRule="auto"/>
              <w:rPr>
                <w:rFonts w:hint="eastAsia"/>
              </w:rPr>
            </w:pPr>
            <w:r>
              <w:rPr>
                <w:rFonts w:hint="eastAsia"/>
              </w:rPr>
              <w:t xml:space="preserve">注：以上人员需提供投标单位为其缴纳近半年（202</w:t>
            </w:r>
            <w:r>
              <w:rPr>
                <w:rFonts w:hint="eastAsia"/>
                <w:lang w:val="en-US" w:eastAsia="zh-CN"/>
              </w:rPr>
              <w:t xml:space="preserve">6</w:t>
            </w:r>
            <w:r>
              <w:rPr>
                <w:rFonts w:hint="eastAsia"/>
              </w:rPr>
              <w:t xml:space="preserve">年</w:t>
            </w:r>
            <w:r>
              <w:rPr>
                <w:rFonts w:hint="eastAsia"/>
                <w:lang w:val="en-US" w:eastAsia="zh-CN"/>
              </w:rPr>
              <w:t xml:space="preserve">1</w:t>
            </w:r>
            <w:r>
              <w:rPr>
                <w:rFonts w:hint="eastAsia"/>
              </w:rPr>
              <w:t xml:space="preserve">月-</w:t>
            </w:r>
            <w:r>
              <w:rPr>
                <w:rFonts w:hint="eastAsia"/>
                <w:lang w:eastAsia="zh-CN"/>
              </w:rPr>
              <w:t xml:space="preserve">202</w:t>
            </w:r>
            <w:r>
              <w:rPr>
                <w:rFonts w:hint="eastAsia"/>
                <w:lang w:val="en-US" w:eastAsia="zh-CN"/>
              </w:rPr>
              <w:t xml:space="preserve">6</w:t>
            </w:r>
            <w:r>
              <w:rPr>
                <w:rFonts w:hint="eastAsia"/>
              </w:rPr>
              <w:t xml:space="preserve">年</w:t>
            </w:r>
            <w:r>
              <w:rPr>
                <w:rFonts w:hint="eastAsia"/>
                <w:lang w:val="en-US" w:eastAsia="zh-CN"/>
              </w:rPr>
              <w:t xml:space="preserve">6</w:t>
            </w:r>
            <w:r>
              <w:rPr>
                <w:rFonts w:hint="eastAsia"/>
              </w:rPr>
              <w:t xml:space="preserve">月）社保证明材料。 （提供相关证明材料</w:t>
            </w:r>
            <w:r>
              <w:rPr>
                <w:rFonts w:hint="eastAsia"/>
                <w:lang w:val="en-US" w:eastAsia="zh-CN"/>
              </w:rPr>
              <w:t xml:space="preserve">扫描件上传至系统</w:t>
            </w:r>
            <w:r>
              <w:rPr>
                <w:rFonts w:hint="eastAsia"/>
              </w:rPr>
              <w:t xml:space="preserve">）</w:t>
            </w:r>
            <w:r/>
          </w:p>
        </w:tc>
        <w:tc>
          <w:tcPr>
            <w:tcW w:w="823" w:type="dxa"/>
            <w:vAlign w:val="center"/>
            <w:textDirection w:val="lrTb"/>
            <w:noWrap w:val="false"/>
          </w:tcPr>
          <w:p>
            <w:pPr>
              <w:jc w:val="center"/>
              <w:spacing w:after="0" w:line="240" w:lineRule="auto"/>
              <w:rPr>
                <w:rFonts w:hint="eastAsia" w:eastAsia="宋体"/>
                <w:lang w:val="en-US" w:eastAsia="zh-CN"/>
              </w:rPr>
            </w:pPr>
            <w:r>
              <w:rPr>
                <w:rFonts w:hint="eastAsia"/>
                <w:lang w:val="en-US" w:eastAsia="zh-CN"/>
              </w:rPr>
              <w:t xml:space="preserve">3</w:t>
            </w:r>
            <w:r/>
          </w:p>
        </w:tc>
        <w:tc>
          <w:tcPr>
            <w:tcW w:w="1560" w:type="dxa"/>
            <w:vAlign w:val="center"/>
            <w:textDirection w:val="lrTb"/>
            <w:noWrap w:val="false"/>
          </w:tcPr>
          <w:p>
            <w:pPr>
              <w:jc w:val="center"/>
              <w:spacing w:after="0" w:line="240" w:lineRule="auto"/>
              <w:rPr>
                <w:rFonts w:hint="eastAsia"/>
              </w:rPr>
            </w:pPr>
            <w:r>
              <w:rPr>
                <w:rFonts w:hint="eastAsia"/>
              </w:rPr>
              <w:t xml:space="preserve">客观分</w:t>
            </w:r>
            <w:r/>
          </w:p>
        </w:tc>
      </w:tr>
      <w:tr>
        <w:trPr>
          <w:trHeight w:val="284"/>
        </w:trPr>
        <w:tc>
          <w:tcPr>
            <w:tcW w:w="737" w:type="dxa"/>
            <w:vAlign w:val="center"/>
            <w:textDirection w:val="lrTb"/>
            <w:noWrap w:val="false"/>
          </w:tcPr>
          <w:p>
            <w:pPr>
              <w:jc w:val="center"/>
              <w:spacing w:after="0" w:line="240" w:lineRule="auto"/>
            </w:pPr>
            <w:r>
              <w:rPr>
                <w:rFonts w:hint="eastAsia"/>
              </w:rPr>
              <w:t xml:space="preserve">合计</w:t>
            </w:r>
            <w:r/>
          </w:p>
        </w:tc>
        <w:tc>
          <w:tcPr>
            <w:gridSpan w:val="2"/>
            <w:tcW w:w="7628" w:type="dxa"/>
            <w:vAlign w:val="center"/>
            <w:textDirection w:val="lrTb"/>
            <w:noWrap w:val="false"/>
          </w:tcPr>
          <w:p>
            <w:pPr>
              <w:jc w:val="left"/>
              <w:spacing w:after="0" w:line="240" w:lineRule="auto"/>
            </w:pPr>
            <w:r/>
            <w:r/>
          </w:p>
        </w:tc>
        <w:tc>
          <w:tcPr>
            <w:gridSpan w:val="2"/>
            <w:tcW w:w="2383" w:type="dxa"/>
            <w:vAlign w:val="center"/>
            <w:textDirection w:val="lrTb"/>
            <w:noWrap w:val="false"/>
          </w:tcPr>
          <w:p>
            <w:pPr>
              <w:jc w:val="center"/>
              <w:spacing w:after="0" w:line="240" w:lineRule="auto"/>
            </w:pPr>
            <w:r>
              <w:rPr>
                <w:rFonts w:hint="eastAsia"/>
              </w:rPr>
              <w:t xml:space="preserve">100分</w:t>
            </w:r>
            <w:r/>
          </w:p>
        </w:tc>
      </w:tr>
    </w:tbl>
    <w:p>
      <w:pPr>
        <w:numPr>
          <w:ilvl w:val="0"/>
          <w:numId w:val="0"/>
        </w:numPr>
        <w:jc w:val="both"/>
        <w:spacing w:line="288"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r>
      <w:r/>
    </w:p>
    <w:p>
      <w:pPr>
        <w:jc w:val="center"/>
        <w:keepNex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jc w:val="center"/>
        <w:keepNex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jc w:val="both"/>
        <w:keepNext/>
        <w:rPr>
          <w:rFonts w:hint="eastAsia" w:ascii="Arial Unicode MS" w:hAnsi="Arial Unicode MS" w:eastAsia="Arial Unicode MS" w:cs="Arial Unicode MS"/>
          <w:color w:val="000000"/>
          <w:sz w:val="36"/>
          <w:szCs w:val="36"/>
          <w:lang w:val="en-US" w:eastAsia="zh-CN"/>
        </w:rPr>
        <w:outlineLvl w:val="0"/>
      </w:pPr>
      <w:r>
        <w:rPr>
          <w:rFonts w:hint="eastAsia" w:ascii="Arial Unicode MS" w:hAnsi="Arial Unicode MS" w:eastAsia="Arial Unicode MS" w:cs="Arial Unicode MS"/>
          <w:color w:val="000000"/>
          <w:sz w:val="36"/>
          <w:szCs w:val="36"/>
          <w:lang w:val="en-US" w:eastAsia="zh-CN"/>
        </w:rPr>
      </w:r>
      <w:r/>
    </w:p>
    <w:p>
      <w:pPr>
        <w:jc w:val="center"/>
        <w:rPr>
          <w:rFonts w:ascii="宋体" w:hAnsi="宋体"/>
          <w:b/>
          <w:sz w:val="72"/>
          <w:szCs w:val="21"/>
        </w:rPr>
      </w:pPr>
      <w:r/>
      <w:bookmarkStart w:id="168" w:name="_Hlt26671244"/>
      <w:r/>
      <w:bookmarkEnd w:id="168"/>
      <w:r/>
      <w:bookmarkStart w:id="169" w:name="_Hlt26955039"/>
      <w:r/>
      <w:bookmarkEnd w:id="169"/>
      <w:r/>
      <w:bookmarkStart w:id="170" w:name="_Toc120614282"/>
      <w:r/>
      <w:bookmarkStart w:id="171" w:name="_Toc26554094"/>
      <w:r/>
      <w:bookmarkStart w:id="172" w:name="_Toc49090576"/>
      <w:r/>
      <w:r/>
    </w:p>
    <w:p>
      <w:pPr>
        <w:jc w:val="center"/>
        <w:keepNext/>
        <w:rPr>
          <w:rFonts w:ascii="黑体" w:eastAsia="黑体"/>
          <w:bCs/>
          <w:sz w:val="44"/>
          <w:szCs w:val="28"/>
        </w:rPr>
        <w:outlineLvl w:val="0"/>
      </w:pPr>
      <w:r>
        <w:rPr>
          <w:rFonts w:hint="eastAsia" w:ascii="Arial Unicode MS" w:hAnsi="Arial Unicode MS" w:eastAsia="Arial Unicode MS" w:cs="Arial Unicode MS"/>
          <w:color w:val="000000"/>
          <w:sz w:val="36"/>
          <w:szCs w:val="36"/>
        </w:rPr>
        <w:t xml:space="preserve">第六章  响应文件格式</w:t>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四、磋商响应函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ascii="Arial Unicode MS" w:hAnsi="Arial Unicode MS" w:eastAsia="Arial Unicode MS" w:cs="Arial Unicode MS"/>
          <w:color w:val="000000"/>
          <w:sz w:val="32"/>
          <w:szCs w:val="32"/>
        </w:rPr>
        <w:outlineLvl w:val="0"/>
      </w:pPr>
      <w:r>
        <w:rPr>
          <w:rFonts w:hint="eastAsia" w:ascii="Arial Unicode MS" w:hAnsi="Arial Unicode MS" w:eastAsia="Arial Unicode MS" w:cs="Arial Unicode MS"/>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lang w:eastAsia="zh-CN"/>
        </w:rPr>
        <w:t xml:space="preserve">中环建（北京）工程管理有限责任公司</w:t>
      </w:r>
      <w:r>
        <w:rPr>
          <w:rFonts w:hint="eastAsia" w:ascii="宋体" w:hAnsi="宋体"/>
          <w:color w:val="000000"/>
          <w:sz w:val="24"/>
          <w:szCs w:val="24"/>
        </w:rPr>
        <w:t xml:space="preserve">：</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一</w:t>
      </w:r>
      <w:r>
        <w:rPr>
          <w:rFonts w:hint="eastAsia" w:ascii="宋体" w:hAnsi="宋体"/>
          <w:color w:val="000000"/>
          <w:sz w:val="24"/>
          <w:szCs w:val="24"/>
          <w:lang w:eastAsia="zh-CN"/>
        </w:rPr>
        <w:t xml:space="preserve">）</w:t>
      </w:r>
      <w:r>
        <w:rPr>
          <w:rFonts w:hint="eastAsia" w:ascii="宋体" w:hAnsi="宋体"/>
          <w:color w:val="000000"/>
          <w:sz w:val="24"/>
          <w:szCs w:val="24"/>
        </w:rPr>
        <w:t xml:space="preserve">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二</w:t>
      </w:r>
      <w:r>
        <w:rPr>
          <w:rFonts w:hint="eastAsia" w:ascii="宋体" w:hAnsi="宋体"/>
          <w:color w:val="000000"/>
          <w:sz w:val="24"/>
          <w:szCs w:val="24"/>
          <w:lang w:eastAsia="zh-CN"/>
        </w:rPr>
        <w:t xml:space="preserve">）</w:t>
      </w:r>
      <w:r>
        <w:rPr>
          <w:rFonts w:hint="eastAsia" w:ascii="宋体" w:hAnsi="宋体"/>
          <w:color w:val="000000"/>
          <w:sz w:val="24"/>
          <w:szCs w:val="24"/>
        </w:rPr>
        <w:t xml:space="preserve">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三</w:t>
      </w:r>
      <w:r>
        <w:rPr>
          <w:rFonts w:hint="eastAsia" w:ascii="宋体" w:hAnsi="宋体"/>
          <w:color w:val="000000"/>
          <w:sz w:val="24"/>
          <w:szCs w:val="24"/>
          <w:lang w:eastAsia="zh-CN"/>
        </w:rPr>
        <w:t xml:space="preserve">）</w:t>
      </w:r>
      <w:r>
        <w:rPr>
          <w:rFonts w:hint="eastAsia" w:ascii="宋体" w:hAnsi="宋体"/>
          <w:color w:val="000000"/>
          <w:sz w:val="24"/>
          <w:szCs w:val="24"/>
        </w:rPr>
        <w:t xml:space="preserve">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四</w:t>
      </w:r>
      <w:r>
        <w:rPr>
          <w:rFonts w:hint="eastAsia" w:ascii="宋体" w:hAnsi="宋体"/>
          <w:color w:val="000000"/>
          <w:sz w:val="24"/>
          <w:szCs w:val="24"/>
          <w:lang w:eastAsia="zh-CN"/>
        </w:rPr>
        <w:t xml:space="preserve">）</w:t>
      </w:r>
      <w:r>
        <w:rPr>
          <w:rFonts w:hint="eastAsia" w:ascii="宋体" w:hAnsi="宋体"/>
          <w:color w:val="000000"/>
          <w:sz w:val="24"/>
          <w:szCs w:val="24"/>
        </w:rPr>
        <w:t xml:space="preserve">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五</w:t>
      </w:r>
      <w:r>
        <w:rPr>
          <w:rFonts w:hint="eastAsia" w:ascii="宋体" w:hAnsi="宋体"/>
          <w:color w:val="000000"/>
          <w:sz w:val="24"/>
          <w:szCs w:val="24"/>
          <w:lang w:eastAsia="zh-CN"/>
        </w:rPr>
        <w:t xml:space="preserve">）</w:t>
      </w:r>
      <w:r>
        <w:rPr>
          <w:rFonts w:hint="eastAsia" w:ascii="宋体" w:hAnsi="宋体"/>
          <w:color w:val="000000"/>
          <w:sz w:val="24"/>
          <w:szCs w:val="24"/>
        </w:rPr>
        <w:t xml:space="preserve">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53"/>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sz w:val="24"/>
          <w:szCs w:val="24"/>
          <w:lang w:val="zh-CN"/>
        </w:rPr>
        <w:t xml:space="preserve">〔202</w:t>
      </w:r>
      <w:r>
        <w:rPr>
          <w:rFonts w:hint="eastAsia" w:ascii="宋体" w:hAnsi="宋体"/>
          <w:sz w:val="24"/>
          <w:szCs w:val="24"/>
        </w:rPr>
        <w:t xml:space="preserve">1</w:t>
      </w:r>
      <w:r>
        <w:rPr>
          <w:rFonts w:hint="eastAsia" w:ascii="宋体" w:hAnsi="宋体"/>
          <w:sz w:val="24"/>
          <w:szCs w:val="24"/>
          <w:lang w:val="zh-CN"/>
        </w:rPr>
        <w:t xml:space="preserve">〕5号</w:t>
      </w:r>
      <w:r>
        <w:rPr>
          <w:rFonts w:hint="eastAsia" w:ascii="宋体" w:hAnsi="宋体"/>
          <w:sz w:val="24"/>
          <w:szCs w:val="24"/>
        </w:rPr>
        <w:t xml:space="preserve">）要求。</w:t>
      </w:r>
      <w:r/>
    </w:p>
    <w:p>
      <w:pPr>
        <w:pStyle w:val="803"/>
      </w:pPr>
      <w:r/>
      <w:r/>
    </w:p>
    <w:p>
      <w:pPr>
        <w:pStyle w:val="803"/>
      </w:pPr>
      <w:r/>
      <w:r/>
    </w:p>
    <w:p>
      <w:pPr>
        <w:rPr>
          <w:rFonts w:ascii="黑体" w:hAnsi="黑体" w:eastAsia="黑体"/>
          <w:color w:val="000000"/>
          <w:sz w:val="32"/>
          <w:szCs w:val="32"/>
        </w:rPr>
      </w:pPr>
      <w:r>
        <w:rPr>
          <w:rFonts w:hint="eastAsia" w:ascii="黑体" w:hAnsi="黑体" w:eastAsia="黑体"/>
          <w:color w:val="000000"/>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如果本项目申请人的特定资格要求中要求提供的，必须提供。</w:t>
      </w:r>
      <w:bookmarkEnd w:id="170"/>
      <w:r/>
      <w:bookmarkEnd w:id="171"/>
      <w:r/>
      <w:bookmarkEnd w:id="172"/>
      <w:r/>
      <w:r/>
    </w:p>
    <w:p>
      <w:pPr>
        <w:spacing w:line="460" w:lineRule="exact"/>
        <w:rPr>
          <w:rFonts w:ascii="宋体" w:hAnsi="宋体"/>
          <w:bCs/>
          <w:sz w:val="24"/>
          <w:szCs w:val="21"/>
        </w:rPr>
      </w:pPr>
      <w:r/>
      <w:bookmarkStart w:id="173" w:name="_Toc120614284"/>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hint="eastAsia" w:ascii="黑体" w:hAnsi="黑体" w:eastAsia="黑体"/>
          <w:color w:val="000000"/>
          <w:sz w:val="32"/>
          <w:szCs w:val="32"/>
        </w:rPr>
        <w:t xml:space="preserve">三、法人授权书</w:t>
      </w:r>
      <w:r/>
    </w:p>
    <w:p>
      <w:pPr>
        <w:jc w:val="center"/>
        <w:spacing w:line="360" w:lineRule="auto"/>
        <w:rPr>
          <w:rFonts w:ascii="Arial Unicode MS" w:hAnsi="Arial Unicode MS" w:eastAsia="Arial Unicode MS" w:cs="Arial Unicode MS"/>
          <w:color w:val="000000"/>
          <w:sz w:val="32"/>
          <w:szCs w:val="32"/>
          <w:lang w:val="zh-CN"/>
        </w:rPr>
        <w:outlineLvl w:val="0"/>
      </w:pPr>
      <w:r>
        <w:rPr>
          <w:rFonts w:hint="eastAsia" w:ascii="Arial Unicode MS" w:hAnsi="Arial Unicode MS" w:eastAsia="Arial Unicode MS" w:cs="Arial Unicode MS"/>
          <w:color w:val="000000"/>
          <w:sz w:val="32"/>
          <w:szCs w:val="32"/>
          <w:lang w:val="zh-CN"/>
        </w:rPr>
        <w:t xml:space="preserve">法人授权书</w:t>
      </w:r>
      <w:r/>
    </w:p>
    <w:p>
      <w:pPr>
        <w:pStyle w:val="1024"/>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highlight w:val="none"/>
          <w:u w:val="single"/>
          <w:lang w:eastAsia="zh-CN"/>
        </w:rPr>
        <w:t xml:space="preserve">JSZC-320111-ZHJZ-C2026-0002</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1024"/>
        <w:ind w:firstLine="480"/>
        <w:spacing w:line="480" w:lineRule="auto"/>
        <w:rPr>
          <w:sz w:val="24"/>
          <w:szCs w:val="24"/>
        </w:rPr>
      </w:pPr>
      <w:r>
        <w:rPr>
          <w:rFonts w:hint="eastAsia"/>
          <w:sz w:val="24"/>
          <w:szCs w:val="24"/>
        </w:rPr>
        <w:t xml:space="preserve">本授权书于______年____月____日起生效，特此声明。</w:t>
      </w:r>
      <w:r/>
    </w:p>
    <w:p>
      <w:pPr>
        <w:pStyle w:val="1024"/>
        <w:ind w:firstLine="0"/>
        <w:spacing w:line="480" w:lineRule="auto"/>
        <w:rPr>
          <w:sz w:val="24"/>
          <w:szCs w:val="24"/>
          <w:u w:val="single"/>
        </w:rPr>
      </w:pPr>
      <w:r>
        <w:rPr>
          <w:rFonts w:hint="eastAsia"/>
          <w:sz w:val="24"/>
          <w:szCs w:val="24"/>
        </w:rPr>
        <w:t xml:space="preserve">    被授权人身份证号码：</w:t>
      </w:r>
      <w:r/>
    </w:p>
    <w:p>
      <w:pPr>
        <w:pStyle w:val="1024"/>
        <w:ind w:firstLine="480"/>
        <w:spacing w:line="480" w:lineRule="auto"/>
        <w:rPr>
          <w:rFonts w:ascii="宋体" w:hAnsi="宋体" w:cs="宋体"/>
          <w:sz w:val="24"/>
          <w:szCs w:val="24"/>
          <w:u w:val="single"/>
        </w:rPr>
      </w:pPr>
      <w:r>
        <w:rPr>
          <w:rFonts w:hint="eastAsia"/>
          <w:sz w:val="24"/>
          <w:szCs w:val="24"/>
        </w:rPr>
        <w:t xml:space="preserve">被授权人联系电话：（手机）</w:t>
      </w:r>
      <w:r/>
    </w:p>
    <w:p>
      <w:pPr>
        <w:pStyle w:val="1024"/>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1024"/>
        <w:ind w:firstLine="480"/>
        <w:spacing w:line="480" w:lineRule="auto"/>
        <w:rPr>
          <w:sz w:val="24"/>
          <w:szCs w:val="24"/>
          <w:u w:val="single"/>
        </w:rPr>
      </w:pPr>
      <w:r>
        <w:rPr>
          <w:rFonts w:hint="eastAsia"/>
          <w:sz w:val="24"/>
          <w:szCs w:val="24"/>
        </w:rPr>
        <w:t xml:space="preserve">单位地址：</w:t>
      </w:r>
      <w:r/>
    </w:p>
    <w:p>
      <w:pPr>
        <w:pStyle w:val="1024"/>
        <w:ind w:firstLine="480"/>
        <w:spacing w:line="480" w:lineRule="auto"/>
        <w:rPr>
          <w:sz w:val="24"/>
          <w:szCs w:val="24"/>
        </w:rPr>
      </w:pPr>
      <w:r>
        <w:rPr>
          <w:rFonts w:hint="eastAsia"/>
          <w:sz w:val="24"/>
          <w:szCs w:val="24"/>
        </w:rPr>
        <w:t xml:space="preserve">日    期：</w:t>
      </w:r>
      <w:bookmarkStart w:id="174" w:name="_Hlt26955070"/>
      <w:r/>
      <w:bookmarkEnd w:id="174"/>
      <w:r/>
      <w:bookmarkStart w:id="175" w:name="_Hlt26671380"/>
      <w:r/>
      <w:bookmarkEnd w:id="175"/>
      <w:r/>
      <w:bookmarkStart w:id="176" w:name="_格式3__银行出具的资信证明"/>
      <w:r/>
      <w:bookmarkEnd w:id="176"/>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rPr>
          <w:rFonts w:ascii="黑体" w:hAnsi="黑体" w:eastAsia="黑体"/>
          <w:color w:val="000000"/>
          <w:sz w:val="32"/>
          <w:szCs w:val="32"/>
        </w:rPr>
      </w:pPr>
      <w:r>
        <w:rPr>
          <w:rFonts w:hint="eastAsia" w:ascii="黑体" w:hAnsi="黑体" w:eastAsia="黑体"/>
          <w:color w:val="000000"/>
          <w:sz w:val="32"/>
          <w:szCs w:val="32"/>
        </w:rPr>
        <w:t xml:space="preserve">四、磋商响应函</w:t>
      </w:r>
      <w:r/>
    </w:p>
    <w:p>
      <w:pPr>
        <w:jc w:val="center"/>
        <w:spacing w:line="360" w:lineRule="auto"/>
        <w:rPr>
          <w:rFonts w:ascii="Arial Unicode MS" w:hAnsi="Arial Unicode MS" w:eastAsia="Arial Unicode MS" w:cs="Arial Unicode MS"/>
          <w:color w:val="000000"/>
          <w:sz w:val="32"/>
          <w:szCs w:val="32"/>
          <w:lang w:val="zh-CN"/>
        </w:rPr>
        <w:outlineLvl w:val="0"/>
      </w:pPr>
      <w:r>
        <w:rPr>
          <w:rFonts w:hint="eastAsia" w:ascii="Arial Unicode MS" w:hAnsi="Arial Unicode MS" w:eastAsia="Arial Unicode MS" w:cs="Arial Unicode MS"/>
          <w:color w:val="000000"/>
          <w:sz w:val="32"/>
          <w:szCs w:val="32"/>
        </w:rPr>
        <w:t xml:space="preserve">磋商响应函</w:t>
      </w:r>
      <w:r/>
    </w:p>
    <w:p>
      <w:pPr>
        <w:jc w:val="left"/>
        <w:spacing w:line="360" w:lineRule="auto"/>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中环建（北京）工程管理有限责任公司</w:t>
      </w:r>
      <w:r/>
    </w:p>
    <w:p>
      <w:pPr>
        <w:pStyle w:val="1026"/>
        <w:spacing w:before="0" w:after="0"/>
        <w:rPr>
          <w:rFonts w:ascii="宋体" w:hAnsi="宋体"/>
          <w:szCs w:val="21"/>
        </w:rPr>
      </w:pPr>
      <w:r>
        <w:rPr>
          <w:rFonts w:hint="eastAsia" w:ascii="宋体" w:hAnsi="宋体"/>
          <w:szCs w:val="21"/>
        </w:rPr>
        <w:t xml:space="preserve">根据贵方编号为</w:t>
      </w:r>
      <w:r>
        <w:rPr>
          <w:rFonts w:hint="eastAsia" w:ascii="宋体" w:hAnsi="宋体"/>
          <w:szCs w:val="21"/>
          <w:u w:val="single"/>
        </w:rPr>
        <w:t xml:space="preserve"> </w:t>
      </w:r>
      <w:r>
        <w:rPr>
          <w:rFonts w:hint="eastAsia" w:ascii="宋体" w:hAnsi="宋体"/>
          <w:szCs w:val="21"/>
          <w:highlight w:val="none"/>
          <w:u w:val="single"/>
          <w:lang w:eastAsia="zh-CN"/>
        </w:rPr>
        <w:t xml:space="preserve">JSZC-320111-ZHJZ-C2026-0002</w:t>
      </w:r>
      <w:r>
        <w:rPr>
          <w:rFonts w:hint="eastAsia" w:ascii="宋体" w:hAnsi="宋体"/>
          <w:szCs w:val="21"/>
          <w:u w:val="single"/>
        </w:rPr>
        <w:t xml:space="preserve"> </w:t>
      </w:r>
      <w:r>
        <w:rPr>
          <w:rFonts w:hint="eastAsia" w:ascii="宋体" w:hAnsi="宋体"/>
        </w:rPr>
        <w:t xml:space="preserve">的</w:t>
      </w:r>
      <w:r>
        <w:rPr>
          <w:rFonts w:hint="eastAsia" w:ascii="宋体" w:hAnsi="宋体"/>
          <w:szCs w:val="21"/>
        </w:rPr>
        <w:t xml:space="preserve">项目采购文件，我方正式提</w:t>
      </w:r>
      <w:r>
        <w:rPr>
          <w:rFonts w:hint="eastAsia" w:ascii="宋体" w:hAnsi="宋体" w:cs="宋体"/>
        </w:rPr>
        <w:t xml:space="preserve">交磋商响应函，</w:t>
      </w:r>
      <w:r>
        <w:rPr>
          <w:rFonts w:hint="eastAsia" w:ascii="宋体" w:hAnsi="宋体"/>
          <w:szCs w:val="21"/>
        </w:rPr>
        <w:t xml:space="preserve">并宣布同意如下：</w:t>
      </w:r>
      <w:r/>
    </w:p>
    <w:p>
      <w:pPr>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p>
    <w:p>
      <w:pPr>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sz w:val="24"/>
          <w:szCs w:val="21"/>
        </w:rPr>
      </w:pPr>
      <w:r>
        <w:rPr>
          <w:rFonts w:hint="eastAsia" w:ascii="宋体" w:hAnsi="宋体"/>
          <w:sz w:val="24"/>
          <w:szCs w:val="21"/>
        </w:rPr>
        <w:t xml:space="preserve">6.一旦我方成交，我方将根据磋商文件的规定，严格履行合同的责任和义务</w:t>
      </w:r>
      <w:r>
        <w:rPr>
          <w:rFonts w:hint="eastAsia" w:ascii="宋体" w:hAnsi="宋体"/>
          <w:sz w:val="24"/>
          <w:szCs w:val="21"/>
          <w:lang w:eastAsia="zh-CN"/>
        </w:rPr>
        <w:t xml:space="preserve">，</w:t>
      </w:r>
      <w:r>
        <w:rPr>
          <w:rFonts w:hint="eastAsia" w:ascii="宋体" w:hAnsi="宋体"/>
          <w:sz w:val="24"/>
          <w:szCs w:val="21"/>
        </w:rPr>
        <w:t xml:space="preserve">并保证在磋商文件规定的时间完成项目，交付买方验收、使用。</w:t>
      </w:r>
      <w:r/>
    </w:p>
    <w:p>
      <w:pPr>
        <w:ind w:firstLine="480"/>
        <w:jc w:val="left"/>
        <w:spacing w:line="360" w:lineRule="auto"/>
        <w:rPr>
          <w:rFonts w:ascii="宋体" w:hAnsi="宋体"/>
          <w:sz w:val="24"/>
          <w:szCs w:val="24"/>
        </w:rPr>
      </w:pPr>
      <w:r>
        <w:rPr>
          <w:rFonts w:hint="eastAsia" w:ascii="宋体" w:hAnsi="宋体"/>
          <w:sz w:val="24"/>
          <w:szCs w:val="24"/>
        </w:rPr>
        <w:t xml:space="preserve">7.我方为：</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大型企业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中型企业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小型企业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微型企业（对应</w:t>
      </w:r>
      <w:r>
        <w:rPr>
          <w:rFonts w:ascii="Wingdings 2" w:hAnsi="Wingdings 2" w:eastAsia="Wingdings 2" w:cs="Wingdings 2"/>
          <w:color w:val="000000"/>
          <w:sz w:val="24"/>
          <w:szCs w:val="24"/>
          <w:lang w:val="zh-CN"/>
        </w:rPr>
        <w:t xml:space="preserve"></w:t>
      </w:r>
      <w:r>
        <w:rPr>
          <w:rFonts w:hint="eastAsia" w:ascii="宋体" w:hAnsi="宋体"/>
          <w:sz w:val="24"/>
          <w:szCs w:val="24"/>
          <w:lang w:val="zh-CN"/>
        </w:rPr>
        <w:t xml:space="preserve">上打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360" w:lineRule="auto"/>
        <w:rPr>
          <w:rFonts w:ascii="宋体" w:hAnsi="宋体"/>
          <w:sz w:val="24"/>
          <w:szCs w:val="21"/>
        </w:rPr>
      </w:pPr>
      <w:r>
        <w:rPr>
          <w:rFonts w:hint="eastAsia" w:ascii="宋体" w:hAnsi="宋体"/>
          <w:sz w:val="24"/>
          <w:szCs w:val="21"/>
        </w:rPr>
        <w:t xml:space="preserve">8.我方与本磋商有关的正式通讯地址为：</w:t>
      </w:r>
      <w:r/>
    </w:p>
    <w:p>
      <w:pPr>
        <w:pStyle w:val="1026"/>
        <w:spacing w:before="0" w:after="0"/>
        <w:rPr>
          <w:rFonts w:ascii="宋体" w:hAnsi="宋体"/>
          <w:szCs w:val="21"/>
        </w:rPr>
      </w:pPr>
      <w:r>
        <w:rPr>
          <w:rFonts w:hint="eastAsia" w:ascii="宋体" w:hAnsi="宋体"/>
          <w:szCs w:val="21"/>
        </w:rPr>
        <w:t xml:space="preserve">地  址：</w:t>
      </w:r>
      <w:r/>
    </w:p>
    <w:p>
      <w:pPr>
        <w:pStyle w:val="1026"/>
        <w:spacing w:before="0" w:after="0"/>
        <w:rPr>
          <w:rFonts w:ascii="宋体" w:hAnsi="宋体"/>
          <w:szCs w:val="21"/>
        </w:rPr>
      </w:pPr>
      <w:r>
        <w:rPr>
          <w:rFonts w:hint="eastAsia" w:ascii="宋体" w:hAnsi="宋体"/>
          <w:szCs w:val="21"/>
        </w:rPr>
        <w:t xml:space="preserve">邮  编：</w:t>
      </w:r>
      <w:r/>
    </w:p>
    <w:p>
      <w:pPr>
        <w:pStyle w:val="1026"/>
        <w:spacing w:before="0" w:after="0"/>
        <w:rPr>
          <w:rFonts w:ascii="宋体" w:hAnsi="宋体"/>
          <w:szCs w:val="21"/>
          <w:u w:val="single"/>
        </w:rPr>
      </w:pPr>
      <w:r>
        <w:rPr>
          <w:rFonts w:hint="eastAsia" w:ascii="宋体" w:hAnsi="宋体"/>
          <w:szCs w:val="21"/>
        </w:rPr>
        <w:t xml:space="preserve">电  话：</w:t>
      </w:r>
      <w:r/>
    </w:p>
    <w:p>
      <w:pPr>
        <w:pStyle w:val="1026"/>
        <w:spacing w:before="0" w:after="0"/>
        <w:rPr>
          <w:rFonts w:ascii="宋体" w:hAnsi="宋体"/>
          <w:szCs w:val="21"/>
          <w:u w:val="single"/>
        </w:rPr>
      </w:pPr>
      <w:r>
        <w:rPr>
          <w:rFonts w:hint="eastAsia" w:ascii="宋体" w:hAnsi="宋体"/>
          <w:szCs w:val="21"/>
        </w:rPr>
        <w:t xml:space="preserve">传  真：</w:t>
      </w:r>
      <w:r/>
    </w:p>
    <w:p>
      <w:pPr>
        <w:pStyle w:val="1026"/>
        <w:spacing w:before="0" w:after="0"/>
        <w:rPr>
          <w:rFonts w:ascii="宋体" w:hAnsi="宋体"/>
          <w:szCs w:val="21"/>
          <w:u w:val="single"/>
        </w:rPr>
      </w:pPr>
      <w:r>
        <w:rPr>
          <w:rFonts w:hint="eastAsia" w:ascii="宋体" w:hAnsi="宋体"/>
          <w:szCs w:val="21"/>
        </w:rPr>
        <w:t xml:space="preserve">开户行：</w:t>
      </w:r>
      <w:r/>
    </w:p>
    <w:p>
      <w:pPr>
        <w:pStyle w:val="1026"/>
        <w:spacing w:before="0" w:after="0"/>
        <w:rPr>
          <w:rFonts w:ascii="宋体" w:hAnsi="宋体"/>
          <w:szCs w:val="21"/>
          <w:u w:val="single"/>
        </w:rPr>
      </w:pPr>
      <w:r>
        <w:rPr>
          <w:rFonts w:hint="eastAsia" w:ascii="宋体" w:hAnsi="宋体"/>
          <w:szCs w:val="21"/>
        </w:rPr>
        <w:t xml:space="preserve">账  号：</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pStyle w:val="1026"/>
        <w:spacing w:before="0" w:after="0"/>
        <w:rPr>
          <w:rFonts w:ascii="宋体" w:hAnsi="宋体"/>
          <w:szCs w:val="21"/>
        </w:rPr>
      </w:pPr>
      <w:r>
        <w:rPr>
          <w:rFonts w:hint="eastAsia" w:ascii="宋体" w:hAnsi="宋体"/>
          <w:szCs w:val="21"/>
        </w:rPr>
        <w:t xml:space="preserve">日  期：</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803"/>
      </w:pPr>
      <w:r/>
      <w:r/>
    </w:p>
    <w:p>
      <w:pPr>
        <w:rPr>
          <w:rFonts w:ascii="黑体" w:hAnsi="黑体" w:eastAsia="黑体"/>
          <w:color w:val="000000"/>
          <w:sz w:val="32"/>
          <w:szCs w:val="32"/>
        </w:rPr>
      </w:pPr>
      <w:r>
        <w:rPr>
          <w:rFonts w:hint="eastAsia" w:ascii="黑体" w:hAnsi="黑体" w:eastAsia="黑体"/>
          <w:color w:val="000000"/>
          <w:sz w:val="32"/>
          <w:szCs w:val="32"/>
        </w:rPr>
        <w:t xml:space="preserve">五、磋商报价表</w:t>
      </w:r>
      <w:r/>
    </w:p>
    <w:p>
      <w:pPr>
        <w:jc w:val="center"/>
        <w:spacing w:line="360" w:lineRule="auto"/>
        <w:rPr>
          <w:rFonts w:ascii="Arial Unicode MS" w:hAnsi="Arial Unicode MS" w:eastAsia="Arial Unicode MS" w:cs="Arial Unicode MS"/>
          <w:color w:val="000000"/>
          <w:sz w:val="32"/>
          <w:szCs w:val="32"/>
        </w:rPr>
        <w:outlineLvl w:val="0"/>
      </w:pPr>
      <w:r>
        <w:rPr>
          <w:rFonts w:hint="eastAsia" w:ascii="Arial Unicode MS" w:hAnsi="Arial Unicode MS" w:eastAsia="Arial Unicode MS" w:cs="Arial Unicode MS"/>
          <w:color w:val="000000"/>
          <w:sz w:val="32"/>
          <w:szCs w:val="32"/>
        </w:rPr>
        <w:t xml:space="preserve">磋商报价表</w:t>
      </w:r>
      <w:r/>
    </w:p>
    <w:p>
      <w:pPr>
        <w:rPr>
          <w:rFonts w:hint="eastAsia" w:ascii="宋体" w:hAnsi="宋体" w:eastAsia="宋体" w:cs="宋体"/>
          <w:sz w:val="24"/>
          <w:szCs w:val="24"/>
        </w:rPr>
      </w:pPr>
      <w:r>
        <w:rPr>
          <w:rFonts w:hint="eastAsia" w:ascii="宋体" w:hAnsi="宋体" w:eastAsia="宋体" w:cs="宋体"/>
          <w:sz w:val="24"/>
          <w:szCs w:val="24"/>
        </w:rPr>
        <w:t xml:space="preserve">供应商名称（加盖电子签章）：</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803"/>
        <w:rPr>
          <w:rFonts w:hint="eastAsia" w:ascii="宋体" w:hAnsi="宋体" w:eastAsia="宋体" w:cs="宋体"/>
          <w:sz w:val="24"/>
          <w:szCs w:val="24"/>
        </w:rPr>
      </w:pPr>
      <w:r>
        <w:rPr>
          <w:rFonts w:hint="eastAsia" w:ascii="宋体" w:hAnsi="宋体" w:eastAsia="宋体" w:cs="宋体"/>
          <w:sz w:val="24"/>
          <w:szCs w:val="24"/>
        </w:rPr>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投标总报价</w:t>
            </w:r>
            <w:r>
              <w:rPr>
                <w:rFonts w:hint="eastAsia" w:ascii="宋体" w:hAnsi="宋体" w:cs="宋体"/>
                <w:color w:val="auto"/>
                <w:sz w:val="24"/>
                <w:szCs w:val="24"/>
                <w:highlight w:val="none"/>
                <w:lang w:eastAsia="zh-CN"/>
              </w:rPr>
              <w:t xml:space="preserve">：</w:t>
            </w:r>
            <w:r/>
          </w:p>
        </w:tc>
      </w:tr>
      <w:tr>
        <w:trPr>
          <w:cantSplit/>
          <w:trHeight w:val="612"/>
        </w:trPr>
        <w:tc>
          <w:tcPr>
            <w:tcW w:w="8886" w:type="dxa"/>
            <w:vAlign w:val="center"/>
            <w:textDirection w:val="lrTb"/>
            <w:noWrap w:val="false"/>
          </w:tcPr>
          <w:p>
            <w:pPr>
              <w:spacing w:line="500" w:lineRule="exact"/>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 xml:space="preserve">小写：                             （人民币：元）</w:t>
            </w:r>
            <w:r/>
          </w:p>
        </w:tc>
      </w:tr>
    </w:tbl>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5760"/>
        <w:rPr>
          <w:rFonts w:ascii="宋体" w:hAnsi="宋体"/>
          <w:sz w:val="24"/>
          <w:szCs w:val="24"/>
        </w:rPr>
      </w:pPr>
      <w:r>
        <w:rPr>
          <w:rFonts w:hint="eastAsia" w:ascii="宋体" w:hAnsi="宋体" w:eastAsia="宋体" w:cs="宋体"/>
          <w:color w:val="auto"/>
          <w:sz w:val="24"/>
          <w:szCs w:val="24"/>
          <w:highlight w:val="none"/>
          <w:lang w:eastAsia="zh-CN"/>
        </w:rPr>
        <w:t xml:space="preserve">日期：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日</w:t>
      </w:r>
      <w:r/>
    </w:p>
    <w:p>
      <w:pPr>
        <w:pStyle w:val="803"/>
        <w:ind w:left="0" w:firstLine="0"/>
        <w:rPr>
          <w:rFonts w:ascii="黑体" w:hAnsi="黑体" w:eastAsia="黑体" w:cs="Times New Roman"/>
          <w:i/>
          <w:sz w:val="32"/>
          <w:szCs w:val="32"/>
          <w:u w:val="single"/>
          <w:lang w:val="en-US"/>
        </w:rPr>
      </w:pPr>
      <w:r>
        <w:rPr>
          <w:rFonts w:ascii="黑体" w:hAnsi="黑体" w:eastAsia="黑体" w:cs="Times New Roman"/>
          <w:i/>
          <w:sz w:val="32"/>
          <w:szCs w:val="32"/>
          <w:u w:val="single"/>
          <w:lang w:val="en-US"/>
        </w:rPr>
      </w:r>
      <w:r/>
    </w:p>
    <w:p>
      <w:pPr>
        <w:jc w:val="left"/>
        <w:spacing w:line="360" w:lineRule="auto"/>
        <w:rPr>
          <w:rFonts w:ascii="黑体" w:hAnsi="黑体" w:eastAsia="黑体"/>
          <w:sz w:val="32"/>
          <w:szCs w:val="32"/>
        </w:rPr>
      </w:pPr>
      <w:r>
        <w:rPr>
          <w:rFonts w:ascii="黑体" w:hAnsi="黑体" w:eastAsia="黑体"/>
          <w:sz w:val="32"/>
          <w:szCs w:val="32"/>
        </w:rPr>
      </w:r>
      <w:bookmarkEnd w:id="173"/>
      <w:r/>
    </w:p>
    <w:p>
      <w:pPr>
        <w:pStyle w:val="783"/>
        <w:jc w:val="both"/>
        <w:spacing w:before="0" w:beforeAutospacing="0" w:after="0" w:afterAutospacing="0" w:line="360" w:lineRule="auto"/>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六、</w:t>
      </w:r>
      <w:r>
        <w:rPr>
          <w:rFonts w:hint="eastAsia" w:ascii="黑体" w:hAnsi="黑体" w:eastAsia="黑体" w:cs="Times New Roman"/>
          <w:i w:val="0"/>
          <w:iCs/>
          <w:color w:val="auto"/>
          <w:sz w:val="32"/>
          <w:szCs w:val="32"/>
          <w:u w:val="none"/>
          <w:lang w:val="en-US" w:eastAsia="zh-CN"/>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7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1</w:t>
            </w:r>
            <w:r/>
          </w:p>
        </w:tc>
        <w:tc>
          <w:tcPr>
            <w:tcW w:w="2925" w:type="dxa"/>
            <w:vAlign w:val="center"/>
            <w:textDirection w:val="lrTb"/>
            <w:noWrap w:val="false"/>
          </w:tcPr>
          <w:p>
            <w:pPr>
              <w:jc w:val="center"/>
              <w:rPr>
                <w:rFonts w:hint="eastAsia" w:ascii="宋体" w:hAnsi="宋体"/>
                <w:color w:val="auto"/>
                <w:sz w:val="24"/>
                <w:szCs w:val="24"/>
                <w:lang w:eastAsia="zh-CN"/>
              </w:rPr>
            </w:pPr>
            <w:r>
              <w:rPr>
                <w:rFonts w:hint="eastAsia" w:ascii="宋体" w:hAnsi="宋体"/>
                <w:color w:val="auto"/>
                <w:sz w:val="24"/>
                <w:szCs w:val="24"/>
                <w:lang w:eastAsia="zh-CN"/>
              </w:rPr>
              <w:t xml:space="preserve">总体要求（</w:t>
            </w:r>
            <w:r>
              <w:rPr>
                <w:rFonts w:hint="eastAsia" w:ascii="宋体" w:hAnsi="宋体"/>
                <w:color w:val="auto"/>
                <w:sz w:val="24"/>
                <w:szCs w:val="24"/>
                <w:lang w:val="en-US" w:eastAsia="zh-CN"/>
              </w:rPr>
              <w:t xml:space="preserve">完全响应</w:t>
            </w:r>
            <w:r>
              <w:rPr>
                <w:rFonts w:hint="eastAsia" w:ascii="宋体" w:hAnsi="宋体"/>
                <w:color w:val="auto"/>
                <w:sz w:val="24"/>
                <w:szCs w:val="24"/>
                <w:lang w:eastAsia="zh-CN"/>
              </w:rPr>
              <w:t xml:space="preserve">）</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2</w:t>
            </w:r>
            <w:r/>
          </w:p>
        </w:tc>
        <w:tc>
          <w:tcPr>
            <w:tcW w:w="2925" w:type="dxa"/>
            <w:vAlign w:val="center"/>
            <w:textDirection w:val="lrTb"/>
            <w:noWrap w:val="false"/>
          </w:tcPr>
          <w:p>
            <w:pPr>
              <w:jc w:val="center"/>
              <w:rPr>
                <w:rFonts w:hint="eastAsia" w:ascii="宋体" w:hAnsi="宋体"/>
                <w:color w:val="auto"/>
                <w:sz w:val="24"/>
                <w:szCs w:val="24"/>
                <w:lang w:eastAsia="zh-CN"/>
              </w:rPr>
            </w:pPr>
            <w:r>
              <w:rPr>
                <w:rFonts w:hint="eastAsia" w:ascii="宋体" w:hAnsi="宋体"/>
                <w:color w:val="auto"/>
                <w:sz w:val="24"/>
                <w:szCs w:val="24"/>
                <w:lang w:val="en-US" w:eastAsia="zh-CN"/>
              </w:rPr>
              <w:t xml:space="preserve">宣传要求</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完全响应</w:t>
            </w:r>
            <w:r>
              <w:rPr>
                <w:rFonts w:hint="eastAsia" w:ascii="宋体" w:hAnsi="宋体"/>
                <w:color w:val="auto"/>
                <w:sz w:val="24"/>
                <w:szCs w:val="24"/>
                <w:lang w:eastAsia="zh-CN"/>
              </w:rPr>
              <w:t xml:space="preserve">）</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p>
        </w:tc>
        <w:tc>
          <w:tcPr>
            <w:tcW w:w="2925"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 垃圾分类运营工作要求</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完全响应</w:t>
            </w:r>
            <w:r>
              <w:rPr>
                <w:rFonts w:hint="eastAsia" w:ascii="宋体" w:hAnsi="宋体"/>
                <w:color w:val="auto"/>
                <w:sz w:val="24"/>
                <w:szCs w:val="24"/>
                <w:lang w:eastAsia="zh-CN"/>
              </w:rPr>
              <w:t xml:space="preserve">）</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4</w:t>
            </w:r>
            <w:r/>
          </w:p>
        </w:tc>
        <w:tc>
          <w:tcPr>
            <w:tcW w:w="2925" w:type="dxa"/>
            <w:vAlign w:val="center"/>
            <w:textDirection w:val="lrTb"/>
            <w:noWrap w:val="false"/>
          </w:tcPr>
          <w:p>
            <w:pPr>
              <w:jc w:val="center"/>
              <w:rPr>
                <w:rFonts w:hint="eastAsia" w:ascii="宋体" w:hAnsi="宋体"/>
                <w:color w:val="auto"/>
                <w:sz w:val="24"/>
                <w:szCs w:val="24"/>
                <w:lang w:eastAsia="zh-CN"/>
              </w:rPr>
            </w:pPr>
            <w:r>
              <w:rPr>
                <w:rFonts w:hint="eastAsia" w:ascii="宋体" w:hAnsi="宋体"/>
                <w:color w:val="auto"/>
                <w:sz w:val="24"/>
                <w:szCs w:val="24"/>
                <w:lang w:val="en-US" w:eastAsia="zh-CN"/>
              </w:rPr>
              <w:t xml:space="preserve">垃圾运输质量标准</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完全响应</w:t>
            </w:r>
            <w:r>
              <w:rPr>
                <w:rFonts w:hint="eastAsia" w:ascii="宋体" w:hAnsi="宋体"/>
                <w:color w:val="auto"/>
                <w:sz w:val="24"/>
                <w:szCs w:val="24"/>
                <w:lang w:eastAsia="zh-CN"/>
              </w:rPr>
              <w:t xml:space="preserve">）</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5</w:t>
            </w:r>
            <w:r/>
          </w:p>
        </w:tc>
        <w:tc>
          <w:tcPr>
            <w:tcW w:w="2925" w:type="dxa"/>
            <w:vAlign w:val="center"/>
            <w:textDirection w:val="lrTb"/>
            <w:noWrap w:val="false"/>
          </w:tcPr>
          <w:p>
            <w:pPr>
              <w:jc w:val="center"/>
              <w:rPr>
                <w:rFonts w:hint="eastAsia" w:ascii="宋体" w:hAnsi="宋体"/>
                <w:color w:val="auto"/>
                <w:sz w:val="24"/>
                <w:szCs w:val="24"/>
                <w:lang w:eastAsia="zh-CN"/>
              </w:rPr>
            </w:pPr>
            <w:r>
              <w:rPr>
                <w:rFonts w:hint="eastAsia" w:ascii="宋体" w:hAnsi="宋体"/>
                <w:color w:val="auto"/>
                <w:sz w:val="24"/>
                <w:szCs w:val="24"/>
                <w:lang w:val="en-US" w:eastAsia="zh-CN"/>
              </w:rPr>
              <w:t xml:space="preserve"> 垃圾分类外包资料整理归档要求</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完全响应</w:t>
            </w:r>
            <w:r>
              <w:rPr>
                <w:rFonts w:hint="eastAsia" w:ascii="宋体" w:hAnsi="宋体"/>
                <w:color w:val="auto"/>
                <w:sz w:val="24"/>
                <w:szCs w:val="24"/>
                <w:lang w:eastAsia="zh-CN"/>
              </w:rPr>
              <w:t xml:space="preserve">）</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6</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作业人员配置及要求</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完全响应</w:t>
            </w:r>
            <w:r>
              <w:rPr>
                <w:rFonts w:hint="eastAsia" w:ascii="宋体" w:hAnsi="宋体"/>
                <w:color w:val="auto"/>
                <w:sz w:val="24"/>
                <w:szCs w:val="24"/>
                <w:lang w:eastAsia="zh-CN"/>
              </w:rPr>
              <w:t xml:space="preserve">）</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7</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机械设备配置与作业要求</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完全响应</w:t>
            </w:r>
            <w:r>
              <w:rPr>
                <w:rFonts w:hint="eastAsia" w:ascii="宋体" w:hAnsi="宋体"/>
                <w:color w:val="auto"/>
                <w:sz w:val="24"/>
                <w:szCs w:val="24"/>
                <w:lang w:eastAsia="zh-CN"/>
              </w:rPr>
              <w:t xml:space="preserve">）</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8</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突发应急事件要求考核说明</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完全响应</w:t>
            </w:r>
            <w:r>
              <w:rPr>
                <w:rFonts w:hint="eastAsia" w:ascii="宋体" w:hAnsi="宋体"/>
                <w:color w:val="auto"/>
                <w:sz w:val="24"/>
                <w:szCs w:val="24"/>
                <w:lang w:eastAsia="zh-CN"/>
              </w:rPr>
              <w:t xml:space="preserve">）</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9</w:t>
            </w:r>
            <w:r/>
          </w:p>
        </w:tc>
        <w:tc>
          <w:tcPr>
            <w:tcW w:w="2925" w:type="dxa"/>
            <w:vAlign w:val="center"/>
            <w:textDirection w:val="lrTb"/>
            <w:noWrap w:val="false"/>
          </w:tcPr>
          <w:p>
            <w:pPr>
              <w:jc w:val="center"/>
              <w:rPr>
                <w:rFonts w:hint="eastAsia" w:ascii="宋体" w:hAnsi="宋体" w:eastAsia="宋体" w:cs="宋体"/>
                <w:b/>
                <w:bCs/>
                <w:spacing w:val="-1"/>
                <w:sz w:val="24"/>
                <w:szCs w:val="24"/>
                <w:highlight w:val="none"/>
                <w:lang w:val="en-US" w:eastAsia="zh-CN"/>
              </w:rPr>
            </w:pPr>
            <w:r>
              <w:rPr>
                <w:rFonts w:hint="eastAsia" w:ascii="宋体" w:hAnsi="宋体"/>
                <w:color w:val="000000"/>
                <w:sz w:val="24"/>
                <w:szCs w:val="24"/>
                <w:lang w:val="en-US" w:eastAsia="zh-CN"/>
              </w:rPr>
              <w:t xml:space="preserve">供应商认为的其他要求</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default" w:ascii="宋体" w:hAnsi="宋体" w:eastAsia="宋体"/>
                <w:color w:val="auto"/>
                <w:sz w:val="24"/>
                <w:szCs w:val="24"/>
                <w:lang w:val="en-US" w:eastAsia="zh-CN"/>
              </w:rPr>
            </w:pPr>
            <w:r>
              <w:rPr>
                <w:rFonts w:hint="default" w:ascii="宋体" w:hAnsi="宋体" w:eastAsia="宋体"/>
                <w:color w:val="auto"/>
                <w:sz w:val="24"/>
                <w:szCs w:val="24"/>
                <w:lang w:val="en-US" w:eastAsia="zh-CN"/>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83"/>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83"/>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8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1.供应商须对磋商文件技术要求中的实质性要求（斜体下划线内容或打“★”内容）做出明确响应，否则视为无效响应。</w:t>
      </w:r>
      <w:r/>
    </w:p>
    <w:p>
      <w:pPr>
        <w:pStyle w:val="78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i w:val="0"/>
          <w:iCs/>
          <w:color w:val="0000ff"/>
          <w:sz w:val="32"/>
          <w:szCs w:val="32"/>
          <w:u w:val="none"/>
          <w:lang w:val="en-US" w:eastAsia="zh-CN"/>
        </w:rPr>
      </w:pPr>
      <w:r/>
      <w:bookmarkStart w:id="177" w:name="_Hlt26955054"/>
      <w:r/>
      <w:bookmarkEnd w:id="177"/>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七、商务要求响应及偏离表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auto"/>
                <w:sz w:val="24"/>
                <w:szCs w:val="24"/>
                <w:lang w:val="en-US" w:eastAsia="zh-CN"/>
              </w:rPr>
              <w:t xml:space="preserve">1</w:t>
            </w:r>
            <w:r/>
          </w:p>
        </w:tc>
        <w:tc>
          <w:tcPr>
            <w:tcW w:w="287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付款条件</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lang w:val="en-US" w:eastAsia="zh-CN"/>
              </w:rPr>
              <w:t xml:space="preserve">完全响应</w:t>
            </w:r>
            <w:r>
              <w:rPr>
                <w:rFonts w:hint="eastAsia" w:ascii="宋体" w:hAnsi="宋体" w:eastAsia="宋体"/>
                <w:color w:val="auto"/>
                <w:sz w:val="24"/>
                <w:szCs w:val="24"/>
                <w:lang w:eastAsia="zh-CN"/>
              </w:rPr>
              <w:t xml:space="preserve">）</w:t>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auto"/>
                <w:sz w:val="24"/>
                <w:szCs w:val="24"/>
                <w:lang w:val="en-US" w:eastAsia="zh-CN"/>
              </w:rPr>
              <w:t xml:space="preserve">2</w:t>
            </w:r>
            <w:r/>
          </w:p>
        </w:tc>
        <w:tc>
          <w:tcPr>
            <w:tcW w:w="287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服务时间和地点</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lang w:val="en-US" w:eastAsia="zh-CN"/>
              </w:rPr>
              <w:t xml:space="preserve">完全响应</w:t>
            </w:r>
            <w:r>
              <w:rPr>
                <w:rFonts w:hint="eastAsia" w:ascii="宋体" w:hAnsi="宋体" w:eastAsia="宋体"/>
                <w:color w:val="auto"/>
                <w:sz w:val="24"/>
                <w:szCs w:val="24"/>
                <w:lang w:eastAsia="zh-CN"/>
              </w:rPr>
              <w:t xml:space="preserve">）</w:t>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auto"/>
                <w:sz w:val="24"/>
                <w:szCs w:val="24"/>
                <w:lang w:val="en-US" w:eastAsia="zh-CN"/>
              </w:rPr>
              <w:t xml:space="preserve">3</w:t>
            </w:r>
            <w:r/>
          </w:p>
        </w:tc>
        <w:tc>
          <w:tcPr>
            <w:tcW w:w="287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合同</w:t>
            </w:r>
            <w:r>
              <w:rPr>
                <w:rFonts w:hint="eastAsia" w:ascii="宋体" w:hAnsi="宋体"/>
                <w:color w:val="auto"/>
                <w:sz w:val="24"/>
                <w:szCs w:val="24"/>
                <w:lang w:val="en-US" w:eastAsia="zh-CN"/>
              </w:rPr>
              <w:t xml:space="preserve">期限</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lang w:val="en-US" w:eastAsia="zh-CN"/>
              </w:rPr>
              <w:t xml:space="preserve">完全响应</w:t>
            </w:r>
            <w:r>
              <w:rPr>
                <w:rFonts w:hint="eastAsia" w:ascii="宋体" w:hAnsi="宋体" w:eastAsia="宋体"/>
                <w:color w:val="auto"/>
                <w:sz w:val="24"/>
                <w:szCs w:val="24"/>
                <w:lang w:eastAsia="zh-CN"/>
              </w:rPr>
              <w:t xml:space="preserve">）</w:t>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4</w:t>
            </w:r>
            <w:r/>
          </w:p>
        </w:tc>
        <w:tc>
          <w:tcPr>
            <w:tcW w:w="2878" w:type="dxa"/>
            <w:vAlign w:val="center"/>
            <w:textDirection w:val="lrTb"/>
            <w:noWrap w:val="false"/>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供应商认为的其他要求</w:t>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83"/>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8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83"/>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p>
    <w:p>
      <w:pPr>
        <w:pStyle w:val="78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803"/>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财库〔2020〕46号</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w:t>
      </w:r>
      <w:r>
        <w:rPr>
          <w:rFonts w:hint="eastAsia" w:ascii="宋体" w:hAnsi="宋体"/>
          <w:sz w:val="24"/>
          <w:szCs w:val="24"/>
          <w:lang w:eastAsia="zh-CN"/>
        </w:rPr>
        <w:t xml:space="preserve">（</w:t>
      </w:r>
      <w:r>
        <w:rPr>
          <w:rFonts w:hint="eastAsia" w:ascii="宋体" w:hAnsi="宋体"/>
          <w:sz w:val="24"/>
          <w:szCs w:val="24"/>
        </w:rPr>
        <w:t xml:space="preserve">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w:t>
      </w:r>
      <w:r>
        <w:rPr>
          <w:rFonts w:hint="eastAsia" w:ascii="宋体" w:hAnsi="宋体"/>
          <w:sz w:val="24"/>
          <w:szCs w:val="24"/>
          <w:lang w:eastAsia="zh-CN"/>
        </w:rPr>
        <w:t xml:space="preserve">）</w:t>
      </w:r>
      <w:r>
        <w:rPr>
          <w:rFonts w:hint="eastAsia" w:ascii="宋体" w:hAnsi="宋体"/>
          <w:sz w:val="24"/>
          <w:szCs w:val="24"/>
        </w:rPr>
        <w:t xml:space="preserve">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803"/>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九、</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80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3.除另有说明外，本磋商</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85"/>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0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803"/>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ind w:firstLine="420"/>
        <w:rPr>
          <w:sz w:val="24"/>
          <w:szCs w:val="24"/>
        </w:rPr>
      </w:pPr>
      <w:r>
        <w:rPr>
          <w:sz w:val="24"/>
          <w:szCs w:val="24"/>
        </w:rPr>
      </w:r>
      <w:r/>
    </w:p>
    <w:p>
      <w:pPr>
        <w:ind w:firstLine="420"/>
        <w:rPr>
          <w:sz w:val="24"/>
          <w:szCs w:val="24"/>
        </w:rPr>
      </w:pPr>
      <w:r>
        <w:rPr>
          <w:sz w:val="24"/>
          <w:szCs w:val="24"/>
        </w:rPr>
      </w:r>
      <w:r/>
    </w:p>
    <w:p>
      <w:pPr>
        <w:ind w:firstLine="420"/>
        <w:rPr>
          <w:sz w:val="24"/>
          <w:szCs w:val="24"/>
        </w:rPr>
      </w:pPr>
      <w:r>
        <w:rPr>
          <w:sz w:val="24"/>
          <w:szCs w:val="24"/>
        </w:rPr>
      </w:r>
      <w:r/>
    </w:p>
    <w:sectPr>
      <w:footerReference w:type="default" r:id="rId14"/>
      <w:footerReference w:type="first" r:id="rId15"/>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imSun">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2"/>
        <w:rFonts w:ascii="宋体" w:hAnsi="宋体"/>
      </w:rPr>
      <w:framePr w:h="223" w:wrap="around" w:vAnchor="text" w:hAnchor="margin" w:xAlign="center" w:y="1" w:hRule="exact"/>
    </w:pPr>
    <w:r>
      <w:rPr>
        <w:rFonts w:ascii="宋体" w:hAnsi="宋体"/>
      </w:rPr>
      <w:fldChar w:fldCharType="begin"/>
    </w:r>
    <w:r>
      <w:rPr>
        <w:rStyle w:val="1012"/>
        <w:rFonts w:ascii="宋体" w:hAnsi="宋体"/>
      </w:rPr>
      <w:instrText xml:space="preserve">PAGE  </w:instrText>
    </w:r>
    <w:r>
      <w:rPr>
        <w:rFonts w:ascii="宋体" w:hAnsi="宋体"/>
      </w:rPr>
      <w:fldChar w:fldCharType="separate"/>
    </w:r>
    <w:r>
      <w:rPr>
        <w:rStyle w:val="1012"/>
        <w:rFonts w:ascii="宋体" w:hAnsi="宋体"/>
      </w:rPr>
      <w:t xml:space="preserve">2</w:t>
    </w:r>
    <w:r>
      <w:rPr>
        <w:rFonts w:ascii="宋体" w:hAnsi="宋体"/>
      </w:rPr>
      <w:fldChar w:fldCharType="end"/>
    </w:r>
    <w:r/>
  </w:p>
  <w:p>
    <w:pPr>
      <w:pStyle w:val="98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1</w:t>
    </w:r>
    <w:r>
      <w:fldChar w:fldCharType="end"/>
    </w:r>
    <w:r/>
  </w:p>
  <w:p>
    <w:pPr>
      <w:pStyle w:val="9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3"/>
      <w:isLgl w:val="false"/>
      <w:suff w:val="nothing"/>
      <w:lvlText w:val=""/>
      <w:lvlJc w:val="left"/>
      <w:pPr>
        <w:ind w:left="0" w:firstLine="0"/>
      </w:pPr>
      <w:rPr>
        <w:rFonts w:hint="eastAsia"/>
      </w:rPr>
    </w:lvl>
    <w:lvl w:ilvl="6">
      <w:start w:val="1"/>
      <w:numFmt w:val="decimal"/>
      <w:pStyle w:val="954"/>
      <w:isLgl w:val="false"/>
      <w:suff w:val="nothing"/>
      <w:lvlText w:val=""/>
      <w:lvlJc w:val="left"/>
      <w:pPr>
        <w:ind w:left="0" w:firstLine="0"/>
      </w:pPr>
      <w:rPr>
        <w:rFonts w:hint="eastAsia"/>
      </w:rPr>
    </w:lvl>
    <w:lvl w:ilvl="7">
      <w:start w:val="1"/>
      <w:numFmt w:val="decimal"/>
      <w:pStyle w:val="955"/>
      <w:isLgl w:val="false"/>
      <w:suff w:val="nothing"/>
      <w:lvlText w:val=""/>
      <w:lvlJc w:val="left"/>
      <w:pPr>
        <w:ind w:left="0" w:firstLine="0"/>
      </w:pPr>
      <w:rPr>
        <w:rFonts w:hint="eastAsia"/>
      </w:rPr>
    </w:lvl>
    <w:lvl w:ilvl="8">
      <w:start w:val="1"/>
      <w:numFmt w:val="decimal"/>
      <w:pStyle w:val="956"/>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7"/>
    <w:link w:val="748"/>
    <w:uiPriority w:val="9"/>
    <w:rPr>
      <w:rFonts w:ascii="Arial" w:hAnsi="Arial" w:eastAsia="Arial" w:cs="Arial"/>
      <w:sz w:val="40"/>
      <w:szCs w:val="40"/>
    </w:rPr>
  </w:style>
  <w:style w:type="character" w:styleId="15">
    <w:name w:val="Heading 2 Char"/>
    <w:basedOn w:val="757"/>
    <w:link w:val="749"/>
    <w:uiPriority w:val="9"/>
    <w:rPr>
      <w:rFonts w:ascii="Arial" w:hAnsi="Arial" w:eastAsia="Arial" w:cs="Arial"/>
      <w:sz w:val="34"/>
    </w:rPr>
  </w:style>
  <w:style w:type="character" w:styleId="17">
    <w:name w:val="Heading 3 Char"/>
    <w:basedOn w:val="757"/>
    <w:link w:val="750"/>
    <w:uiPriority w:val="9"/>
    <w:rPr>
      <w:rFonts w:ascii="Arial" w:hAnsi="Arial" w:eastAsia="Arial" w:cs="Arial"/>
      <w:sz w:val="30"/>
      <w:szCs w:val="30"/>
    </w:rPr>
  </w:style>
  <w:style w:type="character" w:styleId="19">
    <w:name w:val="Heading 4 Char"/>
    <w:basedOn w:val="757"/>
    <w:link w:val="751"/>
    <w:uiPriority w:val="9"/>
    <w:rPr>
      <w:rFonts w:ascii="Arial" w:hAnsi="Arial" w:eastAsia="Arial" w:cs="Arial"/>
      <w:b/>
      <w:bCs/>
      <w:sz w:val="26"/>
      <w:szCs w:val="26"/>
    </w:rPr>
  </w:style>
  <w:style w:type="character" w:styleId="21">
    <w:name w:val="Heading 5 Char"/>
    <w:basedOn w:val="757"/>
    <w:link w:val="752"/>
    <w:uiPriority w:val="9"/>
    <w:rPr>
      <w:rFonts w:ascii="Arial" w:hAnsi="Arial" w:eastAsia="Arial" w:cs="Arial"/>
      <w:b/>
      <w:bCs/>
      <w:sz w:val="24"/>
      <w:szCs w:val="24"/>
    </w:rPr>
  </w:style>
  <w:style w:type="character" w:styleId="23">
    <w:name w:val="Heading 6 Char"/>
    <w:basedOn w:val="757"/>
    <w:link w:val="753"/>
    <w:uiPriority w:val="9"/>
    <w:rPr>
      <w:rFonts w:ascii="Arial" w:hAnsi="Arial" w:eastAsia="Arial" w:cs="Arial"/>
      <w:b/>
      <w:bCs/>
      <w:sz w:val="22"/>
      <w:szCs w:val="22"/>
    </w:rPr>
  </w:style>
  <w:style w:type="character" w:styleId="25">
    <w:name w:val="Heading 7 Char"/>
    <w:basedOn w:val="757"/>
    <w:link w:val="754"/>
    <w:uiPriority w:val="9"/>
    <w:rPr>
      <w:rFonts w:ascii="Arial" w:hAnsi="Arial" w:eastAsia="Arial" w:cs="Arial"/>
      <w:b/>
      <w:bCs/>
      <w:i/>
      <w:iCs/>
      <w:sz w:val="22"/>
      <w:szCs w:val="22"/>
    </w:rPr>
  </w:style>
  <w:style w:type="character" w:styleId="27">
    <w:name w:val="Heading 8 Char"/>
    <w:basedOn w:val="757"/>
    <w:link w:val="755"/>
    <w:uiPriority w:val="9"/>
    <w:rPr>
      <w:rFonts w:ascii="Arial" w:hAnsi="Arial" w:eastAsia="Arial" w:cs="Arial"/>
      <w:i/>
      <w:iCs/>
      <w:sz w:val="22"/>
      <w:szCs w:val="22"/>
    </w:rPr>
  </w:style>
  <w:style w:type="character" w:styleId="29">
    <w:name w:val="Heading 9 Char"/>
    <w:basedOn w:val="757"/>
    <w:link w:val="756"/>
    <w:uiPriority w:val="9"/>
    <w:rPr>
      <w:rFonts w:ascii="Arial" w:hAnsi="Arial" w:eastAsia="Arial" w:cs="Arial"/>
      <w:i/>
      <w:iCs/>
      <w:sz w:val="21"/>
      <w:szCs w:val="21"/>
    </w:rPr>
  </w:style>
  <w:style w:type="character" w:styleId="34">
    <w:name w:val="Title Char"/>
    <w:basedOn w:val="757"/>
    <w:link w:val="784"/>
    <w:uiPriority w:val="10"/>
    <w:rPr>
      <w:sz w:val="48"/>
      <w:szCs w:val="48"/>
    </w:rPr>
  </w:style>
  <w:style w:type="character" w:styleId="36">
    <w:name w:val="Subtitle Char"/>
    <w:basedOn w:val="757"/>
    <w:link w:val="777"/>
    <w:uiPriority w:val="11"/>
    <w:rPr>
      <w:sz w:val="24"/>
      <w:szCs w:val="24"/>
    </w:rPr>
  </w:style>
  <w:style w:type="character" w:styleId="38">
    <w:name w:val="Quote Char"/>
    <w:link w:val="817"/>
    <w:uiPriority w:val="29"/>
    <w:rPr>
      <w:i/>
    </w:rPr>
  </w:style>
  <w:style w:type="character" w:styleId="40">
    <w:name w:val="Intense Quote Char"/>
    <w:link w:val="819"/>
    <w:uiPriority w:val="30"/>
    <w:rPr>
      <w:i/>
    </w:rPr>
  </w:style>
  <w:style w:type="character" w:styleId="42">
    <w:name w:val="Header Char"/>
    <w:basedOn w:val="757"/>
    <w:link w:val="772"/>
    <w:uiPriority w:val="99"/>
  </w:style>
  <w:style w:type="character" w:styleId="46">
    <w:name w:val="Caption Char"/>
    <w:basedOn w:val="760"/>
    <w:link w:val="771"/>
    <w:uiPriority w:val="99"/>
  </w:style>
  <w:style w:type="table" w:styleId="49">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8"/>
    <w:uiPriority w:val="99"/>
    <w:rPr>
      <w:sz w:val="18"/>
    </w:rPr>
  </w:style>
  <w:style w:type="character" w:styleId="178">
    <w:name w:val="Endnote Text Char"/>
    <w:link w:val="770"/>
    <w:uiPriority w:val="99"/>
    <w:rPr>
      <w:sz w:val="20"/>
    </w:rPr>
  </w:style>
  <w:style w:type="paragraph" w:styleId="189">
    <w:name w:val="TOC Heading"/>
    <w:uiPriority w:val="39"/>
    <w:unhideWhenUsed/>
  </w:style>
  <w:style w:type="paragraph" w:styleId="747" w:default="1">
    <w:name w:val="Normal"/>
    <w:link w:val="1063"/>
    <w:uiPriority w:val="0"/>
    <w:qFormat/>
    <w:pPr>
      <w:jc w:val="both"/>
      <w:widowControl w:val="off"/>
    </w:pPr>
    <w:rPr>
      <w:rFonts w:ascii="Times New Roman" w:hAnsi="Times New Roman" w:eastAsia="宋体" w:cs="Times New Roman"/>
      <w:sz w:val="21"/>
      <w:szCs w:val="22"/>
      <w:lang w:val="en-US" w:eastAsia="zh-CN" w:bidi="ar-SA"/>
    </w:rPr>
  </w:style>
  <w:style w:type="paragraph" w:styleId="748">
    <w:name w:val="Heading 1"/>
    <w:basedOn w:val="747"/>
    <w:next w:val="747"/>
    <w:link w:val="804"/>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805"/>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806"/>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807"/>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808"/>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809"/>
    <w:uiPriority w:val="9"/>
    <w:unhideWhenUsed/>
    <w:qFormat/>
    <w:pPr>
      <w:keepLines/>
      <w:keepNext/>
      <w:spacing w:before="320" w:after="200"/>
      <w:outlineLvl w:val="5"/>
    </w:pPr>
    <w:rPr>
      <w:rFonts w:ascii="Arial" w:hAnsi="Arial" w:eastAsia="Arial" w:cs="Arial"/>
      <w:b/>
      <w:bCs/>
      <w:sz w:val="22"/>
    </w:rPr>
  </w:style>
  <w:style w:type="paragraph" w:styleId="754">
    <w:name w:val="Heading 7"/>
    <w:basedOn w:val="747"/>
    <w:next w:val="747"/>
    <w:link w:val="810"/>
    <w:uiPriority w:val="9"/>
    <w:unhideWhenUsed/>
    <w:qFormat/>
    <w:pPr>
      <w:keepLines/>
      <w:keepNext/>
      <w:spacing w:before="320" w:after="200"/>
      <w:outlineLvl w:val="6"/>
    </w:pPr>
    <w:rPr>
      <w:rFonts w:ascii="Arial" w:hAnsi="Arial" w:eastAsia="Arial" w:cs="Arial"/>
      <w:b/>
      <w:bCs/>
      <w:i/>
      <w:iCs/>
      <w:sz w:val="22"/>
    </w:rPr>
  </w:style>
  <w:style w:type="paragraph" w:styleId="755">
    <w:name w:val="Heading 8"/>
    <w:basedOn w:val="747"/>
    <w:next w:val="747"/>
    <w:link w:val="811"/>
    <w:uiPriority w:val="9"/>
    <w:unhideWhenUsed/>
    <w:qFormat/>
    <w:pPr>
      <w:keepLines/>
      <w:keepNext/>
      <w:spacing w:before="320" w:after="200"/>
      <w:outlineLvl w:val="7"/>
    </w:pPr>
    <w:rPr>
      <w:rFonts w:ascii="Arial" w:hAnsi="Arial" w:eastAsia="Arial" w:cs="Arial"/>
      <w:i/>
      <w:iCs/>
      <w:sz w:val="22"/>
    </w:rPr>
  </w:style>
  <w:style w:type="paragraph" w:styleId="756">
    <w:name w:val="Heading 9"/>
    <w:basedOn w:val="747"/>
    <w:next w:val="747"/>
    <w:link w:val="812"/>
    <w:uiPriority w:val="9"/>
    <w:unhideWhenUsed/>
    <w:qFormat/>
    <w:pPr>
      <w:keepLines/>
      <w:keepNext/>
      <w:spacing w:before="320" w:after="200"/>
      <w:outlineLvl w:val="8"/>
    </w:pPr>
    <w:rPr>
      <w:rFonts w:ascii="Arial" w:hAnsi="Arial" w:eastAsia="Arial" w:cs="Arial"/>
      <w:i/>
      <w:iCs/>
      <w:szCs w:val="21"/>
    </w:rPr>
  </w:style>
  <w:style w:type="character" w:styleId="757" w:default="1">
    <w:name w:val="Default Paragraph Font"/>
    <w:uiPriority w:val="1"/>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spacing w:after="57"/>
    </w:pPr>
  </w:style>
  <w:style w:type="paragraph" w:styleId="760">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annotation text"/>
    <w:basedOn w:val="747"/>
    <w:uiPriority w:val="0"/>
    <w:qFormat/>
    <w:pPr>
      <w:jc w:val="left"/>
    </w:pPr>
  </w:style>
  <w:style w:type="paragraph" w:styleId="762">
    <w:name w:val="Body Text"/>
    <w:basedOn w:val="747"/>
    <w:uiPriority w:val="0"/>
    <w:semiHidden/>
    <w:qFormat/>
  </w:style>
  <w:style w:type="paragraph" w:styleId="763">
    <w:name w:val="Body Text Indent"/>
    <w:basedOn w:val="747"/>
    <w:next w:val="764"/>
    <w:uiPriority w:val="0"/>
    <w:unhideWhenUsed/>
    <w:qFormat/>
    <w:pPr>
      <w:ind w:left="420"/>
      <w:spacing w:after="120"/>
    </w:pPr>
    <w:rPr>
      <w:b/>
    </w:rPr>
  </w:style>
  <w:style w:type="paragraph" w:styleId="764">
    <w:name w:val="envelope return"/>
    <w:basedOn w:val="747"/>
    <w:uiPriority w:val="0"/>
    <w:qFormat/>
    <w:rPr>
      <w:rFonts w:ascii="Arial" w:hAnsi="Arial" w:eastAsia="宋体" w:cs="宋体"/>
    </w:rPr>
  </w:style>
  <w:style w:type="paragraph" w:styleId="765">
    <w:name w:val="index 4"/>
    <w:next w:val="747"/>
    <w:uiPriority w:val="0"/>
    <w:qFormat/>
    <w:pPr>
      <w:ind w:left="600"/>
      <w:jc w:val="both"/>
      <w:widowControl w:val="off"/>
    </w:pPr>
    <w:rPr>
      <w:rFonts w:ascii="Times New Roman" w:hAnsi="Times New Roman" w:eastAsia="宋体" w:cs="Times New Roman"/>
      <w:sz w:val="21"/>
      <w:szCs w:val="24"/>
      <w:lang w:val="en-US" w:eastAsia="zh-CN" w:bidi="ar-SA"/>
    </w:rPr>
  </w:style>
  <w:style w:type="paragraph" w:styleId="766">
    <w:name w:val="toc 5"/>
    <w:basedOn w:val="747"/>
    <w:next w:val="747"/>
    <w:uiPriority w:val="39"/>
    <w:unhideWhenUsed/>
    <w:qFormat/>
    <w:pPr>
      <w:ind w:left="1134"/>
      <w:spacing w:after="57"/>
    </w:pPr>
  </w:style>
  <w:style w:type="paragraph" w:styleId="767">
    <w:name w:val="toc 3"/>
    <w:basedOn w:val="747"/>
    <w:next w:val="747"/>
    <w:uiPriority w:val="39"/>
    <w:unhideWhenUsed/>
    <w:qFormat/>
    <w:pPr>
      <w:ind w:left="567"/>
      <w:spacing w:after="57"/>
    </w:pPr>
  </w:style>
  <w:style w:type="paragraph" w:styleId="768">
    <w:name w:val="Plain Text"/>
    <w:basedOn w:val="747"/>
    <w:uiPriority w:val="0"/>
    <w:qFormat/>
    <w:rPr>
      <w:rFonts w:ascii="宋体" w:hAnsi="Courier New"/>
      <w:sz w:val="20"/>
    </w:rPr>
  </w:style>
  <w:style w:type="paragraph" w:styleId="769">
    <w:name w:val="toc 8"/>
    <w:basedOn w:val="747"/>
    <w:next w:val="747"/>
    <w:uiPriority w:val="39"/>
    <w:unhideWhenUsed/>
    <w:qFormat/>
    <w:pPr>
      <w:ind w:left="1984"/>
      <w:spacing w:after="57"/>
    </w:pPr>
  </w:style>
  <w:style w:type="paragraph" w:styleId="770">
    <w:name w:val="endnote text"/>
    <w:basedOn w:val="747"/>
    <w:link w:val="950"/>
    <w:uiPriority w:val="99"/>
    <w:semiHidden/>
    <w:unhideWhenUsed/>
    <w:qFormat/>
    <w:rPr>
      <w:sz w:val="20"/>
    </w:rPr>
  </w:style>
  <w:style w:type="paragraph" w:styleId="771">
    <w:name w:val="Footer"/>
    <w:basedOn w:val="747"/>
    <w:link w:val="823"/>
    <w:uiPriority w:val="99"/>
    <w:unhideWhenUsed/>
    <w:qFormat/>
    <w:pPr>
      <w:tabs>
        <w:tab w:val="center" w:pos="7143" w:leader="none"/>
        <w:tab w:val="right" w:pos="14287" w:leader="none"/>
      </w:tabs>
    </w:pPr>
  </w:style>
  <w:style w:type="paragraph" w:styleId="772">
    <w:name w:val="Header"/>
    <w:basedOn w:val="747"/>
    <w:link w:val="821"/>
    <w:uiPriority w:val="99"/>
    <w:unhideWhenUsed/>
    <w:qFormat/>
    <w:pPr>
      <w:tabs>
        <w:tab w:val="center" w:pos="7143" w:leader="none"/>
        <w:tab w:val="right" w:pos="14287" w:leader="none"/>
      </w:tabs>
    </w:pPr>
  </w:style>
  <w:style w:type="paragraph" w:styleId="773">
    <w:name w:val="toc 1"/>
    <w:basedOn w:val="747"/>
    <w:next w:val="747"/>
    <w:uiPriority w:val="39"/>
    <w:unhideWhenUsed/>
    <w:qFormat/>
    <w:pPr>
      <w:spacing w:after="57"/>
    </w:pPr>
  </w:style>
  <w:style w:type="paragraph" w:styleId="774">
    <w:name w:val="toc 4"/>
    <w:basedOn w:val="747"/>
    <w:next w:val="747"/>
    <w:uiPriority w:val="39"/>
    <w:unhideWhenUsed/>
    <w:qFormat/>
    <w:pPr>
      <w:ind w:left="850"/>
      <w:spacing w:after="57"/>
    </w:pPr>
  </w:style>
  <w:style w:type="paragraph" w:styleId="775">
    <w:name w:val="index heading"/>
    <w:basedOn w:val="747"/>
    <w:next w:val="776"/>
    <w:uiPriority w:val="99"/>
    <w:unhideWhenUsed/>
    <w:qFormat/>
    <w:rPr>
      <w:rFonts w:ascii="Cambria" w:hAnsi="Cambria" w:eastAsia="宋体" w:cs="Times New Roman"/>
      <w:b/>
      <w:bCs/>
    </w:rPr>
  </w:style>
  <w:style w:type="paragraph" w:styleId="776">
    <w:name w:val="index 1"/>
    <w:basedOn w:val="747"/>
    <w:next w:val="747"/>
    <w:uiPriority w:val="0"/>
    <w:qFormat/>
    <w:pPr>
      <w:jc w:val="center"/>
      <w:spacing w:line="220" w:lineRule="exact"/>
    </w:pPr>
    <w:rPr>
      <w:rFonts w:ascii="仿宋_GB2312" w:eastAsia="仿宋_GB2312"/>
      <w:szCs w:val="20"/>
    </w:rPr>
  </w:style>
  <w:style w:type="paragraph" w:styleId="777">
    <w:name w:val="Subtitle"/>
    <w:basedOn w:val="747"/>
    <w:next w:val="747"/>
    <w:link w:val="816"/>
    <w:uiPriority w:val="11"/>
    <w:qFormat/>
    <w:pPr>
      <w:spacing w:before="200" w:after="200"/>
    </w:pPr>
    <w:rPr>
      <w:sz w:val="24"/>
      <w:szCs w:val="24"/>
    </w:rPr>
  </w:style>
  <w:style w:type="paragraph" w:styleId="778">
    <w:name w:val="footnote text"/>
    <w:basedOn w:val="747"/>
    <w:link w:val="949"/>
    <w:uiPriority w:val="99"/>
    <w:semiHidden/>
    <w:unhideWhenUsed/>
    <w:qFormat/>
    <w:pPr>
      <w:spacing w:after="40"/>
    </w:pPr>
    <w:rPr>
      <w:sz w:val="18"/>
    </w:rPr>
  </w:style>
  <w:style w:type="paragraph" w:styleId="779">
    <w:name w:val="toc 6"/>
    <w:basedOn w:val="747"/>
    <w:next w:val="747"/>
    <w:uiPriority w:val="39"/>
    <w:unhideWhenUsed/>
    <w:qFormat/>
    <w:pPr>
      <w:ind w:left="1417"/>
      <w:spacing w:after="57"/>
    </w:pPr>
  </w:style>
  <w:style w:type="paragraph" w:styleId="780">
    <w:name w:val="table of figures"/>
    <w:basedOn w:val="747"/>
    <w:next w:val="747"/>
    <w:uiPriority w:val="99"/>
    <w:unhideWhenUsed/>
    <w:qFormat/>
  </w:style>
  <w:style w:type="paragraph" w:styleId="781">
    <w:name w:val="toc 2"/>
    <w:basedOn w:val="747"/>
    <w:next w:val="747"/>
    <w:uiPriority w:val="39"/>
    <w:unhideWhenUsed/>
    <w:qFormat/>
    <w:pPr>
      <w:ind w:left="283"/>
      <w:spacing w:after="57"/>
    </w:pPr>
  </w:style>
  <w:style w:type="paragraph" w:styleId="782">
    <w:name w:val="toc 9"/>
    <w:basedOn w:val="747"/>
    <w:next w:val="747"/>
    <w:uiPriority w:val="39"/>
    <w:unhideWhenUsed/>
    <w:qFormat/>
    <w:pPr>
      <w:ind w:left="2268"/>
      <w:spacing w:after="57"/>
    </w:pPr>
  </w:style>
  <w:style w:type="paragraph" w:styleId="783">
    <w:name w:val="Normal (Web)"/>
    <w:basedOn w:val="747"/>
    <w:uiPriority w:val="99"/>
    <w:semiHidden/>
    <w:unhideWhenUsed/>
    <w:qFormat/>
    <w:rPr>
      <w:sz w:val="24"/>
    </w:rPr>
  </w:style>
  <w:style w:type="paragraph" w:styleId="784">
    <w:name w:val="Title"/>
    <w:basedOn w:val="747"/>
    <w:next w:val="747"/>
    <w:link w:val="815"/>
    <w:uiPriority w:val="10"/>
    <w:qFormat/>
    <w:pPr>
      <w:contextualSpacing/>
      <w:spacing w:before="300" w:after="200"/>
    </w:pPr>
    <w:rPr>
      <w:sz w:val="48"/>
      <w:szCs w:val="48"/>
    </w:rPr>
  </w:style>
  <w:style w:type="paragraph" w:styleId="785">
    <w:name w:val="Body Text First Indent 2"/>
    <w:basedOn w:val="763"/>
    <w:next w:val="747"/>
    <w:uiPriority w:val="0"/>
    <w:qFormat/>
    <w:pPr>
      <w:ind w:left="0" w:firstLine="420"/>
      <w:spacing w:after="0" w:line="360" w:lineRule="auto"/>
    </w:pPr>
    <w:rPr>
      <w:rFonts w:ascii="宋体" w:hAnsi="宋体"/>
      <w:szCs w:val="20"/>
    </w:r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footnote reference"/>
    <w:uiPriority w:val="99"/>
    <w:unhideWhenUsed/>
    <w:qFormat/>
    <w:rPr>
      <w:vertAlign w:val="superscript"/>
    </w:rPr>
  </w:style>
  <w:style w:type="paragraph" w:styleId="790" w:customStyle="1">
    <w:name w:val="正文文本缩进1"/>
    <w:basedOn w:val="747"/>
    <w:next w:val="791"/>
    <w:link w:val="974"/>
    <w:uiPriority w:val="0"/>
    <w:unhideWhenUsed/>
    <w:qFormat/>
    <w:pPr>
      <w:ind w:left="420"/>
      <w:spacing w:after="120"/>
    </w:pPr>
  </w:style>
  <w:style w:type="paragraph" w:styleId="791" w:customStyle="1">
    <w:name w:val="正文首行缩进 21"/>
    <w:basedOn w:val="790"/>
    <w:link w:val="1009"/>
    <w:uiPriority w:val="0"/>
    <w:qFormat/>
    <w:pPr>
      <w:ind w:left="0" w:firstLine="420"/>
      <w:spacing w:after="0" w:line="360" w:lineRule="auto"/>
    </w:pPr>
    <w:rPr>
      <w:rFonts w:ascii="宋体" w:hAnsi="宋体"/>
      <w:szCs w:val="20"/>
    </w:rPr>
  </w:style>
  <w:style w:type="character" w:styleId="792" w:customStyle="1">
    <w:name w:val="标题 3 Char"/>
    <w:link w:val="793"/>
    <w:uiPriority w:val="0"/>
    <w:qFormat/>
    <w:rPr>
      <w:rFonts w:ascii="Times New Roman" w:hAnsi="Times New Roman" w:eastAsia="宋体" w:cs="Times New Roman"/>
      <w:b/>
      <w:bCs/>
      <w:sz w:val="32"/>
      <w:szCs w:val="32"/>
    </w:rPr>
  </w:style>
  <w:style w:type="paragraph" w:styleId="793" w:customStyle="1">
    <w:name w:val="标题 31"/>
    <w:basedOn w:val="747"/>
    <w:next w:val="794"/>
    <w:link w:val="792"/>
    <w:uiPriority w:val="0"/>
    <w:qFormat/>
    <w:pPr>
      <w:keepLines/>
      <w:keepNext/>
      <w:spacing w:before="260" w:after="260" w:line="416" w:lineRule="auto"/>
      <w:outlineLvl w:val="2"/>
    </w:pPr>
    <w:rPr>
      <w:b/>
      <w:bCs/>
      <w:sz w:val="32"/>
      <w:szCs w:val="32"/>
    </w:rPr>
  </w:style>
  <w:style w:type="paragraph" w:styleId="794" w:customStyle="1">
    <w:name w:val="正文缩进1"/>
    <w:basedOn w:val="747"/>
    <w:link w:val="958"/>
    <w:uiPriority w:val="0"/>
    <w:qFormat/>
    <w:pPr>
      <w:ind w:firstLine="420"/>
    </w:pPr>
    <w:rPr>
      <w:szCs w:val="21"/>
    </w:rPr>
  </w:style>
  <w:style w:type="character" w:styleId="795" w:customStyle="1">
    <w:name w:val="标题 2 Char"/>
    <w:link w:val="796"/>
    <w:uiPriority w:val="0"/>
    <w:qFormat/>
    <w:rPr>
      <w:rFonts w:ascii="Arial" w:hAnsi="Arial" w:eastAsia="幼圆" w:cs="Arial"/>
      <w:b/>
      <w:bCs/>
      <w:sz w:val="44"/>
      <w:szCs w:val="44"/>
    </w:rPr>
  </w:style>
  <w:style w:type="paragraph" w:styleId="796" w:customStyle="1">
    <w:name w:val="标题 21"/>
    <w:basedOn w:val="747"/>
    <w:next w:val="794"/>
    <w:link w:val="795"/>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97" w:customStyle="1">
    <w:name w:val="标题 1 Char"/>
    <w:link w:val="798"/>
    <w:uiPriority w:val="0"/>
    <w:qFormat/>
    <w:rPr>
      <w:rFonts w:ascii="楷体_GB2312" w:hAnsi="Times New Roman" w:eastAsia="楷体_GB2312" w:cs="Times New Roman"/>
      <w:sz w:val="28"/>
      <w:szCs w:val="28"/>
    </w:rPr>
  </w:style>
  <w:style w:type="paragraph" w:styleId="798" w:customStyle="1">
    <w:name w:val="标题 11"/>
    <w:basedOn w:val="747"/>
    <w:next w:val="747"/>
    <w:link w:val="797"/>
    <w:uiPriority w:val="0"/>
    <w:qFormat/>
    <w:pPr>
      <w:jc w:val="center"/>
      <w:keepNext/>
      <w:outlineLvl w:val="0"/>
    </w:pPr>
    <w:rPr>
      <w:rFonts w:ascii="楷体_GB2312" w:eastAsia="楷体_GB2312"/>
      <w:sz w:val="28"/>
      <w:szCs w:val="28"/>
    </w:rPr>
  </w:style>
  <w:style w:type="character" w:styleId="799" w:customStyle="1">
    <w:name w:val="标题 4 Char"/>
    <w:link w:val="800"/>
    <w:uiPriority w:val="0"/>
    <w:qFormat/>
    <w:rPr>
      <w:rFonts w:ascii="Arial" w:hAnsi="Arial" w:eastAsia="黑体" w:cs="Arial"/>
      <w:b/>
      <w:bCs/>
      <w:sz w:val="28"/>
      <w:szCs w:val="28"/>
    </w:rPr>
  </w:style>
  <w:style w:type="paragraph" w:styleId="800" w:customStyle="1">
    <w:name w:val="标题 41"/>
    <w:basedOn w:val="747"/>
    <w:next w:val="794"/>
    <w:link w:val="799"/>
    <w:uiPriority w:val="0"/>
    <w:qFormat/>
    <w:pPr>
      <w:keepLines/>
      <w:keepNext/>
      <w:spacing w:before="280" w:after="290" w:line="376" w:lineRule="auto"/>
      <w:outlineLvl w:val="3"/>
    </w:pPr>
    <w:rPr>
      <w:rFonts w:ascii="Arial" w:hAnsi="Arial" w:eastAsia="黑体" w:cs="Arial"/>
      <w:b/>
      <w:bCs/>
      <w:sz w:val="28"/>
      <w:szCs w:val="28"/>
    </w:rPr>
  </w:style>
  <w:style w:type="character" w:styleId="801" w:customStyle="1">
    <w:name w:val="font41"/>
    <w:basedOn w:val="802"/>
    <w:link w:val="747"/>
    <w:uiPriority w:val="0"/>
    <w:qFormat/>
    <w:rPr>
      <w:rFonts w:hint="eastAsia" w:ascii="仿宋" w:hAnsi="仿宋" w:eastAsia="仿宋" w:cs="仿宋"/>
      <w:color w:val="000000"/>
      <w:sz w:val="24"/>
      <w:szCs w:val="24"/>
      <w:u w:val="none"/>
    </w:rPr>
  </w:style>
  <w:style w:type="character" w:styleId="802" w:customStyle="1">
    <w:name w:val="默认段落字体1"/>
    <w:link w:val="747"/>
    <w:uiPriority w:val="1"/>
    <w:unhideWhenUsed/>
    <w:qFormat/>
  </w:style>
  <w:style w:type="paragraph" w:styleId="803" w:customStyle="1">
    <w:name w:val="索引 41"/>
    <w:basedOn w:val="747"/>
    <w:next w:val="747"/>
    <w:uiPriority w:val="0"/>
    <w:semiHidden/>
    <w:qFormat/>
    <w:pPr>
      <w:ind w:left="1260"/>
    </w:pPr>
    <w:rPr>
      <w:rFonts w:ascii="Calibri" w:hAnsi="Calibri" w:eastAsia="Calibri" w:cs="宋体"/>
      <w:sz w:val="20"/>
      <w:lang w:val="zh-CN"/>
    </w:rPr>
  </w:style>
  <w:style w:type="character" w:styleId="804" w:customStyle="1">
    <w:name w:val="标题 1 Char1"/>
    <w:link w:val="748"/>
    <w:uiPriority w:val="9"/>
    <w:qFormat/>
    <w:rPr>
      <w:rFonts w:ascii="Arial" w:hAnsi="Arial" w:eastAsia="Arial" w:cs="Arial"/>
      <w:sz w:val="40"/>
      <w:szCs w:val="40"/>
    </w:rPr>
  </w:style>
  <w:style w:type="character" w:styleId="805" w:customStyle="1">
    <w:name w:val="标题 2 Char1"/>
    <w:link w:val="749"/>
    <w:uiPriority w:val="9"/>
    <w:qFormat/>
    <w:rPr>
      <w:rFonts w:ascii="Arial" w:hAnsi="Arial" w:eastAsia="Arial" w:cs="Arial"/>
      <w:sz w:val="34"/>
    </w:rPr>
  </w:style>
  <w:style w:type="character" w:styleId="806" w:customStyle="1">
    <w:name w:val="标题 3 Char1"/>
    <w:link w:val="750"/>
    <w:uiPriority w:val="9"/>
    <w:qFormat/>
    <w:rPr>
      <w:rFonts w:ascii="Arial" w:hAnsi="Arial" w:eastAsia="Arial" w:cs="Arial"/>
      <w:sz w:val="30"/>
      <w:szCs w:val="30"/>
    </w:rPr>
  </w:style>
  <w:style w:type="character" w:styleId="807" w:customStyle="1">
    <w:name w:val="标题 4 Char1"/>
    <w:link w:val="751"/>
    <w:uiPriority w:val="9"/>
    <w:qFormat/>
    <w:rPr>
      <w:rFonts w:ascii="Arial" w:hAnsi="Arial" w:eastAsia="Arial" w:cs="Arial"/>
      <w:b/>
      <w:bCs/>
      <w:sz w:val="26"/>
      <w:szCs w:val="26"/>
    </w:rPr>
  </w:style>
  <w:style w:type="character" w:styleId="808" w:customStyle="1">
    <w:name w:val="标题 5 Char1"/>
    <w:link w:val="752"/>
    <w:uiPriority w:val="9"/>
    <w:qFormat/>
    <w:rPr>
      <w:rFonts w:ascii="Arial" w:hAnsi="Arial" w:eastAsia="Arial" w:cs="Arial"/>
      <w:b/>
      <w:bCs/>
      <w:sz w:val="24"/>
      <w:szCs w:val="24"/>
    </w:rPr>
  </w:style>
  <w:style w:type="character" w:styleId="809" w:customStyle="1">
    <w:name w:val="标题 6 Char1"/>
    <w:link w:val="753"/>
    <w:uiPriority w:val="9"/>
    <w:qFormat/>
    <w:rPr>
      <w:rFonts w:ascii="Arial" w:hAnsi="Arial" w:eastAsia="Arial" w:cs="Arial"/>
      <w:b/>
      <w:bCs/>
      <w:sz w:val="22"/>
      <w:szCs w:val="22"/>
    </w:rPr>
  </w:style>
  <w:style w:type="character" w:styleId="810" w:customStyle="1">
    <w:name w:val="标题 7 Char1"/>
    <w:link w:val="754"/>
    <w:uiPriority w:val="9"/>
    <w:qFormat/>
    <w:rPr>
      <w:rFonts w:ascii="Arial" w:hAnsi="Arial" w:eastAsia="Arial" w:cs="Arial"/>
      <w:b/>
      <w:bCs/>
      <w:i/>
      <w:iCs/>
      <w:sz w:val="22"/>
      <w:szCs w:val="22"/>
    </w:rPr>
  </w:style>
  <w:style w:type="character" w:styleId="811" w:customStyle="1">
    <w:name w:val="标题 8 Char1"/>
    <w:link w:val="755"/>
    <w:uiPriority w:val="9"/>
    <w:qFormat/>
    <w:rPr>
      <w:rFonts w:ascii="Arial" w:hAnsi="Arial" w:eastAsia="Arial" w:cs="Arial"/>
      <w:i/>
      <w:iCs/>
      <w:sz w:val="22"/>
      <w:szCs w:val="22"/>
    </w:rPr>
  </w:style>
  <w:style w:type="character" w:styleId="812" w:customStyle="1">
    <w:name w:val="标题 9 Char1"/>
    <w:link w:val="756"/>
    <w:uiPriority w:val="9"/>
    <w:qFormat/>
    <w:rPr>
      <w:rFonts w:ascii="Arial" w:hAnsi="Arial" w:eastAsia="Arial" w:cs="Arial"/>
      <w:i/>
      <w:iCs/>
      <w:sz w:val="21"/>
      <w:szCs w:val="21"/>
    </w:rPr>
  </w:style>
  <w:style w:type="paragraph" w:styleId="813">
    <w:name w:val="List Paragraph"/>
    <w:basedOn w:val="747"/>
    <w:uiPriority w:val="34"/>
    <w:qFormat/>
    <w:pPr>
      <w:contextualSpacing/>
      <w:ind w:left="720"/>
    </w:p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Char"/>
    <w:link w:val="784"/>
    <w:uiPriority w:val="10"/>
    <w:qFormat/>
    <w:rPr>
      <w:sz w:val="48"/>
      <w:szCs w:val="48"/>
    </w:rPr>
  </w:style>
  <w:style w:type="character" w:styleId="816" w:customStyle="1">
    <w:name w:val="副标题 Char"/>
    <w:link w:val="777"/>
    <w:uiPriority w:val="11"/>
    <w:qFormat/>
    <w:rPr>
      <w:sz w:val="24"/>
      <w:szCs w:val="24"/>
    </w:rPr>
  </w:style>
  <w:style w:type="paragraph" w:styleId="817">
    <w:name w:val="Quote"/>
    <w:basedOn w:val="747"/>
    <w:next w:val="747"/>
    <w:link w:val="818"/>
    <w:uiPriority w:val="29"/>
    <w:qFormat/>
    <w:pPr>
      <w:ind w:left="720" w:right="720"/>
    </w:pPr>
    <w:rPr>
      <w:i/>
    </w:rPr>
  </w:style>
  <w:style w:type="character" w:styleId="818" w:customStyle="1">
    <w:name w:val="引用 Char"/>
    <w:link w:val="817"/>
    <w:uiPriority w:val="29"/>
    <w:qFormat/>
    <w:rPr>
      <w:i/>
    </w:rPr>
  </w:style>
  <w:style w:type="paragraph" w:styleId="819">
    <w:name w:val="Intense Quote"/>
    <w:basedOn w:val="747"/>
    <w:next w:val="747"/>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character" w:styleId="821" w:customStyle="1">
    <w:name w:val="页眉 Char1"/>
    <w:link w:val="772"/>
    <w:uiPriority w:val="99"/>
    <w:qFormat/>
  </w:style>
  <w:style w:type="character" w:styleId="822" w:customStyle="1">
    <w:name w:val="Footer Char"/>
    <w:uiPriority w:val="99"/>
    <w:qFormat/>
  </w:style>
  <w:style w:type="character" w:styleId="823" w:customStyle="1">
    <w:name w:val="页脚 Char1"/>
    <w:link w:val="771"/>
    <w:uiPriority w:val="99"/>
    <w:qFormat/>
  </w:style>
  <w:style w:type="table" w:styleId="8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脚注文本 Char"/>
    <w:link w:val="778"/>
    <w:uiPriority w:val="99"/>
    <w:qFormat/>
    <w:rPr>
      <w:sz w:val="18"/>
    </w:rPr>
  </w:style>
  <w:style w:type="character" w:styleId="950" w:customStyle="1">
    <w:name w:val="尾注文本 Char"/>
    <w:link w:val="770"/>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paragraph" w:styleId="952" w:customStyle="1">
    <w:name w:val="标题 51"/>
    <w:basedOn w:val="747"/>
    <w:next w:val="794"/>
    <w:link w:val="959"/>
    <w:uiPriority w:val="0"/>
    <w:qFormat/>
    <w:pPr>
      <w:keepNext/>
      <w:outlineLvl w:val="4"/>
    </w:pPr>
    <w:rPr>
      <w:rFonts w:ascii="宋体"/>
      <w:color w:val="000000"/>
      <w:sz w:val="28"/>
      <w:szCs w:val="28"/>
    </w:rPr>
  </w:style>
  <w:style w:type="paragraph" w:styleId="953" w:customStyle="1">
    <w:name w:val="标题 61"/>
    <w:basedOn w:val="747"/>
    <w:next w:val="747"/>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4" w:customStyle="1">
    <w:name w:val="标题 71"/>
    <w:basedOn w:val="747"/>
    <w:next w:val="747"/>
    <w:link w:val="961"/>
    <w:uiPriority w:val="0"/>
    <w:qFormat/>
    <w:pPr>
      <w:numPr>
        <w:ilvl w:val="6"/>
        <w:numId w:val="1"/>
      </w:numPr>
      <w:keepLines/>
      <w:keepNext/>
      <w:spacing w:before="240" w:after="64" w:line="320" w:lineRule="auto"/>
      <w:outlineLvl w:val="6"/>
    </w:pPr>
    <w:rPr>
      <w:b/>
      <w:bCs/>
      <w:sz w:val="24"/>
      <w:szCs w:val="24"/>
    </w:rPr>
  </w:style>
  <w:style w:type="paragraph" w:styleId="955" w:customStyle="1">
    <w:name w:val="标题 81"/>
    <w:basedOn w:val="747"/>
    <w:next w:val="747"/>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6" w:customStyle="1">
    <w:name w:val="标题 91"/>
    <w:basedOn w:val="747"/>
    <w:next w:val="747"/>
    <w:link w:val="963"/>
    <w:uiPriority w:val="0"/>
    <w:qFormat/>
    <w:pPr>
      <w:numPr>
        <w:ilvl w:val="8"/>
        <w:numId w:val="1"/>
      </w:numPr>
      <w:keepLines/>
      <w:keepNext/>
      <w:spacing w:before="240" w:after="64" w:line="320" w:lineRule="auto"/>
      <w:outlineLvl w:val="8"/>
    </w:pPr>
    <w:rPr>
      <w:rFonts w:ascii="Arial" w:hAnsi="Arial" w:eastAsia="黑体"/>
      <w:szCs w:val="21"/>
    </w:rPr>
  </w:style>
  <w:style w:type="table" w:styleId="957" w:customStyle="1">
    <w:name w:val="普通表格11"/>
    <w:uiPriority w:val="99"/>
    <w:unhideWhenUsed/>
    <w:qFormat/>
    <w:tblPr>
      <w:tblCellMar>
        <w:left w:w="0" w:type="dxa"/>
        <w:top w:w="0" w:type="dxa"/>
        <w:right w:w="0" w:type="dxa"/>
        <w:bottom w:w="0" w:type="dxa"/>
      </w:tblCellMar>
    </w:tblPr>
  </w:style>
  <w:style w:type="character" w:styleId="958" w:customStyle="1">
    <w:name w:val="正文缩进 Char"/>
    <w:link w:val="794"/>
    <w:uiPriority w:val="0"/>
    <w:qFormat/>
    <w:rPr>
      <w:szCs w:val="21"/>
    </w:rPr>
  </w:style>
  <w:style w:type="character" w:styleId="959" w:customStyle="1">
    <w:name w:val="标题 5 Char"/>
    <w:link w:val="952"/>
    <w:uiPriority w:val="0"/>
    <w:qFormat/>
    <w:rPr>
      <w:rFonts w:ascii="宋体" w:hAnsi="Times New Roman" w:eastAsia="宋体" w:cs="Times New Roman"/>
      <w:color w:val="000000"/>
      <w:sz w:val="28"/>
      <w:szCs w:val="28"/>
    </w:rPr>
  </w:style>
  <w:style w:type="character" w:styleId="960" w:customStyle="1">
    <w:name w:val="标题 6 Char"/>
    <w:link w:val="953"/>
    <w:uiPriority w:val="0"/>
    <w:qFormat/>
    <w:rPr>
      <w:rFonts w:ascii="Arial" w:hAnsi="Arial" w:eastAsia="黑体" w:cs="Times New Roman"/>
      <w:b/>
      <w:bCs/>
      <w:sz w:val="24"/>
      <w:szCs w:val="24"/>
    </w:rPr>
  </w:style>
  <w:style w:type="character" w:styleId="961" w:customStyle="1">
    <w:name w:val="标题 7 Char"/>
    <w:link w:val="954"/>
    <w:uiPriority w:val="0"/>
    <w:qFormat/>
    <w:rPr>
      <w:rFonts w:ascii="Times New Roman" w:hAnsi="Times New Roman" w:eastAsia="宋体" w:cs="Times New Roman"/>
      <w:b/>
      <w:bCs/>
      <w:sz w:val="24"/>
      <w:szCs w:val="24"/>
    </w:rPr>
  </w:style>
  <w:style w:type="character" w:styleId="962" w:customStyle="1">
    <w:name w:val="标题 8 Char"/>
    <w:link w:val="955"/>
    <w:uiPriority w:val="0"/>
    <w:qFormat/>
    <w:rPr>
      <w:rFonts w:ascii="Arial" w:hAnsi="Arial" w:eastAsia="黑体" w:cs="Times New Roman"/>
      <w:sz w:val="24"/>
      <w:szCs w:val="24"/>
    </w:rPr>
  </w:style>
  <w:style w:type="character" w:styleId="963" w:customStyle="1">
    <w:name w:val="标题 9 Char"/>
    <w:link w:val="956"/>
    <w:uiPriority w:val="0"/>
    <w:qFormat/>
    <w:rPr>
      <w:rFonts w:ascii="Arial" w:hAnsi="Arial" w:eastAsia="黑体" w:cs="Times New Roman"/>
      <w:szCs w:val="21"/>
    </w:rPr>
  </w:style>
  <w:style w:type="paragraph" w:styleId="964" w:customStyle="1">
    <w:name w:val="列表 31"/>
    <w:basedOn w:val="747"/>
    <w:uiPriority w:val="0"/>
    <w:qFormat/>
    <w:pPr>
      <w:ind w:left="100" w:hanging="200"/>
    </w:pPr>
    <w:rPr>
      <w:szCs w:val="21"/>
    </w:rPr>
  </w:style>
  <w:style w:type="paragraph" w:styleId="965" w:customStyle="1">
    <w:name w:val="目录 71"/>
    <w:basedOn w:val="747"/>
    <w:next w:val="747"/>
    <w:uiPriority w:val="0"/>
    <w:semiHidden/>
    <w:qFormat/>
    <w:pPr>
      <w:ind w:left="1260"/>
      <w:jc w:val="left"/>
    </w:pPr>
    <w:rPr>
      <w:szCs w:val="21"/>
    </w:rPr>
  </w:style>
  <w:style w:type="paragraph" w:styleId="966" w:customStyle="1">
    <w:name w:val="文档结构图1"/>
    <w:basedOn w:val="747"/>
    <w:link w:val="967"/>
    <w:uiPriority w:val="0"/>
    <w:semiHidden/>
    <w:qFormat/>
    <w:pPr>
      <w:shd w:val="clear" w:color="auto" w:fill="000080"/>
    </w:pPr>
    <w:rPr>
      <w:szCs w:val="21"/>
    </w:rPr>
  </w:style>
  <w:style w:type="character" w:styleId="967" w:customStyle="1">
    <w:name w:val="文档结构图 Char"/>
    <w:link w:val="966"/>
    <w:uiPriority w:val="0"/>
    <w:semiHidden/>
    <w:qFormat/>
    <w:rPr>
      <w:rFonts w:ascii="Times New Roman" w:hAnsi="Times New Roman" w:eastAsia="宋体" w:cs="Times New Roman"/>
      <w:szCs w:val="21"/>
      <w:shd w:val="clear" w:color="auto" w:fill="000080"/>
    </w:rPr>
  </w:style>
  <w:style w:type="paragraph" w:styleId="968" w:customStyle="1">
    <w:name w:val="批注文字1"/>
    <w:basedOn w:val="747"/>
    <w:link w:val="969"/>
    <w:uiPriority w:val="0"/>
    <w:unhideWhenUsed/>
    <w:qFormat/>
    <w:pPr>
      <w:jc w:val="left"/>
    </w:pPr>
  </w:style>
  <w:style w:type="character" w:styleId="969" w:customStyle="1">
    <w:name w:val="批注文字 Char"/>
    <w:basedOn w:val="802"/>
    <w:link w:val="968"/>
    <w:uiPriority w:val="99"/>
    <w:semiHidden/>
    <w:qFormat/>
  </w:style>
  <w:style w:type="paragraph" w:styleId="970" w:customStyle="1">
    <w:name w:val="正文文本 31"/>
    <w:basedOn w:val="747"/>
    <w:link w:val="971"/>
    <w:uiPriority w:val="0"/>
    <w:qFormat/>
    <w:rPr>
      <w:rFonts w:ascii="仿宋_GB2312" w:hAnsi="Arial" w:eastAsia="仿宋_GB2312"/>
      <w:sz w:val="32"/>
      <w:szCs w:val="32"/>
    </w:rPr>
  </w:style>
  <w:style w:type="character" w:styleId="971" w:customStyle="1">
    <w:name w:val="正文文本 3 Char"/>
    <w:link w:val="970"/>
    <w:uiPriority w:val="0"/>
    <w:qFormat/>
    <w:rPr>
      <w:rFonts w:ascii="仿宋_GB2312" w:hAnsi="Arial" w:eastAsia="仿宋_GB2312" w:cs="Times New Roman"/>
      <w:sz w:val="32"/>
      <w:szCs w:val="32"/>
    </w:rPr>
  </w:style>
  <w:style w:type="paragraph" w:styleId="972" w:customStyle="1">
    <w:name w:val="正文文本11"/>
    <w:basedOn w:val="747"/>
    <w:link w:val="973"/>
    <w:uiPriority w:val="0"/>
    <w:qFormat/>
    <w:rPr>
      <w:rFonts w:ascii="楷体_GB2312" w:hAnsi="Arial" w:eastAsia="楷体_GB2312"/>
      <w:sz w:val="28"/>
      <w:szCs w:val="28"/>
    </w:rPr>
  </w:style>
  <w:style w:type="character" w:styleId="973" w:customStyle="1">
    <w:name w:val="正文文本 Char"/>
    <w:link w:val="972"/>
    <w:uiPriority w:val="0"/>
    <w:qFormat/>
    <w:rPr>
      <w:rFonts w:ascii="楷体_GB2312" w:hAnsi="Arial" w:eastAsia="楷体_GB2312" w:cs="Times New Roman"/>
      <w:sz w:val="28"/>
      <w:szCs w:val="28"/>
    </w:rPr>
  </w:style>
  <w:style w:type="character" w:styleId="974" w:customStyle="1">
    <w:name w:val="正文文本缩进 Char"/>
    <w:basedOn w:val="802"/>
    <w:link w:val="790"/>
    <w:uiPriority w:val="99"/>
    <w:semiHidden/>
    <w:qFormat/>
  </w:style>
  <w:style w:type="paragraph" w:styleId="975" w:customStyle="1">
    <w:name w:val="列表 21"/>
    <w:basedOn w:val="747"/>
    <w:uiPriority w:val="0"/>
    <w:qFormat/>
    <w:pPr>
      <w:ind w:left="100" w:hanging="200"/>
    </w:pPr>
    <w:rPr>
      <w:szCs w:val="21"/>
    </w:rPr>
  </w:style>
  <w:style w:type="paragraph" w:styleId="976" w:customStyle="1">
    <w:name w:val="索引 42"/>
    <w:basedOn w:val="747"/>
    <w:next w:val="747"/>
    <w:uiPriority w:val="0"/>
    <w:semiHidden/>
    <w:qFormat/>
    <w:pPr>
      <w:ind w:left="1260"/>
    </w:pPr>
    <w:rPr>
      <w:rFonts w:ascii="Calibri" w:hAnsi="Calibri" w:eastAsia="Calibri" w:cs="宋体"/>
      <w:sz w:val="20"/>
      <w:lang w:val="zh-CN"/>
    </w:rPr>
  </w:style>
  <w:style w:type="paragraph" w:styleId="977" w:customStyle="1">
    <w:name w:val="目录 51"/>
    <w:basedOn w:val="747"/>
    <w:next w:val="747"/>
    <w:uiPriority w:val="0"/>
    <w:semiHidden/>
    <w:qFormat/>
    <w:pPr>
      <w:ind w:left="840"/>
      <w:jc w:val="left"/>
    </w:pPr>
    <w:rPr>
      <w:szCs w:val="21"/>
    </w:rPr>
  </w:style>
  <w:style w:type="paragraph" w:styleId="978" w:customStyle="1">
    <w:name w:val="目录 31"/>
    <w:basedOn w:val="747"/>
    <w:next w:val="747"/>
    <w:uiPriority w:val="0"/>
    <w:semiHidden/>
    <w:qFormat/>
    <w:pPr>
      <w:ind w:left="420"/>
      <w:jc w:val="left"/>
    </w:pPr>
    <w:rPr>
      <w:i/>
      <w:iCs/>
      <w:szCs w:val="24"/>
    </w:rPr>
  </w:style>
  <w:style w:type="paragraph" w:styleId="979" w:customStyle="1">
    <w:name w:val="纯文本1"/>
    <w:basedOn w:val="747"/>
    <w:link w:val="980"/>
    <w:uiPriority w:val="0"/>
    <w:qFormat/>
    <w:rPr>
      <w:rFonts w:ascii="宋体" w:hAnsi="Courier New" w:cs="Courier New"/>
      <w:szCs w:val="21"/>
    </w:rPr>
  </w:style>
  <w:style w:type="character" w:styleId="980" w:customStyle="1">
    <w:name w:val="纯文本 Char"/>
    <w:link w:val="979"/>
    <w:uiPriority w:val="0"/>
    <w:qFormat/>
    <w:rPr>
      <w:rFonts w:ascii="宋体" w:hAnsi="Courier New" w:eastAsia="宋体" w:cs="Courier New"/>
      <w:szCs w:val="21"/>
    </w:rPr>
  </w:style>
  <w:style w:type="paragraph" w:styleId="981" w:customStyle="1">
    <w:name w:val="目录 81"/>
    <w:basedOn w:val="747"/>
    <w:next w:val="747"/>
    <w:uiPriority w:val="0"/>
    <w:semiHidden/>
    <w:qFormat/>
    <w:pPr>
      <w:ind w:left="1470"/>
      <w:jc w:val="left"/>
    </w:pPr>
    <w:rPr>
      <w:szCs w:val="21"/>
    </w:rPr>
  </w:style>
  <w:style w:type="paragraph" w:styleId="982" w:customStyle="1">
    <w:name w:val="日期1"/>
    <w:basedOn w:val="747"/>
    <w:next w:val="747"/>
    <w:link w:val="983"/>
    <w:uiPriority w:val="0"/>
    <w:qFormat/>
    <w:rPr>
      <w:sz w:val="24"/>
      <w:szCs w:val="24"/>
    </w:rPr>
  </w:style>
  <w:style w:type="character" w:styleId="983" w:customStyle="1">
    <w:name w:val="日期 Char"/>
    <w:link w:val="982"/>
    <w:uiPriority w:val="0"/>
    <w:qFormat/>
    <w:rPr>
      <w:rFonts w:ascii="Times New Roman" w:hAnsi="Times New Roman" w:eastAsia="宋体" w:cs="Times New Roman"/>
      <w:sz w:val="24"/>
      <w:szCs w:val="24"/>
    </w:rPr>
  </w:style>
  <w:style w:type="paragraph" w:styleId="984" w:customStyle="1">
    <w:name w:val="正文文本缩进 21"/>
    <w:basedOn w:val="747"/>
    <w:link w:val="985"/>
    <w:uiPriority w:val="0"/>
    <w:qFormat/>
    <w:pPr>
      <w:ind w:left="630" w:firstLine="645"/>
    </w:pPr>
    <w:rPr>
      <w:rFonts w:ascii="Arial" w:hAnsi="Arial" w:eastAsia="仿宋_GB2312" w:cs="Arial"/>
      <w:sz w:val="32"/>
      <w:szCs w:val="32"/>
    </w:rPr>
  </w:style>
  <w:style w:type="character" w:styleId="985" w:customStyle="1">
    <w:name w:val="正文文本缩进 2 Char"/>
    <w:link w:val="984"/>
    <w:uiPriority w:val="0"/>
    <w:qFormat/>
    <w:rPr>
      <w:rFonts w:ascii="Arial" w:hAnsi="Arial" w:eastAsia="仿宋_GB2312" w:cs="Arial"/>
      <w:sz w:val="32"/>
      <w:szCs w:val="32"/>
    </w:rPr>
  </w:style>
  <w:style w:type="paragraph" w:styleId="986" w:customStyle="1">
    <w:name w:val="批注框文本1"/>
    <w:basedOn w:val="747"/>
    <w:link w:val="987"/>
    <w:uiPriority w:val="0"/>
    <w:semiHidden/>
    <w:qFormat/>
    <w:rPr>
      <w:sz w:val="18"/>
      <w:szCs w:val="18"/>
    </w:rPr>
  </w:style>
  <w:style w:type="character" w:styleId="987" w:customStyle="1">
    <w:name w:val="批注框文本 Char"/>
    <w:link w:val="986"/>
    <w:uiPriority w:val="0"/>
    <w:semiHidden/>
    <w:qFormat/>
    <w:rPr>
      <w:rFonts w:ascii="Times New Roman" w:hAnsi="Times New Roman" w:eastAsia="宋体" w:cs="Times New Roman"/>
      <w:sz w:val="18"/>
      <w:szCs w:val="18"/>
    </w:rPr>
  </w:style>
  <w:style w:type="paragraph" w:styleId="988" w:customStyle="1">
    <w:name w:val="页脚1"/>
    <w:basedOn w:val="747"/>
    <w:link w:val="989"/>
    <w:uiPriority w:val="0"/>
    <w:qFormat/>
    <w:pPr>
      <w:jc w:val="left"/>
      <w:tabs>
        <w:tab w:val="center" w:pos="4153" w:leader="none"/>
        <w:tab w:val="right" w:pos="8306" w:leader="none"/>
      </w:tabs>
    </w:pPr>
    <w:rPr>
      <w:sz w:val="18"/>
      <w:szCs w:val="18"/>
    </w:rPr>
  </w:style>
  <w:style w:type="character" w:styleId="989" w:customStyle="1">
    <w:name w:val="页脚 Char"/>
    <w:link w:val="988"/>
    <w:uiPriority w:val="0"/>
    <w:qFormat/>
    <w:rPr>
      <w:rFonts w:ascii="Times New Roman" w:hAnsi="Times New Roman" w:eastAsia="宋体" w:cs="Times New Roman"/>
      <w:sz w:val="18"/>
      <w:szCs w:val="18"/>
    </w:rPr>
  </w:style>
  <w:style w:type="paragraph" w:styleId="990" w:customStyle="1">
    <w:name w:val="页眉1"/>
    <w:basedOn w:val="747"/>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Char"/>
    <w:link w:val="990"/>
    <w:uiPriority w:val="0"/>
    <w:qFormat/>
    <w:rPr>
      <w:rFonts w:ascii="Times New Roman" w:hAnsi="Times New Roman" w:eastAsia="宋体" w:cs="Times New Roman"/>
      <w:sz w:val="18"/>
      <w:szCs w:val="18"/>
    </w:rPr>
  </w:style>
  <w:style w:type="paragraph" w:styleId="992" w:customStyle="1">
    <w:name w:val="目录 11"/>
    <w:basedOn w:val="747"/>
    <w:next w:val="747"/>
    <w:uiPriority w:val="0"/>
    <w:semiHidden/>
    <w:qFormat/>
    <w:pPr>
      <w:jc w:val="left"/>
      <w:spacing w:before="120" w:after="120" w:line="400" w:lineRule="exact"/>
      <w:tabs>
        <w:tab w:val="right" w:pos="8720" w:leader="dot"/>
      </w:tabs>
    </w:pPr>
    <w:rPr>
      <w:rFonts w:ascii="宋体" w:hAnsi="宋体"/>
      <w:caps/>
      <w:sz w:val="24"/>
      <w:szCs w:val="24"/>
    </w:rPr>
  </w:style>
  <w:style w:type="paragraph" w:styleId="993" w:customStyle="1">
    <w:name w:val="目录 41"/>
    <w:basedOn w:val="747"/>
    <w:next w:val="747"/>
    <w:uiPriority w:val="0"/>
    <w:semiHidden/>
    <w:qFormat/>
    <w:pPr>
      <w:ind w:left="630"/>
      <w:jc w:val="left"/>
    </w:pPr>
    <w:rPr>
      <w:szCs w:val="21"/>
    </w:rPr>
  </w:style>
  <w:style w:type="paragraph" w:styleId="994" w:customStyle="1">
    <w:name w:val="列表1"/>
    <w:basedOn w:val="747"/>
    <w:uiPriority w:val="0"/>
    <w:qFormat/>
    <w:pPr>
      <w:ind w:left="200" w:hanging="200"/>
    </w:pPr>
    <w:rPr>
      <w:szCs w:val="21"/>
    </w:rPr>
  </w:style>
  <w:style w:type="paragraph" w:styleId="995" w:customStyle="1">
    <w:name w:val="目录 61"/>
    <w:basedOn w:val="747"/>
    <w:next w:val="747"/>
    <w:uiPriority w:val="0"/>
    <w:semiHidden/>
    <w:qFormat/>
    <w:pPr>
      <w:ind w:left="1050"/>
      <w:jc w:val="left"/>
    </w:pPr>
    <w:rPr>
      <w:szCs w:val="21"/>
    </w:rPr>
  </w:style>
  <w:style w:type="paragraph" w:styleId="996" w:customStyle="1">
    <w:name w:val="正文文本缩进 31"/>
    <w:basedOn w:val="747"/>
    <w:link w:val="997"/>
    <w:uiPriority w:val="0"/>
    <w:qFormat/>
    <w:pPr>
      <w:ind w:left="645" w:firstLine="645"/>
    </w:pPr>
    <w:rPr>
      <w:rFonts w:ascii="Arial" w:hAnsi="Arial" w:eastAsia="仿宋_GB2312" w:cs="Arial"/>
      <w:color w:val="ffff00"/>
      <w:sz w:val="32"/>
      <w:szCs w:val="32"/>
    </w:rPr>
  </w:style>
  <w:style w:type="character" w:styleId="997" w:customStyle="1">
    <w:name w:val="正文文本缩进 3 Char"/>
    <w:link w:val="996"/>
    <w:uiPriority w:val="0"/>
    <w:qFormat/>
    <w:rPr>
      <w:rFonts w:ascii="Arial" w:hAnsi="Arial" w:eastAsia="仿宋_GB2312" w:cs="Arial"/>
      <w:color w:val="ffff00"/>
      <w:sz w:val="32"/>
      <w:szCs w:val="32"/>
    </w:rPr>
  </w:style>
  <w:style w:type="paragraph" w:styleId="998" w:customStyle="1">
    <w:name w:val="图表目录1"/>
    <w:basedOn w:val="747"/>
    <w:next w:val="747"/>
    <w:uiPriority w:val="0"/>
    <w:semiHidden/>
    <w:qFormat/>
    <w:pPr>
      <w:ind w:left="840" w:hanging="420"/>
    </w:pPr>
    <w:rPr>
      <w:szCs w:val="21"/>
    </w:rPr>
  </w:style>
  <w:style w:type="paragraph" w:styleId="999" w:customStyle="1">
    <w:name w:val="目录 21"/>
    <w:basedOn w:val="747"/>
    <w:next w:val="747"/>
    <w:uiPriority w:val="0"/>
    <w:semiHidden/>
    <w:qFormat/>
    <w:pPr>
      <w:ind w:left="210"/>
      <w:jc w:val="left"/>
    </w:pPr>
    <w:rPr>
      <w:smallCaps/>
      <w:szCs w:val="24"/>
    </w:rPr>
  </w:style>
  <w:style w:type="paragraph" w:styleId="1000" w:customStyle="1">
    <w:name w:val="目录 91"/>
    <w:basedOn w:val="747"/>
    <w:next w:val="747"/>
    <w:uiPriority w:val="0"/>
    <w:semiHidden/>
    <w:qFormat/>
    <w:pPr>
      <w:ind w:left="1680"/>
      <w:jc w:val="left"/>
    </w:pPr>
    <w:rPr>
      <w:szCs w:val="21"/>
    </w:rPr>
  </w:style>
  <w:style w:type="paragraph" w:styleId="1001" w:customStyle="1">
    <w:name w:val="正文文本 21"/>
    <w:basedOn w:val="747"/>
    <w:link w:val="1002"/>
    <w:uiPriority w:val="0"/>
    <w:qFormat/>
    <w:pPr>
      <w:jc w:val="center"/>
      <w:widowControl/>
    </w:pPr>
    <w:rPr>
      <w:rFonts w:ascii="楷体_GB2312" w:eastAsia="楷体_GB2312"/>
      <w:sz w:val="28"/>
      <w:szCs w:val="28"/>
    </w:rPr>
  </w:style>
  <w:style w:type="character" w:styleId="1002" w:customStyle="1">
    <w:name w:val="正文文本 2 Char"/>
    <w:link w:val="1001"/>
    <w:uiPriority w:val="0"/>
    <w:qFormat/>
    <w:rPr>
      <w:rFonts w:ascii="楷体_GB2312" w:hAnsi="Times New Roman" w:eastAsia="楷体_GB2312" w:cs="Times New Roman"/>
      <w:sz w:val="28"/>
      <w:szCs w:val="28"/>
    </w:rPr>
  </w:style>
  <w:style w:type="paragraph" w:styleId="1003" w:customStyle="1">
    <w:name w:val="普通(网站)1"/>
    <w:basedOn w:val="747"/>
    <w:uiPriority w:val="99"/>
    <w:qFormat/>
    <w:pPr>
      <w:jc w:val="left"/>
      <w:spacing w:before="100" w:beforeAutospacing="1" w:after="100" w:afterAutospacing="1"/>
      <w:widowControl/>
    </w:pPr>
    <w:rPr>
      <w:rFonts w:ascii="宋体" w:hAnsi="宋体" w:cs="宋体"/>
      <w:sz w:val="24"/>
      <w:szCs w:val="24"/>
    </w:rPr>
  </w:style>
  <w:style w:type="paragraph" w:styleId="1004" w:customStyle="1">
    <w:name w:val="索引 11"/>
    <w:basedOn w:val="747"/>
    <w:next w:val="747"/>
    <w:uiPriority w:val="0"/>
    <w:semiHidden/>
    <w:qFormat/>
    <w:pPr>
      <w:spacing w:line="240" w:lineRule="atLeast"/>
    </w:pPr>
    <w:rPr>
      <w:b/>
      <w:bCs/>
      <w:szCs w:val="21"/>
    </w:rPr>
  </w:style>
  <w:style w:type="paragraph" w:styleId="1005" w:customStyle="1">
    <w:name w:val="批注主题1"/>
    <w:basedOn w:val="968"/>
    <w:next w:val="968"/>
    <w:link w:val="1006"/>
    <w:uiPriority w:val="0"/>
    <w:semiHidden/>
    <w:qFormat/>
    <w:rPr>
      <w:b/>
      <w:bCs/>
      <w:szCs w:val="21"/>
    </w:rPr>
  </w:style>
  <w:style w:type="character" w:styleId="1006" w:customStyle="1">
    <w:name w:val="批注主题 Char"/>
    <w:link w:val="1005"/>
    <w:uiPriority w:val="0"/>
    <w:semiHidden/>
    <w:qFormat/>
    <w:rPr>
      <w:rFonts w:ascii="Times New Roman" w:hAnsi="Times New Roman" w:eastAsia="宋体" w:cs="Times New Roman"/>
      <w:b/>
      <w:bCs/>
      <w:szCs w:val="21"/>
    </w:rPr>
  </w:style>
  <w:style w:type="paragraph" w:styleId="1007" w:customStyle="1">
    <w:name w:val="正文首行缩进1"/>
    <w:basedOn w:val="747"/>
    <w:link w:val="1008"/>
    <w:uiPriority w:val="0"/>
    <w:qFormat/>
    <w:pPr>
      <w:ind w:firstLine="200"/>
      <w:spacing w:line="360" w:lineRule="auto"/>
    </w:pPr>
    <w:rPr>
      <w:rFonts w:ascii="仿宋_GB2312" w:eastAsia="仿宋_GB2312"/>
      <w:sz w:val="30"/>
      <w:szCs w:val="30"/>
    </w:rPr>
  </w:style>
  <w:style w:type="character" w:styleId="1008" w:customStyle="1">
    <w:name w:val="正文首行缩进 Char"/>
    <w:link w:val="1007"/>
    <w:uiPriority w:val="0"/>
    <w:qFormat/>
    <w:rPr>
      <w:rFonts w:ascii="仿宋_GB2312" w:hAnsi="Times New Roman" w:eastAsia="仿宋_GB2312" w:cs="Times New Roman"/>
      <w:sz w:val="30"/>
      <w:szCs w:val="30"/>
    </w:rPr>
  </w:style>
  <w:style w:type="character" w:styleId="1009" w:customStyle="1">
    <w:name w:val="正文首行缩进 2 Char"/>
    <w:link w:val="791"/>
    <w:uiPriority w:val="0"/>
    <w:qFormat/>
    <w:rPr>
      <w:rFonts w:ascii="宋体" w:hAnsi="宋体" w:eastAsia="宋体" w:cs="Times New Roman"/>
      <w:szCs w:val="20"/>
    </w:rPr>
  </w:style>
  <w:style w:type="table" w:styleId="1010" w:customStyle="1">
    <w:name w:val="网格型11"/>
    <w:basedOn w:val="957"/>
    <w:uiPriority w:val="0"/>
    <w:qFormat/>
    <w:pPr>
      <w:jc w:val="both"/>
      <w:widowControl w:val="off"/>
    </w:pPr>
    <w:tblPr/>
  </w:style>
  <w:style w:type="character" w:styleId="1011" w:customStyle="1">
    <w:name w:val="要点1"/>
    <w:uiPriority w:val="0"/>
    <w:qFormat/>
    <w:rPr>
      <w:b/>
      <w:bCs/>
    </w:rPr>
  </w:style>
  <w:style w:type="character" w:styleId="1012" w:customStyle="1">
    <w:name w:val="页码1"/>
    <w:uiPriority w:val="0"/>
    <w:qFormat/>
  </w:style>
  <w:style w:type="character" w:styleId="1013" w:customStyle="1">
    <w:name w:val="已访问的超链接1"/>
    <w:uiPriority w:val="0"/>
    <w:qFormat/>
    <w:rPr>
      <w:color w:val="800080"/>
      <w:u w:val="single"/>
    </w:rPr>
  </w:style>
  <w:style w:type="character" w:styleId="1014" w:customStyle="1">
    <w:name w:val="超链接1"/>
    <w:uiPriority w:val="0"/>
    <w:qFormat/>
    <w:rPr>
      <w:color w:val="0000ff"/>
      <w:u w:val="single"/>
    </w:rPr>
  </w:style>
  <w:style w:type="character" w:styleId="1015" w:customStyle="1">
    <w:name w:val="批注引用1"/>
    <w:uiPriority w:val="0"/>
    <w:semiHidden/>
    <w:qFormat/>
    <w:rPr>
      <w:sz w:val="21"/>
      <w:szCs w:val="21"/>
    </w:rPr>
  </w:style>
  <w:style w:type="character" w:styleId="1016" w:customStyle="1">
    <w:name w:val="font5 Char"/>
    <w:uiPriority w:val="0"/>
    <w:qFormat/>
    <w:rPr>
      <w:rFonts w:ascii="宋体" w:hAnsi="宋体" w:eastAsia="宋体"/>
      <w:sz w:val="28"/>
      <w:szCs w:val="28"/>
      <w:lang w:val="en-US" w:eastAsia="zh-CN" w:bidi="ar-SA"/>
    </w:rPr>
  </w:style>
  <w:style w:type="character" w:styleId="1017" w:customStyle="1">
    <w:name w:val="二级目录 Char"/>
    <w:link w:val="1018"/>
    <w:uiPriority w:val="0"/>
    <w:qFormat/>
    <w:rPr>
      <w:b/>
      <w:sz w:val="30"/>
      <w:szCs w:val="28"/>
    </w:rPr>
  </w:style>
  <w:style w:type="paragraph" w:styleId="1018" w:customStyle="1">
    <w:name w:val="二级目录"/>
    <w:next w:val="747"/>
    <w:link w:val="101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9" w:customStyle="1">
    <w:name w:val="列出段落 Char"/>
    <w:link w:val="1020"/>
    <w:uiPriority w:val="0"/>
    <w:qFormat/>
    <w:rPr>
      <w:rFonts w:ascii="Calibri" w:hAnsi="Calibri"/>
      <w:sz w:val="24"/>
      <w:szCs w:val="24"/>
      <w:lang w:eastAsia="en-US" w:bidi="en-US"/>
    </w:rPr>
  </w:style>
  <w:style w:type="paragraph" w:styleId="1020" w:customStyle="1">
    <w:name w:val="列出段落1"/>
    <w:basedOn w:val="747"/>
    <w:link w:val="1019"/>
    <w:uiPriority w:val="0"/>
    <w:qFormat/>
    <w:pPr>
      <w:contextualSpacing/>
      <w:ind w:left="720"/>
      <w:jc w:val="left"/>
      <w:widowControl/>
    </w:pPr>
    <w:rPr>
      <w:rFonts w:ascii="Calibri" w:hAnsi="Calibri"/>
      <w:sz w:val="24"/>
      <w:szCs w:val="24"/>
      <w:lang w:eastAsia="en-US" w:bidi="en-US"/>
    </w:rPr>
  </w:style>
  <w:style w:type="paragraph" w:styleId="1021" w:customStyle="1">
    <w:name w:val="Body Text(ch)"/>
    <w:basedOn w:val="747"/>
    <w:next w:val="972"/>
    <w:uiPriority w:val="0"/>
    <w:qFormat/>
    <w:pPr>
      <w:spacing w:after="120"/>
    </w:pPr>
    <w:rPr>
      <w:rFonts w:ascii="宋体" w:hAnsi="Arial"/>
      <w:bCs/>
      <w:iCs/>
      <w:szCs w:val="24"/>
    </w:rPr>
  </w:style>
  <w:style w:type="paragraph" w:styleId="1022"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4" w:customStyle="1">
    <w:name w:val="Char"/>
    <w:basedOn w:val="747"/>
    <w:uiPriority w:val="0"/>
    <w:qFormat/>
    <w:pPr>
      <w:ind w:firstLine="200"/>
      <w:tabs>
        <w:tab w:val="left" w:pos="360" w:leader="none"/>
      </w:tabs>
    </w:pPr>
    <w:rPr>
      <w:sz w:val="28"/>
      <w:szCs w:val="30"/>
    </w:rPr>
  </w:style>
  <w:style w:type="paragraph" w:styleId="1025" w:customStyle="1">
    <w:name w:val="Char1"/>
    <w:basedOn w:val="966"/>
    <w:uiPriority w:val="0"/>
    <w:qFormat/>
    <w:rPr>
      <w:rFonts w:ascii="Tahoma" w:hAnsi="Tahoma"/>
      <w:sz w:val="24"/>
      <w:szCs w:val="24"/>
    </w:rPr>
  </w:style>
  <w:style w:type="paragraph" w:styleId="1026" w:customStyle="1">
    <w:name w:val="普通正文"/>
    <w:basedOn w:val="747"/>
    <w:uiPriority w:val="0"/>
    <w:qFormat/>
    <w:pPr>
      <w:ind w:firstLine="480"/>
      <w:jc w:val="left"/>
      <w:spacing w:before="120" w:after="120" w:line="360" w:lineRule="auto"/>
    </w:pPr>
    <w:rPr>
      <w:rFonts w:ascii="Arial" w:hAnsi="Arial"/>
      <w:sz w:val="24"/>
      <w:szCs w:val="24"/>
    </w:rPr>
  </w:style>
  <w:style w:type="paragraph" w:styleId="1027" w:customStyle="1">
    <w:name w:val="table_lines"/>
    <w:basedOn w:val="747"/>
    <w:uiPriority w:val="0"/>
    <w:qFormat/>
    <w:pPr>
      <w:jc w:val="left"/>
      <w:widowControl/>
    </w:pPr>
    <w:rPr>
      <w:sz w:val="20"/>
      <w:szCs w:val="20"/>
      <w:lang w:val="de-DE" w:eastAsia="de-DE"/>
    </w:rPr>
  </w:style>
  <w:style w:type="paragraph" w:styleId="102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29" w:customStyle="1">
    <w:name w:val="font7"/>
    <w:basedOn w:val="747"/>
    <w:uiPriority w:val="0"/>
    <w:qFormat/>
    <w:pPr>
      <w:jc w:val="left"/>
      <w:spacing w:before="100" w:beforeAutospacing="1" w:after="100" w:afterAutospacing="1"/>
      <w:widowControl/>
    </w:pPr>
    <w:rPr>
      <w:rFonts w:hint="eastAsia" w:ascii="宋体" w:hAnsi="宋体"/>
      <w:sz w:val="18"/>
      <w:szCs w:val="18"/>
    </w:rPr>
  </w:style>
  <w:style w:type="paragraph" w:styleId="1030" w:customStyle="1">
    <w:name w:val="Char Char Char Char"/>
    <w:basedOn w:val="966"/>
    <w:uiPriority w:val="0"/>
    <w:qFormat/>
    <w:pPr>
      <w:spacing w:line="360" w:lineRule="auto"/>
    </w:pPr>
    <w:rPr>
      <w:rFonts w:ascii="Tahoma" w:hAnsi="Tahoma"/>
      <w:sz w:val="24"/>
      <w:szCs w:val="24"/>
    </w:rPr>
  </w:style>
  <w:style w:type="paragraph" w:styleId="1031" w:customStyle="1">
    <w:name w:val="列出段落2"/>
    <w:basedOn w:val="747"/>
    <w:uiPriority w:val="0"/>
    <w:qFormat/>
    <w:pPr>
      <w:contextualSpacing/>
      <w:ind w:left="720"/>
      <w:jc w:val="left"/>
      <w:widowControl/>
    </w:pPr>
    <w:rPr>
      <w:rFonts w:ascii="Calibri" w:hAnsi="Calibri"/>
      <w:sz w:val="24"/>
      <w:szCs w:val="24"/>
      <w:lang w:eastAsia="en-US" w:bidi="en-US"/>
    </w:rPr>
  </w:style>
  <w:style w:type="paragraph" w:styleId="1032" w:customStyle="1">
    <w:name w:val="4"/>
    <w:basedOn w:val="747"/>
    <w:next w:val="996"/>
    <w:uiPriority w:val="0"/>
    <w:qFormat/>
    <w:pPr>
      <w:ind w:firstLine="420"/>
      <w:spacing w:line="360" w:lineRule="auto"/>
    </w:pPr>
    <w:rPr>
      <w:color w:val="ff0000"/>
      <w:sz w:val="24"/>
      <w:szCs w:val="24"/>
    </w:rPr>
  </w:style>
  <w:style w:type="paragraph" w:styleId="1033" w:customStyle="1">
    <w:name w:val="普通 (Web)"/>
    <w:basedOn w:val="747"/>
    <w:uiPriority w:val="0"/>
    <w:qFormat/>
    <w:pPr>
      <w:jc w:val="left"/>
      <w:spacing w:before="100" w:beforeAutospacing="1" w:after="100" w:afterAutospacing="1"/>
      <w:widowControl/>
    </w:pPr>
    <w:rPr>
      <w:rFonts w:ascii="宋体" w:hAnsi="宋体"/>
      <w:sz w:val="24"/>
      <w:szCs w:val="24"/>
    </w:rPr>
  </w:style>
  <w:style w:type="paragraph" w:styleId="1034" w:customStyle="1">
    <w:name w:val="Char Char Char Char Char Char Char Char Char Char"/>
    <w:basedOn w:val="747"/>
    <w:uiPriority w:val="0"/>
    <w:qFormat/>
    <w:pPr>
      <w:spacing w:line="360" w:lineRule="auto"/>
    </w:pPr>
    <w:rPr>
      <w:sz w:val="24"/>
      <w:szCs w:val="20"/>
    </w:rPr>
  </w:style>
  <w:style w:type="paragraph" w:styleId="1035" w:customStyle="1">
    <w:name w:val="样式1"/>
    <w:basedOn w:val="747"/>
    <w:uiPriority w:val="0"/>
    <w:qFormat/>
    <w:pPr>
      <w:numPr>
        <w:ilvl w:val="0"/>
        <w:numId w:val="3"/>
      </w:numPr>
    </w:pPr>
    <w:rPr>
      <w:rFonts w:ascii="宋体" w:hAnsi="宋体"/>
      <w:szCs w:val="21"/>
    </w:rPr>
  </w:style>
  <w:style w:type="paragraph" w:styleId="1036" w:customStyle="1">
    <w:name w:val="font6"/>
    <w:basedOn w:val="747"/>
    <w:uiPriority w:val="0"/>
    <w:qFormat/>
    <w:pPr>
      <w:jc w:val="left"/>
      <w:spacing w:before="100" w:beforeAutospacing="1" w:after="100" w:afterAutospacing="1"/>
      <w:widowControl/>
    </w:pPr>
    <w:rPr>
      <w:rFonts w:hint="eastAsia" w:ascii="宋体" w:hAnsi="宋体"/>
      <w:sz w:val="28"/>
      <w:szCs w:val="28"/>
      <w:u w:val="single"/>
    </w:rPr>
  </w:style>
  <w:style w:type="paragraph" w:styleId="1037"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9" w:customStyle="1">
    <w:name w:val="标题3"/>
    <w:basedOn w:val="747"/>
    <w:next w:val="747"/>
    <w:uiPriority w:val="0"/>
    <w:qFormat/>
    <w:pPr>
      <w:ind w:firstLine="624"/>
      <w:spacing w:line="590" w:lineRule="atLeast"/>
    </w:pPr>
    <w:rPr>
      <w:rFonts w:ascii="方正黑体_GBK" w:eastAsia="方正黑体_GBK"/>
      <w:sz w:val="32"/>
      <w:szCs w:val="32"/>
    </w:rPr>
  </w:style>
  <w:style w:type="paragraph" w:styleId="1040"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1"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2" w:customStyle="1">
    <w:name w:val="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043"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4" w:customStyle="1">
    <w:name w:val="Char Char Char Char Char Char Char Char1"/>
    <w:basedOn w:val="747"/>
    <w:uiPriority w:val="0"/>
    <w:qFormat/>
    <w:pPr>
      <w:jc w:val="left"/>
      <w:spacing w:after="160" w:line="240" w:lineRule="exact"/>
      <w:widowControl/>
    </w:pPr>
    <w:rPr>
      <w:rFonts w:ascii="Verdana" w:hAnsi="Verdana"/>
      <w:sz w:val="20"/>
      <w:szCs w:val="20"/>
      <w:lang w:eastAsia="en-US"/>
    </w:rPr>
  </w:style>
  <w:style w:type="paragraph" w:styleId="1045" w:customStyle="1">
    <w:name w:val="xl30"/>
    <w:basedOn w:val="747"/>
    <w:uiPriority w:val="0"/>
    <w:qFormat/>
    <w:pPr>
      <w:jc w:val="center"/>
      <w:spacing w:before="100" w:beforeAutospacing="1" w:after="100" w:afterAutospacing="1"/>
      <w:widowControl/>
    </w:pPr>
    <w:rPr>
      <w:rFonts w:ascii="宋体" w:hAnsi="宋体"/>
      <w:b/>
      <w:bCs/>
      <w:sz w:val="36"/>
      <w:szCs w:val="36"/>
    </w:rPr>
  </w:style>
  <w:style w:type="paragraph" w:styleId="1046" w:customStyle="1">
    <w:name w:val="Char Char Char Char1"/>
    <w:basedOn w:val="966"/>
    <w:uiPriority w:val="0"/>
    <w:qFormat/>
    <w:pPr>
      <w:spacing w:line="360" w:lineRule="auto"/>
    </w:pPr>
    <w:rPr>
      <w:rFonts w:ascii="Tahoma" w:hAnsi="Tahoma"/>
      <w:sz w:val="24"/>
      <w:szCs w:val="24"/>
    </w:rPr>
  </w:style>
  <w:style w:type="paragraph" w:styleId="1047" w:customStyle="1">
    <w:name w:val="table_1stline"/>
    <w:basedOn w:val="747"/>
    <w:uiPriority w:val="0"/>
    <w:qFormat/>
    <w:pPr>
      <w:jc w:val="left"/>
      <w:spacing w:before="120"/>
      <w:widowControl/>
    </w:pPr>
    <w:rPr>
      <w:bCs/>
      <w:sz w:val="20"/>
      <w:szCs w:val="20"/>
      <w:lang w:val="de-DE" w:eastAsia="de-DE"/>
    </w:rPr>
  </w:style>
  <w:style w:type="paragraph" w:styleId="1048" w:customStyle="1">
    <w:name w:val="font5"/>
    <w:basedOn w:val="747"/>
    <w:uiPriority w:val="0"/>
    <w:qFormat/>
    <w:pPr>
      <w:jc w:val="left"/>
      <w:spacing w:before="100" w:beforeAutospacing="1" w:after="100" w:afterAutospacing="1"/>
      <w:widowControl/>
    </w:pPr>
    <w:rPr>
      <w:rFonts w:hint="eastAsia" w:ascii="宋体" w:hAnsi="宋体"/>
      <w:sz w:val="28"/>
      <w:szCs w:val="28"/>
    </w:rPr>
  </w:style>
  <w:style w:type="paragraph" w:styleId="1049" w:customStyle="1">
    <w:name w:val="标题1"/>
    <w:basedOn w:val="747"/>
    <w:next w:val="74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0" w:customStyle="1">
    <w:name w:val="修订1"/>
    <w:uiPriority w:val="99"/>
    <w:semiHidden/>
    <w:qFormat/>
    <w:rPr>
      <w:rFonts w:ascii="Times New Roman" w:hAnsi="Times New Roman" w:eastAsia="宋体" w:cs="Times New Roman"/>
      <w:sz w:val="21"/>
      <w:szCs w:val="21"/>
      <w:lang w:val="en-US" w:eastAsia="zh-CN" w:bidi="ar-SA"/>
    </w:rPr>
  </w:style>
  <w:style w:type="paragraph" w:styleId="105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52" w:customStyle="1">
    <w:name w:val="Table Normal"/>
    <w:uiPriority w:val="0"/>
    <w:qFormat/>
    <w:tblPr>
      <w:tblCellMar>
        <w:left w:w="0" w:type="dxa"/>
        <w:top w:w="0" w:type="dxa"/>
        <w:right w:w="0" w:type="dxa"/>
        <w:bottom w:w="0" w:type="dxa"/>
      </w:tblCellMar>
    </w:tblPr>
  </w:style>
  <w:style w:type="paragraph" w:styleId="1053" w:customStyle="1">
    <w:name w:val="正文文本 211"/>
    <w:basedOn w:val="747"/>
    <w:uiPriority w:val="99"/>
    <w:qFormat/>
    <w:pPr>
      <w:jc w:val="center"/>
    </w:pPr>
    <w:rPr>
      <w:b/>
      <w:bCs/>
      <w:sz w:val="20"/>
      <w:szCs w:val="20"/>
    </w:rPr>
  </w:style>
  <w:style w:type="paragraph" w:styleId="1054" w:customStyle="1">
    <w:name w:val="正文文本1"/>
    <w:basedOn w:val="747"/>
    <w:next w:val="747"/>
    <w:uiPriority w:val="0"/>
    <w:semiHidden/>
    <w:qFormat/>
    <w:rPr>
      <w:rFonts w:ascii="Arial" w:hAnsi="Arial" w:eastAsia="Arial" w:cs="Arial"/>
      <w:szCs w:val="21"/>
      <w:lang w:eastAsia="en-US"/>
    </w:rPr>
  </w:style>
  <w:style w:type="paragraph" w:styleId="1055" w:customStyle="1">
    <w:name w:val="正文文本12"/>
    <w:basedOn w:val="747"/>
    <w:uiPriority w:val="1"/>
    <w:qFormat/>
    <w:pPr>
      <w:ind w:left="120"/>
    </w:pPr>
    <w:rPr>
      <w:rFonts w:ascii="宋体" w:hAnsi="宋体" w:cs="宋体"/>
      <w:szCs w:val="21"/>
      <w:lang w:val="zh-CN" w:bidi="zh-CN"/>
    </w:rPr>
  </w:style>
  <w:style w:type="paragraph" w:styleId="1056" w:customStyle="1">
    <w:name w:val="Table Text"/>
    <w:basedOn w:val="747"/>
    <w:uiPriority w:val="0"/>
    <w:semiHidden/>
    <w:qFormat/>
    <w:rPr>
      <w:rFonts w:ascii="宋体" w:hAnsi="宋体" w:cs="宋体"/>
      <w:szCs w:val="21"/>
      <w:lang w:eastAsia="en-US"/>
    </w:rPr>
  </w:style>
  <w:style w:type="table" w:styleId="1057" w:customStyle="1">
    <w:name w:val="网格型1"/>
    <w:basedOn w:val="1058"/>
    <w:uiPriority w:val="0"/>
    <w:qFormat/>
    <w:pPr>
      <w:jc w:val="both"/>
      <w:widowControl w:val="off"/>
    </w:pPr>
    <w:tblPr/>
  </w:style>
  <w:style w:type="table" w:styleId="1058" w:customStyle="1">
    <w:name w:val="普通表格1"/>
    <w:uiPriority w:val="99"/>
    <w:unhideWhenUsed/>
    <w:qFormat/>
    <w:tblPr>
      <w:tblCellMar>
        <w:left w:w="0" w:type="dxa"/>
        <w:top w:w="0" w:type="dxa"/>
        <w:right w:w="0" w:type="dxa"/>
        <w:bottom w:w="0" w:type="dxa"/>
      </w:tblCellMar>
    </w:tblPr>
  </w:style>
  <w:style w:type="character" w:styleId="1059" w:customStyle="1">
    <w:name w:val="font31"/>
    <w:basedOn w:val="802"/>
    <w:uiPriority w:val="0"/>
    <w:qFormat/>
    <w:rPr>
      <w:rFonts w:hint="eastAsia" w:ascii="宋体" w:hAnsi="宋体" w:eastAsia="宋体" w:cs="宋体"/>
      <w:b/>
      <w:bCs/>
      <w:color w:val="000000"/>
      <w:sz w:val="21"/>
      <w:szCs w:val="21"/>
      <w:u w:val="none"/>
    </w:rPr>
  </w:style>
  <w:style w:type="character" w:styleId="1060" w:customStyle="1">
    <w:name w:val="font21"/>
    <w:basedOn w:val="802"/>
    <w:uiPriority w:val="0"/>
    <w:qFormat/>
    <w:rPr>
      <w:rFonts w:hint="eastAsia" w:ascii="宋体" w:hAnsi="宋体" w:eastAsia="宋体" w:cs="宋体"/>
      <w:b/>
      <w:bCs/>
      <w:color w:val="000000"/>
      <w:sz w:val="21"/>
      <w:szCs w:val="21"/>
      <w:u w:val="single"/>
    </w:rPr>
  </w:style>
  <w:style w:type="paragraph" w:styleId="1061" w:customStyle="1">
    <w:name w:val="Table Paragraph"/>
    <w:basedOn w:val="747"/>
    <w:uiPriority w:val="1"/>
    <w:qFormat/>
  </w:style>
  <w:style w:type="paragraph" w:styleId="1062"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63" w:customStyle="1">
    <w:name w:val="font71"/>
    <w:basedOn w:val="802"/>
    <w:link w:val="747"/>
    <w:uiPriority w:val="0"/>
    <w:qFormat/>
    <w:rPr>
      <w:rFonts w:ascii="Times New Roman" w:hAnsi="Times New Roman" w:eastAsia="宋体" w:cs="Times New Roman"/>
      <w:sz w:val="21"/>
      <w:szCs w:val="22"/>
      <w:lang w:val="en-US" w:eastAsia="zh-CN" w:bidi="ar-SA"/>
    </w:rPr>
  </w:style>
  <w:style w:type="paragraph" w:styleId="1064" w:customStyle="1">
    <w:name w:val="正文1"/>
    <w:next w:val="747"/>
    <w:uiPriority w:val="0"/>
    <w:qFormat/>
    <w:pPr>
      <w:jc w:val="both"/>
      <w:widowControl w:val="off"/>
    </w:pPr>
    <w:rPr>
      <w:rFonts w:ascii="Times New Roman" w:hAnsi="Times New Roman" w:eastAsia="宋体" w:cs="Times New Roman"/>
      <w:sz w:val="21"/>
      <w:szCs w:val="21"/>
      <w:lang w:val="en-US" w:eastAsia="zh-CN" w:bidi="ar-SA"/>
    </w:rPr>
  </w:style>
  <w:style w:type="numbering" w:styleId="76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沈阳</cp:lastModifiedBy>
  <cp:revision>20</cp:revision>
  <dcterms:created xsi:type="dcterms:W3CDTF">2023-03-27T07:28:00Z</dcterms:created>
  <dcterms:modified xsi:type="dcterms:W3CDTF">2026-07-22T09:36:15Z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FE54869E110242349A1BC49009A4F387_13</vt:lpwstr>
  </property>
  <property fmtid="{D5CDD505-2E9C-101B-9397-08002B2CF9AE}" pid="4" name="KSOTemplateDocerSaveRecord">
    <vt:lpwstr>eyJoZGlkIjoiNjQxMDIwYWNiYmE0Nzc1NGIxNmJlMjkzMGQ1NGE5MjMiLCJ1c2VySWQiOiIyNDkyMDkzNzMifQ==</vt:lpwstr>
  </property>
</Properties>
</file>