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bookmarkStart w:id="0" w:name="EB3ace3d43b98b41779337deb808be6fa3"/>
      <w:r>
        <w:rPr>
          <w:rFonts w:hint="eastAsia" w:ascii="宋体" w:hAnsi="宋体" w:eastAsia="宋体" w:cs="宋体"/>
          <w:color w:val="auto"/>
          <w:sz w:val="20"/>
          <w:szCs w:val="22"/>
          <w:highlight w:val="none"/>
        </w:rPr>
        <w:t xml:space="preserve"> </w:t>
      </w:r>
      <w:bookmarkEnd w:id="0"/>
      <w:r/>
      <w:bookmarkStart w:id="1" w:name="EB57dd2a69e2b54b0cb3f5c2f03a1ab7bf"/>
      <w:r>
        <w:rPr>
          <w:rFonts w:hint="eastAsia" w:ascii="宋体" w:hAnsi="宋体" w:eastAsia="宋体" w:cs="宋体"/>
          <w:color w:val="auto"/>
          <w:sz w:val="20"/>
          <w:szCs w:val="22"/>
          <w:highlight w:val="none"/>
        </w:rPr>
        <w:t xml:space="preserve"> </w:t>
      </w:r>
      <w:bookmarkEnd w:id="1"/>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before="120" w:after="120" w:line="360" w:lineRule="auto"/>
        <w:widowControl w:val="off"/>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w:t>
      </w:r>
      <w:r>
        <w:rPr>
          <w:rFonts w:hint="eastAsia" w:ascii="宋体" w:hAnsi="宋体" w:eastAsia="宋体" w:cs="宋体"/>
          <w:b/>
          <w:bCs/>
          <w:color w:val="auto"/>
          <w:sz w:val="32"/>
          <w:szCs w:val="24"/>
          <w:highlight w:val="none"/>
          <w:lang w:val="en-US" w:eastAsia="zh-CN" w:bidi="ar-SA"/>
        </w:rPr>
        <w:t xml:space="preserve">沭阳县融媒体中心安全隐患整改项目</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205"/>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项目编号：JSZC-321322-SQJW-G2026-0018</w:t>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56"/>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沭阳县融媒体中心</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t xml:space="preserve">202</w:t>
      </w:r>
      <w:r>
        <w:rPr>
          <w:rFonts w:hint="eastAsia" w:ascii="宋体" w:hAnsi="宋体" w:eastAsia="宋体" w:cs="宋体"/>
          <w:b/>
          <w:color w:val="auto"/>
          <w:sz w:val="32"/>
          <w:szCs w:val="24"/>
          <w:highlight w:val="none"/>
          <w:lang w:val="en-US" w:eastAsia="zh-CN"/>
        </w:rPr>
        <w:t xml:space="preserve">6</w:t>
      </w:r>
      <w:r>
        <w:rPr>
          <w:rFonts w:hint="eastAsia" w:ascii="宋体" w:hAnsi="宋体" w:eastAsia="宋体" w:cs="宋体"/>
          <w:b/>
          <w:color w:val="auto"/>
          <w:sz w:val="32"/>
          <w:szCs w:val="24"/>
          <w:highlight w:val="none"/>
        </w:rPr>
        <w:t xml:space="preserve">年</w:t>
      </w:r>
      <w:r>
        <w:rPr>
          <w:rFonts w:hint="eastAsia" w:ascii="宋体" w:hAnsi="宋体" w:eastAsia="宋体" w:cs="宋体"/>
          <w:b/>
          <w:color w:val="auto"/>
          <w:sz w:val="32"/>
          <w:szCs w:val="24"/>
          <w:highlight w:val="none"/>
          <w:lang w:val="en-US" w:eastAsia="zh-CN"/>
        </w:rPr>
        <w:t xml:space="preserve">8</w:t>
      </w:r>
      <w:r>
        <w:rPr>
          <w:rFonts w:hint="eastAsia" w:ascii="宋体" w:hAnsi="宋体" w:eastAsia="宋体" w:cs="宋体"/>
          <w:b/>
          <w:color w:val="auto"/>
          <w:sz w:val="32"/>
          <w:szCs w:val="24"/>
          <w:highlight w:val="none"/>
        </w:rPr>
        <w:t xml:space="preserve">月</w:t>
      </w:r>
      <w:r>
        <w:rPr>
          <w:rFonts w:hint="eastAsia" w:ascii="宋体" w:hAnsi="宋体" w:eastAsia="宋体" w:cs="宋体"/>
          <w:b/>
          <w:color w:val="auto"/>
          <w:sz w:val="32"/>
          <w:szCs w:val="24"/>
          <w:highlight w:val="none"/>
          <w:lang w:val="en-US" w:eastAsia="zh-CN"/>
        </w:rPr>
        <w:t xml:space="preserve">18</w:t>
      </w:r>
      <w:r>
        <w:rPr>
          <w:rFonts w:hint="eastAsia" w:ascii="宋体" w:hAnsi="宋体" w:eastAsia="宋体" w:cs="宋体"/>
          <w:b/>
          <w:color w:val="auto"/>
          <w:sz w:val="32"/>
          <w:szCs w:val="24"/>
          <w:highlight w:val="none"/>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bCs/>
          <w:caps/>
          <w:color w:val="auto"/>
          <w:sz w:val="20"/>
          <w:szCs w:val="20"/>
          <w:highlight w:val="none"/>
          <w:lang w:val="en-US" w:eastAsia="zh-CN" w:bidi="ar-SA"/>
        </w:rPr>
        <w:fldChar w:fldCharType="begin"/>
      </w:r>
      <w:r>
        <w:rPr>
          <w:rFonts w:hint="eastAsia" w:ascii="宋体" w:hAnsi="宋体" w:eastAsia="宋体" w:cs="宋体"/>
          <w:b/>
          <w:bCs/>
          <w:caps/>
          <w:color w:val="auto"/>
          <w:sz w:val="20"/>
          <w:szCs w:val="20"/>
          <w:highlight w:val="none"/>
          <w:lang w:val="en-US" w:eastAsia="zh-CN" w:bidi="ar-SA"/>
        </w:rPr>
        <w:instrText xml:space="preserve">TOC \o "1-1" \h \u </w:instrText>
      </w:r>
      <w:r>
        <w:rPr>
          <w:rFonts w:hint="eastAsia" w:ascii="宋体" w:hAnsi="宋体" w:eastAsia="宋体" w:cs="宋体"/>
          <w:b/>
          <w:bCs/>
          <w:caps/>
          <w:color w:val="auto"/>
          <w:sz w:val="20"/>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_Toc10813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第一章  投标邀请</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_Toc10813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3</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_Toc9425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第二章  投标人须知</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_Toc9425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6</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_Toc17996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第三章  资格审查及评标办法</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_Toc17996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19</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_Toc22314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第四章  采购需求</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_Toc22314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21</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val="0"/>
          <w:bCs w:val="0"/>
          <w:caps/>
          <w:color w:val="auto"/>
          <w:sz w:val="32"/>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_Toc2513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第五章  合同文本</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_Toc2513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21</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jc w:val="left"/>
        <w:spacing w:before="120" w:after="120" w:line="600" w:lineRule="exact"/>
        <w:widowControl w:val="off"/>
        <w:tabs>
          <w:tab w:val="right" w:pos="9185" w:leader="dot"/>
        </w:tabs>
        <w:rPr>
          <w:rFonts w:hint="eastAsia" w:ascii="宋体" w:hAnsi="宋体" w:eastAsia="宋体" w:cs="宋体"/>
          <w:b/>
          <w:bCs/>
          <w:caps/>
          <w:color w:val="auto"/>
          <w:sz w:val="20"/>
          <w:szCs w:val="20"/>
          <w:highlight w:val="none"/>
          <w:lang w:val="en-US" w:eastAsia="zh-CN" w:bidi="ar-SA"/>
        </w:rPr>
      </w:pP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HYPERLINK \l _Toc12937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44"/>
          <w:highlight w:val="none"/>
          <w:lang w:val="en-US" w:eastAsia="zh-CN" w:bidi="ar-SA"/>
        </w:rPr>
        <w:t xml:space="preserve">第六章  投标文件格式</w:t>
      </w:r>
      <w:r>
        <w:rPr>
          <w:rFonts w:hint="eastAsia" w:ascii="宋体" w:hAnsi="宋体" w:eastAsia="宋体" w:cs="宋体"/>
          <w:b w:val="0"/>
          <w:bCs w:val="0"/>
          <w:caps/>
          <w:color w:val="auto"/>
          <w:sz w:val="32"/>
          <w:szCs w:val="20"/>
          <w:highlight w:val="none"/>
          <w:lang w:val="en-US" w:eastAsia="zh-CN" w:bidi="ar-SA"/>
        </w:rPr>
        <w:tab/>
      </w:r>
      <w:r>
        <w:rPr>
          <w:rFonts w:hint="eastAsia" w:ascii="宋体" w:hAnsi="宋体" w:eastAsia="宋体" w:cs="宋体"/>
          <w:b w:val="0"/>
          <w:bCs w:val="0"/>
          <w:caps/>
          <w:color w:val="auto"/>
          <w:sz w:val="32"/>
          <w:szCs w:val="20"/>
          <w:highlight w:val="none"/>
          <w:lang w:val="en-US" w:eastAsia="zh-CN" w:bidi="ar-SA"/>
        </w:rPr>
        <w:fldChar w:fldCharType="begin"/>
      </w:r>
      <w:r>
        <w:rPr>
          <w:rFonts w:hint="eastAsia" w:ascii="宋体" w:hAnsi="宋体" w:eastAsia="宋体" w:cs="宋体"/>
          <w:b w:val="0"/>
          <w:bCs w:val="0"/>
          <w:caps/>
          <w:color w:val="auto"/>
          <w:sz w:val="32"/>
          <w:szCs w:val="20"/>
          <w:highlight w:val="none"/>
          <w:lang w:val="en-US" w:eastAsia="zh-CN" w:bidi="ar-SA"/>
        </w:rPr>
        <w:instrText xml:space="preserve"> PAGEREF _Toc12937 \h </w:instrText>
      </w:r>
      <w:r>
        <w:rPr>
          <w:rFonts w:hint="eastAsia" w:ascii="宋体" w:hAnsi="宋体" w:eastAsia="宋体" w:cs="宋体"/>
          <w:b w:val="0"/>
          <w:bCs w:val="0"/>
          <w:caps/>
          <w:color w:val="auto"/>
          <w:sz w:val="32"/>
          <w:szCs w:val="20"/>
          <w:highlight w:val="none"/>
          <w:lang w:val="en-US" w:eastAsia="zh-CN" w:bidi="ar-SA"/>
        </w:rPr>
        <w:fldChar w:fldCharType="separate"/>
      </w:r>
      <w:r>
        <w:rPr>
          <w:rFonts w:hint="eastAsia" w:ascii="宋体" w:hAnsi="宋体" w:eastAsia="宋体" w:cs="宋体"/>
          <w:b w:val="0"/>
          <w:bCs w:val="0"/>
          <w:caps/>
          <w:color w:val="auto"/>
          <w:sz w:val="32"/>
          <w:szCs w:val="20"/>
          <w:highlight w:val="none"/>
          <w:lang w:val="en-US" w:eastAsia="zh-CN" w:bidi="ar-SA"/>
        </w:rPr>
        <w:t xml:space="preserve">29</w:t>
      </w:r>
      <w:r>
        <w:rPr>
          <w:rFonts w:hint="eastAsia" w:ascii="宋体" w:hAnsi="宋体" w:eastAsia="宋体" w:cs="宋体"/>
          <w:b w:val="0"/>
          <w:bCs w:val="0"/>
          <w:caps/>
          <w:color w:val="auto"/>
          <w:sz w:val="32"/>
          <w:szCs w:val="20"/>
          <w:highlight w:val="none"/>
          <w:lang w:val="en-US" w:eastAsia="zh-CN" w:bidi="ar-SA"/>
        </w:rPr>
        <w:fldChar w:fldCharType="end"/>
      </w:r>
      <w:r>
        <w:rPr>
          <w:rFonts w:hint="eastAsia" w:ascii="宋体" w:hAnsi="宋体" w:eastAsia="宋体" w:cs="宋体"/>
          <w:b w:val="0"/>
          <w:bCs w:val="0"/>
          <w:caps/>
          <w:color w:val="auto"/>
          <w:sz w:val="32"/>
          <w:szCs w:val="20"/>
          <w:highlight w:val="none"/>
          <w:lang w:val="en-US" w:eastAsia="zh-CN" w:bidi="ar-SA"/>
        </w:rPr>
        <w:fldChar w:fldCharType="end"/>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fldChar w:fldCharType="end"/>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jc w:val="center"/>
        <w:keepLines/>
        <w:keepNext/>
        <w:spacing w:before="200" w:after="200"/>
        <w:widowControl w:val="off"/>
        <w:rPr>
          <w:rFonts w:hint="eastAsia" w:ascii="宋体" w:hAnsi="宋体" w:eastAsia="宋体" w:cs="宋体"/>
          <w:color w:val="auto"/>
          <w:sz w:val="44"/>
          <w:szCs w:val="40"/>
          <w:highlight w:val="none"/>
          <w:lang w:val="en-US" w:eastAsia="zh-CN" w:bidi="ar-SA"/>
        </w:rPr>
        <w:outlineLvl w:val="0"/>
      </w:pPr>
      <w:r/>
      <w:bookmarkStart w:id="4" w:name="_Toc25722"/>
      <w:r/>
      <w:bookmarkStart w:id="5" w:name="_Toc10813"/>
      <w:r/>
      <w:bookmarkStart w:id="6" w:name="_Toc30943"/>
      <w:r>
        <w:rPr>
          <w:rFonts w:hint="eastAsia" w:ascii="宋体" w:hAnsi="宋体" w:eastAsia="宋体" w:cs="宋体"/>
          <w:color w:val="auto"/>
          <w:sz w:val="44"/>
          <w:szCs w:val="40"/>
          <w:highlight w:val="none"/>
          <w:lang w:val="en-US" w:eastAsia="zh-CN" w:bidi="ar-SA"/>
        </w:rPr>
        <w:t xml:space="preserve">第一章  投标邀请</w:t>
      </w:r>
      <w:bookmarkEnd w:id="2"/>
      <w:r/>
      <w:bookmarkEnd w:id="3"/>
      <w:r/>
      <w:bookmarkEnd w:id="4"/>
      <w:r/>
      <w:bookmarkEnd w:id="5"/>
      <w:r/>
      <w:bookmarkEnd w:id="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沭阳县融媒体中心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宿迁建威工程咨询有限公司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沭阳县融媒体中心安全隐患整改项目</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u w:val="single"/>
          <w:lang w:eastAsia="zh-CN"/>
        </w:rPr>
        <w:t xml:space="preserve">：JSZC-321322-SQJW-G2026-0018</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沭阳县融媒体中心安全隐患整改项目</w:t>
      </w:r>
      <w:r>
        <w:rPr>
          <w:rFonts w:hint="eastAsia" w:ascii="宋体" w:hAnsi="宋体" w:eastAsia="宋体" w:cs="宋体"/>
          <w:color w:val="auto"/>
          <w:sz w:val="24"/>
          <w:szCs w:val="24"/>
          <w:highlight w:val="none"/>
        </w:rPr>
        <w:t xml:space="preserve">招标项目的潜在投标人可在“江苏政府采购网”、</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7" w:name="_Toc35393621"/>
      <w:r/>
      <w:bookmarkStart w:id="8" w:name="_Toc28359079"/>
      <w:r/>
      <w:bookmarkStart w:id="9" w:name="_Toc2584"/>
      <w:r/>
      <w:bookmarkStart w:id="10" w:name="_Toc28359002"/>
      <w:r/>
      <w:bookmarkStart w:id="11" w:name="_Toc35393790"/>
      <w:r/>
      <w:bookmarkStart w:id="12" w:name="_Toc38985263"/>
      <w:r/>
      <w:bookmarkStart w:id="13" w:name="_Hlk24379207"/>
      <w:r>
        <w:rPr>
          <w:rFonts w:hint="eastAsia" w:ascii="宋体" w:hAnsi="宋体" w:eastAsia="宋体" w:cs="宋体"/>
          <w:b/>
          <w:bCs/>
          <w:color w:val="auto"/>
          <w:sz w:val="32"/>
          <w:szCs w:val="22"/>
          <w:highlight w:val="none"/>
          <w:lang w:val="en-US" w:eastAsia="zh-CN" w:bidi="ar-SA"/>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1.项目编号：JSZC-321322-SQJW-G2026-0018</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3"/>
      <w:r>
        <w:rPr>
          <w:rFonts w:hint="eastAsia" w:ascii="宋体" w:hAnsi="宋体" w:eastAsia="宋体" w:cs="宋体"/>
          <w:color w:val="auto"/>
          <w:sz w:val="24"/>
          <w:szCs w:val="24"/>
          <w:highlight w:val="none"/>
          <w:u w:val="none"/>
          <w:lang w:eastAsia="zh-CN"/>
        </w:rPr>
        <w:t xml:space="preserve">沭阳县融媒体中心安全隐患整改项目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144.1</w:t>
      </w:r>
      <w:r>
        <w:rPr>
          <w:rFonts w:hint="eastAsia" w:ascii="宋体" w:hAnsi="宋体" w:eastAsia="宋体" w:cs="宋体"/>
          <w:color w:val="auto"/>
          <w:sz w:val="24"/>
          <w:szCs w:val="24"/>
          <w:highlight w:val="none"/>
        </w:rPr>
        <w:t xml:space="preserve">万元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4.本项目设定最高限价，</w:t>
      </w:r>
      <w:bookmarkStart w:id="14" w:name="OLE_LINK25"/>
      <w:r>
        <w:rPr>
          <w:rFonts w:hint="eastAsia" w:ascii="宋体" w:hAnsi="宋体" w:eastAsia="宋体" w:cs="宋体"/>
          <w:color w:val="auto"/>
          <w:sz w:val="24"/>
          <w:szCs w:val="24"/>
          <w:highlight w:val="none"/>
        </w:rPr>
        <w:t xml:space="preserve">最高限价为</w:t>
      </w:r>
      <w:r>
        <w:rPr>
          <w:rFonts w:hint="eastAsia" w:ascii="宋体" w:hAnsi="宋体" w:eastAsia="宋体" w:cs="宋体"/>
          <w:color w:val="auto"/>
          <w:sz w:val="24"/>
          <w:szCs w:val="22"/>
          <w:highlight w:val="none"/>
        </w:rPr>
        <w:t xml:space="preserve">：</w:t>
      </w:r>
      <w:bookmarkStart w:id="15" w:name="EB6c1f3d39c6914ae1bada8ccaa777b37a"/>
      <w:r>
        <w:rPr>
          <w:rFonts w:hint="eastAsia" w:ascii="宋体" w:hAnsi="宋体" w:eastAsia="宋体" w:cs="宋体"/>
          <w:color w:val="auto"/>
          <w:sz w:val="24"/>
          <w:szCs w:val="24"/>
          <w:highlight w:val="none"/>
          <w:lang w:val="en-US" w:eastAsia="zh-CN"/>
        </w:rPr>
        <w:t xml:space="preserve">144.1</w:t>
      </w:r>
      <w:r>
        <w:rPr>
          <w:rFonts w:hint="eastAsia" w:ascii="宋体" w:hAnsi="宋体" w:eastAsia="宋体" w:cs="宋体"/>
          <w:color w:val="auto"/>
          <w:sz w:val="24"/>
          <w:szCs w:val="24"/>
          <w:highlight w:val="none"/>
          <w:lang w:val="zh-CN"/>
        </w:rPr>
        <w:t xml:space="preserve">万元。</w:t>
      </w:r>
      <w:bookmarkEnd w:id="15"/>
      <w:r/>
      <w:bookmarkEnd w:id="14"/>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16" w:name="OLE_LINK7"/>
      <w:r>
        <w:rPr>
          <w:rFonts w:hint="eastAsia" w:ascii="宋体" w:hAnsi="宋体" w:eastAsia="宋体" w:cs="宋体"/>
          <w:color w:val="auto"/>
          <w:sz w:val="24"/>
          <w:szCs w:val="24"/>
          <w:highlight w:val="none"/>
        </w:rPr>
        <w:t xml:space="preserve">拟购置地面数字发射机、天馈系统及配套、边界防火墙特征库、电源整改、消防设施维修、防雷设施检测维修、馈管处置及三频道废旧天线拆除、新闻非编制作网配置、媒资服务器、广播播出切换台、主备播电脑及切换等设备用于消除安全隐患。</w:t>
      </w:r>
      <w:r>
        <w:rPr>
          <w:rFonts w:hint="eastAsia" w:ascii="宋体" w:hAnsi="宋体" w:eastAsia="宋体" w:cs="宋体"/>
          <w:color w:val="auto"/>
          <w:sz w:val="24"/>
          <w:szCs w:val="24"/>
          <w:highlight w:val="none"/>
        </w:rPr>
        <w:t xml:space="preserve">（详细内容见本招标文件第四章采购需求）。</w:t>
      </w:r>
      <w:bookmarkEnd w:id="16"/>
      <w:r/>
      <w:r/>
    </w:p>
    <w:p>
      <w:pPr>
        <w:ind w:firstLine="480"/>
        <w:jc w:val="both"/>
        <w:spacing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自签订合同之日起</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0日历天内完成，将所有货物安装调试到位</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18" w:name="_Toc27291"/>
      <w:r/>
      <w:bookmarkStart w:id="19" w:name="_Toc35393791"/>
      <w:r/>
      <w:bookmarkStart w:id="20" w:name="_Toc28359003"/>
      <w:r/>
      <w:bookmarkStart w:id="21" w:name="_Toc35393622"/>
      <w:r/>
      <w:bookmarkStart w:id="22" w:name="_Toc38985264"/>
      <w:r/>
      <w:bookmarkStart w:id="23" w:name="_Toc28359080"/>
      <w:r>
        <w:rPr>
          <w:rFonts w:hint="eastAsia" w:ascii="宋体" w:hAnsi="宋体" w:eastAsia="宋体" w:cs="宋体"/>
          <w:b/>
          <w:bCs/>
          <w:color w:val="auto"/>
          <w:sz w:val="32"/>
          <w:szCs w:val="22"/>
          <w:highlight w:val="none"/>
          <w:lang w:val="en-US" w:eastAsia="zh-CN" w:bidi="ar-SA"/>
        </w:rPr>
        <w:t xml:space="preserve">二、申请人的资格要求</w:t>
      </w:r>
      <w:bookmarkEnd w:id="18"/>
      <w:r/>
      <w:bookmarkEnd w:id="19"/>
      <w:r/>
      <w:bookmarkEnd w:id="20"/>
      <w:r/>
      <w:bookmarkEnd w:id="21"/>
      <w:r/>
      <w:bookmarkEnd w:id="22"/>
      <w:r/>
      <w:bookmarkEnd w:id="23"/>
      <w:r/>
      <w:r/>
    </w:p>
    <w:p>
      <w:pPr>
        <w:ind w:firstLine="480"/>
        <w:spacing w:line="480" w:lineRule="exact"/>
        <w:rPr>
          <w:rFonts w:hint="eastAsia" w:ascii="宋体" w:hAnsi="宋体" w:eastAsia="宋体" w:cs="宋体"/>
          <w:color w:val="auto"/>
          <w:sz w:val="24"/>
          <w:szCs w:val="24"/>
          <w:highlight w:val="none"/>
        </w:rPr>
      </w:pPr>
      <w:r/>
      <w:bookmarkStart w:id="24" w:name="_Toc38985265"/>
      <w:r/>
      <w:bookmarkStart w:id="25" w:name="_Toc28359004"/>
      <w:r/>
      <w:bookmarkStart w:id="26" w:name="_Toc35393792"/>
      <w:r/>
      <w:bookmarkStart w:id="27" w:name="_Toc35393623"/>
      <w:r/>
      <w:bookmarkStart w:id="28"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（二）落实政府采购政策需满足的资格要求：本项目不专门面向中小微企业采购，执行价格扣除优惠政策，</w:t>
      </w:r>
      <w:r>
        <w:rPr>
          <w:rFonts w:hint="eastAsia" w:ascii="宋体" w:hAnsi="宋体" w:eastAsia="宋体" w:cs="宋体"/>
          <w:color w:val="auto"/>
          <w:sz w:val="24"/>
          <w:szCs w:val="24"/>
          <w:highlight w:val="none"/>
          <w:lang w:val="en-US" w:eastAsia="zh-CN"/>
        </w:rPr>
        <w:t xml:space="preserve">对符合条件的小微企业、监狱企业或残疾人福利性单位参与投标，对其产品的价格给予10%的扣除，用扣除后的价格参与评审。</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29" w:name="_Toc22204"/>
      <w:r>
        <w:rPr>
          <w:rFonts w:hint="eastAsia" w:ascii="宋体" w:hAnsi="宋体" w:eastAsia="宋体" w:cs="宋体"/>
          <w:b/>
          <w:bCs/>
          <w:color w:val="auto"/>
          <w:sz w:val="32"/>
          <w:szCs w:val="22"/>
          <w:highlight w:val="none"/>
          <w:lang w:val="en-US" w:eastAsia="zh-CN" w:bidi="ar-SA"/>
        </w:rPr>
        <w:t xml:space="preserve">三、获取招标文件</w:t>
      </w:r>
      <w:bookmarkEnd w:id="24"/>
      <w:r/>
      <w:bookmarkEnd w:id="25"/>
      <w:r/>
      <w:bookmarkEnd w:id="26"/>
      <w:r/>
      <w:bookmarkEnd w:id="27"/>
      <w:r/>
      <w:bookmarkEnd w:id="28"/>
      <w:r/>
      <w:bookmarkEnd w:id="29"/>
      <w:r/>
      <w:r/>
    </w:p>
    <w:p>
      <w:pPr>
        <w:ind w:firstLine="480"/>
        <w:spacing w:line="480" w:lineRule="exact"/>
        <w:rPr>
          <w:rFonts w:hint="eastAsia" w:ascii="宋体" w:hAnsi="宋体" w:eastAsia="宋体" w:cs="宋体"/>
          <w:color w:val="auto"/>
          <w:sz w:val="24"/>
          <w:szCs w:val="24"/>
          <w:highlight w:val="none"/>
        </w:rPr>
      </w:pPr>
      <w:r/>
      <w:bookmarkStart w:id="30" w:name="_Toc28359082"/>
      <w:r/>
      <w:bookmarkStart w:id="31" w:name="_Toc28359005"/>
      <w:r/>
      <w:bookmarkStart w:id="32" w:name="_Toc35393793"/>
      <w:r/>
      <w:bookmarkStart w:id="33" w:name="_Toc35393624"/>
      <w:r/>
      <w:bookmarkStart w:id="34" w:name="_Toc38985266"/>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auto"/>
          <w:sz w:val="24"/>
          <w:szCs w:val="24"/>
          <w:highlight w:val="none"/>
        </w:rPr>
      </w:pPr>
      <w:r/>
      <w:bookmarkStart w:id="35" w:name="EB0c44ff4da61f4af989d119fe214be450"/>
      <w:r>
        <w:rPr>
          <w:rFonts w:hint="eastAsia" w:ascii="宋体" w:hAnsi="宋体" w:eastAsia="宋体" w:cs="宋体"/>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5"/>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36" w:name="_Toc19148"/>
      <w:r>
        <w:rPr>
          <w:rFonts w:hint="eastAsia" w:ascii="宋体" w:hAnsi="宋体" w:eastAsia="宋体" w:cs="宋体"/>
          <w:b/>
          <w:bCs/>
          <w:color w:val="auto"/>
          <w:sz w:val="32"/>
          <w:szCs w:val="22"/>
          <w:highlight w:val="none"/>
          <w:lang w:val="en-US" w:eastAsia="zh-CN" w:bidi="ar-SA"/>
        </w:rPr>
        <w:t xml:space="preserve">四、提交投标文件</w:t>
      </w:r>
      <w:bookmarkEnd w:id="30"/>
      <w:r/>
      <w:bookmarkEnd w:id="31"/>
      <w:r>
        <w:rPr>
          <w:rFonts w:hint="eastAsia" w:ascii="宋体" w:hAnsi="宋体" w:eastAsia="宋体" w:cs="宋体"/>
          <w:b/>
          <w:bCs/>
          <w:color w:val="auto"/>
          <w:sz w:val="32"/>
          <w:szCs w:val="22"/>
          <w:highlight w:val="none"/>
          <w:lang w:val="en-US" w:eastAsia="zh-CN" w:bidi="ar-SA"/>
        </w:rPr>
        <w:t xml:space="preserve">截止时间、开标时间和地点</w:t>
      </w:r>
      <w:bookmarkEnd w:id="32"/>
      <w:r/>
      <w:bookmarkEnd w:id="33"/>
      <w:r/>
      <w:bookmarkEnd w:id="34"/>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月8</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37" w:name="_Toc35393794"/>
      <w:r/>
      <w:bookmarkStart w:id="38" w:name="_Toc35393625"/>
      <w:r/>
      <w:bookmarkStart w:id="39" w:name="_Toc38985267"/>
      <w:r/>
      <w:bookmarkStart w:id="40" w:name="_Toc28359084"/>
      <w:r/>
      <w:bookmarkStart w:id="41" w:name="_Toc24820"/>
      <w:r/>
      <w:bookmarkStart w:id="42" w:name="_Toc28359007"/>
      <w:r>
        <w:rPr>
          <w:rFonts w:hint="eastAsia" w:ascii="宋体" w:hAnsi="宋体" w:eastAsia="宋体" w:cs="宋体"/>
          <w:b/>
          <w:bCs/>
          <w:color w:val="auto"/>
          <w:sz w:val="32"/>
          <w:szCs w:val="22"/>
          <w:highlight w:val="none"/>
          <w:lang w:val="en-US" w:eastAsia="zh-CN" w:bidi="ar-SA"/>
        </w:rPr>
        <w:t xml:space="preserve">五、公告期限</w:t>
      </w:r>
      <w:bookmarkEnd w:id="37"/>
      <w:r/>
      <w:bookmarkEnd w:id="38"/>
      <w:r/>
      <w:bookmarkEnd w:id="39"/>
      <w:r/>
      <w:bookmarkEnd w:id="40"/>
      <w:r/>
      <w:bookmarkEnd w:id="41"/>
      <w:r/>
      <w:bookmarkEnd w:id="42"/>
      <w:r/>
      <w:r/>
    </w:p>
    <w:p>
      <w:pPr>
        <w:ind w:firstLine="480"/>
        <w:spacing w:line="480" w:lineRule="exact"/>
        <w:rPr>
          <w:rFonts w:hint="eastAsia" w:ascii="宋体" w:hAnsi="宋体" w:eastAsia="宋体" w:cs="宋体"/>
          <w:color w:val="auto"/>
          <w:sz w:val="24"/>
          <w:szCs w:val="24"/>
          <w:highlight w:val="none"/>
        </w:rPr>
      </w:pPr>
      <w:r/>
      <w:bookmarkStart w:id="43" w:name="_Toc38985268"/>
      <w:r/>
      <w:bookmarkStart w:id="44" w:name="_Toc35393795"/>
      <w:r/>
      <w:bookmarkStart w:id="45" w:name="_Toc35393626"/>
      <w:r>
        <w:rPr>
          <w:rFonts w:hint="eastAsia" w:ascii="宋体" w:hAnsi="宋体" w:eastAsia="宋体" w:cs="宋体"/>
          <w:color w:val="auto"/>
          <w:sz w:val="24"/>
          <w:szCs w:val="24"/>
          <w:highlight w:val="none"/>
        </w:rPr>
        <w:t xml:space="preserve">招标公告及招标文件公告期限为自本公告发布之日起5个工作日。</w:t>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46" w:name="_Toc13415"/>
      <w:r>
        <w:rPr>
          <w:rFonts w:hint="eastAsia" w:ascii="宋体" w:hAnsi="宋体" w:eastAsia="宋体" w:cs="宋体"/>
          <w:b/>
          <w:bCs/>
          <w:color w:val="auto"/>
          <w:sz w:val="32"/>
          <w:szCs w:val="22"/>
          <w:highlight w:val="none"/>
          <w:lang w:val="en-US" w:eastAsia="zh-CN" w:bidi="ar-SA"/>
        </w:rPr>
        <w:t xml:space="preserve">六、其他补充事宜</w:t>
      </w:r>
      <w:bookmarkEnd w:id="43"/>
      <w:r/>
      <w:bookmarkEnd w:id="44"/>
      <w:r/>
      <w:bookmarkEnd w:id="45"/>
      <w:r/>
      <w:bookmarkEnd w:id="46"/>
      <w:r/>
      <w:r/>
    </w:p>
    <w:p>
      <w:pPr>
        <w:ind w:firstLine="480"/>
        <w:spacing w:line="480" w:lineRule="exact"/>
        <w:rPr>
          <w:rFonts w:hint="eastAsia" w:ascii="宋体" w:hAnsi="宋体" w:eastAsia="宋体" w:cs="宋体"/>
          <w:color w:val="auto"/>
          <w:sz w:val="24"/>
          <w:szCs w:val="24"/>
          <w:highlight w:val="none"/>
        </w:rPr>
      </w:pPr>
      <w:r/>
      <w:bookmarkStart w:id="47" w:name="EB64e1f522fd8c43fcb4d3ba471386b3e7"/>
      <w:r/>
      <w:bookmarkStart w:id="48" w:name="OLE_LINK24"/>
      <w:r/>
      <w:bookmarkStart w:id="49" w:name="_Toc28359085"/>
      <w:r/>
      <w:bookmarkStart w:id="50" w:name="_Toc38985269"/>
      <w:r/>
      <w:bookmarkStart w:id="51" w:name="_Toc35393627"/>
      <w:r/>
      <w:bookmarkStart w:id="52" w:name="_Toc28359008"/>
      <w:r/>
      <w:bookmarkStart w:id="53" w:name="_Toc35393796"/>
      <w:r>
        <w:rPr>
          <w:rFonts w:hint="eastAsia" w:ascii="宋体" w:hAnsi="宋体" w:eastAsia="宋体" w:cs="宋体"/>
          <w:color w:val="auto"/>
          <w:sz w:val="24"/>
          <w:szCs w:val="24"/>
          <w:highlight w:val="none"/>
        </w:rPr>
        <w:t xml:space="preserve">1.招标公告发布媒体：</w:t>
      </w:r>
      <w:bookmarkStart w:id="54" w:name="OLE_LINK3"/>
      <w:r>
        <w:rPr>
          <w:rFonts w:hint="eastAsia" w:ascii="宋体" w:hAnsi="宋体" w:eastAsia="宋体" w:cs="宋体"/>
          <w:color w:val="auto"/>
          <w:sz w:val="24"/>
          <w:szCs w:val="24"/>
          <w:highlight w:val="none"/>
        </w:rPr>
        <w:t xml:space="preserve">江苏政府采购网</w:t>
      </w:r>
      <w:bookmarkEnd w:id="54"/>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47"/>
      <w:r/>
      <w:r/>
    </w:p>
    <w:p>
      <w:pPr>
        <w:ind w:firstLine="480"/>
        <w:spacing w:line="480" w:lineRule="exact"/>
        <w:rPr>
          <w:rFonts w:hint="eastAsia" w:ascii="宋体" w:hAnsi="宋体" w:eastAsia="宋体" w:cs="宋体"/>
          <w:color w:val="auto"/>
          <w:sz w:val="24"/>
          <w:szCs w:val="22"/>
          <w:highlight w:val="none"/>
        </w:rPr>
      </w:pPr>
      <w:r/>
      <w:bookmarkStart w:id="55"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2"/>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eastAsia="宋体" w:cs="宋体"/>
          <w:color w:val="auto"/>
          <w:sz w:val="24"/>
          <w:szCs w:val="22"/>
          <w:highlight w:val="none"/>
        </w:rPr>
        <w:t xml:space="preserve">0527-83559270</w:t>
      </w:r>
      <w:r>
        <w:rPr>
          <w:rFonts w:hint="eastAsia" w:ascii="宋体" w:hAnsi="宋体" w:eastAsia="宋体" w:cs="宋体"/>
          <w:color w:val="auto"/>
          <w:sz w:val="24"/>
          <w:szCs w:val="24"/>
          <w:highlight w:val="none"/>
        </w:rPr>
        <w:t xml:space="preserve">。</w:t>
      </w:r>
      <w:bookmarkEnd w:id="48"/>
      <w:r/>
      <w:r/>
    </w:p>
    <w:p>
      <w:pPr>
        <w:ind w:firstLine="643"/>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rPr>
          <w:rFonts w:hint="eastAsia" w:ascii="宋体" w:hAnsi="宋体" w:eastAsia="宋体" w:cs="宋体"/>
          <w:b/>
          <w:bCs/>
          <w:color w:val="auto"/>
          <w:sz w:val="32"/>
          <w:szCs w:val="22"/>
          <w:highlight w:val="none"/>
          <w:lang w:val="en-US" w:eastAsia="zh-CN" w:bidi="ar-SA"/>
        </w:rPr>
        <w:t xml:space="preserve">七、本次招标联系方式</w:t>
      </w:r>
      <w:bookmarkEnd w:id="49"/>
      <w:r/>
      <w:bookmarkEnd w:id="50"/>
      <w:r/>
      <w:bookmarkEnd w:id="51"/>
      <w:r/>
      <w:bookmarkEnd w:id="52"/>
      <w:r/>
      <w:bookmarkEnd w:id="53"/>
      <w:r/>
      <w:bookmarkEnd w:id="55"/>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479" w:firstLine="1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沭阳县融媒体中心</w:t>
      </w:r>
      <w:r/>
    </w:p>
    <w:p>
      <w:pPr>
        <w:ind w:left="479" w:firstLine="180"/>
        <w:jc w:val="left"/>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沭阳县台州路广电大楼</w:t>
      </w:r>
      <w:r/>
    </w:p>
    <w:p>
      <w:pPr>
        <w:ind w:left="479" w:firstLine="180"/>
        <w:jc w:val="left"/>
        <w:spacing w:line="560" w:lineRule="exact"/>
        <w:rPr>
          <w:rFonts w:hint="eastAsia" w:ascii="宋体" w:hAnsi="宋体" w:eastAsia="宋体" w:cs="宋体"/>
          <w:color w:val="auto"/>
          <w:sz w:val="24"/>
          <w:szCs w:val="24"/>
          <w:highlight w:val="none"/>
          <w:lang w:eastAsia="zh-CN"/>
        </w:rPr>
      </w:pPr>
      <w:r/>
      <w:bookmarkStart w:id="56" w:name="_Toc28359009"/>
      <w:r/>
      <w:bookmarkStart w:id="57" w:name="_Toc28359086"/>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毛双</w:t>
      </w:r>
      <w:r/>
    </w:p>
    <w:p>
      <w:pPr>
        <w:ind w:left="479" w:firstLine="180"/>
        <w:jc w:val="left"/>
        <w:spacing w:line="56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1385</w:t>
      </w:r>
      <w:r>
        <w:rPr>
          <w:rFonts w:hint="eastAsia" w:ascii="宋体" w:hAnsi="宋体" w:eastAsia="宋体" w:cs="宋体"/>
          <w:color w:val="auto"/>
          <w:sz w:val="24"/>
          <w:szCs w:val="24"/>
          <w:highlight w:val="none"/>
          <w:lang w:val="en-US" w:eastAsia="zh-CN"/>
        </w:rPr>
        <w:t xml:space="preserve">1385699</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56"/>
      <w:r/>
      <w:bookmarkEnd w:id="57"/>
      <w:r>
        <w:rPr>
          <w:rFonts w:hint="eastAsia" w:ascii="宋体" w:hAnsi="宋体" w:eastAsia="宋体" w:cs="宋体"/>
          <w:color w:val="auto"/>
          <w:sz w:val="24"/>
          <w:szCs w:val="24"/>
          <w:highlight w:val="none"/>
        </w:rPr>
        <w:t xml:space="preserve">采购代理机构信息</w:t>
      </w:r>
      <w:r/>
    </w:p>
    <w:p>
      <w:pPr>
        <w:ind w:left="479" w:firstLine="1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宿迁建威工程咨询有限公司</w:t>
      </w:r>
      <w:r/>
    </w:p>
    <w:p>
      <w:pPr>
        <w:ind w:firstLine="72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沭阳县常州路金瑞大厦9楼</w:t>
      </w:r>
      <w:r/>
    </w:p>
    <w:p>
      <w:pPr>
        <w:ind w:firstLine="72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施静</w:t>
      </w:r>
      <w:r/>
    </w:p>
    <w:p>
      <w:pPr>
        <w:ind w:firstLine="72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13773993637</w:t>
      </w:r>
      <w:r/>
    </w:p>
    <w:p>
      <w:pPr>
        <w:ind w:firstLine="480"/>
        <w:spacing w:line="480" w:lineRule="exact"/>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u w:val="single"/>
        </w:rPr>
        <w:br w:type="page" w:clear="all"/>
      </w:r>
      <w:r/>
    </w:p>
    <w:p>
      <w:pPr>
        <w:ind w:firstLine="2640"/>
        <w:jc w:val="both"/>
        <w:spacing w:line="480" w:lineRule="exact"/>
        <w:rPr>
          <w:rFonts w:hint="eastAsia" w:ascii="宋体" w:hAnsi="宋体" w:eastAsia="宋体" w:cs="宋体"/>
          <w:color w:val="auto"/>
          <w:sz w:val="44"/>
          <w:szCs w:val="22"/>
          <w:highlight w:val="none"/>
        </w:rPr>
        <w:outlineLvl w:val="0"/>
      </w:pPr>
      <w:r/>
      <w:bookmarkStart w:id="58" w:name="_Toc11687"/>
      <w:r/>
      <w:bookmarkStart w:id="59" w:name="_Toc15265"/>
      <w:r/>
      <w:bookmarkStart w:id="60" w:name="_Toc81575153"/>
      <w:r/>
      <w:bookmarkStart w:id="61" w:name="_Toc9425"/>
      <w:r/>
      <w:bookmarkStart w:id="62" w:name="_Toc81575190"/>
      <w:r>
        <w:rPr>
          <w:rFonts w:hint="eastAsia" w:ascii="宋体" w:hAnsi="宋体" w:eastAsia="宋体" w:cs="宋体"/>
          <w:color w:val="auto"/>
          <w:sz w:val="44"/>
          <w:szCs w:val="22"/>
          <w:highlight w:val="none"/>
        </w:rPr>
        <w:t xml:space="preserve">第二章  投标人须知</w:t>
      </w:r>
      <w:bookmarkEnd w:id="58"/>
      <w:r/>
      <w:bookmarkEnd w:id="59"/>
      <w:r/>
      <w:bookmarkEnd w:id="60"/>
      <w:r/>
      <w:bookmarkEnd w:id="61"/>
      <w:r/>
      <w:bookmarkEnd w:id="62"/>
      <w:r/>
      <w:r/>
    </w:p>
    <w:p>
      <w:pPr>
        <w:jc w:val="both"/>
        <w:keepLines/>
        <w:keepNext/>
        <w:spacing w:before="0" w:after="120" w:line="520" w:lineRule="exact"/>
        <w:widowControl w:val="off"/>
        <w:rPr>
          <w:rFonts w:hint="eastAsia" w:ascii="宋体" w:hAnsi="宋体" w:eastAsia="宋体" w:cs="宋体"/>
          <w:b/>
          <w:bCs/>
          <w:color w:val="auto"/>
          <w:sz w:val="32"/>
          <w:szCs w:val="22"/>
          <w:highlight w:val="none"/>
          <w:lang w:val="en-US" w:eastAsia="zh-CN" w:bidi="ar-SA"/>
        </w:rPr>
        <w:outlineLvl w:val="1"/>
      </w:pPr>
      <w:r/>
      <w:bookmarkStart w:id="63" w:name="_Toc4529"/>
      <w:r>
        <w:rPr>
          <w:rFonts w:hint="eastAsia" w:ascii="宋体" w:hAnsi="宋体" w:eastAsia="宋体" w:cs="宋体"/>
          <w:b/>
          <w:bCs/>
          <w:color w:val="auto"/>
          <w:sz w:val="32"/>
          <w:szCs w:val="22"/>
          <w:highlight w:val="none"/>
          <w:lang w:val="en-US" w:eastAsia="zh-CN" w:bidi="ar-SA"/>
        </w:rPr>
        <w:t xml:space="preserve">投标人须知前附表：</w:t>
      </w:r>
      <w:bookmarkEnd w:id="63"/>
      <w:r/>
      <w:r/>
    </w:p>
    <w:tbl>
      <w:tblPr>
        <w:tblStyle w:val="956"/>
        <w:tblpPr w:horzAnchor="page" w:tblpX="1530" w:vertAnchor="text" w:tblpY="228" w:leftFromText="180" w:topFromText="0" w:rightFromText="180" w:bottomFromText="0"/>
        <w:tblW w:w="93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37"/>
      </w:tblGrid>
      <w:tr>
        <w:trPr>
          <w:trHeight w:val="462"/>
        </w:trPr>
        <w:tc>
          <w:tcPr>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64" w:name="_Toc29262"/>
            <w:r/>
            <w:bookmarkStart w:id="65" w:name="_Toc81575191"/>
            <w:r/>
            <w:bookmarkStart w:id="66" w:name="_Toc81575154"/>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73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7" w:name="EB9a5853ee094f4f0ea6ec3169265f6f2c"/>
            <w:r>
              <w:rPr>
                <w:rFonts w:hint="eastAsia" w:ascii="宋体" w:hAnsi="宋体" w:eastAsia="宋体" w:cs="宋体"/>
                <w:color w:val="auto"/>
                <w:sz w:val="24"/>
                <w:szCs w:val="24"/>
                <w:highlight w:val="none"/>
              </w:rPr>
              <w:t xml:space="preserve">属性按以下第</w:t>
            </w:r>
            <w:bookmarkEnd w:id="67"/>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8" w:name="EBd5c6c026f9674c39b21b31ecd0c1e7fa"/>
            <w:r>
              <w:rPr>
                <w:rFonts w:hint="eastAsia" w:ascii="宋体" w:hAnsi="宋体" w:eastAsia="宋体" w:cs="宋体"/>
                <w:color w:val="auto"/>
                <w:sz w:val="24"/>
                <w:szCs w:val="24"/>
                <w:highlight w:val="none"/>
              </w:rPr>
              <w:t xml:space="preserve">采购；2.</w:t>
            </w:r>
            <w:bookmarkEnd w:id="68"/>
            <w:r>
              <w:rPr>
                <w:rFonts w:hint="eastAsia" w:ascii="宋体" w:hAnsi="宋体" w:eastAsia="宋体" w:cs="宋体"/>
                <w:color w:val="auto"/>
                <w:sz w:val="24"/>
                <w:szCs w:val="24"/>
                <w:highlight w:val="none"/>
              </w:rPr>
              <w:t xml:space="preserve">服务</w:t>
            </w:r>
            <w:bookmarkStart w:id="69" w:name="EBf7d2a4f44ecb4166a93ea852e73be69f"/>
            <w:r>
              <w:rPr>
                <w:rFonts w:hint="eastAsia" w:ascii="宋体" w:hAnsi="宋体" w:eastAsia="宋体" w:cs="宋体"/>
                <w:color w:val="auto"/>
                <w:sz w:val="24"/>
                <w:szCs w:val="24"/>
                <w:highlight w:val="none"/>
              </w:rPr>
              <w:t xml:space="preserve">采购；3.</w:t>
            </w:r>
            <w:bookmarkEnd w:id="69"/>
            <w:r>
              <w:rPr>
                <w:rFonts w:hint="eastAsia" w:ascii="宋体" w:hAnsi="宋体" w:eastAsia="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0" w:name="EBd40b5fb42f2944a3b45e579ce3941f02"/>
            <w:r/>
            <w:bookmarkEnd w:id="70"/>
            <w:r>
              <w:rPr>
                <w:rFonts w:hint="eastAsia" w:ascii="宋体" w:hAnsi="宋体" w:eastAsia="宋体" w:cs="宋体"/>
                <w:color w:val="auto"/>
                <w:sz w:val="24"/>
                <w:szCs w:val="24"/>
                <w:highlight w:val="none"/>
              </w:rPr>
              <w:t xml:space="preserve">60日（从提交投标文件截止之日起算）</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szCs w:val="22"/>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73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1"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71"/>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1.允许分包，</w:t>
            </w:r>
            <w:bookmarkStart w:id="72"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72"/>
            <w:r>
              <w:rPr>
                <w:rFonts w:ascii="SimSun" w:hAnsi="SimSun" w:eastAsia="SimSun" w:cs="SimSun"/>
                <w:color w:val="000000"/>
                <w:sz w:val="24"/>
              </w:rPr>
              <w:t xml:space="preserve">本项目的</w:t>
            </w:r>
            <w:r>
              <w:rPr>
                <w:rFonts w:ascii="SimSun" w:hAnsi="SimSun" w:eastAsia="SimSun" w:cs="SimSun"/>
                <w:color w:val="000000"/>
                <w:sz w:val="24"/>
              </w:rPr>
              <w:t xml:space="preserve">消防设施维修、防雷维修、高、低压柜工程</w:t>
            </w:r>
            <w:r>
              <w:rPr>
                <w:rFonts w:ascii="SimSun" w:hAnsi="SimSun" w:eastAsia="SimSun" w:cs="SimSun"/>
                <w:color w:val="000000"/>
                <w:sz w:val="24"/>
              </w:rPr>
              <w:t xml:space="preserve">等</w:t>
            </w:r>
            <w:r>
              <w:rPr>
                <w:rFonts w:ascii="SimSun" w:hAnsi="SimSun" w:eastAsia="SimSun" w:cs="SimSun"/>
                <w:color w:val="000000"/>
                <w:sz w:val="24"/>
              </w:rPr>
              <w:t xml:space="preserve">，</w:t>
            </w:r>
            <w:r>
              <w:rPr>
                <w:rFonts w:ascii="SimSun" w:hAnsi="SimSun" w:eastAsia="SimSun" w:cs="SimSun"/>
                <w:color w:val="000000"/>
                <w:sz w:val="24"/>
              </w:rPr>
              <w:t xml:space="preserve">中标单位如不具</w:t>
            </w:r>
            <w:r>
              <w:rPr>
                <w:rFonts w:ascii="SimSun" w:hAnsi="SimSun" w:eastAsia="SimSun" w:cs="SimSun"/>
                <w:color w:val="000000"/>
                <w:sz w:val="24"/>
              </w:rPr>
              <w:t xml:space="preserve">有相应资质</w:t>
            </w:r>
            <w:r>
              <w:rPr>
                <w:rFonts w:ascii="SimSun" w:hAnsi="SimSun" w:eastAsia="SimSun" w:cs="SimSun"/>
                <w:color w:val="000000"/>
                <w:sz w:val="24"/>
              </w:rPr>
              <w:t xml:space="preserve">，可以</w:t>
            </w:r>
            <w:r>
              <w:rPr>
                <w:rFonts w:ascii="SimSun" w:hAnsi="SimSun" w:eastAsia="SimSun" w:cs="SimSun"/>
                <w:color w:val="000000"/>
                <w:sz w:val="24"/>
              </w:rPr>
              <w:t xml:space="preserve">分包给其具有相应资质的单位实施，并由中标单位承担全部费用和责任。</w:t>
            </w:r>
            <w:r>
              <w:rPr>
                <w:sz w:val="21"/>
              </w:rPr>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2.不允许分包。</w:t>
            </w:r>
            <w:r>
              <w:rPr>
                <w:rFonts w:hint="eastAsia" w:ascii="宋体" w:hAnsi="宋体" w:eastAsia="宋体" w:cs="宋体"/>
                <w:color w:val="auto"/>
                <w:sz w:val="24"/>
                <w:szCs w:val="24"/>
                <w:highlight w:val="none"/>
                <w:lang w:val="en-US" w:eastAsia="zh-CN"/>
              </w:rPr>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73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由中标人支付，具体方式及标准为：根据苏财规【2026】1号文要求、参照苏招协[2022]002号规定标准向代理单位支付代理服务费，供应商计入到投标总价中。支付方式可以通过转账或数字人民币等方式，领取成交通知书前一次性支付（以项目成交额支付代理服务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注：以上费用由供应商编制投标文件时综合考虑计入投标报价中。</w:t>
            </w:r>
            <w:r/>
          </w:p>
          <w:p>
            <w:pPr>
              <w:jc w:val="left"/>
              <w:spacing w:line="400" w:lineRule="exact"/>
              <w:rPr>
                <w:rFonts w:hint="eastAsia" w:ascii="宋体" w:hAnsi="宋体" w:eastAsia="宋体" w:cs="宋体"/>
                <w:color w:val="auto"/>
                <w:sz w:val="24"/>
                <w:szCs w:val="24"/>
                <w:highlight w:val="none"/>
              </w:rPr>
            </w:pPr>
            <w:r/>
            <w:bookmarkStart w:id="73" w:name="EBfe735bb6fc4d4e5e9e350f940db98c5f"/>
            <w:r/>
            <w:bookmarkEnd w:id="73"/>
            <w:r/>
            <w:bookmarkStart w:id="74" w:name="EB494c0bc35e674ba8ba0c8d892ff35fa5"/>
            <w:r>
              <w:rPr>
                <w:rFonts w:hint="eastAsia" w:ascii="宋体" w:hAnsi="宋体" w:eastAsia="宋体" w:cs="宋体"/>
                <w:color w:val="auto"/>
                <w:sz w:val="24"/>
                <w:szCs w:val="21"/>
                <w:highlight w:val="none"/>
                <w:lang w:val="zh-CN"/>
              </w:rPr>
            </w:r>
            <w:bookmarkEnd w:id="74"/>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64"/>
            <w:r/>
            <w:bookmarkEnd w:id="65"/>
            <w:r/>
            <w:bookmarkEnd w:id="66"/>
            <w:r/>
            <w:r/>
          </w:p>
        </w:tc>
        <w:tc>
          <w:tcPr>
            <w:tcW w:w="6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本项目落实“关于推动解决政府采购异常低价问题相关工作的通知(苏财购〔2025〕62号)”文件规定。</w:t>
            </w:r>
            <w:r>
              <w:rPr>
                <w:sz w:val="21"/>
              </w:rPr>
            </w:r>
            <w:r/>
          </w:p>
        </w:tc>
      </w:tr>
    </w:tbl>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75" w:name="EB6eaaf474639940df900ef4965d71f450"/>
      <w:r/>
      <w:bookmarkEnd w:id="75"/>
      <w:r/>
      <w:bookmarkStart w:id="76" w:name="_Toc81575155"/>
      <w:r/>
      <w:bookmarkStart w:id="77" w:name="_Toc81575192"/>
      <w:r/>
      <w:bookmarkStart w:id="78" w:name="_Toc30953"/>
      <w:r/>
      <w:bookmarkStart w:id="79" w:name="_Toc8239"/>
      <w:r>
        <w:rPr>
          <w:rFonts w:hint="eastAsia" w:ascii="宋体" w:hAnsi="宋体" w:eastAsia="宋体" w:cs="宋体"/>
          <w:b/>
          <w:bCs/>
          <w:color w:val="auto"/>
          <w:sz w:val="32"/>
          <w:szCs w:val="22"/>
          <w:highlight w:val="none"/>
          <w:lang w:val="en-US" w:eastAsia="zh-CN" w:bidi="ar-SA"/>
        </w:rPr>
        <w:t xml:space="preserve">一、总 则</w:t>
      </w:r>
      <w:bookmarkEnd w:id="76"/>
      <w:r/>
      <w:bookmarkEnd w:id="77"/>
      <w:r/>
      <w:bookmarkEnd w:id="78"/>
      <w:r/>
      <w:bookmarkEnd w:id="79"/>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1、招标方式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本次采购采取公开招标方式。</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2、合格的投标人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2.2满足本文件实质性要求的规定。</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3、适用法律</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4、投标费用</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投标人应自行承担所有参加投标有关的费用。</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80" w:name="_Toc29306"/>
      <w:r/>
      <w:bookmarkStart w:id="81" w:name="_Toc81575193"/>
      <w:r/>
      <w:bookmarkStart w:id="82" w:name="_Toc15995"/>
      <w:r/>
      <w:bookmarkStart w:id="83" w:name="_Toc81575156"/>
      <w:r>
        <w:rPr>
          <w:rFonts w:hint="eastAsia" w:ascii="宋体" w:hAnsi="宋体" w:eastAsia="宋体" w:cs="宋体"/>
          <w:b/>
          <w:bCs/>
          <w:color w:val="auto"/>
          <w:sz w:val="32"/>
          <w:szCs w:val="22"/>
          <w:highlight w:val="none"/>
          <w:lang w:val="en-US" w:eastAsia="zh-CN" w:bidi="ar-SA"/>
        </w:rPr>
        <w:t xml:space="preserve">二、招标文件</w:t>
      </w:r>
      <w:bookmarkEnd w:id="80"/>
      <w:r/>
      <w:bookmarkEnd w:id="81"/>
      <w:r/>
      <w:bookmarkEnd w:id="82"/>
      <w:r/>
      <w:bookmarkEnd w:id="83"/>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5、招标文件构成</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5.1招标文件由以下部分组成：</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第一章：投标邀请；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第二章：投标人须知；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第三章：资格审查及评标办法；</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第五章：合同文本；</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第六章：投标文件格式。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6、政府采购政策功能落实</w:t>
      </w:r>
      <w:r/>
    </w:p>
    <w:p>
      <w:pPr>
        <w:ind w:firstLine="482"/>
        <w:spacing w:line="480" w:lineRule="exact"/>
        <w:rPr>
          <w:rFonts w:hint="eastAsia" w:ascii="宋体" w:hAnsi="宋体" w:eastAsia="宋体" w:cs="宋体"/>
          <w:b/>
          <w:bCs/>
          <w:color w:val="auto"/>
          <w:sz w:val="24"/>
          <w:szCs w:val="22"/>
          <w:highlight w:val="none"/>
          <w:u w:val="single"/>
          <w:lang w:val="en-US" w:eastAsia="zh-CN"/>
        </w:rPr>
      </w:pPr>
      <w:r>
        <w:rPr>
          <w:rFonts w:hint="eastAsia" w:ascii="宋体" w:hAnsi="宋体" w:eastAsia="宋体" w:cs="宋体"/>
          <w:b/>
          <w:bCs/>
          <w:color w:val="auto"/>
          <w:sz w:val="24"/>
          <w:szCs w:val="22"/>
          <w:highlight w:val="none"/>
        </w:rPr>
        <w:t xml:space="preserve">本项目落实的政府采购政策对应序号为</w:t>
      </w:r>
      <w:r>
        <w:rPr>
          <w:rFonts w:hint="eastAsia" w:ascii="宋体" w:hAnsi="宋体" w:eastAsia="宋体" w:cs="宋体"/>
          <w:b/>
          <w:bCs/>
          <w:color w:val="auto"/>
          <w:sz w:val="24"/>
          <w:szCs w:val="22"/>
          <w:highlight w:val="none"/>
          <w:u w:val="single"/>
          <w:lang w:val="en-US" w:eastAsia="zh-CN"/>
        </w:rPr>
        <w:t xml:space="preserve">6.1</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6.1中小企业政策</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本项目按第</w:t>
      </w:r>
      <w:r>
        <w:rPr>
          <w:rFonts w:hint="eastAsia" w:ascii="宋体" w:hAnsi="宋体" w:eastAsia="宋体" w:cs="宋体"/>
          <w:color w:val="auto"/>
          <w:sz w:val="24"/>
          <w:szCs w:val="22"/>
          <w:highlight w:val="none"/>
          <w:u w:val="single"/>
        </w:rPr>
        <w:t xml:space="preserve">（2）</w:t>
      </w:r>
      <w:r>
        <w:rPr>
          <w:rFonts w:hint="eastAsia" w:ascii="宋体" w:hAnsi="宋体" w:eastAsia="宋体" w:cs="宋体"/>
          <w:color w:val="auto"/>
          <w:sz w:val="24"/>
          <w:szCs w:val="22"/>
          <w:highlight w:val="none"/>
        </w:rPr>
        <w:t xml:space="preserve">种政策落实：</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（2）对符合规定情形的小微企业报价给予</w:t>
      </w: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2"/>
          <w:highlight w:val="none"/>
          <w:lang w:val="en-US" w:eastAsia="zh-CN"/>
        </w:rPr>
        <w:t xml:space="preserve">0</w:t>
      </w:r>
      <w:r>
        <w:rPr>
          <w:rFonts w:hint="eastAsia" w:ascii="宋体" w:hAnsi="宋体" w:eastAsia="宋体" w:cs="宋体"/>
          <w:b/>
          <w:bCs/>
          <w:color w:val="auto"/>
          <w:sz w:val="24"/>
          <w:szCs w:val="22"/>
          <w:highlight w:val="none"/>
        </w:rPr>
        <w:t xml:space="preserve">%</w:t>
      </w:r>
      <w:r>
        <w:rPr>
          <w:rFonts w:hint="eastAsia" w:ascii="宋体" w:hAnsi="宋体" w:eastAsia="宋体" w:cs="宋体"/>
          <w:color w:val="auto"/>
          <w:sz w:val="24"/>
          <w:szCs w:val="22"/>
          <w:highlight w:val="none"/>
        </w:rPr>
        <w:t xml:space="preserve">扣除，用扣除后的价格参加评审。</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2"/>
          <w:highlight w:val="none"/>
          <w:u w:val="single"/>
        </w:rPr>
        <w:t xml:space="preserve">5</w:t>
      </w:r>
      <w:r>
        <w:rPr>
          <w:rFonts w:hint="eastAsia" w:ascii="宋体" w:hAnsi="宋体" w:eastAsia="宋体" w:cs="宋体"/>
          <w:color w:val="auto"/>
          <w:sz w:val="24"/>
          <w:szCs w:val="22"/>
          <w:highlight w:val="none"/>
        </w:rPr>
        <w:t xml:space="preserve">%（工程项目为</w:t>
      </w:r>
      <w:r>
        <w:rPr>
          <w:rFonts w:hint="eastAsia" w:ascii="宋体" w:hAnsi="宋体" w:eastAsia="宋体" w:cs="宋体"/>
          <w:color w:val="auto"/>
          <w:sz w:val="24"/>
          <w:szCs w:val="22"/>
          <w:highlight w:val="none"/>
          <w:u w:val="single"/>
        </w:rPr>
        <w:t xml:space="preserve">2</w:t>
      </w:r>
      <w:r>
        <w:rPr>
          <w:rFonts w:hint="eastAsia" w:ascii="宋体" w:hAnsi="宋体" w:eastAsia="宋体" w:cs="宋体"/>
          <w:color w:val="auto"/>
          <w:sz w:val="24"/>
          <w:szCs w:val="22"/>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6.2节能产品、环境标志产品</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6.3政府采购需求标准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6.3.2绿色数据中心政府采购需求标准（试行）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6.3.3绿色建材政府采购需求标准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7、招标文件的澄清或修改</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7.3投标人应及时登录“苏采云”系统获取澄清答疑文件（修改后的招标文件），如投标人未能及时下载澄清答疑文件，造成的相关责任由投标人承担。</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84" w:name="_Toc5574"/>
      <w:r/>
      <w:bookmarkStart w:id="85" w:name="_Toc81575194"/>
      <w:r/>
      <w:bookmarkStart w:id="86" w:name="_Toc81575157"/>
      <w:r/>
      <w:bookmarkStart w:id="87" w:name="_Toc11461"/>
      <w:r>
        <w:rPr>
          <w:rFonts w:hint="eastAsia" w:ascii="宋体" w:hAnsi="宋体" w:eastAsia="宋体" w:cs="宋体"/>
          <w:b/>
          <w:bCs/>
          <w:color w:val="auto"/>
          <w:sz w:val="32"/>
          <w:szCs w:val="22"/>
          <w:highlight w:val="none"/>
          <w:lang w:val="en-US" w:eastAsia="zh-CN" w:bidi="ar-SA"/>
        </w:rPr>
        <w:t xml:space="preserve">三、投标文件的编制</w:t>
      </w:r>
      <w:bookmarkEnd w:id="84"/>
      <w:r/>
      <w:bookmarkEnd w:id="85"/>
      <w:r/>
      <w:bookmarkEnd w:id="86"/>
      <w:r/>
      <w:bookmarkEnd w:id="87"/>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8、投标文件的编制要求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9、投标文件构成</w:t>
      </w:r>
      <w:r/>
    </w:p>
    <w:p>
      <w:pPr>
        <w:ind w:firstLine="480"/>
        <w:spacing w:line="480" w:lineRule="exact"/>
        <w:rPr>
          <w:rFonts w:hint="eastAsia" w:ascii="宋体" w:hAnsi="宋体" w:eastAsia="宋体" w:cs="宋体"/>
          <w:bCs/>
          <w:color w:val="auto"/>
          <w:sz w:val="24"/>
          <w:szCs w:val="22"/>
          <w:highlight w:val="none"/>
        </w:rPr>
      </w:pPr>
      <w:r>
        <w:rPr>
          <w:rFonts w:hint="eastAsia" w:ascii="宋体" w:hAnsi="宋体" w:eastAsia="宋体" w:cs="宋体"/>
          <w:color w:val="auto"/>
          <w:sz w:val="24"/>
          <w:szCs w:val="22"/>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szCs w:val="22"/>
          <w:highlight w:val="none"/>
        </w:rPr>
        <w:t xml:space="preserve">投标文件构成资料为非中文时应提供中文译版。</w:t>
      </w:r>
      <w:bookmarkStart w:id="88" w:name="EBc50e2bb832bb43068403b10c1cce6141"/>
      <w:r/>
      <w:r/>
    </w:p>
    <w:p>
      <w:pPr>
        <w:ind w:firstLine="482"/>
        <w:spacing w:line="480" w:lineRule="exact"/>
        <w:rPr>
          <w:rFonts w:hint="eastAsia"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8"/>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10、投标报价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11、投标保证金</w:t>
      </w:r>
      <w:bookmarkStart w:id="89" w:name="EB183a0bf075204c54a4ff090f1aecaaa7"/>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本项目不收取投标保证金。</w:t>
      </w:r>
      <w:bookmarkEnd w:id="89"/>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12、投标有效期</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90" w:name="_Toc81575195"/>
      <w:r/>
      <w:bookmarkStart w:id="91" w:name="_Toc23443"/>
      <w:r/>
      <w:bookmarkStart w:id="92" w:name="_Toc2773"/>
      <w:r/>
      <w:bookmarkStart w:id="93" w:name="_Toc81575158"/>
      <w:r>
        <w:rPr>
          <w:rFonts w:hint="eastAsia" w:ascii="宋体" w:hAnsi="宋体" w:eastAsia="宋体" w:cs="宋体"/>
          <w:b/>
          <w:bCs/>
          <w:color w:val="auto"/>
          <w:sz w:val="32"/>
          <w:szCs w:val="22"/>
          <w:highlight w:val="none"/>
          <w:lang w:val="en-US" w:eastAsia="zh-CN" w:bidi="ar-SA"/>
        </w:rPr>
        <w:t xml:space="preserve">四、投标文件的提交</w:t>
      </w:r>
      <w:bookmarkEnd w:id="90"/>
      <w:r/>
      <w:bookmarkEnd w:id="91"/>
      <w:r/>
      <w:bookmarkEnd w:id="92"/>
      <w:r/>
      <w:bookmarkEnd w:id="93"/>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13、投标文件的提交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14、投标文件被拒绝接收的情形</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在招标文件规定的投标截止时间后上传的投标文件或对投标报价或其他实质性内容修正的文件。</w:t>
      </w:r>
      <w:r/>
    </w:p>
    <w:p>
      <w:pPr>
        <w:ind w:firstLine="321"/>
        <w:jc w:val="both"/>
        <w:keepLines/>
        <w:keepNext/>
        <w:spacing w:before="0" w:after="0" w:line="520" w:lineRule="exact"/>
        <w:widowControl w:val="off"/>
        <w:rPr>
          <w:rFonts w:hint="eastAsia" w:ascii="宋体" w:hAnsi="宋体" w:eastAsia="宋体" w:cs="宋体"/>
          <w:b/>
          <w:bCs/>
          <w:color w:val="auto"/>
          <w:sz w:val="32"/>
          <w:szCs w:val="22"/>
          <w:highlight w:val="none"/>
          <w:lang w:val="en-US" w:eastAsia="zh-CN" w:bidi="ar-SA"/>
        </w:rPr>
        <w:outlineLvl w:val="1"/>
      </w:pPr>
      <w:r/>
      <w:bookmarkStart w:id="94" w:name="_Toc959"/>
      <w:r/>
      <w:bookmarkStart w:id="95" w:name="_Toc20026"/>
      <w:r/>
      <w:bookmarkStart w:id="96" w:name="_Toc81575197"/>
      <w:r/>
      <w:bookmarkStart w:id="97" w:name="_Toc81575160"/>
      <w:r>
        <w:rPr>
          <w:rFonts w:hint="eastAsia" w:ascii="宋体" w:hAnsi="宋体" w:eastAsia="宋体" w:cs="宋体"/>
          <w:b/>
          <w:bCs/>
          <w:color w:val="auto"/>
          <w:sz w:val="32"/>
          <w:szCs w:val="22"/>
          <w:highlight w:val="none"/>
          <w:lang w:val="en-US" w:eastAsia="zh-CN" w:bidi="ar-SA"/>
        </w:rPr>
        <w:t xml:space="preserve">五、开标、评标程序</w:t>
      </w:r>
      <w:bookmarkEnd w:id="94"/>
      <w:r/>
      <w:bookmarkEnd w:id="95"/>
      <w:r/>
      <w:bookmarkEnd w:id="96"/>
      <w:r/>
      <w:bookmarkEnd w:id="97"/>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15、开标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16、评标委员会</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17、评标程序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17.1资格审查</w:t>
      </w:r>
      <w:bookmarkStart w:id="98" w:name="EBa9c0a2c9e523494487594c65b2a92370"/>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开标结束后，采购人依法根据招标文件的规定对投标人的资格证明文件等进行审查。</w:t>
      </w:r>
      <w:bookmarkEnd w:id="98"/>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17.2符合性检查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9" w:name="EB1499356fad43416eb16398733accabf7"/>
      <w:r>
        <w:rPr>
          <w:rFonts w:hint="eastAsia" w:ascii="宋体" w:hAnsi="宋体" w:eastAsia="宋体" w:cs="宋体"/>
          <w:color w:val="auto"/>
          <w:sz w:val="24"/>
          <w:szCs w:val="22"/>
          <w:highlight w:val="none"/>
        </w:rPr>
        <w:t xml:space="preserve">所谓重大偏离是指投标人投标文件中所述设备质量、技术规格、数量、交货期、服务等明显不能满足招标文件要求。</w:t>
      </w:r>
      <w:bookmarkEnd w:id="99"/>
      <w:r>
        <w:rPr>
          <w:rFonts w:hint="eastAsia" w:ascii="宋体" w:hAnsi="宋体" w:eastAsia="宋体" w:cs="宋体"/>
          <w:color w:val="auto"/>
          <w:sz w:val="24"/>
          <w:szCs w:val="22"/>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17.5相同品牌产品投标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17.6有关问题的澄清</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评标过程中，不得去掉报价中的最高报价和最低报价。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17.7比较</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17.8推荐中标候选人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评标委员会按照招标文件中规定的评标方法和标准推荐中标候选人。</w:t>
      </w:r>
      <w:r/>
    </w:p>
    <w:p>
      <w:pPr>
        <w:ind w:firstLine="321"/>
        <w:jc w:val="both"/>
        <w:keepLines/>
        <w:keepNext/>
        <w:spacing w:before="0" w:after="0" w:line="480" w:lineRule="exact"/>
        <w:widowControl w:val="off"/>
        <w:rPr>
          <w:rFonts w:hint="eastAsia" w:ascii="宋体" w:hAnsi="宋体" w:eastAsia="宋体" w:cs="宋体"/>
          <w:b/>
          <w:bCs/>
          <w:color w:val="auto"/>
          <w:sz w:val="32"/>
          <w:szCs w:val="22"/>
          <w:highlight w:val="none"/>
          <w:lang w:val="en-US" w:eastAsia="zh-CN" w:bidi="ar-SA"/>
        </w:rPr>
        <w:outlineLvl w:val="1"/>
      </w:pPr>
      <w:r/>
      <w:bookmarkStart w:id="100" w:name="_Toc8841"/>
      <w:r/>
      <w:bookmarkStart w:id="101" w:name="_Toc81575196"/>
      <w:r/>
      <w:bookmarkStart w:id="102" w:name="_Toc8712"/>
      <w:r/>
      <w:bookmarkStart w:id="103" w:name="_Toc81575159"/>
      <w:r>
        <w:rPr>
          <w:rFonts w:hint="eastAsia" w:ascii="宋体" w:hAnsi="宋体" w:eastAsia="宋体" w:cs="宋体"/>
          <w:b/>
          <w:bCs/>
          <w:color w:val="auto"/>
          <w:sz w:val="32"/>
          <w:szCs w:val="22"/>
          <w:highlight w:val="none"/>
          <w:lang w:val="en-US" w:eastAsia="zh-CN" w:bidi="ar-SA"/>
        </w:rPr>
        <w:t xml:space="preserve">六、无效投标、废标、串通投标</w:t>
      </w:r>
      <w:bookmarkEnd w:id="100"/>
      <w:r/>
      <w:bookmarkEnd w:id="101"/>
      <w:r/>
      <w:bookmarkEnd w:id="102"/>
      <w:r/>
      <w:bookmarkEnd w:id="103"/>
      <w:r>
        <w:rPr>
          <w:rFonts w:hint="eastAsia" w:ascii="宋体" w:hAnsi="宋体" w:eastAsia="宋体" w:cs="宋体"/>
          <w:b/>
          <w:bCs/>
          <w:color w:val="auto"/>
          <w:sz w:val="32"/>
          <w:szCs w:val="22"/>
          <w:highlight w:val="none"/>
          <w:lang w:val="en-US" w:eastAsia="zh-CN" w:bidi="ar-SA"/>
        </w:rPr>
        <w:t xml:space="preserve">及取消中标候选人资格情形</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18、无效投标情形</w:t>
      </w:r>
      <w:r/>
    </w:p>
    <w:p>
      <w:pPr>
        <w:ind w:firstLine="480"/>
        <w:spacing w:line="480" w:lineRule="exact"/>
        <w:rPr>
          <w:rFonts w:hint="eastAsia" w:ascii="宋体" w:hAnsi="宋体" w:eastAsia="宋体" w:cs="宋体"/>
          <w:strike/>
          <w:color w:val="auto"/>
          <w:sz w:val="24"/>
          <w:szCs w:val="22"/>
          <w:highlight w:val="none"/>
        </w:rPr>
      </w:pPr>
      <w:r>
        <w:rPr>
          <w:rFonts w:hint="eastAsia" w:ascii="宋体" w:hAnsi="宋体" w:eastAsia="宋体" w:cs="宋体"/>
          <w:color w:val="auto"/>
          <w:sz w:val="24"/>
          <w:szCs w:val="22"/>
          <w:highlight w:val="none"/>
        </w:rPr>
        <w:t xml:space="preserve">18.1投标人同一采购包提交两个（含两个）以上不同的投标报价的。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18.4投标文件未通过符合性审查的。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18.10其他法律、法规及本招标文件规定的属无效投标的情形。</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19、废标情形</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19.2出现影响采购公正的违法、违规行为的。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19.3因重大变故，采购任务取消的。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20、投标人不足三家情形处理</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21、串通投标情形</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有下列情形之一的，属于恶意串通投标：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21.13不同投标人的投标文件相互混装；</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22、</w:t>
      </w:r>
      <w:bookmarkStart w:id="104" w:name="OLE_LINK4"/>
      <w:r>
        <w:rPr>
          <w:rFonts w:hint="eastAsia" w:ascii="宋体" w:hAnsi="宋体" w:eastAsia="宋体" w:cs="宋体"/>
          <w:b/>
          <w:color w:val="auto"/>
          <w:sz w:val="24"/>
          <w:szCs w:val="22"/>
          <w:highlight w:val="none"/>
        </w:rPr>
        <w:t xml:space="preserve">取消中标候选人资格情形</w:t>
      </w:r>
      <w:bookmarkEnd w:id="104"/>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22.1提供虚假材料谋取中标的；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22.2采取不正当手段诋毁、排挤其他投标人的；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22.6法律、法规规定的其它情况。</w:t>
      </w:r>
      <w:bookmarkStart w:id="105" w:name="_Toc81575161"/>
      <w:r/>
      <w:bookmarkStart w:id="106" w:name="_Toc6494"/>
      <w:r/>
      <w:bookmarkStart w:id="107" w:name="_Toc81575198"/>
      <w:r/>
      <w:bookmarkStart w:id="108" w:name="_Toc2391"/>
      <w:r/>
      <w:r/>
    </w:p>
    <w:p>
      <w:pPr>
        <w:ind w:firstLine="321"/>
        <w:spacing w:line="480" w:lineRule="exact"/>
        <w:rPr>
          <w:rFonts w:hint="eastAsia" w:ascii="宋体" w:hAnsi="宋体" w:eastAsia="宋体" w:cs="宋体"/>
          <w:b/>
          <w:bCs/>
          <w:color w:val="auto"/>
          <w:sz w:val="32"/>
          <w:szCs w:val="22"/>
          <w:highlight w:val="none"/>
          <w:lang w:val="en-US" w:eastAsia="zh-CN" w:bidi="ar-SA"/>
        </w:rPr>
        <w:outlineLvl w:val="1"/>
      </w:pPr>
      <w:r>
        <w:rPr>
          <w:rFonts w:hint="eastAsia" w:ascii="宋体" w:hAnsi="宋体" w:eastAsia="宋体" w:cs="宋体"/>
          <w:b/>
          <w:bCs/>
          <w:color w:val="auto"/>
          <w:sz w:val="32"/>
          <w:szCs w:val="22"/>
          <w:highlight w:val="none"/>
          <w:lang w:val="en-US" w:eastAsia="zh-CN" w:bidi="ar-SA"/>
        </w:rPr>
        <w:t xml:space="preserve">七、中标及合同签订</w:t>
      </w:r>
      <w:bookmarkEnd w:id="105"/>
      <w:r/>
      <w:bookmarkEnd w:id="106"/>
      <w:r/>
      <w:bookmarkEnd w:id="107"/>
      <w:r/>
      <w:bookmarkEnd w:id="108"/>
      <w:r/>
      <w:r/>
    </w:p>
    <w:p>
      <w:pPr>
        <w:ind w:firstLine="482"/>
        <w:spacing w:line="50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23、确定中标人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24、中标通知书</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24.3采用综合评分法评审的，未中标人可于中标结果公告期限届满之日起通过“苏采云”系统查看</w:t>
      </w:r>
      <w:bookmarkStart w:id="109" w:name="OLE_LINK5"/>
      <w:r>
        <w:rPr>
          <w:rFonts w:hint="eastAsia" w:ascii="宋体" w:hAnsi="宋体" w:eastAsia="宋体" w:cs="宋体"/>
          <w:color w:val="auto"/>
          <w:sz w:val="24"/>
          <w:szCs w:val="22"/>
          <w:highlight w:val="none"/>
        </w:rPr>
        <w:t xml:space="preserve">自己的评审得分及排序情况。</w:t>
      </w:r>
      <w:bookmarkEnd w:id="109"/>
      <w:r/>
      <w:r/>
    </w:p>
    <w:p>
      <w:pPr>
        <w:ind w:firstLine="482"/>
        <w:spacing w:line="50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25、授予合同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26、履约保证金</w:t>
      </w:r>
      <w:r/>
    </w:p>
    <w:p>
      <w:pPr>
        <w:ind w:firstLine="480"/>
        <w:spacing w:line="48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按照以下第</w:t>
      </w:r>
      <w:r>
        <w:rPr>
          <w:rFonts w:hint="eastAsia" w:ascii="宋体" w:hAnsi="宋体" w:eastAsia="宋体" w:cs="宋体"/>
          <w:color w:val="auto"/>
          <w:sz w:val="24"/>
          <w:szCs w:val="22"/>
          <w:highlight w:val="none"/>
          <w:u w:val="single"/>
          <w:lang w:val="zh-CN"/>
        </w:rPr>
        <w:t xml:space="preserve">（</w:t>
      </w:r>
      <w:r>
        <w:rPr>
          <w:rFonts w:hint="eastAsia" w:ascii="宋体" w:hAnsi="宋体" w:eastAsia="宋体" w:cs="宋体"/>
          <w:color w:val="auto"/>
          <w:sz w:val="24"/>
          <w:szCs w:val="22"/>
          <w:highlight w:val="none"/>
          <w:u w:val="single"/>
          <w:lang w:val="en-US" w:eastAsia="zh-CN"/>
        </w:rPr>
        <w:t xml:space="preserve">2</w:t>
      </w:r>
      <w:r>
        <w:rPr>
          <w:rFonts w:hint="eastAsia" w:ascii="宋体" w:hAnsi="宋体" w:eastAsia="宋体" w:cs="宋体"/>
          <w:color w:val="auto"/>
          <w:sz w:val="24"/>
          <w:szCs w:val="22"/>
          <w:highlight w:val="none"/>
          <w:u w:val="single"/>
          <w:lang w:val="zh-CN"/>
        </w:rPr>
        <w:t xml:space="preserve">）</w:t>
      </w:r>
      <w:r>
        <w:rPr>
          <w:rFonts w:hint="eastAsia" w:ascii="宋体" w:hAnsi="宋体" w:eastAsia="宋体" w:cs="宋体"/>
          <w:color w:val="auto"/>
          <w:sz w:val="24"/>
          <w:szCs w:val="22"/>
          <w:highlight w:val="none"/>
          <w:lang w:val="zh-CN"/>
        </w:rPr>
        <w:t xml:space="preserve">方式确定履约保证</w:t>
      </w:r>
      <w:r>
        <w:rPr>
          <w:rFonts w:hint="eastAsia" w:ascii="宋体" w:hAnsi="宋体" w:eastAsia="宋体" w:cs="宋体"/>
          <w:color w:val="auto"/>
          <w:sz w:val="24"/>
          <w:szCs w:val="22"/>
          <w:highlight w:val="none"/>
        </w:rPr>
        <w:t xml:space="preserve">金</w:t>
      </w:r>
      <w:r>
        <w:rPr>
          <w:rFonts w:hint="eastAsia" w:ascii="宋体" w:hAnsi="宋体" w:eastAsia="宋体" w:cs="宋体"/>
          <w:color w:val="auto"/>
          <w:sz w:val="24"/>
          <w:szCs w:val="22"/>
          <w:highlight w:val="none"/>
          <w:lang w:val="zh-CN"/>
        </w:rPr>
        <w:t xml:space="preserve">收取方式。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（1）本项目不收取履约保证金。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（2）本项目收取履约保证金。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26.1履约保证金提交形式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26.2履约保证金提交金额</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按采购合同总价的</w:t>
      </w:r>
      <w:r>
        <w:rPr>
          <w:rFonts w:hint="eastAsia" w:ascii="宋体" w:hAnsi="宋体" w:eastAsia="宋体" w:cs="宋体"/>
          <w:color w:val="auto"/>
          <w:sz w:val="24"/>
          <w:szCs w:val="22"/>
          <w:highlight w:val="none"/>
          <w:u w:val="single"/>
          <w:lang w:val="en-US" w:eastAsia="zh-CN"/>
        </w:rPr>
        <w:t xml:space="preserve">5</w:t>
      </w:r>
      <w:r>
        <w:rPr>
          <w:rFonts w:hint="eastAsia" w:ascii="宋体" w:hAnsi="宋体" w:eastAsia="宋体" w:cs="宋体"/>
          <w:color w:val="auto"/>
          <w:sz w:val="24"/>
          <w:szCs w:val="22"/>
          <w:highlight w:val="none"/>
        </w:rPr>
        <w:t xml:space="preserve">%提交。</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支持和鼓励投标人使用江苏政府采购电子履约保函（保险）代替缴纳履约保证金，投标人如使用江苏政府采购电子履约保函（保险）的</w:t>
      </w:r>
      <w:r>
        <w:rPr>
          <w:rFonts w:hint="eastAsia" w:ascii="宋体" w:hAnsi="宋体" w:eastAsia="宋体" w:cs="宋体"/>
          <w:color w:val="auto"/>
          <w:sz w:val="24"/>
          <w:szCs w:val="22"/>
          <w:highlight w:val="none"/>
          <w:lang w:val="en-US" w:eastAsia="zh-CN"/>
        </w:rPr>
        <w:t xml:space="preserve">优惠</w:t>
      </w:r>
      <w:r>
        <w:rPr>
          <w:rFonts w:hint="eastAsia" w:ascii="宋体" w:hAnsi="宋体" w:eastAsia="宋体" w:cs="宋体"/>
          <w:color w:val="auto"/>
          <w:sz w:val="24"/>
          <w:szCs w:val="22"/>
          <w:highlight w:val="none"/>
        </w:rPr>
        <w:t xml:space="preserve">提交。办理流程、偿付等内容见江苏政府采购网“保险保函”模块。</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26.3履约保证金退还方式</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26.4履约保证金退还条件</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具有验收合格相关证明材料。</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26.5履约保证金退还时间</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26.6履约保证金不予退还情形</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26.7逾期退还履约保证金违约责任</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2"/>
          <w:highlight w:val="none"/>
        </w:rPr>
        <w:t xml:space="preserve">27、线上融资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28、合同履行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jc w:val="both"/>
        <w:keepLines/>
        <w:keepNext/>
        <w:spacing w:before="0" w:after="0" w:line="520" w:lineRule="exact"/>
        <w:widowControl w:val="off"/>
        <w:rPr>
          <w:rFonts w:hint="eastAsia" w:ascii="宋体" w:hAnsi="宋体" w:eastAsia="宋体" w:cs="宋体"/>
          <w:b/>
          <w:bCs/>
          <w:color w:val="auto"/>
          <w:sz w:val="32"/>
          <w:szCs w:val="22"/>
          <w:highlight w:val="none"/>
          <w:lang w:val="en-US" w:eastAsia="zh-CN" w:bidi="ar-SA"/>
        </w:rPr>
        <w:outlineLvl w:val="1"/>
      </w:pPr>
      <w:r/>
      <w:bookmarkStart w:id="110" w:name="_Toc7550"/>
      <w:r/>
      <w:bookmarkStart w:id="111" w:name="_Toc81575199"/>
      <w:r/>
      <w:bookmarkStart w:id="112" w:name="_Toc22084"/>
      <w:r/>
      <w:bookmarkStart w:id="113" w:name="_Toc81575162"/>
      <w:r>
        <w:rPr>
          <w:rFonts w:hint="eastAsia" w:ascii="宋体" w:hAnsi="宋体" w:eastAsia="宋体" w:cs="宋体"/>
          <w:b/>
          <w:bCs/>
          <w:color w:val="auto"/>
          <w:sz w:val="32"/>
          <w:szCs w:val="22"/>
          <w:highlight w:val="none"/>
          <w:lang w:val="en-US" w:eastAsia="zh-CN" w:bidi="ar-SA"/>
        </w:rPr>
        <w:t xml:space="preserve">八、</w:t>
      </w:r>
      <w:bookmarkEnd w:id="110"/>
      <w:r/>
      <w:bookmarkEnd w:id="111"/>
      <w:r/>
      <w:bookmarkEnd w:id="112"/>
      <w:r/>
      <w:bookmarkEnd w:id="113"/>
      <w:r/>
      <w:bookmarkStart w:id="114" w:name="_Toc31888"/>
      <w:r/>
      <w:bookmarkStart w:id="115" w:name="_Toc81575163"/>
      <w:r/>
      <w:bookmarkStart w:id="116" w:name="_Toc12263"/>
      <w:r/>
      <w:bookmarkStart w:id="117" w:name="_Toc81575200"/>
      <w:r>
        <w:rPr>
          <w:rFonts w:hint="eastAsia" w:ascii="宋体" w:hAnsi="宋体" w:eastAsia="宋体" w:cs="宋体"/>
          <w:b/>
          <w:bCs/>
          <w:color w:val="auto"/>
          <w:sz w:val="32"/>
          <w:szCs w:val="22"/>
          <w:highlight w:val="none"/>
          <w:lang w:val="en-US" w:eastAsia="zh-CN" w:bidi="ar-SA"/>
        </w:rPr>
        <w:t xml:space="preserve">质疑与投诉</w:t>
      </w:r>
      <w:bookmarkEnd w:id="114"/>
      <w:r/>
      <w:bookmarkEnd w:id="115"/>
      <w:r/>
      <w:bookmarkEnd w:id="116"/>
      <w:r/>
      <w:bookmarkEnd w:id="117"/>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29、质疑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29.1供应商认为采购文件、采购过程和中标结果使自己的权益受到损害的，可以在知道或者应知其权益受到损害之日起七个工作日内，</w:t>
      </w:r>
      <w:bookmarkStart w:id="118" w:name="OLE_LINK2"/>
      <w:r>
        <w:rPr>
          <w:rFonts w:hint="eastAsia" w:ascii="宋体" w:hAnsi="宋体" w:eastAsia="宋体" w:cs="宋体"/>
          <w:b/>
          <w:bCs/>
          <w:color w:val="auto"/>
          <w:sz w:val="24"/>
          <w:szCs w:val="22"/>
          <w:highlight w:val="none"/>
        </w:rPr>
        <w:t xml:space="preserve">登录“苏采云”系统，从“项目质疑申请”模块向采购人提出质疑</w:t>
      </w:r>
      <w:bookmarkEnd w:id="118"/>
      <w:r>
        <w:rPr>
          <w:rFonts w:hint="eastAsia" w:ascii="宋体" w:hAnsi="宋体" w:eastAsia="宋体" w:cs="宋体"/>
          <w:b/>
          <w:bCs/>
          <w:color w:val="auto"/>
          <w:sz w:val="24"/>
          <w:szCs w:val="22"/>
          <w:highlight w:val="none"/>
        </w:rPr>
        <w:t xml:space="preserve">。</w:t>
      </w:r>
      <w:bookmarkStart w:id="119" w:name="OLE_LINK1"/>
      <w:r>
        <w:rPr>
          <w:rFonts w:hint="eastAsia" w:ascii="宋体" w:hAnsi="宋体" w:eastAsia="宋体" w:cs="宋体"/>
          <w:color w:val="auto"/>
          <w:sz w:val="24"/>
          <w:szCs w:val="22"/>
          <w:highlight w:val="none"/>
        </w:rPr>
        <w:t xml:space="preserve">质疑联系部门、联系电话、通讯地址详见采购公告。</w:t>
      </w:r>
      <w:bookmarkEnd w:id="119"/>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29.2供应商应知其权益受到损害之日，是指：</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（2）质疑项目的名称、编号；</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（3）获取采购文件的时间；</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（5）事实依据；</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（6）必要的法律依据；</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（7）提出质疑的日期；</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30、投诉</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质疑供应商对答复不满意或采购人、采购代理机构未在规定时间内作出答复的，可在答复期满后15个工作日内向同级财政部门提起投诉。</w:t>
      </w:r>
      <w:bookmarkStart w:id="120" w:name="EB4d341233595e4bf8ad7006b4bd78d974"/>
      <w:r/>
      <w:bookmarkEnd w:id="120"/>
      <w:r/>
      <w:bookmarkStart w:id="121" w:name="_Toc81575201"/>
      <w:r/>
      <w:bookmarkStart w:id="122" w:name="_Toc17996"/>
      <w:r/>
      <w:bookmarkStart w:id="123" w:name="_Toc81575164"/>
      <w:r/>
      <w:bookmarkStart w:id="124" w:name="_Hlk166141273"/>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both"/>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t xml:space="preserve">第三章  资格审查及评标</w:t>
      </w:r>
      <w:bookmarkEnd w:id="121"/>
      <w:r/>
      <w:bookmarkEnd w:id="122"/>
      <w:r/>
      <w:bookmarkEnd w:id="123"/>
      <w:r>
        <w:rPr>
          <w:rFonts w:hint="eastAsia" w:ascii="宋体" w:hAnsi="宋体" w:eastAsia="宋体" w:cs="宋体"/>
          <w:color w:val="auto"/>
          <w:sz w:val="44"/>
          <w:szCs w:val="22"/>
          <w:highlight w:val="none"/>
          <w:lang w:val="en-US" w:eastAsia="zh-CN"/>
        </w:rPr>
        <w:t xml:space="preserve">方法</w:t>
      </w:r>
      <w:r/>
    </w:p>
    <w:p>
      <w:pPr>
        <w:ind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一、资格审查</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bl>
    <w:p>
      <w:pPr>
        <w:ind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二、符合性审查</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符合招标文件要求</w:t>
            </w:r>
            <w:r/>
          </w:p>
        </w:tc>
      </w:tr>
    </w:tbl>
    <w:p>
      <w:pPr>
        <w:ind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三、评标方法</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综合评分保留至小数点后两位。</w:t>
      </w:r>
      <w:r/>
    </w:p>
    <w:p>
      <w:pPr>
        <w:ind w:firstLine="480"/>
        <w:jc w:val="left"/>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评标委员会根据评标后投标人排序推荐中标候选人，并形成评标报告。</w:t>
      </w:r>
      <w:r/>
    </w:p>
    <w:p>
      <w:pPr>
        <w:numPr>
          <w:ilvl w:val="0"/>
          <w:numId w:val="1"/>
        </w:numPr>
        <w:ind w:left="-62" w:firstLine="482"/>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评标标准</w:t>
      </w:r>
      <w:r/>
    </w:p>
    <w:tbl>
      <w:tblPr>
        <w:tblStyle w:val="956"/>
        <w:tblW w:w="947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03"/>
        <w:gridCol w:w="1167"/>
        <w:gridCol w:w="1050"/>
        <w:gridCol w:w="5953"/>
      </w:tblGrid>
      <w:tr>
        <w:trPr/>
        <w:tc>
          <w:tcPr>
            <w:gridSpan w:val="2"/>
            <w:tcBorders>
              <w:top w:val="single" w:color="auto" w:sz="6" w:space="0"/>
              <w:left w:val="single" w:color="auto" w:sz="6" w:space="0"/>
              <w:bottom w:val="single" w:color="auto" w:sz="6" w:space="0"/>
              <w:right w:val="single" w:color="auto" w:sz="6" w:space="0"/>
            </w:tcBorders>
            <w:tcW w:w="247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评审因素</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分数</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评审标准</w:t>
            </w:r>
            <w:r/>
          </w:p>
        </w:tc>
      </w:tr>
      <w:tr>
        <w:trPr>
          <w:trHeight w:val="890"/>
        </w:trPr>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报价分</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投标报价</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30分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所有通过评审的有效投标报价的最低报价为评标基准价。投标报价得分＝（评标基准价/投标报价）*30。</w:t>
            </w:r>
            <w:r/>
          </w:p>
        </w:tc>
      </w:tr>
      <w:tr>
        <w:trPr>
          <w:trHeight w:val="90"/>
        </w:trPr>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技术参数响应</w:t>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技术参数</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15</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bookmarkStart w:id="12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分;其他参数，每有一项负偏离，扣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25"/>
            <w:r/>
            <w:r/>
          </w:p>
        </w:tc>
      </w:tr>
      <w:tr>
        <w:trPr>
          <w:trHeight w:val="90"/>
        </w:trPr>
        <w:tc>
          <w:tcPr>
            <w:tcBorders>
              <w:top w:val="single" w:color="auto" w:sz="6" w:space="0"/>
              <w:left w:val="single" w:color="auto" w:sz="6" w:space="0"/>
              <w:right w:val="single" w:color="auto" w:sz="6" w:space="0"/>
            </w:tcBorders>
            <w:tcW w:w="1303" w:type="dxa"/>
            <w:vAlign w:val="center"/>
            <w:vMerge w:val="restart"/>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企业实力</w:t>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项目组成员</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投标人拟派的项目组成员具有人力资源和社会保障厅颁发的</w:t>
            </w:r>
            <w:bookmarkStart w:id="126" w:name="OLE_LINK8"/>
            <w:r>
              <w:rPr>
                <w:rFonts w:hint="eastAsia" w:ascii="宋体" w:hAnsi="宋体" w:eastAsia="宋体" w:cs="宋体"/>
                <w:color w:val="auto"/>
                <w:sz w:val="24"/>
                <w:szCs w:val="24"/>
                <w:highlight w:val="none"/>
                <w:lang w:val="en-US" w:eastAsia="zh-CN"/>
              </w:rPr>
              <w:t xml:space="preserve">广播电影电视工程</w:t>
            </w:r>
            <w:bookmarkEnd w:id="126"/>
            <w:r>
              <w:rPr>
                <w:rFonts w:hint="eastAsia" w:ascii="宋体" w:hAnsi="宋体" w:eastAsia="宋体" w:cs="宋体"/>
                <w:color w:val="auto"/>
                <w:sz w:val="24"/>
                <w:szCs w:val="24"/>
                <w:highlight w:val="none"/>
                <w:lang w:val="en-US" w:eastAsia="zh-CN"/>
              </w:rPr>
              <w:t xml:space="preserve">中级及以上职称的或通信工程、计算机应用等相关专业资质证书的，每有一人得1分，最高得3分。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注：须提供本单位在投标前6个月内任意一个月为其缴纳的养老保险或社会保险缴纳证明资料。</w:t>
            </w:r>
            <w:r/>
          </w:p>
        </w:tc>
      </w:tr>
      <w:tr>
        <w:trPr>
          <w:trHeight w:val="266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企业业绩</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2"/>
                <w:lang w:eastAsia="zh-CN"/>
              </w:rPr>
              <w:t xml:space="preserve">供</w:t>
            </w:r>
            <w:r>
              <w:rPr>
                <w:rFonts w:hint="eastAsia" w:ascii="宋体" w:hAnsi="宋体" w:eastAsia="宋体" w:cs="宋体"/>
                <w:color w:val="auto"/>
                <w:sz w:val="24"/>
                <w:szCs w:val="24"/>
                <w:lang w:eastAsia="zh-CN"/>
              </w:rPr>
              <w:t xml:space="preserve">应商有合同签订自</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年1月1日以来</w:t>
            </w:r>
            <w:r>
              <w:rPr>
                <w:rFonts w:hint="eastAsia" w:ascii="宋体" w:hAnsi="宋体" w:eastAsia="宋体" w:cs="宋体"/>
                <w:color w:val="auto"/>
                <w:sz w:val="24"/>
                <w:szCs w:val="24"/>
                <w:lang w:eastAsia="zh-CN"/>
              </w:rPr>
              <w:t xml:space="preserve">，承担</w:t>
            </w:r>
            <w:r>
              <w:rPr>
                <w:rFonts w:hint="eastAsia" w:ascii="宋体" w:hAnsi="宋体" w:eastAsia="宋体" w:cs="宋体"/>
                <w:color w:val="auto"/>
                <w:sz w:val="24"/>
                <w:szCs w:val="24"/>
              </w:rPr>
              <w:t xml:space="preserve">过类似业绩</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每有一个得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4"/>
              </w:rPr>
              <w:t xml:space="preserve">须提供中标（或成交）通知书、合同（或协议）、验收报告原件</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，三者缺一不可（合同主要内容、标的、时间等需清晰可见）如未提供、提供不全或提供不清晰的不得分均不得分。注：中标人提供的业绩将随中标结果同步公开。</w:t>
            </w:r>
            <w:r/>
          </w:p>
        </w:tc>
      </w:tr>
      <w:tr>
        <w:trPr>
          <w:trHeight w:val="266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企业实力</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5分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rPr>
              <w:t xml:space="preserve">投</w:t>
            </w:r>
            <w:r>
              <w:rPr>
                <w:rFonts w:hint="eastAsia" w:ascii="宋体" w:hAnsi="宋体" w:eastAsia="宋体" w:cs="宋体"/>
                <w:color w:val="auto"/>
                <w:sz w:val="24"/>
                <w:szCs w:val="24"/>
              </w:rPr>
              <w:t xml:space="preserve">标人提供有效期内的ISO9001质量管理体系认证证书、ISO14001环境管理体系认证证书、ISO45001职业健康安全管理认证证书、ISO27001信息安全管理体系认证证书、ISO20000信息技术服务管理体系认证证书</w:t>
            </w:r>
            <w:r>
              <w:rPr>
                <w:rFonts w:hint="eastAsia" w:ascii="宋体" w:hAnsi="宋体" w:eastAsia="宋体" w:cs="宋体"/>
                <w:color w:val="auto"/>
                <w:sz w:val="24"/>
                <w:szCs w:val="24"/>
                <w:lang w:eastAsia="zh-CN"/>
              </w:rPr>
              <w:t xml:space="preserve">等各类国家认可的证书</w:t>
            </w:r>
            <w:r>
              <w:rPr>
                <w:rFonts w:hint="eastAsia" w:ascii="宋体" w:hAnsi="宋体" w:eastAsia="宋体" w:cs="宋体"/>
                <w:color w:val="auto"/>
                <w:sz w:val="24"/>
                <w:szCs w:val="24"/>
              </w:rPr>
              <w:t xml:space="preserve">；以上证书中每提供1个得1分，最高得5分。</w:t>
            </w:r>
            <w:r/>
          </w:p>
          <w:p>
            <w:pPr>
              <w:jc w:val="left"/>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注:供应商提供的证书必须可以在国家市场监督管理总局全国认证认可信息公共服（分）务平台查询到，证明材料需提供证书原件扫描件及平台查询结果截图并加盖电子签章，未</w:t>
            </w:r>
            <w:r>
              <w:rPr>
                <w:rFonts w:hint="eastAsia" w:ascii="宋体" w:hAnsi="宋体" w:eastAsia="宋体" w:cs="宋体"/>
                <w:color w:val="auto"/>
                <w:sz w:val="24"/>
                <w:szCs w:val="24"/>
                <w:lang w:val="en-US" w:eastAsia="zh-CN"/>
              </w:rPr>
              <w:t xml:space="preserve">按规定提供</w:t>
            </w:r>
            <w:r>
              <w:rPr>
                <w:rFonts w:hint="eastAsia" w:ascii="宋体" w:hAnsi="宋体" w:eastAsia="宋体" w:cs="宋体"/>
                <w:color w:val="auto"/>
                <w:sz w:val="24"/>
                <w:szCs w:val="24"/>
              </w:rPr>
              <w:t xml:space="preserve">的不得分。</w:t>
            </w:r>
            <w:r/>
          </w:p>
        </w:tc>
      </w:tr>
      <w:tr>
        <w:trPr>
          <w:trHeight w:val="2470"/>
        </w:trPr>
        <w:tc>
          <w:tcPr>
            <w:tcBorders>
              <w:top w:val="single" w:color="auto" w:sz="6" w:space="0"/>
              <w:left w:val="single" w:color="auto" w:sz="6" w:space="0"/>
              <w:right w:val="single" w:color="auto" w:sz="6" w:space="0"/>
            </w:tcBorders>
            <w:tcW w:w="1303" w:type="dxa"/>
            <w:vAlign w:val="center"/>
            <w:vMerge w:val="restart"/>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项目实施方案</w:t>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项目实施方案</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根据投标人实施项目的供货计划、安装技术人员配备、现场安装流程、安装质量要求等内容。方案描述详细、贴合实际要求，优于采购需求的得</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分；方案内容基本完整、内容基本详实，能够满足采购需求的得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分；方案内容粗略，通过后期优化能够实现采购需求要求得</w:t>
            </w:r>
            <w:r>
              <w:rPr>
                <w:rFonts w:hint="eastAsia" w:ascii="宋体" w:hAnsi="宋体" w:eastAsia="宋体" w:cs="宋体"/>
                <w:color w:val="auto"/>
                <w:sz w:val="24"/>
                <w:szCs w:val="22"/>
                <w:lang w:val="en-US" w:eastAsia="zh-CN"/>
              </w:rPr>
              <w:t xml:space="preserve">3</w:t>
            </w:r>
            <w:r>
              <w:rPr>
                <w:rFonts w:hint="eastAsia" w:ascii="宋体" w:hAnsi="宋体" w:eastAsia="宋体" w:cs="宋体"/>
                <w:color w:val="auto"/>
                <w:sz w:val="24"/>
                <w:szCs w:val="22"/>
              </w:rPr>
              <w:t xml:space="preserve">分。没有内容不得分。</w:t>
            </w:r>
            <w:r/>
          </w:p>
        </w:tc>
      </w:tr>
      <w:tr>
        <w:trPr>
          <w:trHeight w:val="254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进度安排</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根据投标人对本项目的产品到货日期安排、施工及设备安装计划等内容。进度安排详实、各项进度保证措施详实、优于采购需求的得</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分；进度安排涵盖重要环节，能够满足采购需求要求的得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分；进度安排方案内容粗略，通过后期优化能够实现采购需求要求的得3分。没有内容不得分。</w:t>
            </w:r>
            <w:r/>
          </w:p>
        </w:tc>
      </w:tr>
      <w:tr>
        <w:trPr>
          <w:trHeight w:val="1795"/>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质量保障措施</w:t>
            </w:r>
            <w:r/>
          </w:p>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根据投标人针对本项目提供质量保障措施，包括但不限于</w:t>
            </w:r>
            <w:r>
              <w:rPr>
                <w:rFonts w:hint="eastAsia" w:ascii="宋体" w:hAnsi="宋体" w:eastAsia="宋体" w:cs="宋体"/>
                <w:color w:val="auto"/>
                <w:sz w:val="24"/>
                <w:szCs w:val="22"/>
                <w:lang w:val="en-US" w:eastAsia="zh-CN"/>
              </w:rPr>
              <w:t xml:space="preserve">供货、实施、验、售后全流程</w:t>
            </w:r>
            <w:r>
              <w:rPr>
                <w:rFonts w:hint="eastAsia" w:ascii="宋体" w:hAnsi="宋体" w:eastAsia="宋体" w:cs="宋体"/>
                <w:color w:val="auto"/>
                <w:sz w:val="24"/>
                <w:szCs w:val="22"/>
              </w:rPr>
              <w:t xml:space="preserve">。质量保证和质量控制措施全面、可行性高且优于采购需求的得</w:t>
            </w:r>
            <w:r>
              <w:rPr>
                <w:rFonts w:hint="eastAsia" w:ascii="宋体" w:hAnsi="宋体" w:eastAsia="宋体" w:cs="宋体"/>
                <w:color w:val="auto"/>
                <w:sz w:val="24"/>
                <w:szCs w:val="22"/>
                <w:lang w:val="en-US" w:eastAsia="zh-CN"/>
              </w:rPr>
              <w:t xml:space="preserve">8</w:t>
            </w:r>
            <w:r>
              <w:rPr>
                <w:rFonts w:hint="eastAsia" w:ascii="宋体" w:hAnsi="宋体" w:eastAsia="宋体" w:cs="宋体"/>
                <w:color w:val="auto"/>
                <w:sz w:val="24"/>
                <w:szCs w:val="22"/>
              </w:rPr>
              <w:t xml:space="preserve">分；质量保证和质量控制措施基本全面，满足采购需求的得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分；质量保证和质量控制措施内容粗略，通过后期优化能够实现采购需求要求的得3分。没有内容不得分。</w:t>
            </w:r>
            <w:r/>
          </w:p>
        </w:tc>
      </w:tr>
      <w:tr>
        <w:trPr>
          <w:trHeight w:val="108"/>
        </w:trPr>
        <w:tc>
          <w:tcPr>
            <w:tcBorders>
              <w:left w:val="single" w:color="auto" w:sz="6"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售后服务</w:t>
            </w:r>
            <w:r/>
          </w:p>
          <w:p>
            <w:pPr>
              <w:jc w:val="center"/>
              <w:keepLines w:val="0"/>
              <w:keepNext w:val="0"/>
              <w:spacing w:before="0" w:beforeAutospacing="0" w:after="0" w:afterAutospacing="0" w:line="500" w:lineRule="atLeast"/>
              <w:widowControl w:val="off"/>
              <w:rPr>
                <w:rFonts w:hint="eastAsia" w:ascii="宋体" w:hAnsi="宋体" w:eastAsia="宋体" w:cs="宋体"/>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lang w:val="en-US" w:eastAsia="zh-CN" w:bidi="ar-SA"/>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keepLines w:val="0"/>
              <w:keepNext w:val="0"/>
              <w:spacing w:before="0" w:beforeAutospacing="0" w:after="0" w:afterAutospacing="0" w:line="500" w:lineRule="atLeast"/>
              <w:widowControl w:val="off"/>
              <w:rPr>
                <w:rFonts w:hint="eastAsia" w:ascii="宋体" w:hAnsi="宋体" w:eastAsia="宋体" w:cs="宋体"/>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lang w:val="en-US" w:eastAsia="zh-CN" w:bidi="ar-SA"/>
              </w:rPr>
              <w:t xml:space="preserve">7.00</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根据投标人提供的售后服务方案（包括服务承诺、服务响应时间、服务方式、服务内容、人员配备、解决问题的能力、紧急故障处理预案等）以及维护期内外的后续技术支持和维护能力等内容。方案详细、响应及时、服务体系完整且优于采购需求的得</w:t>
            </w:r>
            <w:r>
              <w:rPr>
                <w:rFonts w:hint="eastAsia" w:ascii="宋体" w:hAnsi="宋体" w:eastAsia="宋体" w:cs="宋体"/>
                <w:color w:val="auto"/>
                <w:sz w:val="24"/>
                <w:szCs w:val="22"/>
                <w:lang w:val="en-US" w:eastAsia="zh-CN"/>
              </w:rPr>
              <w:t xml:space="preserve">7</w:t>
            </w:r>
            <w:r>
              <w:rPr>
                <w:rFonts w:hint="eastAsia" w:ascii="宋体" w:hAnsi="宋体" w:eastAsia="宋体" w:cs="宋体"/>
                <w:color w:val="auto"/>
                <w:sz w:val="24"/>
                <w:szCs w:val="22"/>
              </w:rPr>
              <w:t xml:space="preserve">分；方案基本详细、响应虽有滞后服务体系尚算完整，能够满足采购需求的得</w:t>
            </w:r>
            <w:r>
              <w:rPr>
                <w:rFonts w:hint="eastAsia" w:ascii="宋体" w:hAnsi="宋体" w:eastAsia="宋体" w:cs="宋体"/>
                <w:color w:val="auto"/>
                <w:sz w:val="24"/>
                <w:szCs w:val="22"/>
                <w:lang w:val="en-US" w:eastAsia="zh-CN"/>
              </w:rPr>
              <w:t xml:space="preserve">4</w:t>
            </w:r>
            <w:r>
              <w:rPr>
                <w:rFonts w:hint="eastAsia" w:ascii="宋体" w:hAnsi="宋体" w:eastAsia="宋体" w:cs="宋体"/>
                <w:color w:val="auto"/>
                <w:sz w:val="24"/>
                <w:szCs w:val="22"/>
              </w:rPr>
              <w:t xml:space="preserve">分；方案内容粗略，通过后期优化能够实现采购需求要求得2分。没有内容不得分。</w:t>
            </w:r>
            <w:r/>
          </w:p>
        </w:tc>
      </w:tr>
      <w:tr>
        <w:trPr>
          <w:trHeight w:val="1795"/>
        </w:trPr>
        <w:tc>
          <w:tcPr>
            <w:tcBorders>
              <w:left w:val="single" w:color="auto" w:sz="6" w:space="0"/>
              <w:bottom w:val="single" w:color="auto" w:sz="4" w:space="0"/>
              <w:right w:val="single" w:color="auto" w:sz="6" w:space="0"/>
            </w:tcBorders>
            <w:tcW w:w="1303" w:type="dxa"/>
            <w:vAlign w:val="center"/>
            <w:vMerge w:val="continue"/>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应急方案</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6</w:t>
            </w:r>
            <w:r>
              <w:rPr>
                <w:rFonts w:hint="eastAsia" w:ascii="宋体" w:hAnsi="宋体" w:eastAsia="宋体" w:cs="宋体"/>
                <w:color w:val="auto"/>
                <w:sz w:val="24"/>
                <w:szCs w:val="22"/>
              </w:rPr>
              <w:t xml:space="preserve">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提供针对本项目的应急方案，包含且不限于：应急响应方案、故障排查及维修方案、数据备份与回复策略等。</w:t>
            </w:r>
            <w:r/>
          </w:p>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方案优于采购需求，完整详细，可行性、实用性、针对性强，得</w:t>
            </w:r>
            <w:r>
              <w:rPr>
                <w:rFonts w:hint="eastAsia" w:ascii="宋体" w:hAnsi="宋体" w:eastAsia="宋体" w:cs="宋体"/>
                <w:color w:val="auto"/>
                <w:sz w:val="24"/>
                <w:szCs w:val="22"/>
                <w:lang w:val="en-US" w:eastAsia="zh-CN"/>
              </w:rPr>
              <w:t xml:space="preserve">6</w:t>
            </w:r>
            <w:r>
              <w:rPr>
                <w:rFonts w:hint="eastAsia" w:ascii="宋体" w:hAnsi="宋体" w:eastAsia="宋体" w:cs="宋体"/>
                <w:color w:val="auto"/>
                <w:sz w:val="24"/>
                <w:szCs w:val="22"/>
              </w:rPr>
              <w:t xml:space="preserve">分</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方案适合采购需求，完整详细，具有可行性、实用性和针对性，得</w:t>
            </w:r>
            <w:r>
              <w:rPr>
                <w:rFonts w:hint="eastAsia" w:ascii="宋体" w:hAnsi="宋体" w:eastAsia="宋体" w:cs="宋体"/>
                <w:color w:val="auto"/>
                <w:sz w:val="24"/>
                <w:szCs w:val="22"/>
                <w:lang w:val="en-US" w:eastAsia="zh-CN"/>
              </w:rPr>
              <w:t xml:space="preserve">3</w:t>
            </w:r>
            <w:r>
              <w:rPr>
                <w:rFonts w:hint="eastAsia" w:ascii="宋体" w:hAnsi="宋体" w:eastAsia="宋体" w:cs="宋体"/>
                <w:color w:val="auto"/>
                <w:sz w:val="24"/>
                <w:szCs w:val="22"/>
              </w:rPr>
              <w:t xml:space="preserve">分</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方案基本适合采购需求，可行性、针对性有待改善，得1分。存在明显缺陷的或未提供相关内容的，不得分。</w:t>
            </w:r>
            <w:r/>
          </w:p>
        </w:tc>
      </w:tr>
      <w:tr>
        <w:trPr>
          <w:trHeight w:val="1795"/>
        </w:trPr>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其他</w:t>
            </w:r>
            <w:r/>
          </w:p>
        </w:tc>
        <w:tc>
          <w:tcPr>
            <w:tcBorders>
              <w:top w:val="single" w:color="auto" w:sz="6" w:space="0"/>
              <w:left w:val="single" w:color="auto" w:sz="4" w:space="0"/>
              <w:bottom w:val="single" w:color="auto" w:sz="6" w:space="0"/>
              <w:right w:val="single" w:color="auto" w:sz="6" w:space="0"/>
            </w:tcBorders>
            <w:tcW w:w="1167"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质保期限</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5分</w:t>
            </w:r>
            <w:r/>
          </w:p>
        </w:tc>
        <w:tc>
          <w:tcPr>
            <w:tcBorders>
              <w:top w:val="single" w:color="auto" w:sz="6" w:space="0"/>
              <w:left w:val="single" w:color="auto" w:sz="6" w:space="0"/>
              <w:bottom w:val="single" w:color="auto" w:sz="6" w:space="0"/>
              <w:right w:val="single" w:color="auto" w:sz="6" w:space="0"/>
            </w:tcBorders>
            <w:tcW w:w="5953" w:type="dxa"/>
            <w:vAlign w:val="center"/>
            <w:textDirection w:val="lrTb"/>
            <w:noWrap w:val="false"/>
          </w:tcPr>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本次采购要求设备质保</w:t>
            </w:r>
            <w:r>
              <w:rPr>
                <w:rFonts w:hint="eastAsia" w:ascii="宋体" w:hAnsi="宋体" w:eastAsia="宋体" w:cs="宋体"/>
                <w:color w:val="auto"/>
                <w:sz w:val="24"/>
                <w:szCs w:val="22"/>
                <w:lang w:val="en-US" w:eastAsia="zh-CN"/>
              </w:rPr>
              <w:t xml:space="preserve">3</w:t>
            </w:r>
            <w:r>
              <w:rPr>
                <w:rFonts w:hint="eastAsia" w:ascii="宋体" w:hAnsi="宋体" w:eastAsia="宋体" w:cs="宋体"/>
                <w:color w:val="auto"/>
                <w:sz w:val="24"/>
                <w:szCs w:val="22"/>
              </w:rPr>
              <w:t xml:space="preserve">年</w:t>
            </w:r>
            <w:r>
              <w:rPr>
                <w:rFonts w:hint="eastAsia" w:ascii="宋体" w:hAnsi="宋体" w:eastAsia="宋体" w:cs="宋体"/>
                <w:color w:val="auto"/>
                <w:sz w:val="24"/>
                <w:szCs w:val="22"/>
              </w:rPr>
              <w:t xml:space="preserve">，</w:t>
            </w:r>
            <w:r>
              <w:rPr>
                <w:rFonts w:hint="eastAsia" w:ascii="宋体" w:hAnsi="宋体" w:eastAsia="宋体" w:cs="宋体"/>
                <w:color w:val="auto"/>
                <w:sz w:val="24"/>
                <w:szCs w:val="22"/>
                <w:lang w:val="en-US" w:eastAsia="zh-CN"/>
              </w:rPr>
              <w:t xml:space="preserve">在此基础上，承诺每增加一年得2.5分。</w:t>
            </w:r>
            <w:r>
              <w:rPr>
                <w:rFonts w:hint="eastAsia" w:ascii="宋体" w:hAnsi="宋体" w:eastAsia="宋体" w:cs="宋体"/>
                <w:color w:val="auto"/>
                <w:sz w:val="24"/>
                <w:szCs w:val="22"/>
              </w:rPr>
              <w:t xml:space="preserve">本项最高得</w:t>
            </w:r>
            <w:r>
              <w:rPr>
                <w:rFonts w:hint="eastAsia" w:ascii="宋体" w:hAnsi="宋体" w:eastAsia="宋体" w:cs="宋体"/>
                <w:color w:val="auto"/>
                <w:sz w:val="24"/>
                <w:szCs w:val="22"/>
                <w:lang w:val="en-US" w:eastAsia="zh-CN"/>
              </w:rPr>
              <w:t xml:space="preserve">5</w:t>
            </w:r>
            <w:r>
              <w:rPr>
                <w:rFonts w:hint="eastAsia" w:ascii="宋体" w:hAnsi="宋体" w:eastAsia="宋体" w:cs="宋体"/>
                <w:color w:val="auto"/>
                <w:sz w:val="24"/>
                <w:szCs w:val="22"/>
              </w:rPr>
              <w:t xml:space="preserve">分。</w:t>
            </w:r>
            <w:r/>
          </w:p>
          <w:p>
            <w:pPr>
              <w:jc w:val="left"/>
              <w:spacing w:line="40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须</w:t>
            </w:r>
            <w:r>
              <w:rPr>
                <w:rFonts w:hint="eastAsia" w:ascii="宋体" w:hAnsi="宋体" w:eastAsia="宋体" w:cs="宋体"/>
                <w:color w:val="auto"/>
                <w:sz w:val="24"/>
                <w:szCs w:val="22"/>
              </w:rPr>
              <w:t xml:space="preserve">提供质保期限承诺函</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lang w:val="en-US" w:eastAsia="zh-CN"/>
              </w:rPr>
              <w:t xml:space="preserve">格式自拟</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，明确质保年限和兑现承诺的措施，加盖投标人公章</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lang w:val="en-US" w:eastAsia="zh-CN"/>
              </w:rPr>
              <w:t xml:space="preserve">未按规定提供的不得分。</w:t>
            </w:r>
            <w:r/>
          </w:p>
          <w:p>
            <w:pPr>
              <w:jc w:val="left"/>
              <w:spacing w:line="40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tc>
      </w:tr>
    </w:tbl>
    <w:p>
      <w:pPr>
        <w:numPr>
          <w:ilvl w:val="0"/>
          <w:numId w:val="0"/>
        </w:numPr>
        <w:jc w:val="left"/>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jc w:val="center"/>
        <w:spacing w:line="480" w:lineRule="exact"/>
        <w:rPr>
          <w:rFonts w:hint="eastAsia" w:ascii="宋体" w:hAnsi="宋体" w:eastAsia="宋体" w:cs="宋体"/>
          <w:color w:val="auto"/>
          <w:sz w:val="44"/>
          <w:szCs w:val="22"/>
          <w:highlight w:val="none"/>
          <w:lang w:val="en-US" w:eastAsia="zh-CN"/>
        </w:rPr>
        <w:outlineLvl w:val="0"/>
      </w:pPr>
      <w:r/>
      <w:bookmarkStart w:id="127" w:name="_Toc81575168"/>
      <w:r/>
      <w:bookmarkStart w:id="128" w:name="_Toc2916"/>
      <w:r/>
      <w:bookmarkStart w:id="129" w:name="_Toc22314"/>
      <w:r/>
      <w:bookmarkStart w:id="130" w:name="_Toc12255"/>
      <w:r/>
      <w:bookmarkStart w:id="131" w:name="_Toc81575205"/>
      <w:r/>
      <w:r/>
    </w:p>
    <w:p>
      <w:pPr>
        <w:jc w:val="center"/>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rPr>
          <w:rFonts w:hint="eastAsia" w:ascii="宋体" w:hAnsi="宋体" w:eastAsia="宋体" w:cs="宋体"/>
          <w:color w:val="auto"/>
          <w:sz w:val="44"/>
          <w:szCs w:val="44"/>
          <w:highlight w:val="none"/>
          <w:lang w:val="en-US" w:eastAsia="zh-CN"/>
        </w:rPr>
      </w:r>
      <w:r/>
    </w:p>
    <w:p>
      <w:pPr>
        <w:jc w:val="center"/>
        <w:spacing w:line="480" w:lineRule="exac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22"/>
          <w:highlight w:val="none"/>
          <w:lang w:val="en-US" w:eastAsia="zh-CN"/>
        </w:rPr>
      </w:r>
      <w:r/>
    </w:p>
    <w:p>
      <w:pPr>
        <w:jc w:val="center"/>
        <w:spacing w:line="480" w:lineRule="exact"/>
        <w:rPr>
          <w:rFonts w:hint="eastAsia" w:ascii="宋体" w:hAnsi="宋体" w:eastAsia="宋体" w:cs="宋体"/>
          <w:color w:val="auto"/>
          <w:sz w:val="44"/>
          <w:szCs w:val="22"/>
          <w:highlight w:val="none"/>
          <w:lang w:val="en-US" w:eastAsia="zh-CN"/>
        </w:rPr>
        <w:outlineLvl w:val="0"/>
      </w:pPr>
      <w:r>
        <w:rPr>
          <w:rFonts w:hint="eastAsia" w:ascii="宋体" w:hAnsi="宋体" w:eastAsia="宋体" w:cs="宋体"/>
          <w:color w:val="auto"/>
          <w:sz w:val="44"/>
          <w:szCs w:val="22"/>
          <w:highlight w:val="none"/>
          <w:lang w:val="en-US" w:eastAsia="zh-CN"/>
        </w:rPr>
        <w:t xml:space="preserve">第四章  采购需求</w:t>
      </w:r>
      <w:bookmarkEnd w:id="124"/>
      <w:r/>
      <w:bookmarkEnd w:id="127"/>
      <w:r/>
      <w:bookmarkEnd w:id="128"/>
      <w:r/>
      <w:bookmarkEnd w:id="129"/>
      <w:r/>
      <w:bookmarkEnd w:id="130"/>
      <w:r/>
      <w:bookmarkEnd w:id="131"/>
      <w:r/>
      <w:r/>
    </w:p>
    <w:p>
      <w:pPr>
        <w:jc w:val="left"/>
        <w:spacing w:line="440" w:lineRule="exact"/>
        <w:widowControl/>
        <w:rPr>
          <w:rFonts w:hint="eastAsia" w:ascii="宋体" w:hAnsi="宋体" w:eastAsia="宋体" w:cs="宋体"/>
          <w:b/>
          <w:bCs/>
          <w:color w:val="auto"/>
          <w:sz w:val="27"/>
          <w:szCs w:val="27"/>
          <w:highlight w:val="none"/>
        </w:rPr>
        <w:outlineLvl w:val="2"/>
      </w:pPr>
      <w:r/>
      <w:r/>
      <w:r/>
      <w:r/>
      <w:r/>
      <w:r>
        <w:rPr>
          <w:rFonts w:hint="eastAsia" w:ascii="宋体" w:hAnsi="宋体" w:eastAsia="宋体" w:cs="宋体"/>
          <w:b/>
          <w:bCs/>
          <w:color w:val="auto"/>
          <w:sz w:val="27"/>
          <w:szCs w:val="27"/>
          <w:highlight w:val="none"/>
        </w:rPr>
        <w:t xml:space="preserve">一、项目说明：</w:t>
      </w:r>
      <w:r/>
    </w:p>
    <w:p>
      <w:pPr>
        <w:ind w:firstLine="480"/>
        <w:keepNext/>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1.本项目属性为：货物；</w:t>
      </w:r>
      <w:r/>
    </w:p>
    <w:p>
      <w:pPr>
        <w:ind w:firstLine="480"/>
        <w:jc w:val="left"/>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2.项目采购方式为：</w:t>
      </w:r>
      <w:r>
        <w:rPr>
          <w:rFonts w:hint="eastAsia" w:ascii="宋体" w:hAnsi="宋体" w:eastAsia="宋体" w:cs="宋体"/>
          <w:color w:val="auto"/>
          <w:sz w:val="24"/>
          <w:szCs w:val="22"/>
          <w:highlight w:val="none"/>
          <w:lang w:val="en-US" w:eastAsia="zh-CN"/>
        </w:rPr>
        <w:t xml:space="preserve">公开招标</w:t>
      </w:r>
      <w:r>
        <w:rPr>
          <w:rFonts w:hint="eastAsia" w:ascii="宋体" w:hAnsi="宋体" w:eastAsia="宋体" w:cs="宋体"/>
          <w:color w:val="auto"/>
          <w:sz w:val="24"/>
          <w:szCs w:val="22"/>
          <w:highlight w:val="none"/>
        </w:rPr>
        <w:t xml:space="preserve">；</w:t>
      </w:r>
      <w:r/>
    </w:p>
    <w:p>
      <w:pPr>
        <w:ind w:firstLine="480"/>
        <w:jc w:val="left"/>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3.采购标的对应的中小企业划分标准所属行业为：工业；</w:t>
      </w:r>
      <w:r/>
    </w:p>
    <w:p>
      <w:pPr>
        <w:ind w:firstLine="480"/>
        <w:jc w:val="left"/>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本项目核心产品为：电视发射机</w:t>
      </w:r>
      <w:r/>
    </w:p>
    <w:p>
      <w:pPr>
        <w:ind w:firstLine="480"/>
        <w:jc w:val="left"/>
        <w:spacing w:line="36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5、采购需求：①招标方不组织招标人进行统一参观，由投标人自行勘察；②安装、拆除天馈线时</w:t>
      </w:r>
      <w:r>
        <w:rPr>
          <w:rFonts w:hint="eastAsia" w:ascii="宋体" w:hAnsi="宋体" w:eastAsia="宋体" w:cs="宋体"/>
          <w:color w:val="auto"/>
          <w:sz w:val="24"/>
          <w:szCs w:val="22"/>
          <w:highlight w:val="none"/>
          <w:lang w:val="en-US" w:eastAsia="zh-CN"/>
        </w:rPr>
        <w:t xml:space="preserve">（如有）</w:t>
      </w:r>
      <w:r>
        <w:rPr>
          <w:rFonts w:hint="eastAsia" w:ascii="宋体" w:hAnsi="宋体" w:eastAsia="宋体" w:cs="宋体"/>
          <w:color w:val="auto"/>
          <w:sz w:val="24"/>
          <w:szCs w:val="22"/>
          <w:highlight w:val="none"/>
          <w:lang w:val="en-US" w:eastAsia="zh-CN"/>
        </w:rPr>
        <w:t xml:space="preserve">，需签订高空安全作业合同；③项目维修、维护及部分新增项目，中标人应到实地查看，列出详细施工计划，并由发标方同意认可后方可施工。在施工过程中，应充分认可广播电视节目的特殊性，不得影响现有的各项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6、质保期：3年</w:t>
      </w:r>
      <w:r>
        <w:rPr>
          <w:rFonts w:hint="eastAsia" w:ascii="宋体" w:hAnsi="宋体" w:eastAsia="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r>
      <w:r>
        <w:rPr>
          <w:rFonts w:hint="eastAsia" w:ascii="宋体" w:hAnsi="宋体" w:eastAsia="宋体" w:cs="宋体"/>
          <w:color w:val="auto"/>
          <w:sz w:val="24"/>
          <w:szCs w:val="22"/>
          <w:highlight w:val="none"/>
          <w:lang w:val="en-US" w:eastAsia="zh-CN"/>
        </w:rPr>
        <w:t xml:space="preserve">7、付款方式：</w:t>
      </w:r>
      <w:r>
        <w:rPr>
          <w:rFonts w:hint="eastAsia" w:ascii="宋体" w:hAnsi="宋体" w:eastAsia="宋体" w:cs="宋体"/>
          <w:color w:val="auto"/>
          <w:sz w:val="24"/>
          <w:lang w:val="en-US" w:eastAsia="zh-CN"/>
        </w:rPr>
        <w:t xml:space="preserve">货物进场安装调试完毕并验收合格后付至90%，剩余10%待质保期满无质量问题一次性付清。</w:t>
      </w:r>
      <w:r>
        <w:rPr>
          <w:rFonts w:hint="eastAsia" w:ascii="宋体" w:hAnsi="宋体" w:eastAsia="宋体" w:cs="宋体"/>
          <w:color w:val="auto"/>
          <w:sz w:val="24"/>
          <w:szCs w:val="22"/>
          <w:highlight w:val="none"/>
          <w:lang w:val="en-US" w:eastAsia="zh-CN"/>
        </w:rPr>
      </w:r>
      <w:r/>
    </w:p>
    <w:p>
      <w:pPr>
        <w:ind w:firstLine="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    8、</w:t>
      </w:r>
      <w:r>
        <w:rPr>
          <w:rFonts w:hint="eastAsia" w:ascii="宋体" w:hAnsi="宋体" w:eastAsia="宋体" w:cs="宋体"/>
          <w:color w:val="auto"/>
          <w:sz w:val="24"/>
          <w:szCs w:val="22"/>
          <w:highlight w:val="none"/>
          <w:lang w:val="en-US" w:eastAsia="zh-CN"/>
        </w:rPr>
        <w:t xml:space="preserve">带“★”须有国家广播电视总局广播电视设备器材入网认定证书。</w:t>
      </w:r>
      <w:r/>
    </w:p>
    <w:p>
      <w:pPr>
        <w:ind w:firstLine="482"/>
        <w:spacing w:line="480" w:lineRule="exact"/>
        <w:rPr>
          <w:rFonts w:hint="eastAsia" w:ascii="宋体" w:hAnsi="宋体" w:eastAsia="宋体" w:cs="宋体"/>
          <w:b/>
          <w:color w:val="auto"/>
          <w:sz w:val="30"/>
          <w:szCs w:val="22"/>
          <w:lang w:val="en-US" w:eastAsia="zh-CN"/>
        </w:rPr>
      </w:pPr>
      <w:r>
        <w:rPr>
          <w:rFonts w:hint="eastAsia" w:ascii="宋体" w:hAnsi="宋体" w:eastAsia="宋体" w:cs="宋体"/>
          <w:b/>
          <w:color w:val="auto"/>
          <w:sz w:val="30"/>
          <w:szCs w:val="22"/>
          <w:lang w:val="en-US" w:eastAsia="zh-CN"/>
        </w:rPr>
        <w:t xml:space="preserve">二、技术参数</w:t>
      </w:r>
      <w:r/>
    </w:p>
    <w:tbl>
      <w:tblPr>
        <w:tblStyle w:val="956"/>
        <w:tblW w:w="907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4"/>
        <w:gridCol w:w="66"/>
        <w:gridCol w:w="998"/>
        <w:gridCol w:w="4543"/>
        <w:gridCol w:w="74"/>
        <w:gridCol w:w="960"/>
        <w:gridCol w:w="690"/>
        <w:gridCol w:w="1185"/>
      </w:tblGrid>
      <w:tr>
        <w:trPr>
          <w:trHeight w:val="440"/>
        </w:trPr>
        <w:tc>
          <w:tcPr>
            <w:gridSpan w:val="8"/>
            <w:shd w:val="clear" w:color="auto" w:fill="auto"/>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32"/>
                <w:szCs w:val="32"/>
                <w:u w:val="none"/>
                <w:lang w:val="en-US" w:eastAsia="zh-CN" w:bidi="ar"/>
              </w:rPr>
              <w:t xml:space="preserve">地面数字发射机及天馈系统及配套</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技术参数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343"/>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一、发射机及天馈系统</w:t>
            </w:r>
            <w:r/>
          </w:p>
        </w:tc>
      </w:tr>
      <w:tr>
        <w:trPr>
          <w:trHeight w:val="766"/>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电视发射机（1kw）</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▲1、调制误差率（MER）：≥32dB；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▲2、邻频道内的发射功率： ≤－45 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▲3、邻频道外的发射功率： ≤－60 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▲4、带肩比 ：≤-36dB；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▲5、带内不平坦度：±0.5dB以内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6、单频网模式频率调节步长：0.1Hz；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7、频率准确度：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MFN模式： ±12.7 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SFN模式 ：  0 Hz；</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8、频率稳定度（3个月）：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采用内部参考源时：≤1×10-8</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采用外接参考源时：≤1×10-10；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9、单频网时延调整范围：0ms~969.9999ms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10、单频网时延调整步进：100ns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11、射频输出负载阻抗：射频输出负载阻抗标称值为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50Ω</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12、具备开机自检功能（提供操作界面截图）；</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13、支持发射系统保护功能：激励器主备切换保护，过激励保护；防雷模块保护；双机互锁保护；功放过温、过压、过流保护，驻波比保护</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14、支持不同供应商发射系统SFN组网。支持调制起始超帧和SIP起始编码位置插入延时时间；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15、配置发射机输出滤波器。滤波器前后均配置测试口；</w:t>
            </w:r>
            <w:r/>
          </w:p>
          <w:p>
            <w:pPr>
              <w:jc w:val="left"/>
              <w:keepLines w:val="0"/>
              <w:keepNext w:val="0"/>
              <w:widowControl/>
              <w:rPr>
                <w:rFonts w:hint="eastAsia" w:ascii="宋体" w:hAnsi="宋体" w:eastAsia="宋体" w:cs="宋体"/>
                <w:i w:val="0"/>
                <w:iCs w:val="0"/>
                <w:color w:val="auto"/>
                <w:sz w:val="18"/>
                <w:szCs w:val="18"/>
                <w:u w:val="none"/>
                <w:lang w:val="en-US" w:eastAsia="zh-CN" w:bidi="ar"/>
                <w14:ligatures w14:val="none"/>
              </w:rPr>
              <w:suppressLineNumbers w:val="0"/>
            </w:pPr>
            <w:r>
              <w:rPr>
                <w:rFonts w:hint="eastAsia" w:ascii="宋体" w:hAnsi="宋体" w:eastAsia="宋体" w:cs="宋体"/>
                <w:i w:val="0"/>
                <w:iCs w:val="0"/>
                <w:color w:val="auto"/>
                <w:sz w:val="18"/>
                <w:szCs w:val="18"/>
                <w:u w:val="none"/>
                <w:lang w:val="en-US" w:eastAsia="zh-CN" w:bidi="ar"/>
              </w:rPr>
              <w:t xml:space="preserve">16、在SFN模式下外参考时钟失效，激励器具有保持</w:t>
            </w:r>
            <w:r>
              <w:rPr>
                <w:rFonts w:hint="eastAsia" w:ascii="宋体" w:hAnsi="宋体" w:eastAsia="宋体" w:cs="宋体"/>
                <w:i w:val="0"/>
                <w:iCs w:val="0"/>
                <w:color w:val="auto"/>
                <w:sz w:val="18"/>
                <w:szCs w:val="18"/>
                <w:u w:val="none"/>
                <w:lang w:val="en-US" w:eastAsia="zh-CN" w:bidi="ar"/>
                <w14:ligatures w14:val="none"/>
              </w:rPr>
              <w:t xml:space="preserve">输出、和内时钟切换选项（提供实物操作界面截图）；</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17、1KW发射机各独立单元均冗余配置，不得有中间推动级单故障点（提供实物结构图）；</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18、整机效率（1KW发射机）：≥25%（提供具有检测资质检测机构出具的第三方检测报告）；</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19、发射机支持web server 和SNMP两种管理协议；</w:t>
            </w:r>
            <w:r/>
          </w:p>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★20、</w:t>
            </w:r>
            <w:r>
              <w:rPr>
                <w:rFonts w:hint="eastAsia" w:ascii="宋体" w:hAnsi="宋体" w:eastAsia="宋体" w:cs="宋体"/>
                <w:i w:val="0"/>
                <w:iCs w:val="0"/>
                <w:color w:val="auto"/>
                <w:sz w:val="18"/>
                <w:szCs w:val="18"/>
                <w:u w:val="none"/>
                <w:lang w:val="en-US" w:eastAsia="zh-CN" w:bidi="ar"/>
              </w:rPr>
              <w:t xml:space="preserve">投标人所提供发射机须具备国家广播电视总局广播电视设备器材入网认定证书</w:t>
            </w:r>
            <w:r>
              <w:rPr>
                <w:rFonts w:hint="eastAsia" w:ascii="宋体" w:hAnsi="宋体" w:eastAsia="宋体" w:cs="宋体"/>
                <w:i w:val="0"/>
                <w:iCs w:val="0"/>
                <w:color w:val="auto"/>
                <w:sz w:val="18"/>
                <w:szCs w:val="18"/>
                <w:u w:val="none"/>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r>
            <w:r/>
          </w:p>
        </w:tc>
      </w:tr>
      <w:tr>
        <w:trPr>
          <w:trHeight w:val="3100"/>
        </w:trPr>
        <w:tc>
          <w:tcPr>
            <w:shd w:val="clear" w:color="auto" w:fill="ffffff"/>
            <w:tcBorders>
              <w:top w:val="singl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non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同轴开关、控制器</w:t>
            </w:r>
            <w:r/>
          </w:p>
        </w:tc>
        <w:tc>
          <w:tcPr>
            <w:shd w:val="clear" w:color="auto" w:fill="ffffff"/>
            <w:tcBorders>
              <w:top w:val="single" w:color="000000" w:sz="4" w:space="0"/>
              <w:left w:val="single" w:color="000000" w:sz="4" w:space="0"/>
              <w:bottom w:val="non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1、用于发射机、假负载、天馈线之间的切换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2、具有一组到位常闭接点和一组到位常开接点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3、配同轴开关支架及控制线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4、同轴开关有倒换指示标识灯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5、具有断电记忆功能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6、同轴开关断电不影响联锁，发射机不会停机，不会出现停播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7、采用自动电机和手动两种方式切换，电机电源为交流220伏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8、同轴开关壳体均进行防氧化处理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9、同轴开关材料为全铜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10、可以连接计算机控制转换</w:t>
            </w:r>
            <w:r/>
          </w:p>
        </w:tc>
        <w:tc>
          <w:tcPr>
            <w:gridSpan w:val="2"/>
            <w:shd w:val="clear" w:color="auto" w:fill="ffffff"/>
            <w:tcBorders>
              <w:top w:val="single" w:color="000000" w:sz="4" w:space="0"/>
              <w:left w:val="single" w:color="000000" w:sz="4" w:space="0"/>
              <w:bottom w:val="non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ffffff"/>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电视1kw假负载</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1.1000w假负载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2.紧凑的结构设计；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3.插入损耗和反射损耗极低；</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4.允许长时间满功率使用。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pStyle w:val="958"/>
              <w:rPr>
                <w:rFonts w:hint="eastAsia" w:ascii="宋体" w:hAnsi="宋体" w:eastAsia="宋体" w:cs="宋体"/>
                <w:color w:val="auto"/>
                <w:lang w:val="en-US" w:eastAsia="zh-CN"/>
              </w:rPr>
            </w:pPr>
            <w:r>
              <w:rPr>
                <w:rFonts w:hint="eastAsia" w:ascii="宋体" w:hAnsi="宋体" w:eastAsia="宋体" w:cs="宋体"/>
                <w:color w:val="auto"/>
                <w:lang w:val="en-US" w:eastAsia="zh-CN"/>
              </w:rPr>
            </w:r>
            <w:r/>
          </w:p>
        </w:tc>
      </w:tr>
      <w:tr>
        <w:trPr>
          <w:trHeight w:val="2501"/>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none" w:color="000000" w:sz="4" w:space="0"/>
              <w:bottom w:val="non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馈管弯头、接头、卡具等材料</w:t>
            </w:r>
            <w:r/>
          </w:p>
        </w:tc>
        <w:tc>
          <w:tcPr>
            <w:shd w:val="clear" w:color="auto" w:fill="ffffff"/>
            <w:tcBorders>
              <w:top w:val="single" w:color="000000" w:sz="4" w:space="0"/>
              <w:left w:val="single" w:color="000000" w:sz="4" w:space="0"/>
              <w:bottom w:val="non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1.1-5/8"紫铜馈、弯头,IF110Q-J137；</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2.特性阻抗 50Ω；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3.优质纯紫铜和铝合金制成；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4.符合国家广电总局标准；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5.直线度好，表面光洁度优秀；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6.配有馈管内支撑； 插入损耗和反射损耗极低；</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7.Ø80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▲8.特性阻抗 50Ω；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9.优质纯紫铜和铝合金制成；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10.直线度好，表面光洁度优秀；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11.配有馈管内支撑， 插入损耗和反射损耗极低。</w:t>
            </w:r>
            <w:r/>
          </w:p>
        </w:tc>
        <w:tc>
          <w:tcPr>
            <w:gridSpan w:val="2"/>
            <w:shd w:val="clear" w:color="auto" w:fill="ffffff"/>
            <w:tcBorders>
              <w:top w:val="single" w:color="000000" w:sz="4" w:space="0"/>
              <w:left w:val="single" w:color="000000" w:sz="4" w:space="0"/>
              <w:bottom w:val="non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ffffff"/>
            <w:tcBorders>
              <w:top w:val="single" w:color="000000" w:sz="4" w:space="0"/>
              <w:left w:val="single" w:color="000000" w:sz="4" w:space="0"/>
              <w:bottom w:val="non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UHF四偶极子电视发射天线</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▲分米波段、4层4面，偶极子，水平极化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拆除旧四面四层天线，安装新的，注波比小于1.2</w:t>
            </w:r>
            <w:r/>
          </w:p>
        </w:tc>
      </w:tr>
      <w:tr>
        <w:trPr>
          <w:trHeight w:val="5773"/>
        </w:trPr>
        <w:tc>
          <w:tcPr>
            <w:shd w:val="clear" w:color="auto" w:fill="ffffff"/>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主馈线</w:t>
            </w:r>
            <w:r/>
          </w:p>
        </w:tc>
        <w:tc>
          <w:tcPr>
            <w:shd w:val="clear" w:color="auto" w:fill="ffffff"/>
            <w:tcBorders>
              <w:top w:val="single" w:color="000000" w:sz="4" w:space="0"/>
              <w:left w:val="single" w:color="000000" w:sz="4" w:space="0"/>
              <w:bottom w:val="single" w:color="auto" w:sz="4" w:space="0"/>
              <w:right w:val="single" w:color="000000" w:sz="4" w:space="0"/>
            </w:tcBorders>
            <w:tcW w:w="4543" w:type="dxa"/>
            <w:vAlign w:val="center"/>
            <w:textDirection w:val="lrTb"/>
            <w:noWrap w:val="false"/>
          </w:tcPr>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▲型</w:t>
            </w:r>
            <w:r>
              <w:rPr>
                <w:rFonts w:hint="eastAsia" w:ascii="宋体" w:hAnsi="宋体" w:eastAsia="宋体" w:cs="宋体"/>
                <w:i w:val="0"/>
                <w:iCs w:val="0"/>
                <w:color w:val="auto"/>
                <w:sz w:val="18"/>
                <w:szCs w:val="18"/>
                <w:u w:val="none"/>
                <w:lang w:val="en-US" w:eastAsia="zh-CN" w:bidi="ar"/>
              </w:rPr>
              <w:t xml:space="preserve">号1-5/8，</w:t>
            </w:r>
            <w:r>
              <w:rPr>
                <w:rFonts w:hint="eastAsia" w:ascii="宋体" w:hAnsi="宋体" w:eastAsia="宋体" w:cs="宋体"/>
                <w:i w:val="0"/>
                <w:iCs w:val="0"/>
                <w:color w:val="auto"/>
                <w:sz w:val="18"/>
                <w:szCs w:val="18"/>
                <w:u w:val="none"/>
                <w:lang w:val="en-US" w:eastAsia="zh-CN" w:bidi="ar"/>
              </w:rPr>
              <w:t xml:space="preserve">工作频率87MHz～870MHz</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频带内驻波比（VSWR）电视发射馈线不大于1.06，输入阻抗50Ω，连接器IF70-J615</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内导体/直径皱纹铜管/17.3mm，外导体/直径皱纹铜管/46.5mm，护套/直径/49.8mm聚乙烯</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重量1.5kg/m，最小单次弯曲半径280mm，最小重复弯曲半径500mm</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相对传播速度88%,最高工作频率2500MHz,截止频率3000MHz,直流击穿电压15kV,峰值功率310kW</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衰减dB/100m(环境温度20ºC),100MHz,0.664</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500MHz,1.782,800MHz,2.149</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平均额定功率kW(环境温度40ºC),100MHz,16.4,500MHz,6.76,800MHz,5.15,内导体温度100ºC</w:t>
            </w:r>
            <w:r/>
          </w:p>
          <w:p>
            <w:pPr>
              <w:jc w:val="left"/>
              <w:rPr>
                <w:rFonts w:hint="eastAsia" w:ascii="宋体" w:hAnsi="宋体" w:eastAsia="宋体" w:cs="宋体"/>
                <w:color w:val="auto"/>
                <w:szCs w:val="21"/>
              </w:rPr>
            </w:pPr>
            <w:r>
              <w:rPr>
                <w:rFonts w:hint="eastAsia" w:ascii="宋体" w:hAnsi="宋体" w:eastAsia="宋体" w:cs="宋体"/>
                <w:i w:val="0"/>
                <w:iCs w:val="0"/>
                <w:color w:val="auto"/>
                <w:sz w:val="18"/>
                <w:szCs w:val="18"/>
                <w:u w:val="none"/>
                <w:lang w:val="en-US" w:eastAsia="zh-CN" w:bidi="ar"/>
              </w:rPr>
              <w:t xml:space="preserve">主馈线安装方案</w:t>
            </w:r>
            <w:r>
              <w:rPr>
                <w:rFonts w:hint="eastAsia" w:ascii="宋体" w:hAnsi="宋体" w:eastAsia="宋体" w:cs="宋体"/>
                <w:color w:val="auto"/>
                <w:szCs w:val="21"/>
              </w:rPr>
              <w:t xml:space="preserve">：</w:t>
            </w:r>
            <w:r/>
          </w:p>
          <w:p>
            <w:pPr>
              <w:jc w:val="left"/>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color w:val="auto"/>
                <w:szCs w:val="21"/>
              </w:rPr>
              <w:t xml:space="preserve">①</w:t>
            </w:r>
            <w:r>
              <w:rPr>
                <w:rFonts w:hint="eastAsia" w:ascii="宋体" w:hAnsi="宋体" w:eastAsia="宋体" w:cs="宋体"/>
                <w:i w:val="0"/>
                <w:iCs w:val="0"/>
                <w:color w:val="auto"/>
                <w:sz w:val="18"/>
                <w:szCs w:val="18"/>
                <w:u w:val="none"/>
                <w:lang w:val="en-US" w:eastAsia="zh-CN" w:bidi="ar"/>
              </w:rPr>
              <w:t xml:space="preserve">每根主馈线包括2个电缆头（含插芯、密封胶圈）以及法兰转直通连接器1个，馈管上端与天线主变阻器接口相配接，下端与多工器（或发射机）接口相配接，预先工厂内安装电缆头及测试以保证主馈线性能指标，并带气嘴。</w:t>
            </w:r>
            <w:r/>
          </w:p>
          <w:p>
            <w:pPr>
              <w:jc w:val="left"/>
              <w:rPr>
                <w:rFonts w:hint="eastAsia" w:ascii="宋体" w:hAnsi="宋体" w:eastAsia="宋体" w:cs="宋体"/>
                <w:color w:val="auto"/>
                <w:szCs w:val="21"/>
              </w:rPr>
            </w:pPr>
            <w:r>
              <w:rPr>
                <w:rFonts w:hint="eastAsia" w:ascii="宋体" w:hAnsi="宋体" w:eastAsia="宋体" w:cs="宋体"/>
                <w:color w:val="auto"/>
                <w:szCs w:val="21"/>
              </w:rPr>
              <w:t xml:space="preserve">②</w:t>
            </w:r>
            <w:r>
              <w:rPr>
                <w:rFonts w:hint="eastAsia" w:ascii="宋体" w:hAnsi="宋体" w:eastAsia="宋体" w:cs="宋体"/>
                <w:i w:val="0"/>
                <w:iCs w:val="0"/>
                <w:color w:val="auto"/>
                <w:sz w:val="18"/>
                <w:szCs w:val="18"/>
                <w:u w:val="none"/>
                <w:lang w:val="en-US" w:eastAsia="zh-CN" w:bidi="ar"/>
              </w:rPr>
              <w:t xml:space="preserve">在主馈管上每1至2米安装一个电缆卡箍</w:t>
            </w:r>
            <w:r>
              <w:rPr>
                <w:rFonts w:hint="eastAsia" w:ascii="宋体" w:hAnsi="宋体" w:eastAsia="宋体" w:cs="宋体"/>
                <w:color w:val="auto"/>
                <w:szCs w:val="21"/>
              </w:rPr>
              <w:t xml:space="preserve">。</w:t>
            </w:r>
            <w:r/>
          </w:p>
          <w:p>
            <w:pPr>
              <w:jc w:val="left"/>
              <w:rPr>
                <w:rFonts w:hint="eastAsia" w:ascii="宋体" w:hAnsi="宋体" w:eastAsia="宋体" w:cs="宋体"/>
                <w:color w:val="auto"/>
                <w:szCs w:val="21"/>
              </w:rPr>
            </w:pPr>
            <w:r>
              <w:rPr>
                <w:rFonts w:hint="eastAsia" w:ascii="宋体" w:hAnsi="宋体" w:eastAsia="宋体" w:cs="宋体"/>
                <w:color w:val="auto"/>
                <w:szCs w:val="21"/>
              </w:rPr>
              <w:t xml:space="preserve">③</w:t>
            </w:r>
            <w:r>
              <w:rPr>
                <w:rFonts w:hint="eastAsia" w:ascii="宋体" w:hAnsi="宋体" w:eastAsia="宋体" w:cs="宋体"/>
                <w:i w:val="0"/>
                <w:iCs w:val="0"/>
                <w:color w:val="auto"/>
                <w:sz w:val="18"/>
                <w:szCs w:val="18"/>
                <w:u w:val="none"/>
                <w:lang w:val="en-US" w:eastAsia="zh-CN" w:bidi="ar"/>
              </w:rPr>
              <w:t xml:space="preserve">使用环境温度：-40°C——+85°C</w:t>
            </w:r>
            <w:r>
              <w:rPr>
                <w:rFonts w:hint="eastAsia" w:ascii="宋体" w:hAnsi="宋体" w:eastAsia="宋体" w:cs="宋体"/>
                <w:color w:val="auto"/>
                <w:szCs w:val="21"/>
              </w:rPr>
              <w:t xml:space="preserve">；</w:t>
            </w:r>
            <w:r/>
          </w:p>
          <w:p>
            <w:pPr>
              <w:numPr>
                <w:ilvl w:val="0"/>
                <w:numId w:val="0"/>
              </w:numPr>
              <w:jc w:val="left"/>
              <w:rPr>
                <w:rFonts w:hint="eastAsia" w:ascii="宋体" w:hAnsi="宋体" w:eastAsia="宋体" w:cs="宋体"/>
                <w:color w:val="auto"/>
                <w:lang w:val="en-US" w:eastAsia="zh-CN"/>
              </w:rPr>
            </w:pPr>
            <w:r>
              <w:rPr>
                <w:rFonts w:hint="eastAsia" w:ascii="宋体" w:hAnsi="宋体" w:eastAsia="宋体" w:cs="宋体"/>
                <w:color w:val="auto"/>
                <w:szCs w:val="21"/>
              </w:rPr>
              <w:t xml:space="preserve">④</w:t>
            </w:r>
            <w:r>
              <w:rPr>
                <w:rFonts w:hint="eastAsia" w:ascii="宋体" w:hAnsi="宋体" w:eastAsia="宋体" w:cs="宋体"/>
                <w:i w:val="0"/>
                <w:iCs w:val="0"/>
                <w:color w:val="auto"/>
                <w:sz w:val="18"/>
                <w:szCs w:val="18"/>
                <w:u w:val="none"/>
                <w:lang w:val="en-US" w:eastAsia="zh-CN" w:bidi="ar"/>
              </w:rPr>
              <w:t xml:space="preserve">使用海拔高度：最高2000米</w:t>
            </w:r>
            <w:r>
              <w:rPr>
                <w:rFonts w:hint="eastAsia" w:ascii="宋体" w:hAnsi="宋体" w:eastAsia="宋体" w:cs="宋体"/>
                <w:color w:val="auto"/>
                <w:szCs w:val="21"/>
              </w:rPr>
              <w:t xml:space="preserve">。</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w:t>
            </w:r>
            <w:r/>
          </w:p>
        </w:tc>
        <w:tc>
          <w:tcPr>
            <w:shd w:val="clear" w:color="auto" w:fill="ffffff"/>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ffffff"/>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0"/>
        </w:trPr>
        <w:tc>
          <w:tcPr>
            <w:gridSpan w:val="8"/>
            <w:shd w:val="clear" w:color="auto" w:fill="ffffff"/>
            <w:tcBorders>
              <w:top w:val="single" w:color="auto" w:sz="4" w:space="0"/>
              <w:left w:val="single" w:color="auto" w:sz="4" w:space="0"/>
              <w:bottom w:val="single" w:color="auto" w:sz="4" w:space="0"/>
              <w:right w:val="single" w:color="auto" w:sz="4" w:space="0"/>
            </w:tcBorders>
            <w:tcW w:w="90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二、监测系统</w:t>
            </w:r>
            <w:r/>
          </w:p>
        </w:tc>
      </w:tr>
      <w:tr>
        <w:trPr>
          <w:trHeight w:val="1020"/>
        </w:trPr>
        <w:tc>
          <w:tcPr>
            <w:shd w:val="clear" w:color="auto" w:fill="ffffff"/>
            <w:tcBorders>
              <w:top w:val="single" w:color="auto"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DTMB/FM接收天线</w:t>
            </w:r>
            <w:r/>
          </w:p>
        </w:tc>
        <w:tc>
          <w:tcPr>
            <w:shd w:val="clear" w:color="auto" w:fill="ffffff"/>
            <w:tcBorders>
              <w:top w:val="single" w:color="auto"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1.八木DTMB鱼骨接收天线；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2.电视空收八木天线；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3.支持广播电视全频段的接收天线；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4.接收调频广播、数字电视等信号。</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副</w:t>
            </w:r>
            <w:r/>
          </w:p>
        </w:tc>
        <w:tc>
          <w:tcPr>
            <w:shd w:val="clear" w:color="auto" w:fill="auto"/>
            <w:tcBorders>
              <w:top w:val="single" w:color="auto"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172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调频调谐器</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1、具有2路解调模块，可同时收听2路调频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2、具有可以根据场强及信噪比设置自动静噪屏蔽的功能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3、具有2路调频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4、具有恢复出厂设置功能（在实时数据的第一页按一下复位键）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5、具备液晶显示与本地参数设置功能</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pStyle w:val="958"/>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DTMB调谐器</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19英寸标准1U机箱，单电源冗余供电；</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符合国标地面数字电视标准GB20600-2006，支持单载波或多载波信号输入；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接收电平-80dBm～-5dBm；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17路RF输入流转换为UDP/IP输出；内置Web控制页面；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支持IP输出，UDP协议，支持单播/组播；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支持液晶显示(LCD)及按键操作；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支持网络管理(SNMP)</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pStyle w:val="958"/>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p>
            <w:pPr>
              <w:pStyle w:val="958"/>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p>
            <w:pPr>
              <w:pStyle w:val="958"/>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14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多画面监听监测服务</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含4块8T硬盘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多格式高标清节目解码：支持MPEG-2、MPEG-4、H.264、H.265、AVS2、AVS、AVS+的高标清视频解码；支持MP2、MP3、AC3、AAC、DRA的音频解码。</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支持5.1声道伴音的解码、监听、彩色音量柱显示。对于立体声节目，支持左右声道分别监听。</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准确的视音频内容监测：支持黑场、静帧、视频丢失、视频解码异常、彩场、彩条、台标丢失等视频故障监测，音频丢失、音量过高、音量过低等音频故障监测。对于视频故障，可以精确到帧监测，并可指定监测区域，能对马赛克进行监测；对于音频故障，能准确识别正常伴音丢失后的杂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2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1.尺寸50英寸，分辨率1920*1080，支持50HZ（PAL国内广电制式）；</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2.HDMI2.0S输入+环出；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3.支持7*24小时不间断运行；</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4.开关机，信号自动唤醒，无信号低功耗待机。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屏幕墙上拆装（原设施拆除并安装新设施）</w:t>
            </w:r>
            <w:r/>
          </w:p>
        </w:tc>
      </w:tr>
      <w:tr>
        <w:trPr>
          <w:trHeight w:val="1728"/>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业务监测交换机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1.标准设备1RU；</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2.包含24 个10/100/1000BASE-T 端口；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3.4 个/1G BASE-X SFP+端口；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4.背板交换容量336G/ 3.36Tbps；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5.包转发率:96Mpps；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6.支持端口聚合，支持静态组播，支持跨设备聚合。</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2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管理交换机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1RU，包含24 个10/100/1000BASE-T 端口，4 个1G BASE-X SFP+端口，支持端口隔离；支持静态组播</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6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18"/>
                <w:szCs w:val="18"/>
                <w:u w:val="none"/>
                <w:lang w:val="en-US" w:eastAsia="zh-CN" w:bidi="ar"/>
              </w:rPr>
              <w:t xml:space="preserve">三、其他设备</w:t>
            </w:r>
            <w:r/>
          </w:p>
        </w:tc>
      </w:tr>
      <w:tr>
        <w:trPr>
          <w:trHeight w:val="151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充气机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numPr>
                <w:ilvl w:val="0"/>
                <w:numId w:val="2"/>
              </w:num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采用全中文彩色液晶显示。显示屏显示显示罐压、输出压力、湿度、充/放气时间、压缩机状态、电压、机内温度、设置电话告警等；</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2.具备二次除湿功能；</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3.流量计显示压力和流量。流量不小于60L/min，压力0-160KPa可调；</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4.压缩机采用全无油活塞式压缩机，功率不小于0.56KW；</w:t>
            </w:r>
            <w:r/>
          </w:p>
          <w:p>
            <w:pPr>
              <w:numPr>
                <w:ilvl w:val="0"/>
                <w:numId w:val="0"/>
              </w:num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5.压力容器采用40升内置具有出产检测认证证书；</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6.支持RS485/MOdbus通信协议，手机APP；</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7.设备可设定工作时间 ；</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8.设备具有声音、图象、电话、短信等多种告警方；</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9.设备具备"一键恢复”功能，可使各种参数恢复至出厂状态；</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10.路数：6-12路多种规格，可根据实际配置选择；</w:t>
            </w:r>
            <w:r/>
          </w:p>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bidi="ar"/>
              </w:rPr>
              <w:t xml:space="preserve">11.设备机柜采用19英寸标准通信机箱，尺寸为：550*650*1240mm。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与现有的广播电视天线安装好</w:t>
            </w:r>
            <w:r/>
          </w:p>
        </w:tc>
      </w:tr>
      <w:tr>
        <w:trPr>
          <w:trHeight w:val="606"/>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光端机</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具备2路不同频道高清输入、输出，光端口为FC，必须入广电采购网</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自动识别两路HD-SDI/SDI/ASI输入，无需手工选择</w:t>
            </w:r>
            <w:r/>
          </w:p>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双电源设计，支持病态码测试</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360"/>
        </w:trPr>
        <w:tc>
          <w:tcPr>
            <w:shd w:val="clear" w:color="auto" w:fill="ffffff"/>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non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编码器</w:t>
            </w:r>
            <w:r/>
          </w:p>
        </w:tc>
        <w:tc>
          <w:tcPr>
            <w:shd w:val="clear" w:color="auto" w:fill="ffffff"/>
            <w:tcBorders>
              <w:top w:val="none" w:color="000000" w:sz="4" w:space="0"/>
              <w:left w:val="single" w:color="000000" w:sz="4" w:space="0"/>
              <w:bottom w:val="single" w:color="000000" w:sz="4" w:space="0"/>
              <w:right w:val="single" w:color="000000" w:sz="4" w:space="0"/>
            </w:tcBorders>
            <w:tcW w:w="4543"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▲1.工业级19英寸1U标准设备，内置双电源</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2.内嵌 Web Server，支持远程 Web 页面登陆后的统一配置管理</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▲3.支持AVS,AVS+两种视频编码格式</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4.支持MPEG-1 layer 2、 MPEG-1 layer 3、LC-AAC、HE-AAC、AC3、EAC3音频编码格式</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5.支持输入视频格式：2路3G/HD/SD-SDI</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6.支持SPTS，MPTS over UDP等IP输入</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7.支持DVB-ASI码流输入</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8.支持内部复用器，可将多路编转码后的SPTS节目流复用为MPTS节目流</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9.每路信号支持推送10个不同的直播平台；</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10.路信号支持横屏或竖屏直播推流功能；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11.支持节目录制，定时插播，定时停播等功能；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12.支持对外来IP码流/ASI码流转码和复用的功能；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13.具有LED液晶显示+按键操作功能；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14.支持IP码流码流0-120S延时功能（省去延时器的成本和设备占用空间）；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15.支持添加台标，而且还支持对台标的颜色和大小及位置进行调整；</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16.具有电源异常声音报警功能，并支持按键控制解除报警功能；</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★17.具有AVS+高清编码器的国家广播电视总局广播电视设备器材入网认定证书。</w:t>
            </w:r>
            <w:r/>
          </w:p>
        </w:tc>
        <w:tc>
          <w:tcPr>
            <w:gridSpan w:val="2"/>
            <w:shd w:val="clear" w:color="auto" w:fill="ffffff"/>
            <w:tcBorders>
              <w:top w:val="non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红外万用表</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1.15种伪彩模式，触摸屏，锂电供电，分辨率320*428</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温度范围-20-55℃，成向镜头焦距3.5mm</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热成像/可见光/双光融合三种预览模式</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电流测量交流2000A+柔性线圈+微距镜头</w:t>
            </w:r>
            <w:r/>
          </w:p>
          <w:p>
            <w:pPr>
              <w:numPr>
                <w:ilvl w:val="0"/>
                <w:numId w:val="2"/>
              </w:numPr>
              <w:ind w:left="0" w:firstLine="0"/>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3.98英寸液晶屏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在发射机房电源柜旁加一个小配电箱20*30及辅材（5*16平方国标电缆，10米左右，4P100A漏电保护开关，铜接头等）</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预警屏</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用于接收省局预警终端无线接收用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新设备安装到屏幕墙上</w:t>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母钟</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用于机房值守监看，北斗定时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新设备安装到屏幕墙上</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19英寸标准机柜，含两个pdu，铁皮机柜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49"/>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4"/>
                <w:szCs w:val="24"/>
                <w:u w:val="none"/>
                <w:lang w:val="en-US" w:eastAsia="zh-CN" w:bidi="ar"/>
              </w:rPr>
              <w:t xml:space="preserve">四、集成安装调试</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线缆、接头工具一套等辅材</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eastAsia="zh-CN"/>
              </w:rPr>
              <w:t xml:space="preserve">视频线、音频线、六类网线水晶头</w:t>
            </w:r>
            <w:r>
              <w:rPr>
                <w:rFonts w:hint="eastAsia" w:ascii="宋体" w:hAnsi="宋体" w:eastAsia="宋体" w:cs="宋体"/>
                <w:i w:val="0"/>
                <w:iCs w:val="0"/>
                <w:color w:val="auto"/>
                <w:sz w:val="18"/>
                <w:szCs w:val="18"/>
                <w:u w:val="none"/>
                <w:lang w:val="en-US" w:eastAsia="zh-CN"/>
              </w:rPr>
              <w:t xml:space="preserve">HDMI、SDI接头等辅材</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集成安装调试费</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 xml:space="preserve">满足现场要求集成调试，确保广播电视安全播出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自办广播、电视无线维护</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FM98.5MHZ两副、FM102.5MHZ一副，自办TV14CH两副、地数19CH、21CH、22CH一副，共6副天线。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每年测试天馈线指标，进行一次维修保养，</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（天线馈管接口不能进水</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铁塔上不能掉任何 螺栓</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螺帽）。</w:t>
            </w:r>
            <w:r/>
          </w:p>
        </w:tc>
      </w:tr>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中标方测试发射机主要指标</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广播指标:1.信燥比2.失真3.频率响应4.左右声道分离度5.残波辐射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电视指标：1.带肩2.带内不平坦度3.调制误差率4.邻频道内发射功率5.邻频道外发射功率</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每年广播电视发射机主要指标测试,符合省广电总局要求。</w:t>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地数发射机与UPS在同一房间加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隔断</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轻钢龙骨，主龙骨80cm，10根左右，每根长3米，副龙骨22根，每根长3米，配件（吊卡、吊丝、膨胀螺栓等），石膏板（尺寸1220*2440）拼接缝附在副龙骨上，打磨油漆，要求玻璃推拉门，面积约25平方米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手持式热成像仪</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测量高、中、低压温度，</w:t>
            </w:r>
            <w:r>
              <w:rPr>
                <w:rFonts w:hint="eastAsia" w:ascii="宋体" w:hAnsi="宋体" w:eastAsia="宋体" w:cs="宋体"/>
                <w:i w:val="0"/>
                <w:iCs w:val="0"/>
                <w:color w:val="auto"/>
                <w:sz w:val="18"/>
                <w:szCs w:val="18"/>
                <w:u w:val="none"/>
                <w:lang w:val="en-US" w:eastAsia="zh-CN" w:bidi="ar"/>
              </w:rPr>
              <w:t xml:space="preserve">检测电源线路螺栓、螺帽是否有松动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08"/>
        </w:trPr>
        <w:tc>
          <w:tcPr>
            <w:gridSpan w:val="7"/>
            <w:shd w:val="clear" w:color="auto" w:fill="auto"/>
            <w:tcBorders>
              <w:top w:val="none" w:color="000000" w:sz="4" w:space="0"/>
              <w:left w:val="single" w:color="000000" w:sz="4" w:space="0"/>
              <w:bottom w:val="single" w:color="000000" w:sz="4" w:space="0"/>
              <w:right w:val="none" w:color="000000" w:sz="4" w:space="0"/>
            </w:tcBorders>
            <w:tcW w:w="7885" w:type="dxa"/>
            <w:vAlign w:val="center"/>
            <w:textDirection w:val="lrTb"/>
            <w:noWrap w:val="false"/>
          </w:tcPr>
          <w:p>
            <w:pPr>
              <w:jc w:val="both"/>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18"/>
                <w:szCs w:val="18"/>
                <w:u w:val="none"/>
                <w:lang w:val="en-US" w:eastAsia="zh-CN" w:bidi="ar"/>
              </w:rPr>
              <w:t xml:space="preserve">五、高、低压柜工程检修</w:t>
            </w:r>
            <w:r/>
          </w:p>
        </w:tc>
        <w:tc>
          <w:tcPr>
            <w:shd w:val="clear" w:color="auto" w:fill="auto"/>
            <w:tcBorders>
              <w:top w:val="none" w:color="000000" w:sz="4" w:space="0"/>
              <w:left w:val="none" w:color="000000" w:sz="4" w:space="0"/>
              <w:bottom w:val="none" w:color="000000" w:sz="4" w:space="0"/>
              <w:right w:val="non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材料名称</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技术参数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直流屏（换电池）</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12V24AH</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智能电容复合开关</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低压进线柜（电流表）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（指针式）</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50-1000A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/450V-500V</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补偿柜（电流表）（指针式）</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补偿柜(指示灯）</w:t>
            </w:r>
            <w:r/>
          </w:p>
        </w:tc>
        <w:tc>
          <w:tcPr>
            <w:shd w:val="clear" w:color="auto" w:fill="ffffff"/>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低压出线柜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（分、合闸指示灯）</w:t>
            </w:r>
            <w:r/>
          </w:p>
        </w:tc>
        <w:tc>
          <w:tcPr>
            <w:shd w:val="clear" w:color="auto" w:fill="ffffff"/>
            <w:tcBorders>
              <w:top w:val="single" w:color="000000" w:sz="4" w:space="0"/>
              <w:left w:val="single" w:color="000000" w:sz="4" w:space="0"/>
              <w:bottom w:val="single" w:color="auto"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none" w:color="000000" w:sz="4" w:space="0"/>
              <w:bottom w:val="single" w:color="auto"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32"/>
        </w:trPr>
        <w:tc>
          <w:tcPr>
            <w:shd w:val="clear" w:color="auto" w:fill="ffffff"/>
            <w:tcBorders>
              <w:top w:val="single" w:color="auto" w:sz="4" w:space="0"/>
              <w:left w:val="single" w:color="auto"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高压柜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（分、合闸指示灯）</w:t>
            </w:r>
            <w:r/>
          </w:p>
        </w:tc>
        <w:tc>
          <w:tcPr>
            <w:shd w:val="clear" w:color="auto" w:fill="ffffff"/>
            <w:tcBorders>
              <w:top w:val="single" w:color="auto" w:sz="4" w:space="0"/>
              <w:left w:val="single" w:color="000000" w:sz="4" w:space="0"/>
              <w:bottom w:val="single" w:color="000000" w:sz="4" w:space="0"/>
              <w:right w:val="single" w:color="000000" w:sz="4" w:space="0"/>
            </w:tcBorders>
            <w:tcW w:w="454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eastAsia="zh-CN"/>
              </w:rPr>
              <w:t xml:space="preserve">匹配现场利旧配电柜，满足指标要求</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ffffff"/>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auto" w:sz="4" w:space="0"/>
              <w:left w:val="none" w:color="000000" w:sz="4" w:space="0"/>
              <w:bottom w:val="none" w:color="000000" w:sz="4" w:space="0"/>
              <w:right w:val="single" w:color="auto"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08"/>
        </w:trPr>
        <w:tc>
          <w:tcPr>
            <w:gridSpan w:val="7"/>
            <w:shd w:val="clear" w:color="auto" w:fill="auto"/>
            <w:tcBorders>
              <w:top w:val="single" w:color="auto" w:sz="4" w:space="0"/>
              <w:left w:val="single" w:color="000000" w:sz="4" w:space="0"/>
              <w:bottom w:val="single" w:color="000000" w:sz="4" w:space="0"/>
              <w:right w:val="single" w:color="000000" w:sz="4" w:space="0"/>
            </w:tcBorders>
            <w:tcW w:w="7885" w:type="dxa"/>
            <w:vAlign w:val="center"/>
            <w:textDirection w:val="lrTb"/>
            <w:noWrap w:val="false"/>
          </w:tcPr>
          <w:p>
            <w:pPr>
              <w:jc w:val="left"/>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24"/>
                <w:szCs w:val="24"/>
                <w:u w:val="none"/>
                <w:lang w:val="en-US" w:eastAsia="zh-CN" w:bidi="ar"/>
              </w:rPr>
              <w:t xml:space="preserve">六、边界防火墙特征库</w:t>
            </w:r>
            <w:r/>
          </w:p>
        </w:tc>
        <w:tc>
          <w:tcPr>
            <w:shd w:val="clear" w:color="auto" w:fill="auto"/>
            <w:tcBorders>
              <w:top w:val="single" w:color="auto" w:sz="4" w:space="0"/>
              <w:left w:val="none" w:color="000000" w:sz="4" w:space="0"/>
              <w:bottom w:val="none" w:color="000000" w:sz="4" w:space="0"/>
              <w:right w:val="non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三年入侵防御库升级模块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三年防病毒库升级（须与现有系统无缝匹配）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08"/>
        </w:trPr>
        <w:tc>
          <w:tcPr>
            <w:gridSpan w:val="7"/>
            <w:shd w:val="clear" w:color="auto" w:fill="auto"/>
            <w:tcBorders>
              <w:top w:val="single" w:color="000000" w:sz="4" w:space="0"/>
              <w:left w:val="single" w:color="000000" w:sz="4" w:space="0"/>
              <w:bottom w:val="single" w:color="000000" w:sz="4" w:space="0"/>
              <w:right w:val="single" w:color="000000" w:sz="4" w:space="0"/>
            </w:tcBorders>
            <w:tcW w:w="7885" w:type="dxa"/>
            <w:vAlign w:val="center"/>
            <w:textDirection w:val="lrTb"/>
            <w:noWrap w:val="false"/>
          </w:tcPr>
          <w:p>
            <w:pPr>
              <w:jc w:val="both"/>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24"/>
                <w:szCs w:val="24"/>
                <w:u w:val="none"/>
                <w:lang w:val="en-US" w:eastAsia="zh-CN" w:bidi="ar"/>
              </w:rPr>
              <w:t xml:space="preserve">七、消防设施维修清单</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32"/>
                <w:szCs w:val="32"/>
                <w:u w:val="none"/>
              </w:rPr>
            </w:pPr>
            <w:r>
              <w:rPr>
                <w:rFonts w:hint="eastAsia" w:ascii="宋体" w:hAnsi="宋体" w:eastAsia="宋体" w:cs="宋体"/>
                <w:i w:val="0"/>
                <w:iCs w:val="0"/>
                <w:color w:val="auto"/>
                <w:sz w:val="32"/>
                <w:szCs w:val="32"/>
                <w:u w:val="none"/>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项目名称/特性</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项目特征描述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20"/>
                <w:szCs w:val="20"/>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4公斤，现场灭火器过期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DN65,现场消防箱内缺失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副</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喷淋稳压管漏点维修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泵房外围地埋管道存在漏水点，需开挖寻找漏点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室外栓更换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需地面开挖以及恢复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CRT电脑维修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维修完成后，不影响CRT点位图正常使用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楼顶消火栓稳压泵更换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冻炸，需更换，功率：1.5千瓦，流量：1L/S，杨程：30米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楼顶喷淋稳压泵更换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冻炸，需更换，4千瓦，流量：5L/S，杨程：30米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楼顶稳压管道整改</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冬天上冻导致管道脱落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处</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楼顶软连接更换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水箱上水管维修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冻炸，需更换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楼顶稳压保温</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25米，材质：橡塑，规格厚度：2厘米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泵房双电源切换</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380V，630A/4P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七氟丙烷钢瓶检测</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七氟丙烷药剂损耗</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根据实际需要,按照25%损耗核算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七氟丙烷拆装费</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瓶</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七氟丙烷运输费</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瓶</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滚轮式电源线含电源盘50米</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3*2.5（50米）铜芯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髙压控制柜225A开关一个</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双电源开关 250A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配电房低压柜空开</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10平方线8米，6平方线6米，铜线鼻1个</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4P63A开关2只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消防设施维修保养</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年</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按月核算</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发射机房六边形外立面修缮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水泥浆灌注裂缝并做排水斜坡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处</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跨机房架空通信线缆规整绑扎工程</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院内不规范线路整理</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32"/>
                <w:szCs w:val="32"/>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隐患排查评估报告</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08"/>
        </w:trPr>
        <w:tc>
          <w:tcPr>
            <w:gridSpan w:val="7"/>
            <w:shd w:val="clear" w:color="auto" w:fill="auto"/>
            <w:tcBorders>
              <w:top w:val="single" w:color="000000" w:sz="4" w:space="0"/>
              <w:left w:val="single" w:color="000000" w:sz="4" w:space="0"/>
              <w:bottom w:val="single" w:color="000000" w:sz="4" w:space="0"/>
              <w:right w:val="single" w:color="000000" w:sz="4" w:space="0"/>
            </w:tcBorders>
            <w:tcW w:w="78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七、防雷维修项目清单</w:t>
            </w:r>
            <w:r/>
          </w:p>
        </w:tc>
        <w:tc>
          <w:tcPr>
            <w:shd w:val="clear" w:color="auto" w:fill="auto"/>
            <w:tcBorders>
              <w:top w:val="none" w:color="000000" w:sz="4" w:space="0"/>
              <w:left w:val="none" w:color="000000" w:sz="4" w:space="0"/>
              <w:bottom w:val="none" w:color="000000" w:sz="4" w:space="0"/>
              <w:right w:val="none" w:color="000000" w:sz="4" w:space="0"/>
            </w:tcBorders>
            <w:tcW w:w="1185" w:type="dxa"/>
            <w:vAlign w:val="bottom"/>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技术参数（要求）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防雷检测年度检测</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广电大楼各类设施防雷验收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7楼服务器机房东侧机柜组接地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使用6mm²铜芯线就近做等电位连接，连接线短直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7楼UPS机房西侧所有电池柜、东侧所有电池柜及主机接地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使用6mm²铜芯线就近做等电位连接，连接线短直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7楼UPS机房配电柜安装SPD（T2）、过电流保护装置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过电流保护：32，SPD：T2/8/20/20kA/4P，连接线</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6/10mm²。安装工艺符合GB/T21431-2023要求。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楼顶接闪带维修、除锈、刷漆</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甲方需协调移除接闪带捆绑的所有电线电缆，构件彻底除净锈渣、旧漆并除尘，3小时内上漆。采用三道防腐工艺：涂刷环氧富锌底漆、干透后刷环氧云铁中间漆，最终喷涂丙烯酸耐候面漆，总漆膜厚度≥120μm，每道工序干透后再施工下一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楼顶所有空调外机、金属线槽、灯带、风机、水箱、东侧炮楼上2个移动天线、东侧卫星接收器接地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使用φ12的热镀锌圆钢就近与接地良好的接地装置作可靠电气连接，焊处搭接长度不小于圆钢直径的6倍,焊接处需作防腐处理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防雷箱安装一级浪涌</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过电流保护：63，SPD：T1/10/350/15kA/4P，连接线16/16mm²。安装工艺符合GB/T21431-2023要求。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防雷箱接地</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使用16mm²铜芯线与接地排等电位连接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配电柜安装SPD（T2）、过电流保护装置</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过电流保护：32，SPD：T2/8/20/20kA/4P，连接线</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6/10mm²，安装工艺符合GB/T21431-2023要求。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bottom"/>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34"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bottom"/>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36"/>
                <w:szCs w:val="36"/>
                <w:u w:val="none"/>
              </w:rPr>
              <w:suppressLineNumbers w:val="0"/>
            </w:pPr>
            <w:r>
              <w:rPr>
                <w:rFonts w:hint="eastAsia" w:ascii="宋体" w:hAnsi="宋体" w:eastAsia="宋体" w:cs="宋体"/>
                <w:b/>
                <w:bCs/>
                <w:i w:val="0"/>
                <w:iCs w:val="0"/>
                <w:color w:val="auto"/>
                <w:sz w:val="36"/>
                <w:szCs w:val="36"/>
                <w:u w:val="none"/>
                <w:lang w:val="en-US" w:eastAsia="zh-CN" w:bidi="ar"/>
              </w:rPr>
              <w:t xml:space="preserve">系统配置清单</w:t>
            </w:r>
            <w:r/>
          </w:p>
        </w:tc>
      </w:tr>
      <w:tr>
        <w:trPr>
          <w:trHeight w:val="582"/>
        </w:trPr>
        <w:tc>
          <w:tcPr>
            <w:gridSpan w:val="2"/>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设备名称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配置参数</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备注</w:t>
            </w:r>
            <w:r/>
          </w:p>
        </w:tc>
      </w:tr>
      <w:tr>
        <w:trPr>
          <w:trHeight w:val="499"/>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一、高清非编系统</w:t>
            </w:r>
            <w:r/>
          </w:p>
        </w:tc>
      </w:tr>
      <w:tr>
        <w:trPr>
          <w:trHeight w:val="43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高清有卡编辑系统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1、主机不低于以下配置：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3350 处理器/散热片/DDR4 3200 32G/256GB 2.5 SATA 6Gb R SSD /450W 塔式单电源/独立显卡（8GB显存） /G1010/键盘 /鼠标 /150cm 国标电源线/麒麟V10操作系统//整机3年质保。23.8寸液晶显示器。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2、I/O板卡：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广播级芯片，广播级输入、输出卡：支持从，SD到3G-SDI信号，支持1路SDI输入，1-2路SDI输出，1路HDMI OUT（最高到1080p60），1路Line OUT，1路Headphone OUT。支持10，8-bit YUV 4：2：2，支持48KHz、24bit音频采样支持AFD，LTC，VITC等SDI元数据。支持断电直通，支持下变换，信号制式自动检测，信号丢失自动报警，板卡温度自动报警。支持REF输入。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3、软件配置：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配备满足要求非编系统软件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27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高清无卡编辑系统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1、I/O板卡：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广播级芯片，广播级输入、输出卡：支持从，SD到3G-SDI信号，支持1路SDI输入，1-2路SDI输出，1路HDMI OUT（最高到1080p60），1路Line OUT，1路Headphone OUT。支持10，8-bit YUV 4：2：2，支持48KHz、24bit音频采样支持AFD，LTC，VITC等SDI元数据。支持断电直通，支持下变换，信号制式自动检测，信号丢失自动报警，板卡温度自动报警。支持REF输入。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2、软件配置：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配备满足要求非编系统软件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32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配音工作站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1、主机不低于以下配置：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板载双口千兆RJ45 网卡，3350 /散热片 /DDR4 3200 32G/256GB 2.5 SATA 6Gb R SSD /300W 塔式单电源 /G1010/键盘 /鼠标 /150cm 国标电源线/麒麟V10操作系统//整机3年质保。23.8寸液晶显示器。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2、AKG C214专业录音话筒，配套话筒支架。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3、Yamaha MG10XUF带效果调音台、声卡：4个话筒 / 10 个线路输入 (4 个单声道 + 3 个立体声) / 1 立体声母线 / 1 AUX (包括 FX)；效果器：SPX，含24组预置效果器、带推子； +48V幻象供电、XLR平衡输出；金属机身。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4、配音软件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15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1、24个10/100/1000BASE-T以太网端口,4个万兆SFP+（含4个多模光模块）；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2、交换容量336Gbps/3.36Tbps，包转发率108/126Mpps,支持双电源(60W/150W 可拔插交流电源)，自带1个60W交流电源，可与同系列-XA后缀的款型堆叠。</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27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后台服务器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1、主机不低于以下配置：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机架服务器 12*3.5英寸硬盘,2U标准机箱；2*Kunpeng 920,24Core@2.6GHz；服务器白金900W B版本交流电源；通用内存-DDR4 RDIMM-64GB；2*通用硬盘-600GB-SAS 12Gb/s-10K rpm-128MB及以上-2.5英寸(3.5英寸托架)；RAID控制器（支持RAID0、1、5、6、10、50等）；4*GE接口卡；1*双口万兆网卡；静态滑轨套件；冗余风扇。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2、软件配置：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net3.0WEB数据库服务器软件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net后台服务软件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存储盘阵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利旧（中标供应商须完成新设备与现有存储网盘的对接调试、配置、数据兼容，保障系统正常运行。</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 xml:space="preserve">相关工作包含在本次报价</w:t>
            </w:r>
            <w:r/>
          </w:p>
        </w:tc>
      </w:tr>
      <w:tr>
        <w:trPr>
          <w:trHeight w:val="48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二、系统集成</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光缆材料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包含光缆、熔接、法兰盘、辅材、安装铺设人工等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82"/>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系统集成、实施、试用期值守等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8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媒资服务器</w:t>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MT-MAM-S1，1231V3 CPU/8G ECC内存/240G 固态系统盘/400W冗余电源/2U机架式机</w:t>
            </w:r>
            <w:r>
              <w:rPr>
                <w:rFonts w:hint="eastAsia" w:ascii="宋体" w:hAnsi="宋体" w:eastAsia="宋体" w:cs="宋体"/>
                <w:i w:val="0"/>
                <w:iCs w:val="0"/>
                <w:color w:val="auto"/>
                <w:sz w:val="20"/>
                <w:szCs w:val="20"/>
                <w:u w:val="none"/>
                <w:lang w:val="en-US" w:eastAsia="zh-CN" w:bidi="ar"/>
              </w:rPr>
              <w:t xml:space="preserve">箱/操作系统/原</w:t>
            </w:r>
            <w:r>
              <w:rPr>
                <w:rFonts w:hint="eastAsia" w:ascii="宋体" w:hAnsi="宋体" w:eastAsia="宋体" w:cs="宋体"/>
                <w:i w:val="0"/>
                <w:iCs w:val="0"/>
                <w:color w:val="auto"/>
                <w:sz w:val="20"/>
                <w:szCs w:val="20"/>
                <w:u w:val="none"/>
                <w:lang w:val="en-US" w:eastAsia="zh-CN" w:bidi="ar"/>
              </w:rPr>
              <w:t xml:space="preserve">媒资系统软件安装维护。</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2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空调</w:t>
            </w:r>
            <w:r/>
          </w:p>
        </w:tc>
      </w:tr>
      <w:tr>
        <w:trPr>
          <w:trHeight w:val="17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20匹空调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1.20匹机房精密专用空调一台，支持 7×24h 全年不间断连续运行，可长期满负荷不间断工作，适配机房常年运行工况。 </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2.额定制冷量(kW)：≥47.8；</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3.额定制热量(kW)：≥53；</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4.额定制热功率(kW)：≤12.7；</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5.额定制冷功率(kW)：≤13.7；</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6.全年能源消耗功率(APF)：≥4.5；</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7.室内机噪音db（A)：≤60；</w:t>
            </w:r>
            <w:r/>
          </w:p>
          <w:p>
            <w:pPr>
              <w:numPr>
                <w:ilvl w:val="0"/>
                <w:numId w:val="0"/>
              </w:num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8.室外机噪音db（A)：≤61；</w:t>
            </w:r>
            <w:r/>
          </w:p>
          <w:p>
            <w:pPr>
              <w:numPr>
                <w:ilvl w:val="0"/>
                <w:numId w:val="0"/>
              </w:num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9.室内落地式安装，外机室外放置；连接铜管由厂家按需配置长度；管线与电源线要符合机房按需长度，包含电源线、管线等所有辅材、调试、漏水报警装置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eastAsia="zh-CN"/>
              </w:rPr>
              <w:suppressLineNumbers w:val="0"/>
            </w:pPr>
            <w:r>
              <w:rPr>
                <w:rFonts w:hint="eastAsia" w:ascii="宋体" w:hAnsi="宋体" w:eastAsia="宋体" w:cs="宋体"/>
                <w:i w:val="0"/>
                <w:iCs w:val="0"/>
                <w:color w:val="auto"/>
                <w:sz w:val="20"/>
                <w:szCs w:val="20"/>
                <w:u w:val="none"/>
                <w:lang w:eastAsia="zh-CN"/>
              </w:rPr>
            </w:r>
            <w:r/>
          </w:p>
        </w:tc>
      </w:tr>
      <w:tr>
        <w:trPr>
          <w:trHeight w:val="64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馈管处置及三频道废旧天线拆除</w:t>
            </w:r>
            <w:r/>
          </w:p>
        </w:tc>
      </w:tr>
      <w:tr>
        <w:trPr>
          <w:trHeight w:val="96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拆除废天线加固现有馈管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ind w:firstLine="200"/>
              <w:jc w:val="left"/>
              <w:keepLines w:val="0"/>
              <w:keepNext w:val="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三频道废旧天线拆除另加固现馈管`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00"/>
        </w:trPr>
        <w:tc>
          <w:tcPr>
            <w:gridSpan w:val="8"/>
            <w:shd w:val="clear" w:color="auto" w:fill="ffffff"/>
            <w:tcBorders>
              <w:top w:val="single" w:color="000000" w:sz="4" w:space="0"/>
              <w:left w:val="single" w:color="000000" w:sz="4" w:space="0"/>
              <w:bottom w:val="single" w:color="000000" w:sz="4" w:space="0"/>
              <w:right w:val="single" w:color="000000" w:sz="4" w:space="0"/>
            </w:tcBorders>
            <w:tcW w:w="90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广播播出电脑、102.5主备播电脑及音频智能切换器</w:t>
            </w:r>
            <w:r/>
          </w:p>
        </w:tc>
      </w:tr>
      <w:tr>
        <w:trPr>
          <w:trHeight w:val="122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播出工作站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硬件不低于以下配置：</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i7-14700/16GB DDR5 NECC*2/2TB SATA 7.2K 3.5/180W/集显/键鼠/3年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含AES/EBU接口</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接口类型‌：PCI Express</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‌模拟输入‌：2 路平衡线路输入（3.5mm 转接线输出），软件可调增益，最大输入电平 +24dBu</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‌模拟输出‌：2 路平衡线路输出 + 1 路立体声耳机输出（3.5mm，600Ω下 20mW），最大输出电平 +24dBu</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‌数字音频‌：1 组立体声 AES3 输入/输出（XLR 转接线），支持 32kHz–192kHz 采样率，带硬件采样率转换（SRC）</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‌同步功能‌：AES11 同步输入、字时钟输入/输出（BNC）</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‌控制接口‌：2 路 GPI 输入、2 路 GPO 输出</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‌AD/DA 转换‌：24-bit 分辨率，支持 PCM（8/16/24/32-bit 整数及 IEEE754 Float）</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‌采样率支持‌：32, 44.1, 48, 64, 88.2, 96, 128, 176.4, 192 kHz</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‌混音功能‌：内置 8×8 零延迟硬件混音器（支持物理/软件输入输出路由）</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（其中声卡新增一块，其他用现有的旧声卡）。</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软件用现有和播出软件，中标方负责安装调试。</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4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音频切换器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8路输入，8路输出，立体声音频信号切换器，提供配套管理软件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前面板配物理按键，操作便捷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紧凑、高效设计的1U机箱；</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·输入配置8路可选；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·输出配置8路可选；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·支持模拟复合视频（PAL、NTSC、</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 SECAM)；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·单声道/双声道音频；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·输入AC/DC耦合方式可选；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·音频采用三端压线接口；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·可选遥控面板。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采用先进的结构设计，选用优质电子元器件，具有工艺先进、集成度高、组成随意灵活、工作稳定可靠、性能价格比高等特点。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主机具有掉电记忆功能，保证断电后数据永不丢失。</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68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智能音频切换器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3个外部信号可任意设定为数字或模拟输入，与1路内部数字垫乐共同构成智能4选一，同时拥有模拟和数字输出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具备网络接口，能进入网络辅助化监测系统，整机及所有输入输出信号源均能在远端得到监测，包括温度、电平、相位、异常信息的显示和网络实时监听等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内部具备停播、削波、落差、AES失锁、相位、比对报警功能，用户可自由选择报警参数及时限控制，所有报警在机器内部完成，不依赖网络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可任意预置4个优先级，选择相应报警项目进行自动应急切换，用户可选择当优先级高的信号恢复时是否自动切回原先通道，用户也可选择进入手动切换状态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对输出信号的监测采用回采方式，确保监测到得信号是真实可信的，杜绝了伪监测现象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在外接信号全部中断时，可自动启用内部垫乐信号用于播出，内部垫乐采用全固态芯片存储、支持S48格式文件（CD音质，须支持S48/MP2/MP3格式），循环播放，USB下载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异常日志记录在本机存储器中，供本地查看或远程调用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同步方式支持内同步（48K）和外同步（32-96K）</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本机监听输出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提供网络远程监控软件，实现所有的状态及面板操作远程控制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安全措施：数字接口断电第一路数字输入与数字输出直通；模拟接口断电第二路模拟输入与模拟输出直通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双电源</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1100"/>
        </w:trPr>
        <w:tc>
          <w:tcPr>
            <w:gridSpan w:val="2"/>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安装</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调试费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含辅材及安装调试，搬迁设备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100"/>
        </w:trPr>
        <w:tc>
          <w:tcPr>
            <w:gridSpan w:val="8"/>
            <w:shd w:val="clear" w:color="auto" w:fill="auto"/>
            <w:tcBorders>
              <w:top w:val="single" w:color="000000" w:sz="4" w:space="0"/>
              <w:left w:val="single" w:color="000000" w:sz="4" w:space="0"/>
              <w:bottom w:val="single" w:color="000000" w:sz="4" w:space="0"/>
              <w:right w:val="single" w:color="000000" w:sz="4" w:space="0"/>
            </w:tcBorders>
            <w:tcW w:w="9070" w:type="dxa"/>
            <w:vAlign w:val="center"/>
            <w:textDirection w:val="lrTb"/>
            <w:noWrap/>
          </w:tcPr>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说明：1、</w:t>
            </w:r>
            <w:r>
              <w:rPr>
                <w:rFonts w:hint="eastAsia" w:ascii="宋体" w:hAnsi="宋体" w:eastAsia="宋体" w:cs="宋体"/>
                <w:color w:val="auto"/>
                <w:sz w:val="24"/>
                <w:szCs w:val="24"/>
                <w:highlight w:val="none"/>
              </w:rPr>
              <w:t xml:space="preserve">加“★”的要求为不允许偏离的实质性要求和条件，如有偏离，按照投标无效处理。</w:t>
            </w:r>
            <w:r>
              <w:rPr>
                <w:rFonts w:hint="eastAsia" w:ascii="宋体" w:hAnsi="宋体" w:eastAsia="宋体" w:cs="宋体"/>
                <w:color w:val="auto"/>
                <w:sz w:val="24"/>
                <w:szCs w:val="24"/>
                <w:highlight w:val="none"/>
                <w:lang w:val="en-US" w:eastAsia="zh-CN"/>
              </w:rPr>
              <w:t xml:space="preserve">投标文件须提供相关证明材料。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2、加</w:t>
            </w:r>
            <w:r>
              <w:rPr>
                <w:rFonts w:hint="eastAsia" w:ascii="宋体" w:hAnsi="宋体" w:eastAsia="宋体" w:cs="宋体"/>
                <w:color w:val="auto"/>
                <w:sz w:val="24"/>
                <w:szCs w:val="24"/>
                <w:highlight w:val="none"/>
              </w:rPr>
              <w:t xml:space="preserve">“▲”项指标须提供的证明材料，否则不得分。注：（1）针对评分标准中评分的每一条，投标人在投标文件中均应提供清晰明了的相关资料并做出相应说明供评委评判，不提供相关资料的视为不具备该项得分的条件。</w:t>
            </w:r>
            <w:r/>
          </w:p>
          <w:p>
            <w:pPr>
              <w:ind w:firstLine="480"/>
              <w:keepLines w:val="0"/>
              <w:keepNext w:val="0"/>
              <w:pageBreakBefore w:val="0"/>
              <w:spacing w:line="440" w:lineRule="exact"/>
              <w:widowControl w:val="off"/>
              <w:rPr>
                <w:rFonts w:hint="default" w:ascii="Times New Roman" w:hAnsi="Times New Roman" w:eastAsia="等线"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所有扫描件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证明须</w:t>
            </w:r>
            <w:r>
              <w:rPr>
                <w:rFonts w:hint="eastAsia" w:ascii="宋体" w:hAnsi="宋体" w:eastAsia="宋体" w:cs="宋体"/>
                <w:color w:val="auto"/>
                <w:sz w:val="24"/>
                <w:szCs w:val="24"/>
                <w:highlight w:val="none"/>
              </w:rPr>
              <w:t xml:space="preserve">清晰可见，字迹不清晰、图片模糊的视为未提供，评委有权不给分。</w:t>
            </w:r>
            <w:r/>
          </w:p>
          <w:p>
            <w:pPr>
              <w:jc w:val="left"/>
              <w:rPr>
                <w:rFonts w:hint="default" w:ascii="宋体" w:hAnsi="宋体" w:eastAsia="宋体" w:cs="宋体"/>
                <w:i w:val="0"/>
                <w:iCs w:val="0"/>
                <w:color w:val="auto"/>
                <w:sz w:val="20"/>
                <w:szCs w:val="20"/>
                <w:u w:val="none"/>
                <w:lang w:val="en-US" w:eastAsia="zh-CN"/>
              </w:rPr>
            </w:pPr>
            <w:r>
              <w:rPr>
                <w:rFonts w:hint="default" w:ascii="宋体" w:hAnsi="宋体" w:eastAsia="宋体" w:cs="宋体"/>
                <w:i w:val="0"/>
                <w:iCs w:val="0"/>
                <w:color w:val="auto"/>
                <w:sz w:val="20"/>
                <w:szCs w:val="20"/>
                <w:u w:val="none"/>
                <w:lang w:val="en-US" w:eastAsia="zh-CN"/>
              </w:rPr>
            </w:r>
            <w:r/>
          </w:p>
        </w:tc>
      </w:tr>
    </w:tbl>
    <w:p>
      <w:pPr>
        <w:ind w:firstLine="482"/>
        <w:spacing w:line="480" w:lineRule="exact"/>
        <w:rPr>
          <w:rFonts w:hint="eastAsia" w:ascii="宋体" w:hAnsi="宋体" w:eastAsia="宋体" w:cs="宋体"/>
          <w:b/>
          <w:color w:val="auto"/>
          <w:sz w:val="30"/>
          <w:szCs w:val="22"/>
          <w:lang w:val="en-US" w:eastAsia="zh-CN"/>
        </w:rPr>
      </w:pPr>
      <w:r>
        <w:rPr>
          <w:rFonts w:hint="eastAsia" w:ascii="宋体" w:hAnsi="宋体" w:eastAsia="宋体" w:cs="宋体"/>
          <w:b/>
          <w:color w:val="auto"/>
          <w:sz w:val="30"/>
          <w:szCs w:val="22"/>
          <w:lang w:val="en-US" w:eastAsia="zh-CN"/>
        </w:rPr>
        <w:t xml:space="preserve">三、工程要求</w:t>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1.整体要求</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1.1投标人所提供货物的设计、制造、产品性能、材料的选择和材料的检验及产品的测试等，都应按中国境内的现行标准和相应的技术规范执行。而这些标准和技术规范应为截至开标时最新公布发行的标准和技术规范。</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1.2除了本章技术需求中的技术规格要求以外，投标响应的技术指标均应符合相应的国家标准或国际标准。</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1.3除了本章的技术规格要求以外，投标货物应操作方便，性能稳定，工作可靠，维修简单，安全性好且不污染环境及危害人体健康。</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1.4投标人应为采购人提供设备以及包括设备系统设计、配套、运输（运输至指定安装地点）、装卸、集成、安装、调试、验收直至合格、技术服务（其中包括培训、技术资料、设计和竣工图、设备使用说明、维护手册）、保修维护等一系列服务在内的交钥匙工程。</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1.5投标人所提供的货物，如若发生侵犯专利权的行为时，其侵权责任与买方无关，应由投标人承担相应的责任，并不得损害买方的利益。</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1.6投标人须到采购人天线所在地、电视塔和发射机房进行现场勘查，针对现状提出科学、可靠的技术方案和安装实施方案；如未现场勘查，视为投标人完全了解采购现场情况。若发生不能安装的情况，由中标单位自行承担相应的后果。</w:t>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2.所遵循的标准和质量保证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2.1投标人提供的所有货物，其制造商应有完善的质量检测手段和质量保证体系，产品符合国家标准和行业标准。投标人在投标文件中应对质量保证体系作出说明。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2.2投标货物均应通过国家相关强制认证要求。符合相应的国家及行业标准。</w:t>
      </w:r>
      <w:r>
        <w:rPr>
          <w:sz w:val="21"/>
        </w:rPr>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3.交货与系统集成安装要求</w:t>
      </w:r>
      <w:r/>
    </w:p>
    <w:p>
      <w:pPr>
        <w:ind w:firstLine="480"/>
        <w:jc w:val="left"/>
        <w:spacing w:line="360" w:lineRule="auto"/>
        <w:rPr>
          <w:rFonts w:hint="eastAsia" w:ascii="宋体" w:hAnsi="宋体" w:eastAsia="宋体" w:cs="宋体"/>
          <w:b/>
          <w:color w:val="auto"/>
          <w:sz w:val="24"/>
          <w:szCs w:val="22"/>
          <w:lang w:eastAsia="zh-CN"/>
        </w:rPr>
      </w:pPr>
      <w:r>
        <w:rPr>
          <w:rFonts w:hint="eastAsia" w:ascii="宋体" w:hAnsi="宋体" w:eastAsia="宋体" w:cs="宋体"/>
          <w:color w:val="auto"/>
          <w:sz w:val="24"/>
          <w:szCs w:val="22"/>
        </w:rPr>
        <w:t xml:space="preserve">3.1所有设备均由中标人送货至采购人指定的安装机房内。</w:t>
      </w:r>
      <w:r>
        <w:rPr>
          <w:rFonts w:hint="eastAsia" w:ascii="宋体" w:hAnsi="宋体" w:eastAsia="宋体" w:cs="宋体"/>
          <w:b/>
          <w:color w:val="auto"/>
          <w:sz w:val="24"/>
          <w:szCs w:val="22"/>
        </w:rPr>
        <w:t xml:space="preserve">具体交货及安装事宜以采购人书面通知为准</w:t>
      </w:r>
      <w:r>
        <w:rPr>
          <w:rFonts w:hint="eastAsia" w:ascii="宋体" w:hAnsi="宋体" w:eastAsia="宋体" w:cs="宋体"/>
          <w:b/>
          <w:color w:val="auto"/>
          <w:sz w:val="24"/>
          <w:szCs w:val="22"/>
          <w:lang w:eastAsia="zh-CN"/>
        </w:rPr>
        <w:t xml:space="preserve">。</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3.2中标人应确保所提供的货物在装卸、运输和仓储过程中有足够的包装保护，防止货物受潮、生锈、被腐蚀、受到冲撞以及其他不可预见的损坏。货物包装箱内必须附有详细的装箱清单。</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3.3中标人负责设备的搬运、装卸、集成、安装、调试工作，并提供测试仪器。</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3.4整套系统运行和施工所必需的部件和消耗材料，即使在设备清单和需求中未有列出或数目不足，投标人也要在应标的时候补足。若本项目所采购的设备配置或要求中出现不合理或不完整的问题时，投标人有责任和义务在投标书中提出修改或补充方案并在征得采购人同意后付诸实施。</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3.5中标人负责发射机与同轴切换开关、同轴切换开关与假负载、同轴切换开关与天馈线的馈线连接；负责发射机与机房配电柜间的电源连接、激励器的信源接入，以及系统内各设备之间线缆的连接。中标人提供上述施工所需的所有材料。</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3.6中标人提供合理可行的供货施工方案（含生产供货计划、施工分组及详细安装进度表），确定项目负责人负责安装协调管理工作。</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3.7安装所需工具设施物料由中标人自备并自费运到现场，完工后自费搬走。</w:t>
      </w:r>
      <w:r/>
    </w:p>
    <w:p>
      <w:pPr>
        <w:ind w:firstLine="301"/>
        <w:spacing w:line="360" w:lineRule="auto"/>
        <w:rPr>
          <w:rFonts w:hint="eastAsia" w:ascii="宋体" w:hAnsi="宋体" w:eastAsia="宋体" w:cs="宋体"/>
          <w:b/>
          <w:color w:val="auto"/>
          <w:sz w:val="30"/>
          <w:szCs w:val="22"/>
        </w:rPr>
      </w:pPr>
      <w:r>
        <w:rPr>
          <w:rFonts w:hint="eastAsia" w:ascii="宋体" w:hAnsi="宋体" w:eastAsia="宋体" w:cs="宋体"/>
          <w:b/>
          <w:color w:val="auto"/>
          <w:sz w:val="30"/>
          <w:szCs w:val="22"/>
          <w:lang w:val="en-US" w:eastAsia="zh-CN"/>
        </w:rPr>
        <w:t xml:space="preserve">四、</w:t>
      </w:r>
      <w:r>
        <w:rPr>
          <w:rFonts w:hint="eastAsia" w:ascii="宋体" w:hAnsi="宋体" w:eastAsia="宋体" w:cs="宋体"/>
          <w:b/>
          <w:color w:val="auto"/>
          <w:sz w:val="30"/>
          <w:szCs w:val="22"/>
        </w:rPr>
        <w:t xml:space="preserve">设备技术要求</w:t>
      </w:r>
      <w:r/>
    </w:p>
    <w:p>
      <w:pPr>
        <w:ind w:firstLine="281"/>
        <w:spacing w:line="360" w:lineRule="auto"/>
        <w:rPr>
          <w:rFonts w:hint="eastAsia" w:ascii="宋体" w:hAnsi="宋体" w:eastAsia="宋体" w:cs="宋体"/>
          <w:b/>
          <w:color w:val="auto"/>
          <w:sz w:val="28"/>
          <w:szCs w:val="22"/>
        </w:rPr>
      </w:pPr>
      <w:r>
        <w:rPr>
          <w:rFonts w:hint="eastAsia" w:ascii="宋体" w:hAnsi="宋体" w:eastAsia="宋体" w:cs="宋体"/>
          <w:b/>
          <w:color w:val="auto"/>
          <w:sz w:val="28"/>
          <w:szCs w:val="22"/>
        </w:rPr>
        <w:t xml:space="preserve">1、设计原则</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系统安全可靠，建立完善的冗余备份和安全防范体系，保障系统高可靠和端到端的安全，具有多重安全防护，无单一崩溃点，应急手段丰富，应急播出时，不对正常播出频道产生影响。系统的软硬件必须长期稳定可靠地运行，具有完善的硬件热备份和信号热备份。具有较完备的应急安全措施。能够在线维护系统设备，且不影响节目播出。</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系统既要保证信息资源的充分共享，又要保证系统内的信息安全。同时系统应具有较完善的责任追究机制，能够提供操作系统级、应用系统级、数据库级三重用户管理和权限管理功能，对各用户的所有操作建立日志，保证整个系统运行始终处于安全监控和保护之中。</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通过对业务模式的梳理和分析，简化系统的交互流程，设计合理高效的业务流程，提高文件的传输效率，并且运用先进的自动处理技术和柔性系统架构提高生产效率。</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做到一切面向应用，由应用的实际需求层层下溯，从网络、主机、软件等各个方面对系统规模进行量化，设计出实用的系统。</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 xml:space="preserve">在实用和安全的基础上，系统设计要有一定的前瞻性，必须考虑应用和需求的发展以及技术的进步，从而确保系统具备可持续发展能力。系统要求采用先进的计算机技术、网络技术、数字电视技术。系统的技术指标必须达到或超过国家广播电视技术广播级标准。</w:t>
      </w:r>
      <w:r/>
    </w:p>
    <w:p>
      <w:pPr>
        <w:ind w:firstLine="281"/>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五</w:t>
      </w:r>
      <w:r>
        <w:rPr>
          <w:rFonts w:hint="eastAsia" w:ascii="宋体" w:hAnsi="宋体" w:eastAsia="宋体" w:cs="宋体"/>
          <w:b/>
          <w:color w:val="auto"/>
          <w:sz w:val="28"/>
          <w:szCs w:val="28"/>
        </w:rPr>
        <w:t xml:space="preserve">、培训要求</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1.投标人负责向采购人提供系统相关的安装、测试和维护所需的技术手册。</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授课人员需是投标人的技术专家或专业的授权培训机构专家，具备三年以上同类经验。投标人应对系统的使用和管理人员进行技术与操作培训，提供完整详细的技术与操作文档，并根据采购人实际需要制定完善的培训计划。</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3.系统建设期间，在不影响施工进度的情况下，投标人应该在安装调试过程中为采购人的技术人员提供培训，具体要求如下：</w:t>
      </w:r>
      <w:r/>
    </w:p>
    <w:p>
      <w:pPr>
        <w:pStyle w:val="961"/>
        <w:ind w:firstLine="480"/>
        <w:spacing w:line="480" w:lineRule="exact"/>
        <w:rPr>
          <w:rFonts w:hint="eastAsia" w:ascii="宋体" w:hAnsi="宋体" w:eastAsia="宋体" w:cs="宋体"/>
          <w:color w:val="auto"/>
        </w:rPr>
      </w:pPr>
      <w:r>
        <w:rPr>
          <w:rFonts w:hint="eastAsia" w:ascii="宋体" w:hAnsi="宋体" w:eastAsia="宋体" w:cs="宋体"/>
          <w:color w:val="auto"/>
          <w:sz w:val="24"/>
          <w:szCs w:val="24"/>
          <w:highlight w:val="none"/>
        </w:rPr>
        <w:t xml:space="preserve">对技术人员进行设备安装、测试、维护、操作、使用、故障排除等培训，使技术人员具备基本维护能力，面对突发故障能快速判断并处理。</w:t>
      </w:r>
      <w:r/>
    </w:p>
    <w:p>
      <w:pPr>
        <w:pStyle w:val="961"/>
        <w:ind w:firstLine="482"/>
        <w:jc w:val="left"/>
        <w:spacing w:line="480" w:lineRule="exact"/>
        <w:rPr>
          <w:rFonts w:hint="eastAsia" w:ascii="宋体" w:hAnsi="宋体" w:eastAsia="宋体" w:cs="宋体"/>
          <w:b/>
          <w:color w:val="auto"/>
          <w:sz w:val="30"/>
          <w:szCs w:val="22"/>
          <w:lang w:val="en-US" w:eastAsia="zh-CN" w:bidi="ar-SA"/>
        </w:rPr>
      </w:pPr>
      <w:r>
        <w:rPr>
          <w:rFonts w:hint="eastAsia" w:ascii="宋体" w:hAnsi="宋体" w:eastAsia="宋体" w:cs="宋体"/>
          <w:b/>
          <w:color w:val="auto"/>
          <w:sz w:val="30"/>
          <w:szCs w:val="22"/>
          <w:lang w:val="en-US" w:eastAsia="zh-CN" w:bidi="ar-SA"/>
        </w:rPr>
        <w:t xml:space="preserve">六、售后服务要求</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针对本项目提供详细售后方案，内容包含但不限于售后服务内容、响应时间、售后人员配备情况、以及质保期满后主要产品、配件优惠方案等。</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投标人应根据采购人实际应用要求，提供全面、优质、及时的售后服务。</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项目软硬件质保期为</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年，质保期应提供整个系统的维护保障和软件维护服务。在质保期内，投标人向采购人提供故障维修和每年至少两次预防性维护、系统状况检查等服务，通过此项服务来保证系统处于良好的运行状态。</w:t>
      </w:r>
      <w:r/>
    </w:p>
    <w:p>
      <w:pPr>
        <w:pStyle w:val="961"/>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关键设备和支撑应用发生故障时，投标人在接到采购人通知后，应快速响应，并在规定时间内到达现场对用户提出的技术问题和故障做出答复、予以解决。</w:t>
      </w:r>
      <w:r/>
    </w:p>
    <w:p>
      <w:pPr>
        <w:pStyle w:val="961"/>
        <w:ind w:firstLine="482"/>
        <w:jc w:val="left"/>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、验收要求</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（一）验收时间：合同签订后在约定时间内完成软件部署、联调测试</w:t>
      </w:r>
      <w:r>
        <w:rPr>
          <w:rFonts w:hint="eastAsia" w:ascii="宋体" w:hAnsi="宋体" w:eastAsia="宋体" w:cs="宋体"/>
          <w:color w:val="auto"/>
          <w:sz w:val="24"/>
          <w:szCs w:val="24"/>
          <w:highlight w:val="none"/>
          <w:lang w:val="en-US" w:eastAsia="zh-CN"/>
        </w:rPr>
        <w:t xml:space="preserve">等工作</w:t>
      </w:r>
      <w:r>
        <w:rPr>
          <w:rFonts w:hint="eastAsia" w:ascii="宋体" w:hAnsi="宋体" w:eastAsia="宋体" w:cs="宋体"/>
          <w:color w:val="auto"/>
          <w:sz w:val="24"/>
          <w:szCs w:val="24"/>
          <w:highlight w:val="none"/>
        </w:rPr>
        <w:t xml:space="preserve">及试运行，并交付上线运行。若试运行出现问题，中标人需在5日内进行调整完毕。运维期满，采购人根据技术要求，5个工作日内组织验收，验收无误后出具验收报告。</w:t>
      </w:r>
      <w:r/>
    </w:p>
    <w:p>
      <w:pPr>
        <w:pStyle w:val="96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内容：采购单位组织验收人员对项目进行验收，根据采购文件、投标文件、政府采购合同等要求进行验收。如果验收不符合要求，采购单位有权要求中标单位无条件更正，由此造成的一切损失由中标单位自行承担。</w:t>
      </w:r>
      <w:r/>
    </w:p>
    <w:p>
      <w:pPr>
        <w:pStyle w:val="961"/>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（三）验收标准：验收标准</w:t>
      </w:r>
      <w:r>
        <w:rPr>
          <w:rFonts w:hint="eastAsia" w:ascii="宋体" w:hAnsi="宋体" w:eastAsia="宋体" w:cs="宋体"/>
          <w:color w:val="auto"/>
          <w:sz w:val="24"/>
          <w:szCs w:val="24"/>
          <w:highlight w:val="none"/>
        </w:rPr>
        <w:t xml:space="preserve">符合省广电总局终端要求</w:t>
      </w:r>
      <w:r>
        <w:rPr>
          <w:rFonts w:hint="eastAsia" w:ascii="宋体" w:hAnsi="宋体" w:eastAsia="宋体" w:cs="宋体"/>
          <w:color w:val="auto"/>
          <w:sz w:val="24"/>
          <w:szCs w:val="24"/>
          <w:highlight w:val="none"/>
        </w:rPr>
        <w:t xml:space="preserve">和国家最新的技术规范和标准，同时满足采购文件实施要求及中标单位承诺的其他指标。</w:t>
      </w:r>
      <w:r/>
    </w:p>
    <w:p>
      <w:pPr>
        <w:pStyle w:val="961"/>
        <w:ind w:firstLine="482"/>
        <w:jc w:val="left"/>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八、商品包装环保要求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1、商品包装层数不得超过 3 层，空隙率不大于 40%；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2、商品包装尽可能使用单一材质的包装材料，如因功能需求必需使用不同材质，不同材质间应便于分离；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3、商品包装中铅、汞、镉、六价铬的总含量应不大于100mg/kg；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4、商品包装印刷使用的油墨中挥发性有机化合物(VOCs) 含量应不大于 5%（以重量计）；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5、塑料材质商品包装上呈现的印刷颜色不得超过6色；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6、纸质商品包装应使用75%以上的可再生纤维原料生产；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7、木质商品包装的原料应来源于可持续性森林。 </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241"/>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九、快递包装环保要求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1、快递包装中重金属（铅、汞、镉、六价铬）总量应不大于100mg/kg；</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2、快递包装印刷使用的油墨中不应添加邻苯二甲酸酯，其挥发性有机化合物(VOCs)含量应不大于5%（以重量计）；</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3、快递包装中使用纸基材的包装材料，纸基材中的有机氯的含量应不大于150 mg/kg；</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5、快递中使用的塑料包装袋不得使用聚氯乙烯作为原料，且原料应为单一材质制成，生物分解率大于60%；</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6、快递中使用的充气类填充物不得使用聚氯乙烯作为原料，且原料为单一材质制成，生物分解率大于60%；</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7、快递中使用的集装袋应为单一材质制成，其重复使用次数应不小于80次；</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8、快递中应使用幅宽不大于45mm 的生物降解胶带；</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9、快递包装中不得使用溶剂型胶粘剂；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10、快递应使用电子面单；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11、直接使用商品包装作为快递包装的商品，其商品包装满足《商品包装政府采购需求标准（试行）》即可；</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rPr>
        <w:t xml:space="preserve">12、快递包装产品质量和封装方式应符合相关国家或行业标准技术指标要求。</w:t>
      </w:r>
      <w:r/>
    </w:p>
    <w:p>
      <w:pPr>
        <w:pStyle w:val="963"/>
        <w:ind w:firstLine="480"/>
        <w:jc w:val="both"/>
        <w:spacing w:before="0" w:beforeAutospacing="0" w:after="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480"/>
        <w:jc w:val="both"/>
        <w:spacing w:before="0" w:beforeAutospacing="0" w:after="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center"/>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jc w:val="both"/>
        <w:keepLines/>
        <w:keepNext/>
        <w:spacing w:before="200" w:after="200"/>
        <w:widowControl w:val="off"/>
        <w:rPr>
          <w:rFonts w:hint="eastAsia" w:ascii="宋体" w:hAnsi="宋体" w:eastAsia="宋体" w:cs="宋体"/>
          <w:b/>
          <w:color w:val="auto"/>
          <w:sz w:val="44"/>
          <w:szCs w:val="44"/>
          <w:highlight w:val="none"/>
          <w:lang w:val="en-US" w:eastAsia="zh-CN" w:bidi="ar-SA"/>
        </w:rPr>
        <w:outlineLvl w:val="0"/>
      </w:pPr>
      <w:r>
        <w:rPr>
          <w:rFonts w:hint="eastAsia" w:ascii="宋体" w:hAnsi="宋体" w:eastAsia="宋体" w:cs="宋体"/>
          <w:b/>
          <w:color w:val="auto"/>
          <w:sz w:val="44"/>
          <w:szCs w:val="44"/>
          <w:highlight w:val="none"/>
          <w:lang w:val="en-US" w:eastAsia="zh-CN" w:bidi="ar-SA"/>
        </w:rPr>
      </w:r>
      <w:r/>
    </w:p>
    <w:p>
      <w:pPr>
        <w:ind w:firstLine="2209"/>
        <w:jc w:val="both"/>
        <w:keepLines/>
        <w:keepNext/>
        <w:spacing w:before="200" w:after="200"/>
        <w:widowControl w:val="off"/>
        <w:rPr>
          <w:rFonts w:hint="eastAsia" w:ascii="宋体" w:hAnsi="宋体" w:eastAsia="宋体" w:cs="宋体"/>
          <w:b/>
          <w:bCs/>
          <w:color w:val="auto"/>
          <w:sz w:val="44"/>
          <w:szCs w:val="44"/>
          <w:highlight w:val="none"/>
          <w:lang w:val="en-US" w:eastAsia="zh-CN" w:bidi="ar-SA"/>
        </w:rPr>
        <w:outlineLvl w:val="0"/>
      </w:pPr>
      <w:r>
        <w:rPr>
          <w:highlight w:val="none"/>
        </w:rPr>
      </w:r>
      <w:r>
        <w:rPr>
          <w:highlight w:val="none"/>
        </w:rPr>
      </w:r>
      <w:r/>
    </w:p>
    <w:p>
      <w:pPr>
        <w:ind w:firstLine="2640"/>
        <w:jc w:val="both"/>
        <w:keepNext/>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0" w:name="_Toc81575207"/>
      <w:r/>
      <w:bookmarkStart w:id="141" w:name="_Toc81575170"/>
      <w:r/>
      <w:bookmarkStart w:id="142" w:name="_Toc22853"/>
      <w:r/>
      <w:bookmarkStart w:id="143" w:name="_Toc9003"/>
      <w:r/>
      <w:bookmarkStart w:id="144" w:name="_Toc19649"/>
      <w:r/>
      <w:bookmarkStart w:id="145" w:name="_Toc12937"/>
      <w:r/>
      <w:r/>
    </w:p>
    <w:p>
      <w:pPr>
        <w:jc w:val="left"/>
        <w:spacing w:before="290" w:beforeAutospacing="0" w:after="290" w:afterAutospacing="0"/>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30"/>
          <w:szCs w:val="30"/>
          <w:highlight w:val="none"/>
          <w:lang w:val="en-US" w:eastAsia="zh-CN" w:bidi="ar-SA"/>
        </w:rPr>
      </w:r>
      <w:r>
        <w:rPr>
          <w:rFonts w:hint="eastAsia" w:ascii="宋体" w:hAnsi="宋体" w:eastAsia="宋体" w:cs="宋体"/>
          <w:b/>
          <w:bCs/>
          <w:color w:val="auto"/>
          <w:sz w:val="30"/>
          <w:szCs w:val="30"/>
          <w:highlight w:val="none"/>
          <w:lang w:val="en-US" w:eastAsia="zh-CN" w:bidi="ar-SA"/>
        </w:rPr>
      </w:r>
      <w:r/>
    </w:p>
    <w:p>
      <w:pPr>
        <w:ind w:left="0" w:right="0" w:firstLine="2209"/>
        <w:jc w:val="both"/>
        <w:spacing w:before="200" w:after="200"/>
        <w:rPr>
          <w:rFonts w:ascii="SimSun" w:hAnsi="SimSun" w:eastAsia="SimSun" w:cs="SimSun"/>
          <w:b/>
          <w:bCs/>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209"/>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2209"/>
        <w:jc w:val="both"/>
        <w:spacing w:before="200" w:after="20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第五章合同文本</w:t>
      </w:r>
      <w:r/>
      <w:r/>
    </w:p>
    <w:p>
      <w:pPr>
        <w:jc w:val="left"/>
        <w:spacing w:before="290" w:beforeAutospacing="0" w:after="29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rPr>
          <w:rFonts w:hint="eastAsia" w:ascii="宋体" w:hAnsi="宋体" w:eastAsia="宋体" w:cs="宋体"/>
          <w:b/>
          <w:bCs/>
          <w:color w:val="auto"/>
          <w:sz w:val="30"/>
          <w:szCs w:val="30"/>
          <w:highlight w:val="none"/>
          <w:lang w:val="en-US" w:eastAsia="zh-CN" w:bidi="ar-SA"/>
        </w:rPr>
      </w:r>
      <w:r/>
    </w:p>
    <w:p>
      <w:pPr>
        <w:jc w:val="left"/>
        <w:spacing w:before="290" w:beforeAutospacing="0" w:after="290" w:afterAutospacing="0"/>
        <w:widowControl w:val="off"/>
        <w:rPr>
          <w:rFonts w:hint="eastAsia" w:ascii="宋体" w:hAnsi="宋体" w:eastAsia="宋体" w:cs="宋体"/>
          <w:b/>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t xml:space="preserve">   </w:t>
      </w:r>
      <w:bookmarkStart w:id="146" w:name="EB6741ddf28fc94cd0bc9ee20994bf1de5"/>
      <w:r>
        <w:rPr>
          <w:rFonts w:hint="eastAsia" w:ascii="宋体" w:hAnsi="宋体" w:eastAsia="宋体" w:cs="宋体"/>
          <w:b/>
          <w:bCs/>
          <w:color w:val="auto"/>
          <w:sz w:val="30"/>
          <w:szCs w:val="30"/>
          <w:highlight w:val="none"/>
          <w:lang w:val="en-US" w:eastAsia="zh-CN" w:bidi="ar-SA"/>
        </w:rPr>
        <w:t xml:space="preserve">政</w:t>
      </w:r>
      <w:r>
        <w:rPr>
          <w:rFonts w:hint="eastAsia" w:ascii="宋体" w:hAnsi="宋体" w:eastAsia="宋体" w:cs="宋体"/>
          <w:b/>
          <w:bCs/>
          <w:color w:val="auto"/>
          <w:sz w:val="30"/>
          <w:szCs w:val="30"/>
          <w:highlight w:val="none"/>
          <w:lang w:val="en-US" w:eastAsia="zh-CN" w:bidi="ar-SA"/>
        </w:rPr>
        <w:t xml:space="preserve">府采购合同（合同编号）</w:t>
      </w:r>
      <w:bookmarkEnd w:id="146"/>
      <w:r>
        <w:rPr>
          <w:rFonts w:hint="eastAsia" w:ascii="宋体" w:hAnsi="宋体" w:eastAsia="宋体" w:cs="宋体"/>
          <w:b/>
          <w:bCs/>
          <w:color w:val="auto"/>
          <w:sz w:val="30"/>
          <w:szCs w:val="30"/>
          <w:highlight w:val="none"/>
          <w:lang w:val="en-US" w:eastAsia="zh-CN" w:bidi="ar-SA"/>
        </w:rPr>
      </w:r>
      <w:r/>
    </w:p>
    <w:p>
      <w:pPr>
        <w:ind w:firstLine="643"/>
        <w:jc w:val="center"/>
        <w:spacing w:line="40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政府采购合同</w:t>
      </w:r>
      <w:r/>
    </w:p>
    <w:p>
      <w:pPr>
        <w:ind w:firstLine="480"/>
        <w:jc w:val="both"/>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787"/>
        <w:jc w:val="both"/>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依照《中华人民共和国政府采购法》、《中华人民共和国民法典》及其他有关法律、行政法规，遵循平等、自愿、公平和诚实信用的原则，双方就相关事项协商一致，达成如下合同条款：</w:t>
      </w:r>
      <w:r/>
    </w:p>
    <w:p>
      <w:pPr>
        <w:numPr>
          <w:ilvl w:val="0"/>
          <w:numId w:val="0"/>
        </w:numPr>
        <w:ind w:left="426"/>
        <w:spacing w:line="360" w:lineRule="exact"/>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合同标的</w:t>
      </w:r>
      <w:r/>
    </w:p>
    <w:p>
      <w:pPr>
        <w:ind w:left="426"/>
        <w:spacing w:line="360" w:lineRule="exact"/>
        <w:rPr>
          <w:rFonts w:hint="eastAsia" w:ascii="宋体" w:hAnsi="宋体" w:eastAsia="宋体" w:cs="宋体"/>
          <w:color w:val="auto"/>
          <w:sz w:val="24"/>
        </w:rPr>
      </w:pPr>
      <w:r>
        <w:rPr>
          <w:rFonts w:hint="eastAsia" w:ascii="宋体" w:hAnsi="宋体" w:eastAsia="宋体" w:cs="宋体"/>
          <w:color w:val="auto"/>
          <w:sz w:val="24"/>
          <w:szCs w:val="20"/>
          <w:u w:val="none"/>
        </w:rPr>
        <w:t xml:space="preserve">1.1产品名称、型号、规格、数量及价款</w:t>
      </w:r>
      <w:r/>
    </w:p>
    <w:tbl>
      <w:tblPr>
        <w:tblStyle w:val="956"/>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产品名称</w:t>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Borders>
              <w:top w:val="single" w:color="auto" w:sz="4" w:space="0"/>
              <w:left w:val="none" w:color="000000" w:sz="4" w:space="0"/>
              <w:bottom w:val="single" w:color="auto"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单价（元）</w:t>
            </w:r>
            <w:r/>
          </w:p>
        </w:tc>
        <w:tc>
          <w:tcPr>
            <w:tcBorders>
              <w:top w:val="single" w:color="auto" w:sz="4" w:space="0"/>
              <w:left w:val="none" w:color="000000" w:sz="4" w:space="0"/>
              <w:bottom w:val="single" w:color="auto"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tcBorders>
              <w:top w:val="single" w:color="auto" w:sz="4" w:space="0"/>
              <w:left w:val="none" w:color="000000" w:sz="4" w:space="0"/>
              <w:bottom w:val="single" w:color="auto"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金额（元）</w:t>
            </w:r>
            <w:r/>
          </w:p>
        </w:tc>
        <w:tc>
          <w:tcPr>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jc w:val="center"/>
          <w:trHeight w:val="567" w:hRule="exact"/>
        </w:trPr>
        <w:tc>
          <w:tcPr>
            <w:tcBorders>
              <w:top w:val="single" w:color="auto" w:sz="4" w:space="0"/>
              <w:left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hRule="exact"/>
        </w:trPr>
        <w:tc>
          <w:tcPr>
            <w:tcBorders>
              <w:top w:val="single" w:color="auto" w:sz="4" w:space="0"/>
              <w:left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hRule="exact"/>
        </w:trPr>
        <w:tc>
          <w:tcPr>
            <w:tcBorders>
              <w:top w:val="single" w:color="auto" w:sz="4" w:space="0"/>
              <w:left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p>
        </w:tc>
        <w:tc>
          <w:tcPr>
            <w:tcBorders>
              <w:top w:val="single" w:color="auto" w:sz="4" w:space="0"/>
              <w:left w:val="none" w:color="000000" w:sz="4" w:space="0"/>
              <w:bottom w:val="single" w:color="auto" w:sz="4" w:space="0"/>
              <w:right w:val="single" w:color="auto" w:sz="4" w:space="0"/>
            </w:tcBorders>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none" w:color="000000" w:sz="4" w:space="0"/>
              <w:right w:val="single" w:color="auto" w:sz="4" w:space="0"/>
            </w:tcBorders>
            <w:tcW w:w="138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37"/>
        </w:trPr>
        <w:tc>
          <w:tcPr>
            <w:gridSpan w:val="7"/>
            <w:tcBorders>
              <w:top w:val="single" w:color="auto" w:sz="4" w:space="0"/>
              <w:left w:val="single" w:color="auto" w:sz="4" w:space="0"/>
              <w:bottom w:val="single" w:color="auto" w:sz="4" w:space="0"/>
              <w:right w:val="single" w:color="auto" w:sz="4" w:space="0"/>
            </w:tcBorders>
            <w:tcW w:w="8678"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b/>
                <w:color w:val="auto"/>
                <w:sz w:val="24"/>
              </w:rPr>
              <w:t xml:space="preserve">合计（大写）：人民币</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元整 </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乙方所提供的产品</w:t>
      </w:r>
      <w:r>
        <w:rPr>
          <w:rFonts w:hint="eastAsia" w:ascii="宋体" w:hAnsi="宋体" w:eastAsia="宋体" w:cs="宋体"/>
          <w:color w:val="auto"/>
          <w:sz w:val="24"/>
          <w:lang w:val="en-US" w:eastAsia="zh-CN"/>
        </w:rPr>
        <w:t xml:space="preserve">如</w:t>
      </w:r>
      <w:r>
        <w:rPr>
          <w:rFonts w:hint="eastAsia" w:ascii="宋体" w:hAnsi="宋体" w:eastAsia="宋体" w:cs="宋体"/>
          <w:color w:val="auto"/>
          <w:sz w:val="24"/>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1.4本项目所有设备应包含所有有关互连所需的相关配件，保证其能正常运行，甲方不再为此另行支付任何费用。</w:t>
      </w:r>
      <w:r/>
    </w:p>
    <w:p>
      <w:pPr>
        <w:ind w:left="0" w:right="0" w:firstLine="480"/>
        <w:jc w:val="both"/>
        <w:spacing w:before="0" w:after="0" w:line="55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二、</w:t>
      </w:r>
      <w:r>
        <w:rPr>
          <w:rFonts w:hint="eastAsia" w:ascii="宋体" w:hAnsi="宋体" w:eastAsia="宋体" w:cs="宋体"/>
          <w:b/>
          <w:bCs/>
          <w:color w:val="auto"/>
          <w:sz w:val="24"/>
        </w:rPr>
        <w:t xml:space="preserve">交货方法、交货期限、到货地点</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2.1交货期：自本合同签订生效之日起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日内送达甲方指定地点，并安装调试完毕并投入使用。</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2.3甲方指定的到货地点：</w:t>
      </w:r>
      <w:r>
        <w:rPr>
          <w:rFonts w:hint="eastAsia" w:ascii="宋体" w:hAnsi="宋体" w:eastAsia="宋体" w:cs="宋体"/>
          <w:color w:val="auto"/>
          <w:sz w:val="24"/>
          <w:lang w:val="en-US" w:eastAsia="zh-CN"/>
        </w:rPr>
        <w:t xml:space="preserve">沭阳</w:t>
      </w:r>
      <w:r>
        <w:rPr>
          <w:rFonts w:hint="eastAsia" w:ascii="宋体" w:hAnsi="宋体" w:eastAsia="宋体" w:cs="宋体"/>
          <w:color w:val="auto"/>
          <w:sz w:val="24"/>
        </w:rPr>
        <w:t xml:space="preserve">融媒体中心指定地点。</w:t>
      </w:r>
      <w:r/>
    </w:p>
    <w:p>
      <w:pPr>
        <w:ind w:right="0" w:firstLine="482"/>
        <w:jc w:val="both"/>
        <w:spacing w:before="0" w:after="0" w:line="559"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三、付款方式：</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货物进场安装调试完毕并验收合格后付至90%，剩余10%待质保期满无质量问题一次性付清。</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四、安装及质量要求</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4.1安装施工现场要求：</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4.1.1标的物由中标供应商负责安装，现场调试。所有安装货物质量必须严格按照国家规范及江苏省相应地方规范、招标文件、材料厂家的技术规范的有关要求执行；</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4.1.2中标供应商应对安装施工安全、质量全面负责，并承担设备保护，如因中标供应商原因造成安全、质量事故或设备损坏，中标供应商承担一切经济法律责任；</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4.1.3中标供应商负责标的物合格、正常、安全使用，所需要通过的相关部门的验收，相关费用由中标人负责。</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4.1.4中标方应遵守现场的一切规章制度，按照采购人要求文明施工，施工人员的安全由中标方负责，采购人免责；</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4.1.5施工现场的协调工作由中标方负责，采购人配合；</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4.1.6中标方负责对货物、安装货物（工具）等提供适当的保护、包装或覆盖等处理，负责保管、看护进场的货物及附配件直至验收合格，以免受损；</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4.1.7在安装、调试期间或保修过程中，中标方负责及时清理现场垃圾；</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4.2产品质量要求：</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4.2.1所有货物在到达安装现场时须经采购人代表验收后才可进行货物安装，验货时须提交该货物的质量合格证明，初步验收不代表对产品隐性质量问题的认可。</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4.2.2所有货物、附（配）件应具备该类产品的功能要求，无瑕疵和缺陷，质量为合格产品，同时有明确的生产厂商或制造厂商；</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4.2.3缺陷保修：如果货物交付使用后，缺陷多次反复出现，中标方必须提出分析报告和解决方案，直到最后纠正缺陷、中标方提供的售后服务期从纠正之日起重新计算售后服务期。</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4.2.4如果是超出中标方的责任范围的疏忽、误操作等情况而导致的更换修正，应由中标方进行修理，其额外费用由双方协商承担。</w:t>
      </w:r>
      <w:r/>
    </w:p>
    <w:p>
      <w:pPr>
        <w:ind w:left="0" w:right="0" w:firstLine="480"/>
        <w:jc w:val="both"/>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4.2.5所有货物均须使用成熟产品，除数量增加外，不得增加任何费用。</w:t>
      </w:r>
      <w:r/>
    </w:p>
    <w:p>
      <w:pPr>
        <w:ind w:left="0" w:right="0" w:firstLine="480"/>
        <w:jc w:val="both"/>
        <w:spacing w:before="0" w:after="0" w:line="559" w:lineRule="atLeast"/>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五、安装、调试与验收</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5.2乙方提供设备安装和维修所需的专用工具和辅助材料。</w:t>
      </w:r>
      <w:r/>
    </w:p>
    <w:p>
      <w:pPr>
        <w:ind w:left="0" w:right="0" w:firstLine="480"/>
        <w:jc w:val="both"/>
        <w:spacing w:before="0" w:after="0" w:line="559" w:lineRule="atLeas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w:t>
      </w:r>
      <w:r>
        <w:rPr>
          <w:rFonts w:hint="eastAsia" w:ascii="宋体" w:hAnsi="宋体" w:eastAsia="宋体" w:cs="宋体"/>
          <w:color w:val="auto"/>
          <w:sz w:val="24"/>
          <w:szCs w:val="24"/>
          <w:lang w:val="en-US" w:eastAsia="zh-CN" w:bidi="ar-SA"/>
        </w:rPr>
        <w:t xml:space="preserve">责，如对其他物品或结构造成损坏必须照价赔偿，甲方有权直接从合同款项中予以扣减。</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5.4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5.5乙方完成全部工程并投入使用后，需提供产品说明书、产品检测报告、合格证、产品质量认证证书等一系列文档资料，由甲方会同有关人员根据技术设计要求进行验收。</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rPr>
          <w:rFonts w:hint="eastAsia" w:ascii="宋体" w:hAnsi="宋体" w:eastAsia="宋体" w:cs="宋体"/>
          <w:color w:val="auto"/>
          <w:sz w:val="24"/>
          <w:lang w:val="en-US" w:eastAsia="zh-CN"/>
        </w:rPr>
        <w:t xml:space="preserve">.</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如乙方提供的设备设有维修软件密码，乙方应保证无条件地为甲方永久免费打开。</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left="0" w:right="0" w:firstLine="480"/>
        <w:jc w:val="both"/>
        <w:spacing w:before="0" w:after="0" w:line="559" w:lineRule="atLeast"/>
        <w:rPr>
          <w:rFonts w:hint="eastAsia"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六、履约保证金</w:t>
      </w:r>
      <w:r/>
    </w:p>
    <w:p>
      <w:pPr>
        <w:ind w:firstLine="476"/>
        <w:jc w:val="left"/>
        <w:spacing w:line="480" w:lineRule="exact"/>
        <w:rPr>
          <w:rFonts w:hint="eastAsia" w:ascii="宋体" w:hAnsi="宋体" w:eastAsia="宋体" w:cs="宋体"/>
          <w:color w:val="auto"/>
          <w:sz w:val="21"/>
          <w:szCs w:val="22"/>
        </w:rPr>
      </w:pPr>
      <w:r>
        <w:rPr>
          <w:rFonts w:hint="eastAsia" w:ascii="宋体" w:hAnsi="宋体" w:eastAsia="宋体" w:cs="宋体"/>
          <w:color w:val="auto"/>
          <w:spacing w:val="-1"/>
          <w:sz w:val="24"/>
          <w:szCs w:val="24"/>
        </w:rPr>
        <w:t xml:space="preserve">履约保证金应在采购合同签订前提交，履约保证金的金额：按采购合同总价的5 %计取【如使用江苏政府采购电子履约保函（保险</w:t>
      </w:r>
      <w:r>
        <w:rPr>
          <w:rFonts w:hint="eastAsia" w:ascii="宋体" w:hAnsi="宋体" w:eastAsia="宋体" w:cs="宋体"/>
          <w:color w:val="auto"/>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履约保证金退还的条件：按以下方式实行：</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货物类项目，项目验收合格，出具验收报告待运维期结束后及履约保证金收据申请退付；</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履约保证金退还时间：采购单位收到投标人退付申请后5个工作日内退还；</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jc w:val="both"/>
        <w:spacing w:beforeAutospacing="0" w:afterAutospacing="0" w:line="48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4"/>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jc w:val="both"/>
        <w:spacing w:beforeAutospacing="0" w:afterAutospacing="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color w:val="auto"/>
          <w:sz w:val="24"/>
          <w:szCs w:val="24"/>
          <w:lang w:val="en-US" w:eastAsia="zh-CN" w:bidi="ar-SA"/>
        </w:rPr>
        <w:t xml:space="preserve">通用条款与本条不一致的，以本条款为准。</w:t>
      </w:r>
      <w:r/>
    </w:p>
    <w:p>
      <w:pPr>
        <w:ind w:left="0" w:right="0" w:firstLine="480"/>
        <w:jc w:val="both"/>
        <w:spacing w:before="0" w:after="0" w:line="559" w:lineRule="atLeast"/>
        <w:rPr>
          <w:rFonts w:hint="default" w:ascii="宋体" w:hAnsi="宋体" w:eastAsia="宋体" w:cs="宋体"/>
          <w:b/>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七、质量保证期及售后服务</w:t>
      </w:r>
      <w:r/>
    </w:p>
    <w:p>
      <w:pPr>
        <w:ind w:left="0" w:right="0" w:firstLine="480"/>
        <w:jc w:val="both"/>
        <w:spacing w:before="0" w:after="0" w:line="559"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7.1质量保证期：整体质保</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年，从验收合格之日起计算，终身维护。任何时候，乙方均不能免除因货物本身的缺陷所应负的责任。在保修期内对设备进行定期维护和保养，并免费提供维修所需的配件及服务。</w:t>
      </w:r>
      <w:r/>
    </w:p>
    <w:p>
      <w:pPr>
        <w:ind w:left="0" w:right="0" w:firstLine="480"/>
        <w:jc w:val="both"/>
        <w:spacing w:before="0" w:after="0" w:line="559"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zh-CN" w:eastAsia="zh-CN"/>
        </w:rPr>
        <w:t xml:space="preserve">7.2质保期间如属产品质量引起的配件损坏，一切维修换件保养费用和备品备件，均由乙方免费提供和更换；</w:t>
      </w:r>
      <w:r/>
    </w:p>
    <w:p>
      <w:pPr>
        <w:ind w:left="0" w:right="0" w:firstLine="480"/>
        <w:jc w:val="both"/>
        <w:spacing w:before="0" w:after="0" w:line="559"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7.3</w:t>
      </w:r>
      <w:r>
        <w:rPr>
          <w:rFonts w:hint="eastAsia" w:ascii="宋体" w:hAnsi="宋体" w:eastAsia="宋体" w:cs="宋体"/>
          <w:color w:val="auto"/>
          <w:sz w:val="24"/>
          <w:lang w:val="zh-CN" w:eastAsia="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7.4如设备发生故障，乙方在接到甲方报修电话后1小时内予以响应，4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7.5质保期内，设备如因故障维修超过2天，按1:2延长质保期（具体时间，按天数算）。</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软件终身免费升级，并及时提供设备新功能应用资料。</w:t>
      </w:r>
      <w:r/>
    </w:p>
    <w:p>
      <w:pPr>
        <w:ind w:left="0" w:right="0" w:firstLine="480"/>
        <w:jc w:val="both"/>
        <w:spacing w:before="0" w:after="0" w:line="55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八、</w:t>
      </w:r>
      <w:r>
        <w:rPr>
          <w:rFonts w:hint="eastAsia" w:ascii="宋体" w:hAnsi="宋体" w:eastAsia="宋体" w:cs="宋体"/>
          <w:b/>
          <w:color w:val="auto"/>
          <w:sz w:val="24"/>
        </w:rPr>
        <w:t xml:space="preserve">技术培训</w:t>
      </w:r>
      <w:r/>
    </w:p>
    <w:p>
      <w:pPr>
        <w:ind w:left="0" w:right="0" w:firstLine="480"/>
        <w:jc w:val="both"/>
        <w:spacing w:before="0" w:after="0" w:line="559" w:lineRule="atLeast"/>
        <w:rPr>
          <w:rFonts w:hint="default"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九、</w:t>
      </w:r>
      <w:r>
        <w:rPr>
          <w:rFonts w:hint="eastAsia" w:ascii="宋体" w:hAnsi="宋体" w:eastAsia="宋体" w:cs="宋体"/>
          <w:b/>
          <w:color w:val="auto"/>
          <w:sz w:val="24"/>
        </w:rPr>
        <w:t xml:space="preserve">知识产权 </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十、违约责任</w:t>
      </w:r>
      <w:r/>
    </w:p>
    <w:p>
      <w:pPr>
        <w:ind w:firstLine="482"/>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10.1乙方的违约责任：</w:t>
      </w:r>
      <w:r/>
    </w:p>
    <w:p>
      <w:pPr>
        <w:ind w:firstLine="48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承担逾期交货违约责任；甲方不再需要的，乙方应当在接到通知后合同即解除，并按合同总金额的百分之十向甲方支付违约金，并赔偿因此造成的损失。</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10.2甲方违约责任：</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10.2.1</w:t>
      </w:r>
      <w:r>
        <w:rPr>
          <w:rFonts w:hint="eastAsia" w:ascii="宋体" w:hAnsi="宋体" w:eastAsia="宋体" w:cs="宋体"/>
          <w:color w:val="auto"/>
          <w:sz w:val="24"/>
          <w:szCs w:val="24"/>
          <w:highlight w:val="none"/>
          <w:lang w:val="en-US" w:eastAsia="zh-CN" w:bidi="ar-SA"/>
        </w:rPr>
        <w:t xml:space="preserve">除不可抗力外，如果甲方没有按照本合同约定的付款方式付款，乙方可要求甲方支付违约金，违约金按每迟延付款一日的应付而未付款的</w:t>
      </w:r>
      <w:r>
        <w:rPr>
          <w:rFonts w:hint="eastAsia" w:ascii="宋体" w:hAnsi="宋体" w:eastAsia="宋体" w:cs="宋体"/>
          <w:color w:val="auto"/>
          <w:sz w:val="24"/>
          <w:szCs w:val="24"/>
          <w:highlight w:val="none"/>
          <w:u w:val="single"/>
          <w:lang w:val="en-US" w:eastAsia="zh-CN" w:bidi="ar-SA"/>
        </w:rPr>
        <w:t xml:space="preserve"> 0.01</w:t>
      </w:r>
      <w:r>
        <w:rPr>
          <w:rFonts w:hint="eastAsia" w:ascii="Arial" w:hAnsi="Arial" w:eastAsia="宋体" w:cs="Arial"/>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计算，最高限额为应付款项的</w:t>
      </w:r>
      <w:r>
        <w:rPr>
          <w:rFonts w:hint="eastAsia" w:ascii="宋体" w:hAnsi="宋体" w:eastAsia="宋体" w:cs="宋体"/>
          <w:color w:val="auto"/>
          <w:sz w:val="24"/>
          <w:szCs w:val="24"/>
          <w:highlight w:val="none"/>
          <w:u w:val="single"/>
          <w:lang w:val="en-US" w:eastAsia="zh-CN" w:bidi="ar-SA"/>
        </w:rPr>
        <w:t xml:space="preserve"> 0.01</w:t>
      </w:r>
      <w:r>
        <w:rPr>
          <w:rFonts w:hint="eastAsia" w:ascii="Arial" w:hAnsi="Arial" w:eastAsia="宋体" w:cs="Arial"/>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；迟延付款的违约金计算数额达到前述最高限额之日起，乙方有权要求甲方支付违约金。（如因财政资金暂缓下达等情形，付款自动顺延，甲方无需承担逾期违约责任。）</w:t>
      </w:r>
      <w:r/>
    </w:p>
    <w:p>
      <w:pPr>
        <w:ind w:left="0" w:right="0" w:firstLine="480"/>
        <w:jc w:val="both"/>
        <w:spacing w:before="0" w:after="0" w:line="55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十一</w:t>
      </w:r>
      <w:r>
        <w:rPr>
          <w:rFonts w:hint="eastAsia" w:ascii="宋体" w:hAnsi="宋体" w:eastAsia="宋体" w:cs="宋体"/>
          <w:b/>
          <w:bCs/>
          <w:color w:val="auto"/>
          <w:sz w:val="24"/>
        </w:rPr>
        <w:t xml:space="preserve">、合同转包或分包</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11.1乙方不得将合同标的转包给他人履行。</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11.2 本项目消防设施维修、防雷维修、高、低压柜工程为非主体配套工作，承包人可实施专业分包。（分包单位须具备相应的资质）。</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11.3分包单位全称：             ，统一社会信用代码：           ，具备），</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11.4分包范围：消防设施维修、防雷维修、高、低压柜工程。</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11.5分包单位不得再次转包、二次分包。</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11.6乙方如有转包或未经甲方同意的分包行为，甲方有权解除合同。</w:t>
      </w:r>
      <w:r/>
    </w:p>
    <w:p>
      <w:pPr>
        <w:ind w:left="0" w:right="0" w:firstLine="480"/>
        <w:jc w:val="both"/>
        <w:spacing w:before="0" w:after="0" w:line="559" w:lineRule="atLeast"/>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十二、税费</w:t>
      </w:r>
      <w:r/>
    </w:p>
    <w:p>
      <w:pPr>
        <w:ind w:left="0" w:right="0" w:firstLine="480"/>
        <w:jc w:val="both"/>
        <w:spacing w:before="0" w:after="0" w:line="559" w:lineRule="atLeas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本合同执行中相关的一切税费均由乙方负担。</w:t>
      </w:r>
      <w:r/>
    </w:p>
    <w:p>
      <w:pPr>
        <w:ind w:left="0" w:right="0" w:firstLine="480"/>
        <w:jc w:val="both"/>
        <w:spacing w:before="0" w:after="0" w:line="559" w:lineRule="atLeast"/>
        <w:rPr>
          <w:rFonts w:hint="eastAsia" w:ascii="宋体" w:hAnsi="宋体" w:eastAsia="宋体" w:cs="宋体"/>
          <w:b/>
          <w:cap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z w:val="24"/>
          <w:szCs w:val="24"/>
          <w:highlight w:val="none"/>
          <w:lang w:val="en-US" w:eastAsia="zh-CN" w:bidi="ar-SA"/>
        </w:rPr>
        <w:t xml:space="preserve">十三、不可抗力事件处理</w:t>
      </w:r>
      <w:r/>
    </w:p>
    <w:p>
      <w:pPr>
        <w:ind w:firstLine="42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 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13.2 不可抗力事件发生后，应立即通知对方，并寄送有关权威机构出具的证明。</w:t>
      </w:r>
      <w:r/>
    </w:p>
    <w:p>
      <w:pPr>
        <w:ind w:firstLine="42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 不可抗力事件延续120天以上，双方应通过友好协商，确定是否继续履行合同。</w:t>
      </w:r>
      <w:r/>
    </w:p>
    <w:p>
      <w:pPr>
        <w:ind w:left="0" w:firstLine="482"/>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t xml:space="preserve">十四、产品包装要求</w:t>
      </w:r>
      <w:r/>
    </w:p>
    <w:p>
      <w:pPr>
        <w:ind w:left="0" w:firstLine="480"/>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val="0"/>
          <w:bCs/>
          <w:caps w:val="0"/>
          <w:color w:val="auto"/>
          <w:sz w:val="24"/>
          <w:szCs w:val="24"/>
          <w:highlight w:val="none"/>
          <w:lang w:val="en-US" w:eastAsia="zh-CN" w:bidi="ar-SA"/>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left="0" w:firstLine="482"/>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t xml:space="preserve">十五、解决争议的方法</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双方在签订、履行合同中所发生的一切争议，应通过友好协商解决。如协商不成，</w:t>
      </w:r>
      <w:r>
        <w:rPr>
          <w:rFonts w:hint="eastAsia" w:ascii="宋体" w:hAnsi="宋体" w:eastAsia="宋体" w:cs="宋体"/>
          <w:color w:val="auto"/>
          <w:sz w:val="24"/>
          <w:szCs w:val="24"/>
          <w:highlight w:val="none"/>
          <w:lang w:val="en-US" w:eastAsia="zh-CN" w:bidi="ar"/>
        </w:rPr>
        <w:t xml:space="preserve">向沭阳县仲裁委员会提起仲裁。</w:t>
      </w:r>
      <w:r/>
    </w:p>
    <w:p>
      <w:pPr>
        <w:ind w:left="0" w:firstLine="482"/>
        <w:jc w:val="both"/>
        <w:keepLines w:val="0"/>
        <w:keepNext w:val="0"/>
        <w:pageBreakBefore w:val="0"/>
        <w:spacing w:line="360" w:lineRule="auto"/>
        <w:widowControl w:val="off"/>
        <w:rPr>
          <w:rFonts w:hint="eastAsia" w:ascii="宋体" w:hAnsi="宋体" w:eastAsia="宋体" w:cs="宋体"/>
          <w:b/>
          <w:caps w:val="0"/>
          <w:color w:val="auto"/>
          <w:sz w:val="24"/>
          <w:szCs w:val="24"/>
          <w:highlight w:val="none"/>
          <w:lang w:val="en-US" w:eastAsia="zh-CN" w:bidi="ar-SA"/>
        </w:rPr>
      </w:pPr>
      <w:r>
        <w:rPr>
          <w:rFonts w:hint="eastAsia" w:ascii="宋体" w:hAnsi="宋体" w:eastAsia="宋体" w:cs="宋体"/>
          <w:b/>
          <w:caps w:val="0"/>
          <w:color w:val="auto"/>
          <w:sz w:val="24"/>
          <w:szCs w:val="24"/>
          <w:highlight w:val="none"/>
          <w:lang w:val="en-US" w:eastAsia="zh-CN" w:bidi="ar-SA"/>
        </w:rPr>
        <w:t xml:space="preserve">十六、合同生效及其它</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16.1 合同经双方法定代表人或授权委托代表人签字并加盖单位公章后生效。</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16.2本合同未尽事宜，遵照《中华人民共和国民法典》《中华人民共和国政府采购法》等有关条文执行。</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16.3 本合同正本一式肆份，具有同等法律效力，甲方、乙方各执贰份。</w:t>
      </w:r>
      <w:r/>
    </w:p>
    <w:p>
      <w:pPr>
        <w:ind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甲方：                                  乙方： </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法定代表人或授权代表：                  法定代表人或授权代表：</w:t>
      </w:r>
      <w:r/>
    </w:p>
    <w:p>
      <w:pPr>
        <w:ind w:left="0" w:firstLine="480"/>
        <w:jc w:val="both"/>
        <w:keepLines w:val="0"/>
        <w:keepNext w:val="0"/>
        <w:pageBreakBefore w:val="0"/>
        <w:spacing w:line="360" w:lineRule="auto"/>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caps w:val="0"/>
          <w:color w:val="auto"/>
          <w:sz w:val="24"/>
          <w:szCs w:val="24"/>
          <w:highlight w:val="none"/>
          <w:lang w:val="en-US" w:eastAsia="zh-CN" w:bidi="ar-SA"/>
        </w:rPr>
        <w:t xml:space="preserve">签订日期：      年    月   日           签订日期：      年    月   日</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both"/>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ind w:firstLine="480"/>
        <w:jc w:val="center"/>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jc w:val="center"/>
        <w:spacing w:line="56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jc w:val="both"/>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          第六章  投标文件格式</w:t>
      </w:r>
      <w:bookmarkEnd w:id="140"/>
      <w:r/>
      <w:bookmarkEnd w:id="141"/>
      <w:r/>
      <w:bookmarkEnd w:id="142"/>
      <w:r/>
      <w:bookmarkEnd w:id="143"/>
      <w:r/>
      <w:bookmarkEnd w:id="144"/>
      <w:r/>
      <w:bookmarkEnd w:id="145"/>
      <w:r/>
      <w:r/>
    </w:p>
    <w:p>
      <w:pPr>
        <w:rPr>
          <w:rFonts w:hint="eastAsia" w:ascii="宋体" w:hAnsi="宋体" w:eastAsia="宋体" w:cs="宋体"/>
          <w:color w:val="auto"/>
          <w:szCs w:val="22"/>
          <w:highlight w:val="none"/>
        </w:rPr>
      </w:pPr>
      <w:r/>
      <w:bookmarkStart w:id="147" w:name="EB819316f773b24a75aef829f9b72900c0"/>
      <w:r/>
      <w:r/>
    </w:p>
    <w:p>
      <w:pPr>
        <w:rPr>
          <w:rFonts w:hint="eastAsia" w:ascii="宋体" w:hAnsi="宋体" w:eastAsia="宋体" w:cs="宋体"/>
          <w:b/>
          <w:color w:val="auto"/>
          <w:sz w:val="72"/>
          <w:szCs w:val="22"/>
          <w:highlight w:val="none"/>
        </w:rPr>
      </w:pPr>
      <w:r/>
      <w:bookmarkStart w:id="148" w:name="_Toc15716"/>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t xml:space="preserve">投  标  文  件</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p>
    <w:p>
      <w:pPr>
        <w:ind w:firstLine="1084"/>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（盖CA电子公章）</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日      期 ：</w:t>
      </w:r>
      <w:r>
        <w:rPr>
          <w:rFonts w:hint="eastAsia" w:ascii="宋体" w:hAnsi="宋体" w:eastAsia="宋体" w:cs="宋体"/>
          <w:b/>
          <w:color w:val="auto"/>
          <w:sz w:val="36"/>
          <w:szCs w:val="22"/>
          <w:highlight w:val="none"/>
          <w:u w:val="single"/>
        </w:rPr>
        <w:t xml:space="preserve">               </w:t>
      </w:r>
      <w:bookmarkEnd w:id="148"/>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bookmarkEnd w:id="147"/>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投标文件目录</w:t>
      </w:r>
      <w:r/>
    </w:p>
    <w:p>
      <w:pP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lang w:val="en-US" w:eastAsia="zh-CN"/>
        </w:rPr>
        <w:t xml:space="preserve">供应商基本情况表</w:t>
      </w: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rP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法人授权书</w:t>
      </w: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、开标一览表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、中小企业或残疾人福利性单位声明函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七、技术响应偏离表</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项目实施方案</w:t>
      </w:r>
      <w:r/>
    </w:p>
    <w:p>
      <w:pPr>
        <w:spacing w:line="360" w:lineRule="auto"/>
        <w:rPr>
          <w:rFonts w:hint="eastAsia" w:ascii="宋体" w:hAnsi="宋体" w:eastAsia="宋体" w:cs="宋体"/>
          <w:color w:val="auto"/>
          <w:sz w:val="28"/>
          <w:szCs w:val="28"/>
          <w:highlight w:val="none"/>
          <w:lang w:val="en-US" w:eastAsia="zh-CN"/>
        </w:rPr>
      </w:pPr>
      <w:r/>
      <w:bookmarkStart w:id="149" w:name="_Toc26005"/>
      <w:r/>
      <w:bookmarkStart w:id="150" w:name="_Toc20577"/>
      <w:r>
        <w:rPr>
          <w:rFonts w:hint="eastAsia" w:ascii="宋体" w:hAnsi="宋体" w:eastAsia="宋体" w:cs="宋体"/>
          <w:color w:val="auto"/>
          <w:sz w:val="28"/>
          <w:szCs w:val="28"/>
          <w:highlight w:val="none"/>
          <w:lang w:val="en-US" w:eastAsia="zh-CN"/>
        </w:rPr>
        <w:t xml:space="preserve">九、企业业绩</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十、投标所需其他材料</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b w:val="0"/>
          <w:bCs/>
          <w:color w:val="auto"/>
          <w:sz w:val="32"/>
          <w:szCs w:val="24"/>
          <w:highlight w:val="none"/>
          <w:lang w:val="en-US" w:eastAsia="zh-CN" w:bidi="ar-SA"/>
        </w:rPr>
        <w:outlineLvl w:val="1"/>
      </w:pPr>
      <w:r/>
      <w:bookmarkStart w:id="151" w:name="_Toc8978"/>
      <w:r>
        <w:rPr>
          <w:rFonts w:hint="eastAsia" w:ascii="宋体" w:hAnsi="宋体" w:eastAsia="宋体" w:cs="宋体"/>
          <w:b w:val="0"/>
          <w:bCs/>
          <w:color w:val="auto"/>
          <w:sz w:val="32"/>
          <w:szCs w:val="24"/>
          <w:highlight w:val="none"/>
          <w:lang w:val="en-US" w:eastAsia="zh-CN" w:bidi="ar-SA"/>
        </w:rPr>
        <w:t xml:space="preserve">一、投标函</w:t>
      </w:r>
      <w:bookmarkEnd w:id="149"/>
      <w:r/>
      <w:bookmarkEnd w:id="150"/>
      <w:r/>
      <w:bookmarkEnd w:id="151"/>
      <w:r/>
      <w:r/>
    </w:p>
    <w:p>
      <w:pPr>
        <w:jc w:val="center"/>
        <w:widowControl w:val="off"/>
        <w:rPr>
          <w:rFonts w:hint="eastAsia" w:ascii="宋体" w:hAnsi="宋体" w:eastAsia="宋体" w:cs="宋体"/>
          <w:bCs/>
          <w:color w:val="auto"/>
          <w:sz w:val="32"/>
          <w:szCs w:val="32"/>
          <w:highlight w:val="none"/>
          <w:lang w:val="en-US" w:eastAsia="zh-CN" w:bidi="ar-SA"/>
        </w:rPr>
      </w:pPr>
      <w:r/>
      <w:bookmarkStart w:id="152" w:name="OLE_LINK15"/>
      <w:r/>
      <w:bookmarkStart w:id="153" w:name="OLE_LINK1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投标函</w:t>
      </w:r>
      <w:r/>
    </w:p>
    <w:p>
      <w:pPr>
        <w:jc w:val="left"/>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根据已收到的项目编号为</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（项目名称）</w:t>
      </w:r>
      <w:r>
        <w:rPr>
          <w:rFonts w:hint="eastAsia" w:ascii="宋体" w:hAnsi="宋体" w:eastAsia="宋体" w:cs="宋体"/>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一、我方</w:t>
      </w:r>
      <w:r>
        <w:rPr>
          <w:rFonts w:hint="eastAsia" w:ascii="宋体" w:hAnsi="宋体" w:eastAsia="宋体" w:cs="宋体"/>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（盖CA电子公章）</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bookmarkEnd w:id="152"/>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bookmarkEnd w:id="153"/>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szCs w:val="22"/>
          <w:highlight w:val="none"/>
        </w:rPr>
      </w:r>
      <w:r>
        <w:rPr>
          <w:rFonts w:hint="eastAsia" w:ascii="宋体" w:hAnsi="宋体" w:eastAsia="宋体" w:cs="宋体"/>
          <w:color w:val="auto"/>
          <w:szCs w:val="22"/>
          <w:highlight w:val="none"/>
        </w:rPr>
      </w:r>
    </w:p>
    <w:p>
      <w:pPr>
        <w:rPr>
          <w:rFonts w:hint="eastAsia" w:ascii="宋体" w:hAnsi="宋体" w:eastAsia="宋体" w:cs="宋体"/>
          <w:color w:val="auto"/>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rPr>
          <w:rFonts w:ascii="SimHei" w:hAnsi="SimHei" w:eastAsia="SimHei" w:cs="SimHei"/>
          <w:color w:val="000000"/>
          <w:sz w:val="40"/>
        </w:rPr>
        <w:t xml:space="preserve">二</w:t>
      </w:r>
      <w:r>
        <w:rPr>
          <w:rFonts w:ascii="SimHei" w:hAnsi="SimHei" w:eastAsia="SimHei" w:cs="SimHei"/>
          <w:color w:val="000000"/>
          <w:sz w:val="40"/>
        </w:rPr>
        <w:t xml:space="preserve">、</w:t>
      </w:r>
      <w:r>
        <w:rPr>
          <w:rFonts w:ascii="SimHei" w:hAnsi="SimHei" w:eastAsia="SimHei" w:cs="SimHei"/>
          <w:color w:val="000000"/>
          <w:sz w:val="40"/>
        </w:rPr>
        <w:t xml:space="preserve">供应商基本情况表</w:t>
      </w:r>
      <w: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bCs/>
          <w:color w:val="auto"/>
          <w:sz w:val="32"/>
          <w:szCs w:val="24"/>
          <w:highlight w:val="none"/>
          <w:lang w:val="en-US" w:eastAsia="zh-CN"/>
        </w:rPr>
        <w:outlineLvl w:val="1"/>
      </w:pPr>
      <w:r/>
      <w:bookmarkStart w:id="154" w:name="_Toc3680"/>
      <w:r/>
      <w:bookmarkStart w:id="155" w:name="_Toc29506"/>
      <w:r/>
      <w:bookmarkStart w:id="156" w:name="_Toc27409"/>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hint="eastAsia" w:ascii="宋体" w:hAnsi="宋体" w:eastAsia="宋体" w:cs="宋体"/>
          <w:bCs/>
          <w:color w:val="auto"/>
          <w:sz w:val="32"/>
          <w:szCs w:val="24"/>
          <w:highlight w:val="none"/>
          <w:lang w:val="en-US" w:eastAsia="zh-CN"/>
        </w:rPr>
      </w:r>
      <w:r>
        <w:rPr>
          <w:rFonts w:hint="eastAsia" w:ascii="宋体" w:hAnsi="宋体" w:eastAsia="宋体" w:cs="宋体"/>
          <w:color w:val="auto"/>
          <w:szCs w:val="22"/>
          <w:highlight w:val="none"/>
        </w:rPr>
      </w:r>
      <w:r>
        <w:rPr>
          <w:rFonts w:ascii="SimHei" w:hAnsi="SimHei" w:eastAsia="SimHei" w:cs="SimHei"/>
          <w:color w:val="000000"/>
          <w:sz w:val="40"/>
        </w:rPr>
        <w:t xml:space="preserve">供应商基本情况表</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19"/>
        <w:gridCol w:w="2162"/>
        <w:gridCol w:w="2379"/>
        <w:gridCol w:w="27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top"/>
            <w:textDirection w:val="lrTb"/>
            <w:noWrap w:val="false"/>
          </w:tcPr>
          <w:p>
            <w:pPr>
              <w:ind w:left="0" w:right="0" w:firstLine="1433"/>
              <w:jc w:val="both"/>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200" w:after="20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r>
            <w:r/>
          </w:p>
        </w:tc>
      </w:tr>
    </w:tbl>
    <w:p>
      <w:pPr>
        <w:rPr>
          <w:rFonts w:hint="eastAsia" w:ascii="宋体" w:hAnsi="宋体" w:eastAsia="宋体" w:cs="宋体"/>
          <w:color w:val="auto"/>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rFonts w:hint="eastAsia" w:ascii="宋体" w:hAnsi="宋体" w:eastAsia="宋体" w:cs="宋体"/>
          <w:bCs/>
          <w:color w:val="auto"/>
          <w:sz w:val="32"/>
          <w:szCs w:val="24"/>
          <w:highlight w:val="none"/>
        </w:rPr>
      </w:r>
      <w:bookmarkEnd w:id="154"/>
      <w:r/>
      <w:bookmarkEnd w:id="155"/>
      <w:r>
        <w:rPr>
          <w:rFonts w:hint="eastAsia" w:ascii="宋体" w:hAnsi="宋体" w:eastAsia="宋体" w:cs="宋体"/>
          <w:bCs/>
          <w:color w:val="auto"/>
          <w:sz w:val="32"/>
          <w:szCs w:val="24"/>
          <w:highlight w:val="none"/>
        </w:rPr>
        <w:t xml:space="preserve">三</w:t>
      </w:r>
      <w:r>
        <w:rPr>
          <w:rFonts w:hint="eastAsia" w:ascii="宋体" w:hAnsi="宋体" w:eastAsia="宋体" w:cs="宋体"/>
          <w:bCs/>
          <w:color w:val="auto"/>
          <w:sz w:val="32"/>
          <w:szCs w:val="24"/>
          <w:highlight w:val="none"/>
        </w:rPr>
        <w:t xml:space="preserve">、</w:t>
      </w:r>
      <w:r>
        <w:rPr>
          <w:rFonts w:hint="eastAsia" w:ascii="宋体" w:hAnsi="宋体" w:eastAsia="宋体" w:cs="宋体"/>
          <w:bCs/>
          <w:color w:val="auto"/>
          <w:sz w:val="32"/>
          <w:szCs w:val="24"/>
          <w:highlight w:val="none"/>
        </w:rPr>
        <w:t xml:space="preserve">法人授权书</w:t>
      </w:r>
      <w:bookmarkEnd w:id="156"/>
      <w:r/>
      <w:r/>
    </w:p>
    <w:p>
      <w:pPr>
        <w:jc w:val="center"/>
        <w:widowControl w:val="off"/>
        <w:rPr>
          <w:rFonts w:hint="eastAsia" w:ascii="宋体" w:hAnsi="宋体" w:eastAsia="宋体" w:cs="宋体"/>
          <w:bCs/>
          <w:color w:val="auto"/>
          <w:sz w:val="32"/>
          <w:szCs w:val="32"/>
          <w:highlight w:val="none"/>
          <w:lang w:val="en-US" w:eastAsia="zh-CN" w:bidi="ar-SA"/>
        </w:rPr>
      </w:pPr>
      <w:r/>
      <w:bookmarkStart w:id="157" w:name="OLE_LINK6"/>
      <w:r/>
      <w:bookmarkStart w:id="158" w:name="OLE_LINK17"/>
      <w:r/>
      <w:bookmarkStart w:id="159" w:name="OLE_LINK22"/>
      <w:r>
        <w:rPr>
          <w:rFonts w:hint="eastAsia" w:ascii="宋体" w:hAnsi="宋体" w:eastAsia="宋体" w:cs="宋体"/>
          <w:bCs/>
          <w:color w:val="auto"/>
          <w:sz w:val="32"/>
          <w:szCs w:val="32"/>
          <w:highlight w:val="none"/>
          <w:lang w:val="en-US" w:eastAsia="zh-CN" w:bidi="ar-SA"/>
        </w:rPr>
        <w:t xml:space="preserve">法人授权书</w:t>
      </w:r>
      <w:bookmarkEnd w:id="157"/>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号</w:t>
      </w:r>
      <w:r>
        <w:rPr>
          <w:rFonts w:hint="eastAsia" w:ascii="宋体" w:hAnsi="宋体" w:eastAsia="宋体" w:cs="宋体"/>
          <w:color w:val="auto"/>
          <w:sz w:val="24"/>
          <w:szCs w:val="24"/>
          <w:highlight w:val="none"/>
          <w:u w:val="single"/>
          <w:lang w:val="en-US" w:eastAsia="zh-CN" w:bidi="ar-SA"/>
        </w:rPr>
        <w:t xml:space="preserve">          （项目名称）           项目</w:t>
      </w:r>
      <w:r>
        <w:rPr>
          <w:rFonts w:hint="eastAsia" w:ascii="宋体" w:hAnsi="宋体" w:eastAsia="宋体" w:cs="宋体"/>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被授权人身份证号码：</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被授权人联系电话：（手机）</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授权单位名称：</w:t>
      </w:r>
      <w:r>
        <w:rPr>
          <w:rFonts w:hint="eastAsia" w:ascii="宋体" w:hAnsi="宋体" w:eastAsia="宋体" w:cs="宋体"/>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bookmarkStart w:id="160" w:name="_格式3__银行出具的资信证明"/>
      <w:r/>
      <w:bookmarkEnd w:id="160"/>
      <w:r/>
      <w:bookmarkStart w:id="161" w:name="_Hlt26955070"/>
      <w:r/>
      <w:bookmarkEnd w:id="161"/>
      <w:r/>
      <w:bookmarkStart w:id="162" w:name="_Hlt26671380"/>
      <w:r/>
      <w:bookmarkEnd w:id="162"/>
      <w:r>
        <w:rPr>
          <w:rFonts w:hint="eastAsia" w:ascii="宋体" w:hAnsi="宋体" w:eastAsia="宋体" w:cs="宋体"/>
          <w:color w:val="auto"/>
          <w:sz w:val="24"/>
          <w:szCs w:val="24"/>
          <w:highlight w:val="none"/>
          <w:u w:val="single"/>
          <w:lang w:val="en-US" w:eastAsia="zh-CN" w:bidi="ar-SA"/>
        </w:rPr>
        <w:t xml:space="preserve">                                         </w:t>
      </w:r>
      <w:bookmarkEnd w:id="158"/>
      <w:r/>
      <w:r/>
    </w:p>
    <w:p>
      <w:pPr>
        <w:ind w:firstLine="629"/>
        <w:jc w:val="both"/>
        <w:spacing w:line="7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bookmarkEnd w:id="159"/>
      <w:r/>
      <w:r/>
    </w:p>
    <w:p>
      <w:pPr>
        <w:rPr>
          <w:rFonts w:hint="eastAsia" w:ascii="宋体" w:hAnsi="宋体" w:eastAsia="宋体" w:cs="宋体"/>
          <w:b/>
          <w:color w:val="auto"/>
          <w:sz w:val="32"/>
          <w:szCs w:val="24"/>
          <w:highlight w:val="none"/>
          <w:lang w:val="en-US" w:eastAsia="zh-CN" w:bidi="ar-SA"/>
        </w:rPr>
        <w:outlineLvl w:val="1"/>
      </w:pPr>
      <w:r>
        <w:rPr>
          <w:rFonts w:hint="eastAsia" w:ascii="宋体" w:hAnsi="宋体" w:eastAsia="宋体" w:cs="宋体"/>
          <w:b/>
          <w:color w:val="auto"/>
          <w:sz w:val="32"/>
          <w:szCs w:val="24"/>
          <w:highlight w:val="none"/>
          <w:lang w:val="en-US" w:eastAsia="zh-CN" w:bidi="ar-SA"/>
        </w:rPr>
        <w:br w:type="page" w:clear="all"/>
        <w:t xml:space="preserve">四</w:t>
      </w:r>
      <w:r>
        <w:rPr>
          <w:rFonts w:hint="eastAsia" w:ascii="宋体" w:hAnsi="宋体" w:eastAsia="宋体" w:cs="宋体"/>
          <w:b w:val="0"/>
          <w:bCs/>
          <w:color w:val="auto"/>
          <w:sz w:val="32"/>
          <w:szCs w:val="24"/>
          <w:highlight w:val="none"/>
          <w:lang w:val="en-US" w:eastAsia="zh-CN" w:bidi="ar-SA"/>
        </w:rPr>
        <w:t xml:space="preserve">、开标一览表</w:t>
      </w:r>
      <w:bookmarkEnd w:id="163"/>
      <w:r/>
      <w:bookmarkEnd w:id="164"/>
      <w:r/>
      <w:bookmarkEnd w:id="165"/>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投标人全称(CA公章) ：供应商名称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分包号 </w:t>
      </w:r>
      <w:r/>
    </w:p>
    <w:tbl>
      <w:tblPr>
        <w:tblStyle w:val="95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eastAsia"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总价（大写）：金额大写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bookmarkStart w:id="166" w:name="_Toc12113"/>
      <w:r>
        <w:rPr>
          <w:rFonts w:hint="eastAsia" w:ascii="宋体" w:hAnsi="宋体" w:eastAsia="宋体" w:cs="宋体"/>
          <w:color w:val="auto"/>
          <w:sz w:val="24"/>
          <w:szCs w:val="22"/>
          <w:highlight w:val="none"/>
        </w:rPr>
        <w:t xml:space="preserve">日期：     年     月     日</w:t>
      </w:r>
      <w:bookmarkEnd w:id="166"/>
      <w:r/>
      <w:r/>
    </w:p>
    <w:p>
      <w:pPr>
        <w:rPr>
          <w:rFonts w:hint="eastAsia" w:ascii="宋体" w:hAnsi="宋体" w:eastAsia="宋体" w:cs="宋体"/>
          <w:b/>
          <w:color w:val="auto"/>
          <w:sz w:val="32"/>
          <w:szCs w:val="24"/>
          <w:highlight w:val="none"/>
          <w:lang w:val="en-US" w:eastAsia="zh-CN" w:bidi="ar-SA"/>
        </w:rPr>
        <w:outlineLvl w:val="1"/>
      </w:pPr>
      <w:r>
        <w:rPr>
          <w:rFonts w:hint="eastAsia" w:ascii="宋体" w:hAnsi="宋体" w:eastAsia="宋体" w:cs="宋体"/>
          <w:b/>
          <w:color w:val="auto"/>
          <w:sz w:val="32"/>
          <w:szCs w:val="24"/>
          <w:highlight w:val="none"/>
          <w:lang w:val="en-US" w:eastAsia="zh-CN" w:bidi="ar-SA"/>
        </w:rPr>
        <w:br w:type="page" w:clear="all"/>
        <w:t xml:space="preserve">五</w:t>
      </w:r>
      <w:r>
        <w:rPr>
          <w:rFonts w:hint="eastAsia" w:ascii="宋体" w:hAnsi="宋体" w:eastAsia="宋体" w:cs="宋体"/>
          <w:b w:val="0"/>
          <w:bCs/>
          <w:color w:val="auto"/>
          <w:sz w:val="32"/>
          <w:szCs w:val="24"/>
          <w:highlight w:val="none"/>
          <w:lang w:val="en-US" w:eastAsia="zh-CN" w:bidi="ar-SA"/>
        </w:rPr>
        <w:t xml:space="preserve">、</w:t>
      </w:r>
      <w:bookmarkEnd w:id="167"/>
      <w:r/>
      <w:bookmarkEnd w:id="168"/>
      <w:r>
        <w:rPr>
          <w:rFonts w:hint="eastAsia" w:ascii="宋体" w:hAnsi="宋体" w:eastAsia="宋体" w:cs="宋体"/>
          <w:b w:val="0"/>
          <w:bCs/>
          <w:color w:val="auto"/>
          <w:sz w:val="32"/>
          <w:szCs w:val="24"/>
          <w:highlight w:val="none"/>
          <w:lang w:val="en-US" w:eastAsia="zh-CN" w:bidi="ar-SA"/>
        </w:rPr>
        <w:t xml:space="preserve">分项报价表</w:t>
      </w:r>
      <w:bookmarkEnd w:id="169"/>
      <w:r/>
      <w:r/>
    </w:p>
    <w:p>
      <w:pPr>
        <w:jc w:val="center"/>
        <w:widowControl w:val="off"/>
        <w:rPr>
          <w:rFonts w:hint="eastAsia" w:ascii="宋体" w:hAnsi="宋体" w:eastAsia="宋体" w:cs="宋体"/>
          <w:bCs/>
          <w:color w:val="auto"/>
          <w:sz w:val="32"/>
          <w:szCs w:val="32"/>
          <w:highlight w:val="none"/>
          <w:lang w:val="en-US" w:eastAsia="zh-CN" w:bidi="ar-SA"/>
        </w:rPr>
      </w:pPr>
      <w:r/>
      <w:bookmarkStart w:id="170" w:name="OLE_LINK20"/>
      <w:r/>
      <w:r/>
    </w:p>
    <w:p>
      <w:pPr>
        <w:jc w:val="center"/>
        <w:widowControl w:val="off"/>
        <w:rPr>
          <w:rFonts w:hint="eastAsia" w:ascii="宋体" w:hAnsi="宋体" w:eastAsia="宋体" w:cs="宋体"/>
          <w:bCs/>
          <w:color w:val="auto"/>
          <w:sz w:val="32"/>
          <w:szCs w:val="32"/>
          <w:highlight w:val="none"/>
          <w:lang w:val="en-US" w:eastAsia="zh-CN" w:bidi="ar-SA"/>
        </w:rPr>
      </w:pPr>
      <w:r/>
      <w:bookmarkStart w:id="171" w:name="OLE_LINK16"/>
      <w:r>
        <w:rPr>
          <w:rFonts w:hint="eastAsia" w:ascii="宋体" w:hAnsi="宋体" w:eastAsia="宋体" w:cs="宋体"/>
          <w:bCs/>
          <w:color w:val="auto"/>
          <w:sz w:val="32"/>
          <w:szCs w:val="32"/>
          <w:highlight w:val="none"/>
          <w:lang w:val="en-US" w:eastAsia="zh-CN" w:bidi="ar-SA"/>
        </w:rPr>
        <w:t xml:space="preserve">分项报价表</w:t>
      </w:r>
      <w:r/>
    </w:p>
    <w:p>
      <w:pPr>
        <w:jc w:val="center"/>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（货物类）</w:t>
      </w:r>
      <w:r/>
    </w:p>
    <w:tbl>
      <w:tblPr>
        <w:tblStyle w:val="956"/>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b/>
                <w:bCs/>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 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备注：“投标总报价”数额应当与“开标一览表”中“投标总报价”数额一致。</w:t>
      </w:r>
      <w:r/>
    </w:p>
    <w:p>
      <w:pPr>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bookmarkEnd w:id="171"/>
      <w:r/>
      <w:r/>
    </w:p>
    <w:p>
      <w:pPr>
        <w:rPr>
          <w:rFonts w:hint="eastAsia" w:ascii="宋体" w:hAnsi="宋体" w:eastAsia="宋体" w:cs="宋体"/>
          <w:b w:val="0"/>
          <w:bCs/>
          <w:color w:val="auto"/>
          <w:sz w:val="32"/>
          <w:szCs w:val="24"/>
          <w:highlight w:val="none"/>
          <w:lang w:val="en-US" w:eastAsia="zh-CN" w:bidi="ar-SA"/>
        </w:rPr>
        <w:outlineLvl w:val="1"/>
      </w:pPr>
      <w:r/>
      <w:bookmarkStart w:id="172" w:name="_Toc2747"/>
      <w:r/>
      <w:bookmarkStart w:id="173" w:name="_Toc21129"/>
      <w:r/>
      <w:bookmarkStart w:id="174" w:name="_Toc17418"/>
      <w:r/>
      <w:bookmarkEnd w:id="170"/>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rPr>
          <w:rFonts w:hint="eastAsia" w:ascii="宋体" w:hAnsi="宋体" w:eastAsia="宋体" w:cs="宋体"/>
          <w:b w:val="0"/>
          <w:bCs/>
          <w:color w:val="auto"/>
          <w:sz w:val="32"/>
          <w:szCs w:val="24"/>
          <w:highlight w:val="none"/>
          <w:lang w:val="en-US" w:eastAsia="zh-CN" w:bidi="ar-SA"/>
        </w:rPr>
      </w:r>
    </w:p>
    <w:p>
      <w:pPr>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r>
      <w:r/>
    </w:p>
    <w:p>
      <w:pPr>
        <w:rPr>
          <w:rFonts w:hint="eastAsia" w:ascii="宋体" w:hAnsi="宋体" w:eastAsia="宋体" w:cs="宋体"/>
          <w:b w:val="0"/>
          <w:bCs/>
          <w:color w:val="auto"/>
          <w:sz w:val="32"/>
          <w:szCs w:val="24"/>
          <w:highlight w:val="none"/>
          <w:lang w:val="en-US" w:eastAsia="zh-CN" w:bidi="ar-SA"/>
        </w:rPr>
        <w:outlineLvl w:val="1"/>
      </w:pPr>
      <w:r>
        <w:rPr>
          <w:rFonts w:hint="eastAsia" w:ascii="宋体" w:hAnsi="宋体" w:eastAsia="宋体" w:cs="宋体"/>
          <w:b w:val="0"/>
          <w:bCs/>
          <w:color w:val="auto"/>
          <w:sz w:val="32"/>
          <w:szCs w:val="24"/>
          <w:highlight w:val="none"/>
          <w:lang w:val="en-US" w:eastAsia="zh-CN" w:bidi="ar-SA"/>
        </w:rPr>
        <w:t xml:space="preserve">六、中小企业或残疾人福利性单位声明函</w:t>
      </w:r>
      <w:bookmarkEnd w:id="172"/>
      <w:r/>
      <w:bookmarkEnd w:id="173"/>
      <w:r/>
      <w:bookmarkEnd w:id="17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中小微企业声明函</w:t>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（货物类项目）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69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ind w:firstLine="480"/>
        <w:spacing w:line="400" w:lineRule="exact"/>
        <w:rPr>
          <w:rFonts w:hint="eastAsia" w:ascii="宋体" w:hAnsi="宋体" w:eastAsia="宋体" w:cs="宋体"/>
          <w:color w:val="auto"/>
          <w:sz w:val="22"/>
          <w:szCs w:val="21"/>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3.对照《工业和信息化部、国家统计局、国家发展和改革委员会、财政部关于印发中小企业划型标准规定的通知》(工信部联企业[2011]300号)的规定，投标人自行勾选承接企业的企业规模类型。</w:t>
      </w:r>
      <w:r/>
    </w:p>
    <w:p>
      <w:pPr>
        <w:jc w:val="both"/>
        <w:spacing w:before="151" w:after="151" w:line="6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残疾人福利性单位声明函</w:t>
      </w:r>
      <w:r/>
    </w:p>
    <w:p>
      <w:pPr>
        <w:jc w:val="both"/>
        <w:spacing w:line="588" w:lineRule="exact"/>
        <w:widowControl w:val="off"/>
        <w:rPr>
          <w:rFonts w:hint="eastAsia" w:ascii="宋体" w:hAnsi="宋体" w:eastAsia="宋体" w:cs="宋体"/>
          <w:b/>
          <w:color w:val="auto"/>
          <w:spacing w:val="6"/>
          <w:sz w:val="30"/>
          <w:szCs w:val="30"/>
          <w:highlight w:val="none"/>
          <w:lang w:val="en-US" w:eastAsia="zh-CN" w:bidi="ar-SA"/>
        </w:rPr>
      </w:pPr>
      <w:r>
        <w:rPr>
          <w:rFonts w:hint="eastAsia" w:ascii="宋体" w:hAnsi="宋体" w:eastAsia="宋体" w:cs="宋体"/>
          <w:b/>
          <w:color w:val="auto"/>
          <w:spacing w:val="6"/>
          <w:sz w:val="30"/>
          <w:szCs w:val="30"/>
          <w:highlight w:val="none"/>
          <w:lang w:val="en-US" w:eastAsia="zh-CN" w:bidi="ar-SA"/>
        </w:rPr>
      </w:r>
      <w:r/>
    </w:p>
    <w:p>
      <w:pPr>
        <w:ind w:firstLine="480"/>
        <w:jc w:val="both"/>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2"/>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单位名称）</w:t>
      </w:r>
      <w:r>
        <w:rPr>
          <w:rFonts w:hint="eastAsia" w:ascii="宋体" w:hAnsi="宋体" w:eastAsia="宋体" w:cs="宋体"/>
          <w:color w:val="auto"/>
          <w:sz w:val="24"/>
          <w:szCs w:val="22"/>
          <w:highlight w:val="none"/>
          <w:lang w:val="en-US" w:eastAsia="zh-CN" w:bidi="ar-SA"/>
        </w:rPr>
        <w:t xml:space="preserve">的</w:t>
      </w:r>
      <w:r>
        <w:rPr>
          <w:rFonts w:hint="eastAsia" w:ascii="宋体" w:hAnsi="宋体" w:eastAsia="宋体" w:cs="宋体"/>
          <w:color w:val="auto"/>
          <w:sz w:val="24"/>
          <w:szCs w:val="22"/>
          <w:highlight w:val="none"/>
          <w:u w:val="single"/>
          <w:lang w:val="en-US" w:eastAsia="zh-CN" w:bidi="ar-SA"/>
        </w:rPr>
        <w:t xml:space="preserve">（项目名称） </w:t>
      </w:r>
      <w:r>
        <w:rPr>
          <w:rFonts w:hint="eastAsia" w:ascii="宋体" w:hAnsi="宋体" w:eastAsia="宋体" w:cs="宋体"/>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ind w:firstLine="3629"/>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单位名称：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盖CA电子公章</w:t>
      </w:r>
      <w:r>
        <w:rPr>
          <w:rFonts w:hint="eastAsia" w:ascii="宋体" w:hAnsi="宋体" w:eastAsia="宋体" w:cs="宋体"/>
          <w:color w:val="auto"/>
          <w:sz w:val="24"/>
          <w:szCs w:val="22"/>
          <w:highlight w:val="non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357" w:firstLine="0"/>
        <w:jc w:val="both"/>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rPr>
          <w:rFonts w:hint="eastAsia" w:ascii="宋体" w:hAnsi="宋体" w:eastAsia="宋体" w:cs="宋体"/>
          <w:b/>
          <w:bCs/>
          <w:color w:val="auto"/>
          <w:sz w:val="32"/>
          <w:szCs w:val="32"/>
          <w:highlight w:val="none"/>
          <w:lang w:val="en-US" w:eastAsia="zh-CN" w:bidi="ar-SA"/>
        </w:rP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rPr>
          <w:rFonts w:hint="eastAsia" w:ascii="宋体" w:hAnsi="宋体" w:eastAsia="宋体" w:cs="宋体"/>
          <w:b/>
          <w:bCs/>
          <w:color w:val="auto"/>
          <w:sz w:val="32"/>
          <w:szCs w:val="32"/>
          <w:highlight w:val="none"/>
          <w:lang w:val="en-US" w:eastAsia="zh-CN" w:bidi="ar-SA"/>
        </w:rP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rPr>
          <w:rFonts w:hint="eastAsia" w:ascii="宋体" w:hAnsi="宋体" w:eastAsia="宋体" w:cs="宋体"/>
          <w:b/>
          <w:bCs/>
          <w:color w:val="auto"/>
          <w:sz w:val="32"/>
          <w:szCs w:val="32"/>
          <w:highlight w:val="none"/>
          <w:lang w:val="en-US" w:eastAsia="zh-CN" w:bidi="ar-SA"/>
        </w:rPr>
      </w:r>
    </w:p>
    <w:p>
      <w:pPr>
        <w:jc w:val="both"/>
        <w:keepLines/>
        <w:keepNext/>
        <w:spacing w:before="0" w:after="0" w:line="520" w:lineRule="exact"/>
        <w:widowControl w:val="off"/>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t xml:space="preserve">七、</w:t>
      </w:r>
      <w:bookmarkStart w:id="175" w:name="OLE_LINK21"/>
      <w:r>
        <w:rPr>
          <w:rFonts w:hint="eastAsia" w:ascii="宋体" w:hAnsi="宋体" w:eastAsia="宋体" w:cs="宋体"/>
          <w:b/>
          <w:bCs/>
          <w:color w:val="auto"/>
          <w:sz w:val="32"/>
          <w:szCs w:val="32"/>
          <w:highlight w:val="none"/>
          <w:lang w:val="en-US" w:eastAsia="zh-CN" w:bidi="ar-SA"/>
        </w:rPr>
        <w:t xml:space="preserve">技术响应偏离表（技术参数响应）</w:t>
      </w:r>
      <w:r/>
    </w:p>
    <w:tbl>
      <w:tblPr>
        <w:tblStyle w:val="956"/>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bookmarkStart w:id="176" w:name="OLE_LINK18"/>
            <w:r>
              <w:rPr>
                <w:rFonts w:hint="eastAsia" w:ascii="宋体" w:hAnsi="宋体" w:eastAsia="宋体" w:cs="宋体"/>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偏离情况</w:t>
            </w:r>
            <w:r/>
          </w:p>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w:t>
            </w:r>
            <w:r>
              <w:rPr>
                <w:rFonts w:hint="eastAsia" w:ascii="宋体" w:hAnsi="宋体" w:eastAsia="宋体" w:cs="宋体"/>
                <w:b/>
                <w:color w:val="auto"/>
                <w:sz w:val="24"/>
                <w:szCs w:val="22"/>
                <w:highlight w:val="none"/>
              </w:rPr>
              <w:t xml:space="preserve">正偏离、负偏离、无偏离</w:t>
            </w:r>
            <w:r>
              <w:rPr>
                <w:rFonts w:hint="eastAsia" w:ascii="宋体" w:hAnsi="宋体" w:eastAsia="宋体" w:cs="宋体"/>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bl>
    <w:p>
      <w:pPr>
        <w:jc w:val="right"/>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单位名称：</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（盖CA电子公章）</w:t>
      </w:r>
      <w:r/>
    </w:p>
    <w:p>
      <w:pPr>
        <w:ind w:firstLine="482"/>
        <w:jc w:val="both"/>
        <w:spacing w:before="0" w:beforeAutospacing="0" w:after="0" w:afterAutospacing="0" w:line="40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r>
      <w:r/>
    </w:p>
    <w:p>
      <w:pPr>
        <w:ind w:firstLine="482"/>
        <w:jc w:val="both"/>
        <w:spacing w:before="0" w:beforeAutospacing="0" w:after="0" w:afterAutospacing="0" w:line="4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备注：</w:t>
      </w:r>
      <w:r>
        <w:rPr>
          <w:rFonts w:hint="eastAsia" w:ascii="宋体" w:hAnsi="宋体" w:eastAsia="宋体" w:cs="宋体"/>
          <w:color w:val="auto"/>
          <w:sz w:val="24"/>
          <w:szCs w:val="28"/>
          <w:highlight w:val="none"/>
          <w:lang w:val="en-US" w:eastAsia="zh-CN" w:bidi="ar-SA"/>
        </w:rPr>
        <w:t xml:space="preserve">1</w:t>
      </w:r>
      <w:bookmarkStart w:id="177" w:name="_Hlk187934629"/>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8"/>
          <w:highlight w:val="none"/>
          <w:lang w:val="en-US" w:eastAsia="zh-CN" w:bidi="ar-SA"/>
        </w:rPr>
        <w:t xml:space="preserve">2.对采购需求的其它非实质性要求，投标人按所投产品情况在此表中详细列出偏离情况（包括正偏离、负偏离、无偏离）并说明理由；未列明的均视为未响应招标文件要求。</w:t>
      </w:r>
      <w:bookmarkEnd w:id="176"/>
      <w:r/>
      <w:bookmarkEnd w:id="177"/>
      <w:r/>
      <w:r/>
    </w:p>
    <w:p>
      <w:pPr>
        <w:spacing w:line="400" w:lineRule="exact"/>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r>
      <w:r/>
    </w:p>
    <w:p>
      <w:pPr>
        <w:ind w:left="210"/>
        <w:rPr>
          <w:rFonts w:hint="eastAsia" w:ascii="宋体" w:hAnsi="宋体" w:eastAsia="宋体" w:cs="宋体"/>
          <w:b/>
          <w:bCs/>
          <w:color w:val="auto"/>
          <w:sz w:val="32"/>
          <w:szCs w:val="20"/>
          <w:highlight w:val="none"/>
          <w:lang w:val="en-US" w:eastAsia="zh-CN" w:bidi="ar-SA"/>
        </w:rPr>
        <w:outlineLvl w:val="1"/>
      </w:pPr>
      <w:r/>
      <w:bookmarkStart w:id="178" w:name="_Toc15871"/>
      <w:r/>
      <w:bookmarkStart w:id="179" w:name="_Toc25337"/>
      <w:r/>
      <w:r/>
    </w:p>
    <w:p>
      <w:pPr>
        <w:ind w:left="210"/>
        <w:rPr>
          <w:rFonts w:hint="eastAsia" w:ascii="宋体" w:hAnsi="宋体" w:eastAsia="宋体" w:cs="宋体"/>
          <w:b/>
          <w:bCs/>
          <w:color w:val="auto"/>
          <w:sz w:val="32"/>
          <w:szCs w:val="20"/>
          <w:highlight w:val="none"/>
          <w:lang w:val="en-US" w:eastAsia="zh-CN" w:bidi="ar-SA"/>
        </w:rPr>
        <w:outlineLvl w:val="1"/>
      </w:pPr>
      <w:r>
        <w:rPr>
          <w:rFonts w:hint="eastAsia" w:ascii="宋体" w:hAnsi="宋体" w:eastAsia="宋体" w:cs="宋体"/>
          <w:b/>
          <w:bCs/>
          <w:color w:val="auto"/>
          <w:sz w:val="32"/>
          <w:szCs w:val="20"/>
          <w:highlight w:val="none"/>
          <w:lang w:val="en-US" w:eastAsia="zh-CN" w:bidi="ar-SA"/>
        </w:rPr>
      </w:r>
      <w:r/>
    </w:p>
    <w:p>
      <w:pPr>
        <w:ind w:left="210"/>
        <w:rPr>
          <w:rFonts w:hint="eastAsia" w:ascii="宋体" w:hAnsi="宋体" w:eastAsia="宋体" w:cs="宋体"/>
          <w:b/>
          <w:bCs/>
          <w:color w:val="auto"/>
          <w:sz w:val="32"/>
          <w:szCs w:val="20"/>
          <w:highlight w:val="none"/>
          <w:lang w:val="en-US" w:eastAsia="zh-CN" w:bidi="ar-SA"/>
        </w:rPr>
        <w:outlineLvl w:val="1"/>
      </w:pPr>
      <w:r>
        <w:rPr>
          <w:rFonts w:hint="eastAsia" w:ascii="宋体" w:hAnsi="宋体" w:eastAsia="宋体" w:cs="宋体"/>
          <w:b/>
          <w:bCs/>
          <w:color w:val="auto"/>
          <w:sz w:val="32"/>
          <w:szCs w:val="20"/>
          <w:highlight w:val="none"/>
          <w:lang w:val="en-US" w:eastAsia="zh-CN" w:bidi="ar-SA"/>
        </w:rPr>
      </w:r>
      <w:bookmarkEnd w:id="175"/>
      <w:r/>
      <w:r/>
    </w:p>
    <w:p>
      <w:pPr>
        <w:ind w:left="210"/>
        <w:rPr>
          <w:rFonts w:hint="eastAsia" w:ascii="宋体" w:hAnsi="宋体" w:eastAsia="宋体" w:cs="宋体"/>
          <w:b w:val="0"/>
          <w:color w:val="auto"/>
          <w:sz w:val="32"/>
          <w:szCs w:val="32"/>
          <w:highlight w:val="none"/>
          <w:lang w:val="en-US" w:eastAsia="zh-CN" w:bidi="ar-SA"/>
        </w:rPr>
        <w:outlineLvl w:val="1"/>
      </w:pPr>
      <w:r>
        <w:rPr>
          <w:rFonts w:hint="eastAsia" w:ascii="宋体" w:hAnsi="宋体" w:eastAsia="宋体" w:cs="宋体"/>
          <w:b w:val="0"/>
          <w:color w:val="auto"/>
          <w:sz w:val="32"/>
          <w:szCs w:val="32"/>
          <w:highlight w:val="none"/>
          <w:lang w:val="en-US" w:eastAsia="zh-CN" w:bidi="ar-SA"/>
        </w:rPr>
        <w:t xml:space="preserve">八、项目实施方案</w:t>
      </w:r>
      <w:r/>
    </w:p>
    <w:p>
      <w:pPr>
        <w:ind w:left="210"/>
        <w:rPr>
          <w:rFonts w:hint="eastAsia" w:ascii="宋体" w:hAnsi="宋体" w:eastAsia="宋体" w:cs="宋体"/>
          <w:b w:val="0"/>
          <w:color w:val="auto"/>
          <w:sz w:val="32"/>
          <w:szCs w:val="32"/>
          <w:highlight w:val="none"/>
          <w:lang w:val="en-US" w:eastAsia="zh-CN" w:bidi="ar-SA"/>
        </w:rPr>
        <w:outlineLvl w:val="1"/>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9"/>
      </w:pPr>
      <w:r>
        <w:rPr>
          <w:rFonts w:hint="eastAsia" w:ascii="宋体" w:hAnsi="宋体" w:eastAsia="宋体" w:cs="宋体"/>
          <w:b w:val="0"/>
          <w:color w:val="auto"/>
          <w:sz w:val="32"/>
          <w:szCs w:val="32"/>
          <w:highlight w:val="none"/>
          <w:lang w:val="en-US" w:eastAsia="zh-CN" w:bidi="ar-SA"/>
        </w:rPr>
      </w:r>
      <w:r/>
    </w:p>
    <w:p>
      <w:pPr>
        <w:ind w:left="210"/>
        <w:rPr>
          <w:rFonts w:hint="eastAsia" w:ascii="宋体" w:hAnsi="宋体" w:eastAsia="宋体" w:cs="宋体"/>
          <w:b w:val="0"/>
          <w:color w:val="auto"/>
          <w:sz w:val="32"/>
          <w:szCs w:val="32"/>
          <w:highlight w:val="none"/>
          <w:lang w:val="en-US" w:eastAsia="zh-CN" w:bidi="ar-SA"/>
        </w:rPr>
        <w:outlineLvl w:val="1"/>
      </w:pPr>
      <w:r>
        <w:rPr>
          <w:rFonts w:hint="eastAsia" w:ascii="宋体" w:hAnsi="宋体" w:eastAsia="宋体" w:cs="宋体"/>
          <w:b w:val="0"/>
          <w:color w:val="auto"/>
          <w:sz w:val="32"/>
          <w:szCs w:val="32"/>
          <w:highlight w:val="none"/>
          <w:lang w:val="en-US" w:eastAsia="zh-CN" w:bidi="ar-SA"/>
        </w:rPr>
        <w:t xml:space="preserve">九、企业业绩</w:t>
      </w:r>
      <w:bookmarkEnd w:id="178"/>
      <w:r/>
      <w:bookmarkEnd w:id="179"/>
      <w:r/>
      <w:r/>
    </w:p>
    <w:p>
      <w:pPr>
        <w:jc w:val="center"/>
        <w:widowControl w:val="off"/>
        <w:rPr>
          <w:rFonts w:hint="eastAsia" w:ascii="宋体" w:hAnsi="宋体" w:eastAsia="宋体" w:cs="宋体"/>
          <w:bCs/>
          <w:color w:val="auto"/>
          <w:sz w:val="32"/>
          <w:szCs w:val="32"/>
          <w:highlight w:val="none"/>
          <w:lang w:val="en-US" w:eastAsia="zh-CN" w:bidi="ar-SA"/>
        </w:rPr>
      </w:pPr>
      <w:r/>
      <w:bookmarkStart w:id="180" w:name="OLE_LINK19"/>
      <w:r/>
      <w:bookmarkStart w:id="181" w:name="OLE_LINK23"/>
      <w:r>
        <w:rPr>
          <w:rFonts w:hint="eastAsia" w:ascii="宋体" w:hAnsi="宋体" w:eastAsia="宋体" w:cs="宋体"/>
          <w:bCs/>
          <w:color w:val="auto"/>
          <w:sz w:val="32"/>
          <w:szCs w:val="32"/>
          <w:highlight w:val="none"/>
          <w:lang w:val="en-US" w:eastAsia="zh-CN" w:bidi="ar-SA"/>
        </w:rPr>
        <w:t xml:space="preserve">投标人</w:t>
      </w:r>
      <w:bookmarkStart w:id="182" w:name="_Hlk187935031"/>
      <w:r>
        <w:rPr>
          <w:rFonts w:hint="eastAsia" w:ascii="宋体" w:hAnsi="宋体" w:eastAsia="宋体" w:cs="宋体"/>
          <w:bCs/>
          <w:color w:val="auto"/>
          <w:sz w:val="32"/>
          <w:szCs w:val="32"/>
          <w:highlight w:val="none"/>
          <w:lang w:val="en-US" w:eastAsia="zh-CN" w:bidi="ar-SA"/>
        </w:rPr>
        <w:t xml:space="preserve">自</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年</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u w:val="none"/>
          <w:lang w:val="en-US" w:eastAsia="zh-CN" w:bidi="ar-SA"/>
        </w:rPr>
        <w:t xml:space="preserve">月</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日以来承担</w:t>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类似项目业绩一览表</w:t>
      </w:r>
      <w:bookmarkEnd w:id="182"/>
      <w:r/>
      <w:r/>
    </w:p>
    <w:tbl>
      <w:tblPr>
        <w:tblStyle w:val="95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bl>
    <w:p>
      <w:pPr>
        <w:jc w:val="both"/>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注：请填写此表，并按要求上传业绩资料电子件。</w:t>
      </w:r>
      <w:bookmarkEnd w:id="180"/>
      <w:r/>
      <w:r/>
    </w:p>
    <w:p>
      <w:pPr>
        <w:spacing w:line="480" w:lineRule="exact"/>
        <w:rPr>
          <w:rFonts w:hint="eastAsia" w:ascii="宋体" w:hAnsi="宋体" w:eastAsia="宋体" w:cs="宋体"/>
          <w:bCs/>
          <w:color w:val="auto"/>
          <w:szCs w:val="22"/>
          <w:highlight w:val="none"/>
        </w:rPr>
        <w:outlineLvl w:val="1"/>
      </w:pPr>
      <w:r>
        <w:rPr>
          <w:rFonts w:hint="eastAsia" w:ascii="宋体" w:hAnsi="宋体" w:eastAsia="宋体" w:cs="宋体"/>
          <w:bCs/>
          <w:color w:val="auto"/>
          <w:szCs w:val="22"/>
          <w:highlight w:val="none"/>
        </w:rPr>
        <w:br w:type="page" w:clear="all"/>
      </w:r>
      <w:bookmarkStart w:id="183" w:name="_Toc9275"/>
      <w:r/>
      <w:bookmarkStart w:id="184" w:name="_Toc26048"/>
      <w:r/>
      <w:bookmarkEnd w:id="181"/>
      <w:r/>
      <w:r/>
    </w:p>
    <w:p>
      <w:pPr>
        <w:spacing w:line="480" w:lineRule="exact"/>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spacing w:line="480" w:lineRule="exact"/>
        <w:rPr>
          <w:rFonts w:hint="eastAsia" w:ascii="宋体" w:hAnsi="宋体" w:eastAsia="宋体" w:cs="宋体"/>
          <w:color w:val="auto"/>
          <w:szCs w:val="32"/>
          <w:highlight w:val="none"/>
        </w:rPr>
        <w:outlineLvl w:val="1"/>
      </w:pPr>
      <w:r>
        <w:rPr>
          <w:rFonts w:hint="eastAsia" w:ascii="宋体" w:hAnsi="宋体" w:eastAsia="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rPr>
        <w:t xml:space="preserve">、投标所需其他材料</w:t>
      </w:r>
      <w:bookmarkEnd w:id="183"/>
      <w:r/>
      <w:bookmarkEnd w:id="184"/>
      <w:r/>
      <w:r/>
    </w:p>
    <w:p>
      <w:pPr>
        <w:ind w:left="0" w:right="0" w:firstLine="0"/>
        <w:jc w:val="both"/>
        <w:spacing w:before="0" w:after="0"/>
        <w:rPr>
          <w:rFonts w:hint="eastAsia" w:ascii="宋体" w:hAnsi="宋体" w:eastAsia="宋体" w:cs="宋体"/>
          <w:color w:val="auto"/>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宋体"/>
          <w:color w:val="auto"/>
          <w:szCs w:val="22"/>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Cs w:val="22"/>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color w:val="auto"/>
          <w:szCs w:val="22"/>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Cs w:val="22"/>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rPr>
      </w:pPr>
      <w:r>
        <w:rPr>
          <w:rFonts w:hint="eastAsia" w:ascii="宋体" w:hAnsi="宋体" w:eastAsia="宋体" w:cs="宋体"/>
          <w:color w:val="auto"/>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27</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27</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ind w:right="360"/>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4"/>
    <w:next w:val="954"/>
    <w:link w:val="777"/>
    <w:uiPriority w:val="9"/>
    <w:qFormat/>
    <w:pPr>
      <w:keepLines/>
      <w:keepNext/>
      <w:spacing w:before="480" w:after="200"/>
      <w:outlineLvl w:val="0"/>
    </w:pPr>
    <w:rPr>
      <w:rFonts w:ascii="Arial" w:hAnsi="Arial" w:eastAsia="Arial" w:cs="Arial"/>
      <w:sz w:val="40"/>
      <w:szCs w:val="40"/>
    </w:rPr>
  </w:style>
  <w:style w:type="character" w:styleId="777">
    <w:name w:val="Heading 1 Char"/>
    <w:basedOn w:val="955"/>
    <w:link w:val="776"/>
    <w:uiPriority w:val="9"/>
    <w:rPr>
      <w:rFonts w:ascii="Arial" w:hAnsi="Arial" w:eastAsia="Arial" w:cs="Arial"/>
      <w:sz w:val="40"/>
      <w:szCs w:val="40"/>
    </w:rPr>
  </w:style>
  <w:style w:type="paragraph" w:styleId="778">
    <w:name w:val="Heading 2"/>
    <w:basedOn w:val="954"/>
    <w:next w:val="954"/>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basedOn w:val="955"/>
    <w:link w:val="778"/>
    <w:uiPriority w:val="9"/>
    <w:rPr>
      <w:rFonts w:ascii="Arial" w:hAnsi="Arial" w:eastAsia="Arial" w:cs="Arial"/>
      <w:sz w:val="34"/>
    </w:rPr>
  </w:style>
  <w:style w:type="paragraph" w:styleId="780">
    <w:name w:val="Heading 3"/>
    <w:basedOn w:val="954"/>
    <w:next w:val="954"/>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basedOn w:val="955"/>
    <w:link w:val="780"/>
    <w:uiPriority w:val="9"/>
    <w:rPr>
      <w:rFonts w:ascii="Arial" w:hAnsi="Arial" w:eastAsia="Arial" w:cs="Arial"/>
      <w:sz w:val="30"/>
      <w:szCs w:val="30"/>
    </w:rPr>
  </w:style>
  <w:style w:type="paragraph" w:styleId="782">
    <w:name w:val="Heading 4"/>
    <w:basedOn w:val="954"/>
    <w:next w:val="954"/>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5"/>
    <w:link w:val="782"/>
    <w:uiPriority w:val="9"/>
    <w:rPr>
      <w:rFonts w:ascii="Arial" w:hAnsi="Arial" w:eastAsia="Arial" w:cs="Arial"/>
      <w:b/>
      <w:bCs/>
      <w:sz w:val="26"/>
      <w:szCs w:val="26"/>
    </w:rPr>
  </w:style>
  <w:style w:type="paragraph" w:styleId="784">
    <w:name w:val="Heading 5"/>
    <w:basedOn w:val="954"/>
    <w:next w:val="95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5"/>
    <w:link w:val="784"/>
    <w:uiPriority w:val="9"/>
    <w:rPr>
      <w:rFonts w:ascii="Arial" w:hAnsi="Arial" w:eastAsia="Arial" w:cs="Arial"/>
      <w:b/>
      <w:bCs/>
      <w:sz w:val="24"/>
      <w:szCs w:val="24"/>
    </w:rPr>
  </w:style>
  <w:style w:type="paragraph" w:styleId="786">
    <w:name w:val="Heading 6"/>
    <w:basedOn w:val="954"/>
    <w:next w:val="95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5"/>
    <w:link w:val="786"/>
    <w:uiPriority w:val="9"/>
    <w:rPr>
      <w:rFonts w:ascii="Arial" w:hAnsi="Arial" w:eastAsia="Arial" w:cs="Arial"/>
      <w:b/>
      <w:bCs/>
      <w:sz w:val="22"/>
      <w:szCs w:val="22"/>
    </w:rPr>
  </w:style>
  <w:style w:type="paragraph" w:styleId="788">
    <w:name w:val="Heading 7"/>
    <w:basedOn w:val="954"/>
    <w:next w:val="95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5"/>
    <w:link w:val="788"/>
    <w:uiPriority w:val="9"/>
    <w:rPr>
      <w:rFonts w:ascii="Arial" w:hAnsi="Arial" w:eastAsia="Arial" w:cs="Arial"/>
      <w:b/>
      <w:bCs/>
      <w:i/>
      <w:iCs/>
      <w:sz w:val="22"/>
      <w:szCs w:val="22"/>
    </w:rPr>
  </w:style>
  <w:style w:type="paragraph" w:styleId="790">
    <w:name w:val="Heading 8"/>
    <w:basedOn w:val="954"/>
    <w:next w:val="95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5"/>
    <w:link w:val="790"/>
    <w:uiPriority w:val="9"/>
    <w:rPr>
      <w:rFonts w:ascii="Arial" w:hAnsi="Arial" w:eastAsia="Arial" w:cs="Arial"/>
      <w:i/>
      <w:iCs/>
      <w:sz w:val="22"/>
      <w:szCs w:val="22"/>
    </w:rPr>
  </w:style>
  <w:style w:type="paragraph" w:styleId="792">
    <w:name w:val="Heading 9"/>
    <w:basedOn w:val="954"/>
    <w:next w:val="95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5"/>
    <w:link w:val="792"/>
    <w:uiPriority w:val="9"/>
    <w:rPr>
      <w:rFonts w:ascii="Arial" w:hAnsi="Arial" w:eastAsia="Arial" w:cs="Arial"/>
      <w:i/>
      <w:iCs/>
      <w:sz w:val="21"/>
      <w:szCs w:val="21"/>
    </w:rPr>
  </w:style>
  <w:style w:type="paragraph" w:styleId="794">
    <w:name w:val="List Paragraph"/>
    <w:basedOn w:val="954"/>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4"/>
    <w:next w:val="954"/>
    <w:link w:val="797"/>
    <w:uiPriority w:val="10"/>
    <w:qFormat/>
    <w:pPr>
      <w:contextualSpacing/>
      <w:spacing w:before="300" w:after="200"/>
    </w:pPr>
    <w:rPr>
      <w:sz w:val="48"/>
      <w:szCs w:val="48"/>
    </w:rPr>
  </w:style>
  <w:style w:type="character" w:styleId="797">
    <w:name w:val="Title Char"/>
    <w:basedOn w:val="955"/>
    <w:link w:val="796"/>
    <w:uiPriority w:val="10"/>
    <w:rPr>
      <w:sz w:val="48"/>
      <w:szCs w:val="48"/>
    </w:rPr>
  </w:style>
  <w:style w:type="paragraph" w:styleId="798">
    <w:name w:val="Subtitle"/>
    <w:basedOn w:val="954"/>
    <w:next w:val="954"/>
    <w:link w:val="799"/>
    <w:uiPriority w:val="11"/>
    <w:qFormat/>
    <w:pPr>
      <w:spacing w:before="200" w:after="200"/>
    </w:pPr>
    <w:rPr>
      <w:sz w:val="24"/>
      <w:szCs w:val="24"/>
    </w:rPr>
  </w:style>
  <w:style w:type="character" w:styleId="799">
    <w:name w:val="Subtitle Char"/>
    <w:basedOn w:val="955"/>
    <w:link w:val="798"/>
    <w:uiPriority w:val="11"/>
    <w:rPr>
      <w:sz w:val="24"/>
      <w:szCs w:val="24"/>
    </w:rPr>
  </w:style>
  <w:style w:type="paragraph" w:styleId="800">
    <w:name w:val="Quote"/>
    <w:basedOn w:val="954"/>
    <w:next w:val="954"/>
    <w:link w:val="801"/>
    <w:uiPriority w:val="29"/>
    <w:qFormat/>
    <w:pPr>
      <w:ind w:left="720" w:right="720"/>
    </w:pPr>
    <w:rPr>
      <w:i/>
    </w:rPr>
  </w:style>
  <w:style w:type="character" w:styleId="801">
    <w:name w:val="Quote Char"/>
    <w:link w:val="800"/>
    <w:uiPriority w:val="29"/>
    <w:rPr>
      <w:i/>
    </w:rPr>
  </w:style>
  <w:style w:type="paragraph" w:styleId="802">
    <w:name w:val="Intense Quote"/>
    <w:basedOn w:val="954"/>
    <w:next w:val="9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4"/>
    <w:link w:val="805"/>
    <w:uiPriority w:val="99"/>
    <w:unhideWhenUsed/>
    <w:pPr>
      <w:spacing w:after="0" w:line="240" w:lineRule="auto"/>
      <w:tabs>
        <w:tab w:val="center" w:pos="7143" w:leader="none"/>
        <w:tab w:val="right" w:pos="14287" w:leader="none"/>
      </w:tabs>
    </w:pPr>
  </w:style>
  <w:style w:type="character" w:styleId="805">
    <w:name w:val="Header Char"/>
    <w:basedOn w:val="955"/>
    <w:link w:val="804"/>
    <w:uiPriority w:val="99"/>
  </w:style>
  <w:style w:type="paragraph" w:styleId="806">
    <w:name w:val="Footer"/>
    <w:basedOn w:val="954"/>
    <w:link w:val="809"/>
    <w:uiPriority w:val="99"/>
    <w:unhideWhenUsed/>
    <w:pPr>
      <w:spacing w:after="0" w:line="240" w:lineRule="auto"/>
      <w:tabs>
        <w:tab w:val="center" w:pos="7143" w:leader="none"/>
        <w:tab w:val="right" w:pos="14287" w:leader="none"/>
      </w:tabs>
    </w:pPr>
  </w:style>
  <w:style w:type="character" w:styleId="807">
    <w:name w:val="Footer Char"/>
    <w:basedOn w:val="955"/>
    <w:link w:val="806"/>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806"/>
    <w:uiPriority w:val="99"/>
  </w:style>
  <w:style w:type="table" w:styleId="810">
    <w:name w:val="Table Grid"/>
    <w:basedOn w:val="9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7">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1">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9">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6">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9">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3">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3">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7">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0">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4">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4">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8">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5"/>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5"/>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link w:val="960"/>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55" w:default="1">
    <w:name w:val="Default Paragraph Font"/>
    <w:uiPriority w:val="0"/>
    <w:semiHidden/>
    <w:qFormat/>
  </w:style>
  <w:style w:type="table" w:styleId="956" w:default="1">
    <w:name w:val="Normal Table"/>
    <w:uiPriority w:val="0"/>
    <w:semiHidden/>
    <w:qFormat/>
    <w:tblPr>
      <w:tblCellMar>
        <w:left w:w="108" w:type="dxa"/>
        <w:top w:w="0" w:type="dxa"/>
        <w:right w:w="108" w:type="dxa"/>
        <w:bottom w:w="0" w:type="dxa"/>
      </w:tblCellMar>
    </w:tblPr>
  </w:style>
  <w:style w:type="character" w:styleId="957">
    <w:name w:val="Strong"/>
    <w:basedOn w:val="955"/>
    <w:uiPriority w:val="0"/>
    <w:qFormat/>
    <w:rPr>
      <w:b/>
    </w:rPr>
  </w:style>
  <w:style w:type="paragraph" w:styleId="958"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959" w:customStyle="1">
    <w:name w:val="网格型1"/>
    <w:uiPriority w:val="0"/>
    <w:qFormat/>
    <w:pPr>
      <w:jc w:val="both"/>
      <w:widowControl w:val="off"/>
    </w:pPr>
    <w:tblPr/>
  </w:style>
  <w:style w:type="character" w:styleId="960" w:customStyle="1">
    <w:name w:val="默认段落字体1"/>
    <w:link w:val="954"/>
    <w:uiPriority w:val="1"/>
    <w:unhideWhenUsed/>
    <w:qFormat/>
    <w:rPr>
      <w:rFonts w:asciiTheme="minorHAnsi" w:hAnsiTheme="minorHAnsi" w:eastAsiaTheme="minorEastAsia" w:cstheme="minorBidi"/>
      <w:sz w:val="21"/>
      <w:szCs w:val="24"/>
      <w:lang w:val="en-US" w:eastAsia="zh-CN" w:bidi="ar-SA"/>
    </w:rPr>
  </w:style>
  <w:style w:type="paragraph" w:styleId="961" w:customStyle="1">
    <w:name w:val="正文_2"/>
    <w:next w:val="962"/>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正文文本缩进_0"/>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963" w:customStyle="1">
    <w:name w:val="p17_0_0"/>
    <w:uiPriority w:val="0"/>
    <w:qFormat/>
    <w:pPr>
      <w:jc w:val="left"/>
      <w:spacing w:before="100" w:beforeAutospacing="1" w:after="100" w:afterAutospacing="1"/>
      <w:widowControl/>
    </w:pPr>
    <w:rPr>
      <w:rFonts w:hint="default" w:ascii="宋体" w:hAnsi="宋体" w:eastAsia="Times New Roman" w:cs="宋体"/>
      <w:sz w:val="24"/>
      <w:szCs w:val="24"/>
      <w:lang w:val="en-US" w:eastAsia="zh-CN" w:bidi="ar-SA"/>
    </w:rPr>
  </w:style>
  <w:style w:type="paragraph" w:styleId="964" w:customStyle="1">
    <w:name w:val="Normal_19_0"/>
    <w:next w:val="965"/>
    <w:uiPriority w:val="0"/>
    <w:qFormat/>
    <w:pPr>
      <w:jc w:val="both"/>
      <w:widowControl w:val="off"/>
    </w:pPr>
    <w:rPr>
      <w:rFonts w:hint="default" w:ascii="Calibri" w:hAnsi="Calibri" w:eastAsia="宋体" w:cs="Times New Roman"/>
      <w:sz w:val="21"/>
      <w:szCs w:val="24"/>
      <w:lang w:val="en-US" w:eastAsia="zh-CN" w:bidi="ar-SA"/>
    </w:rPr>
  </w:style>
  <w:style w:type="paragraph" w:styleId="965" w:customStyle="1">
    <w:name w:val="Body Text First Indent_1_0"/>
    <w:uiPriority w:val="0"/>
    <w:qFormat/>
    <w:pPr>
      <w:ind w:firstLine="100"/>
      <w:jc w:val="both"/>
      <w:spacing w:after="120"/>
      <w:widowControl w:val="off"/>
    </w:pPr>
    <w:rPr>
      <w:rFonts w:hint="default" w:ascii="Calibri" w:hAnsi="Calibri" w:eastAsia="宋体" w:cs="Times New Roman"/>
      <w:sz w:val="21"/>
      <w:szCs w:val="24"/>
      <w:lang w:val="en-US" w:eastAsia="zh-CN" w:bidi="ar-SA"/>
    </w:rPr>
  </w:style>
  <w:style w:type="paragraph" w:styleId="966" w:customStyle="1">
    <w:name w:val="Normal1"/>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标题 311"/>
    <w:next w:val="968"/>
    <w:uiPriority w:val="0"/>
    <w:qFormat/>
    <w:pPr>
      <w:jc w:val="both"/>
      <w:keepLines/>
      <w:keepNext/>
      <w:spacing w:before="320" w:after="200"/>
      <w:widowControl w:val="off"/>
      <w:outlineLvl w:val="2"/>
    </w:pPr>
    <w:rPr>
      <w:rFonts w:hint="default" w:ascii="Arial" w:hAnsi="Arial" w:eastAsia="Arial" w:cs="Arial"/>
      <w:sz w:val="30"/>
      <w:szCs w:val="30"/>
      <w:lang w:val="en-US" w:eastAsia="zh-CN" w:bidi="ar-SA"/>
    </w:rPr>
  </w:style>
  <w:style w:type="paragraph" w:styleId="968" w:customStyle="1">
    <w:name w:val="Normal_19"/>
    <w:uiPriority w:val="0"/>
    <w:qFormat/>
    <w:rPr>
      <w:rFonts w:hint="default" w:ascii="黑体" w:hAnsi="黑体" w:eastAsia="黑体" w:cs="黑体"/>
      <w:b/>
      <w:sz w:val="32"/>
      <w:szCs w:val="24"/>
      <w:lang w:val="en-US" w:eastAsia="zh-CN" w:bidi="ar-SA"/>
    </w:rPr>
  </w:style>
  <w:style w:type="paragraph" w:styleId="969" w:customStyle="1">
    <w:name w:val="Normal11"/>
    <w:next w:val="970"/>
    <w:uiPriority w:val="0"/>
    <w:qFormat/>
    <w:pPr>
      <w:jc w:val="both"/>
      <w:widowControl w:val="off"/>
    </w:pPr>
    <w:rPr>
      <w:rFonts w:hint="default" w:ascii="Times New Roman" w:hAnsi="Times New Roman" w:eastAsia="宋体" w:cs="Times New Roman"/>
      <w:szCs w:val="21"/>
      <w:lang w:val="en-US" w:eastAsia="zh-CN" w:bidi="ar-SA"/>
    </w:rPr>
  </w:style>
  <w:style w:type="paragraph" w:styleId="970" w:customStyle="1">
    <w:name w:val="Body Text First Indent1"/>
    <w:uiPriority w:val="99"/>
    <w:unhideWhenUsed/>
    <w:qFormat/>
    <w:pPr>
      <w:ind w:firstLine="420"/>
      <w:jc w:val="both"/>
      <w:spacing w:after="120"/>
      <w:widowControl w:val="off"/>
    </w:pPr>
    <w:rPr>
      <w:rFonts w:hint="default" w:ascii="Times New Roman" w:hAnsi="Times New Roman" w:eastAsia="宋体" w:cs="Times New Roman"/>
      <w:szCs w:val="21"/>
      <w:lang w:val="en-US" w:eastAsia="zh-CN" w:bidi="ar-SA"/>
    </w:rPr>
  </w:style>
  <w:style w:type="paragraph" w:styleId="971" w:customStyle="1">
    <w:name w:val="Body Text1"/>
    <w:uiPriority w:val="99"/>
    <w:unhideWhenUsed/>
    <w:qFormat/>
    <w:pPr>
      <w:jc w:val="both"/>
      <w:spacing w:after="120"/>
      <w:widowControl w:val="off"/>
    </w:pPr>
    <w:rPr>
      <w:rFonts w:hint="default" w:ascii="Times New Roman" w:hAnsi="Times New Roman" w:eastAsia="宋体" w:cs="Times New Roman"/>
      <w:szCs w:val="21"/>
      <w:lang w:val="en-US" w:eastAsia="zh-CN" w:bidi="ar-SA"/>
    </w:rPr>
  </w:style>
  <w:style w:type="paragraph" w:styleId="972" w:customStyle="1">
    <w:name w:val="标题 11"/>
    <w:basedOn w:val="954"/>
    <w:next w:val="954"/>
    <w:uiPriority w:val="0"/>
    <w:qFormat/>
    <w:pPr>
      <w:jc w:val="center"/>
      <w:keepNext/>
      <w:outlineLvl w:val="0"/>
    </w:pPr>
    <w:rPr>
      <w:rFonts w:ascii="楷体_GB2312" w:eastAsia="楷体_GB2312"/>
      <w:sz w:val="28"/>
      <w:szCs w:val="28"/>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施静</cp:lastModifiedBy>
  <cp:revision>2</cp:revision>
  <dcterms:created xsi:type="dcterms:W3CDTF">2023-07-17T10:17:00Z</dcterms:created>
  <dcterms:modified xsi:type="dcterms:W3CDTF">2026-08-18T06:25:15Z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1538B005F0014C069531B80CB46E82EA_13</vt:lpwstr>
  </property>
  <property fmtid="{D5CDD505-2E9C-101B-9397-08002B2CF9AE}" pid="4" name="KSOTemplateDocerSaveRecord">
    <vt:lpwstr>eyJoZGlkIjoiMmQ3MjdiNmJhZDYzOGI5ZjJjZTBkNDBiYjEzNzEyYjciLCJ1c2VySWQiOiI3MDU0NTk4NTIifQ==</vt:lpwstr>
  </property>
</Properties>
</file>