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899"/>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9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952"/>
        <w:rPr>
          <w:rFonts w:hint="eastAsia"/>
          <w:color w:val="000000"/>
          <w:highlight w:val="none"/>
        </w:rPr>
      </w:pPr>
      <w:r>
        <w:rPr>
          <w:rFonts w:hint="eastAsia"/>
          <w:color w:val="000000"/>
          <w:highlight w:val="none"/>
        </w:rPr>
      </w:r>
      <w:r/>
    </w:p>
    <w:p>
      <w:pPr>
        <w:pStyle w:val="899"/>
        <w:rPr>
          <w:rFonts w:hint="eastAsia" w:ascii="宋体" w:hAnsi="宋体"/>
          <w:bCs/>
          <w:color w:val="000000"/>
          <w:highlight w:val="none"/>
        </w:rPr>
      </w:pPr>
      <w:r>
        <w:rPr>
          <w:rFonts w:hint="eastAsia" w:ascii="宋体" w:hAnsi="宋体"/>
          <w:bCs/>
          <w:color w:val="000000"/>
          <w:highlight w:val="none"/>
        </w:rPr>
      </w:r>
      <w:r/>
    </w:p>
    <w:p>
      <w:pPr>
        <w:pStyle w:val="899"/>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JSZC-320509-ZZHL-C2026-0028</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899"/>
        <w:ind w:right="0" w:firstLine="1205"/>
        <w:keepLines w:val="0"/>
        <w:keepNext w:val="0"/>
        <w:pageBreakBefore w:val="0"/>
        <w:spacing w:line="480" w:lineRule="auto"/>
        <w:widowControl w:val="off"/>
        <w:rPr>
          <w:rFonts w:hint="eastAsia" w:ascii="宋体" w:hAnsi="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同里镇小区管道设施管理服务项目(2026)</w:t>
      </w:r>
      <w:r>
        <w:rPr>
          <w:rFonts w:hint="eastAsia" w:ascii="宋体" w:hAnsi="宋体"/>
          <w:bCs/>
          <w:color w:val="000000"/>
          <w:sz w:val="30"/>
          <w:highlight w:val="none"/>
          <w:lang w:eastAsia="zh-CN"/>
        </w:rPr>
      </w:r>
      <w:r/>
    </w:p>
    <w:p>
      <w:pPr>
        <w:pStyle w:val="899"/>
        <w:ind w:right="0" w:firstLine="1205"/>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苏州市吴江区同里镇人民政府</w:t>
      </w:r>
      <w:r>
        <w:rPr>
          <w:rFonts w:hint="eastAsia" w:ascii="宋体" w:hAnsi="宋体" w:eastAsia="宋体"/>
          <w:bCs/>
          <w:color w:val="000000"/>
          <w:sz w:val="30"/>
          <w:highlight w:val="none"/>
          <w:lang w:eastAsia="zh-CN"/>
        </w:rPr>
      </w:r>
      <w:r/>
    </w:p>
    <w:p>
      <w:pPr>
        <w:pStyle w:val="899"/>
        <w:ind w:right="0" w:firstLine="1205"/>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89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05"/>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rPr>
          <w:rFonts w:ascii="Arial" w:hAnsi="Arial" w:cs="Arial"/>
          <w:color w:val="000000"/>
          <w:sz w:val="72"/>
          <w:szCs w:val="72"/>
          <w:highlight w:val="none"/>
          <w:lang w:val="zh-CN"/>
        </w:rPr>
      </w:r>
    </w:p>
    <w:p>
      <w:pPr>
        <w:pStyle w:val="905"/>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05"/>
        <w:ind w:left="0" w:firstLine="0"/>
        <w:jc w:val="center"/>
        <w:rPr>
          <w:rFonts w:ascii="Arial" w:hAnsi="Arial" w:cs="Arial"/>
          <w:color w:val="000000"/>
          <w:sz w:val="10"/>
          <w:szCs w:val="10"/>
          <w:highlight w:val="none"/>
          <w:lang w:val="zh-CN"/>
        </w:rPr>
      </w:pPr>
      <w:r>
        <w:rPr>
          <w:rFonts w:ascii="Arial" w:hAnsi="Arial" w:cs="Arial"/>
          <w:color w:val="000000"/>
          <w:sz w:val="10"/>
          <w:szCs w:val="10"/>
          <w:highlight w:val="none"/>
          <w:lang w:val="zh-CN"/>
        </w:rPr>
      </w:r>
      <w:r/>
    </w:p>
    <w:p>
      <w:pPr>
        <w:pStyle w:val="905"/>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899"/>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899"/>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七</w:t>
      </w:r>
      <w:r>
        <w:rPr>
          <w:rFonts w:hint="eastAsia" w:ascii="宋体" w:hAnsi="宋体"/>
          <w:b/>
          <w:color w:val="000000"/>
          <w:sz w:val="30"/>
          <w:highlight w:val="none"/>
        </w:rPr>
        <w:t xml:space="preserve">月</w:t>
      </w:r>
      <w:r>
        <w:rPr>
          <w:rFonts w:hint="eastAsia" w:ascii="宋体" w:hAnsi="宋体"/>
          <w:b/>
          <w:color w:val="000000"/>
          <w:highlight w:val="none"/>
        </w:rPr>
      </w:r>
      <w:r/>
    </w:p>
    <w:p>
      <w:pPr>
        <w:pStyle w:val="899"/>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899"/>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99"/>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899"/>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899"/>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_Toc35393800"/>
      <w:r/>
      <w:bookmarkStart w:id="1" w:name="_Toc35393631"/>
      <w:r/>
      <w:bookmarkStart w:id="2" w:name="OLE_LINK3"/>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同里镇小区管道设施管理服务项目(2026)</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2026年8月10日09:30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4"/>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1"/>
      <w:r/>
      <w:bookmarkStart w:id="5" w:name="OLE_LINK6"/>
      <w:r/>
      <w:bookmarkStart w:id="6" w:name="OLE_LINK4"/>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54"/>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JSZC-320509-ZZHL-C2026-0028。</w:t>
      </w:r>
      <w:r>
        <w:rPr>
          <w:rFonts w:hint="eastAsia" w:ascii="宋体" w:hAnsi="宋体" w:eastAsia="宋体" w:cs="宋体"/>
          <w:color w:val="000000"/>
          <w:sz w:val="24"/>
          <w:highlight w:val="none"/>
          <w:lang w:eastAsia="zh-CN"/>
        </w:rPr>
      </w:r>
      <w:r/>
    </w:p>
    <w:p>
      <w:pPr>
        <w:pStyle w:val="954"/>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同里镇小区管道设施管理服务项目(2026)。</w:t>
      </w:r>
      <w:r>
        <w:rPr>
          <w:rFonts w:hint="eastAsia" w:ascii="宋体" w:hAnsi="宋体" w:eastAsia="宋体" w:cs="宋体"/>
          <w:color w:val="000000"/>
          <w:sz w:val="24"/>
          <w:highlight w:val="none"/>
          <w:lang w:eastAsia="zh-CN"/>
        </w:rPr>
      </w:r>
      <w:r/>
    </w:p>
    <w:p>
      <w:pPr>
        <w:pStyle w:val="954"/>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额：人民币壹佰壹拾万圆整（￥：1100000.00）。</w:t>
      </w:r>
      <w:r>
        <w:rPr>
          <w:rFonts w:hint="eastAsia" w:ascii="宋体" w:hAnsi="宋体" w:eastAsia="宋体" w:cs="宋体"/>
          <w:color w:val="000000"/>
          <w:sz w:val="24"/>
          <w:highlight w:val="none"/>
          <w:lang w:eastAsia="zh-CN"/>
        </w:rPr>
      </w:r>
      <w:r/>
    </w:p>
    <w:p>
      <w:pPr>
        <w:pStyle w:val="954"/>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w:t>
      </w:r>
      <w:r>
        <w:rPr>
          <w:rFonts w:hint="eastAsia" w:ascii="宋体" w:hAnsi="宋体" w:eastAsia="宋体" w:cs="宋体"/>
          <w:color w:val="000000"/>
          <w:sz w:val="24"/>
          <w:highlight w:val="none"/>
          <w:lang w:eastAsia="zh-CN"/>
        </w:rPr>
        <w:t xml:space="preserve">人民币壹佰壹拾万圆整（￥：1100000.00）。</w:t>
      </w:r>
      <w:r>
        <w:rPr>
          <w:rFonts w:hint="eastAsia" w:ascii="宋体" w:hAnsi="宋体" w:eastAsia="宋体" w:cs="宋体"/>
          <w:color w:val="000000"/>
          <w:sz w:val="24"/>
          <w:highlight w:val="none"/>
          <w:lang w:eastAsia="zh-CN"/>
        </w:rPr>
      </w:r>
      <w:r/>
    </w:p>
    <w:p>
      <w:pPr>
        <w:pStyle w:val="954"/>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w:t>
      </w:r>
      <w:r>
        <w:rPr>
          <w:rFonts w:hint="eastAsia" w:ascii="宋体" w:hAnsi="宋体" w:eastAsia="宋体" w:cs="宋体"/>
          <w:color w:val="000000"/>
          <w:sz w:val="24"/>
          <w:highlight w:val="none"/>
          <w:lang w:eastAsia="zh-CN"/>
        </w:rPr>
        <w:t xml:space="preserve">需求：</w:t>
      </w:r>
      <w:r>
        <w:rPr>
          <w:rFonts w:hint="eastAsia" w:ascii="宋体" w:hAnsi="宋体" w:cs="宋体"/>
          <w:color w:val="000000"/>
          <w:sz w:val="24"/>
          <w:highlight w:val="none"/>
          <w:lang w:eastAsia="zh-CN"/>
        </w:rPr>
        <w:t xml:space="preserve">同里镇小区管道设施管理服务项目(2026)，</w:t>
      </w:r>
      <w:r>
        <w:rPr>
          <w:rFonts w:hint="eastAsia" w:ascii="宋体" w:hAnsi="宋体" w:cs="宋体"/>
          <w:color w:val="000000"/>
          <w:sz w:val="24"/>
          <w:highlight w:val="none"/>
          <w:lang w:val="en-US" w:eastAsia="zh-CN"/>
        </w:rPr>
        <w:t xml:space="preserve">主要服务内容包括</w:t>
      </w:r>
      <w:r>
        <w:rPr>
          <w:rFonts w:hint="eastAsia" w:ascii="宋体" w:hAnsi="宋体" w:eastAsia="宋体" w:cs="宋体"/>
          <w:color w:val="000000"/>
          <w:sz w:val="24"/>
          <w:highlight w:val="none"/>
          <w:lang w:eastAsia="zh-CN"/>
        </w:rPr>
        <w:t xml:space="preserve">21个动迁安置及无物业小区的雨污水管网养护、检测、修复等服务；涉及管道长度约为90.2千米，雨污水检查井 7145座。具体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54"/>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.合同履行期限：合同生效之日起一年。</w:t>
      </w:r>
      <w:r>
        <w:rPr>
          <w:rFonts w:hint="eastAsia" w:ascii="宋体" w:hAnsi="宋体" w:eastAsia="宋体" w:cs="宋体"/>
          <w:color w:val="000000"/>
          <w:sz w:val="24"/>
          <w:highlight w:val="none"/>
          <w:lang w:eastAsia="zh-CN"/>
        </w:rPr>
      </w:r>
      <w:r/>
    </w:p>
    <w:p>
      <w:pPr>
        <w:pStyle w:val="954"/>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成交单位数量：1家。</w:t>
      </w:r>
      <w:r>
        <w:rPr>
          <w:rFonts w:ascii="宋体" w:hAnsi="宋体" w:eastAsia="宋体" w:cs="宋体"/>
          <w:color w:val="000000"/>
          <w:sz w:val="24"/>
          <w:highlight w:val="none"/>
          <w:lang w:val="en-US" w:eastAsia="zh-CN"/>
        </w:rPr>
      </w:r>
      <w:r/>
    </w:p>
    <w:p>
      <w:pPr>
        <w:pStyle w:val="954"/>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54"/>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54"/>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54"/>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4"/>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（1）具有独立承担民事责任的能力； </w:t>
      </w:r>
      <w:r>
        <w:rPr>
          <w:rFonts w:hint="eastAsia" w:ascii="宋体" w:hAnsi="宋体" w:cs="宋体"/>
          <w:color w:val="000000"/>
          <w:sz w:val="24"/>
          <w:highlight w:val="none"/>
        </w:rPr>
      </w:r>
      <w:r/>
    </w:p>
    <w:p>
      <w:pPr>
        <w:pStyle w:val="954"/>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w:t>
      </w:r>
      <w:r>
        <w:rPr>
          <w:rFonts w:hint="eastAsia" w:ascii="宋体" w:hAnsi="宋体" w:cs="宋体"/>
          <w:color w:val="000000"/>
          <w:sz w:val="24"/>
          <w:highlight w:val="none"/>
        </w:rPr>
      </w:r>
      <w:r/>
    </w:p>
    <w:p>
      <w:pPr>
        <w:pStyle w:val="954"/>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w:t>
      </w:r>
      <w:r>
        <w:rPr>
          <w:rFonts w:hint="eastAsia" w:ascii="宋体" w:hAnsi="宋体" w:cs="宋体"/>
          <w:color w:val="000000"/>
          <w:sz w:val="24"/>
          <w:highlight w:val="none"/>
        </w:rPr>
      </w:r>
      <w:r/>
    </w:p>
    <w:p>
      <w:pPr>
        <w:pStyle w:val="954"/>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w:t>
      </w:r>
      <w:r>
        <w:rPr>
          <w:rFonts w:hint="eastAsia" w:ascii="宋体" w:hAnsi="宋体" w:cs="宋体"/>
          <w:color w:val="000000"/>
          <w:sz w:val="24"/>
          <w:highlight w:val="none"/>
        </w:rPr>
      </w:r>
      <w:r/>
    </w:p>
    <w:p>
      <w:pPr>
        <w:pStyle w:val="954"/>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（5）参加政府采购活动前三年内，在经营活动中没有重大违法记录；</w:t>
      </w:r>
      <w:r>
        <w:rPr>
          <w:rFonts w:hint="eastAsia" w:ascii="宋体" w:hAnsi="宋体" w:cs="宋体"/>
          <w:color w:val="000000"/>
          <w:sz w:val="24"/>
          <w:highlight w:val="none"/>
        </w:rPr>
      </w:r>
      <w:r/>
    </w:p>
    <w:p>
      <w:pPr>
        <w:pStyle w:val="954"/>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4"/>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54"/>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本项目专门面向中小微企业采购,所属行业为其他未列明行业。承接服务的供应商应为中小微企业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54"/>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lang w:bidi="ar"/>
        </w:rPr>
      </w:r>
      <w:r/>
    </w:p>
    <w:p>
      <w:pPr>
        <w:pStyle w:val="899"/>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lang w:bidi="ar"/>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u w:val="single"/>
        </w:rPr>
      </w:pPr>
      <w:r/>
      <w:bookmarkStart w:id="7" w:name="_Toc35393636"/>
      <w:r/>
      <w:bookmarkStart w:id="8" w:name="_Toc35393805"/>
      <w:r/>
      <w:bookmarkStart w:id="9" w:name="_Toc28359095"/>
      <w:r/>
      <w:bookmarkStart w:id="10" w:name="_Toc28359018"/>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lang w:eastAsia="zh-CN"/>
        </w:rPr>
        <w:t xml:space="preserve">月7</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rPr>
        <w:t xml:space="preserve">23:59（北京时间）。</w:t>
      </w:r>
      <w:r>
        <w:rPr>
          <w:rFonts w:hint="eastAsia" w:ascii="宋体" w:hAnsi="宋体" w:cs="宋体"/>
          <w:color w:val="000000"/>
          <w:sz w:val="24"/>
          <w:highlight w:val="none"/>
          <w:u w:val="single"/>
        </w:rPr>
      </w:r>
      <w:r/>
    </w:p>
    <w:p>
      <w:pPr>
        <w:pStyle w:val="899"/>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（1）CA证书办理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（2）参与采购活动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（3）电子投标（响应）准备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2026年8月10日09:30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2026年8月10日09:30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rPr>
      </w:r>
      <w:r/>
    </w:p>
    <w:p>
      <w:pPr>
        <w:pStyle w:val="946"/>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shd w:val="clear" w:color="auto" w:fill="ffffff"/>
        </w:rPr>
      </w:pPr>
      <w:r/>
      <w:bookmarkStart w:id="11" w:name="_Toc35393795"/>
      <w:r/>
      <w:bookmarkStart w:id="12" w:name="_Toc35393626"/>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22"/>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w:t>
      </w:r>
      <w:r>
        <w:rPr>
          <w:rFonts w:hint="eastAsia" w:ascii="宋体" w:hAnsi="宋体" w:cs="宋体"/>
          <w:color w:val="000000"/>
          <w:sz w:val="24"/>
          <w:highlight w:val="none"/>
          <w:shd w:val="clear" w:color="auto" w:fill="ffffff"/>
          <w:lang w:eastAsia="zh-CN"/>
        </w:rPr>
        <w:t xml:space="preserve">江苏省政府采购网、苏州市政府采购网</w:t>
      </w:r>
      <w:r>
        <w:rPr>
          <w:rFonts w:hint="eastAsia" w:ascii="宋体" w:hAnsi="宋体" w:cs="宋体"/>
          <w:color w:val="000000"/>
          <w:sz w:val="24"/>
          <w:highlight w:val="none"/>
          <w:shd w:val="clear" w:color="auto" w:fill="ffffff"/>
        </w:rPr>
        <w:t xml:space="preserve">上发布，敬请留意。</w:t>
      </w:r>
      <w:r>
        <w:rPr>
          <w:rFonts w:hint="eastAsia" w:ascii="宋体" w:hAnsi="宋体" w:cs="宋体"/>
          <w:color w:val="000000"/>
          <w:sz w:val="24"/>
          <w:highlight w:val="none"/>
          <w:shd w:val="clear" w:color="auto" w:fill="ffffff"/>
        </w:rPr>
      </w:r>
      <w:r/>
    </w:p>
    <w:p>
      <w:pPr>
        <w:pStyle w:val="922"/>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89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35393637"/>
      <w:r/>
      <w:bookmarkStart w:id="14" w:name="_Toc35393806"/>
      <w:r/>
      <w:bookmarkStart w:id="15" w:name="_Toc28359019"/>
      <w:r/>
      <w:bookmarkStart w:id="16" w:name="_Toc28359096"/>
      <w:r>
        <w:rPr>
          <w:rFonts w:hint="eastAsia" w:ascii="宋体" w:hAnsi="宋体" w:cs="宋体"/>
          <w:b/>
          <w:color w:val="000000"/>
          <w:sz w:val="24"/>
          <w:highlight w:val="none"/>
        </w:rPr>
      </w:r>
      <w:r/>
    </w:p>
    <w:p>
      <w:pPr>
        <w:pStyle w:val="899"/>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称：苏州市吴江区同里镇人民政府　　　　　　　　　　　　</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址：吴江区同里镇迎燕东路68号</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计悦</w:t>
      </w:r>
      <w:r>
        <w:rPr>
          <w:rFonts w:hint="eastAsia" w:ascii="宋体" w:hAnsi="宋体" w:eastAsia="宋体" w:cs="宋体"/>
          <w:color w:val="000000"/>
          <w:sz w:val="24"/>
          <w:highlight w:val="none"/>
          <w:shd w:val="clear" w:color="auto" w:fill="ffffff"/>
          <w:lang w:val="zh-CN" w:eastAsia="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0512-63327165</w:t>
      </w:r>
      <w:r>
        <w:rPr>
          <w:rFonts w:hint="eastAsia" w:ascii="宋体" w:hAnsi="宋体" w:eastAsia="宋体" w:cs="宋体"/>
          <w:color w:val="000000"/>
          <w:sz w:val="24"/>
          <w:highlight w:val="none"/>
          <w:shd w:val="clear" w:color="auto" w:fill="ffffff"/>
          <w:lang w:val="zh-CN"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89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w:t>
      </w:r>
      <w:r>
        <w:rPr>
          <w:rFonts w:hint="eastAsia" w:ascii="宋体" w:hAnsi="宋体" w:cs="宋体"/>
          <w:color w:val="000000"/>
          <w:sz w:val="24"/>
          <w:highlight w:val="none"/>
          <w:shd w:val="clear" w:color="auto" w:fill="ffffff"/>
          <w:lang w:val="en-US" w:eastAsia="zh-CN"/>
        </w:rPr>
        <w:t xml:space="preserve">钱予淳、王雪娇</w:t>
      </w:r>
      <w:r>
        <w:rPr>
          <w:rFonts w:ascii="宋体" w:hAnsi="宋体" w:eastAsia="宋体" w:cs="宋体"/>
          <w:color w:val="000000"/>
          <w:sz w:val="24"/>
          <w:highlight w:val="none"/>
          <w:shd w:val="clear" w:color="auto" w:fill="ffffff"/>
          <w:lang w:val="en-US" w:eastAsia="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899"/>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9"/>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910"/>
        <w:tabs>
          <w:tab w:val="left" w:pos="5250" w:leader="none"/>
        </w:tabs>
        <w:rPr>
          <w:rFonts w:hint="eastAsia"/>
          <w:highlight w:val="none"/>
        </w:rPr>
      </w:pPr>
      <w:r>
        <w:rPr>
          <w:rFonts w:hint="eastAsia"/>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7" w:name="_Toc20823275"/>
      <w:r/>
      <w:bookmarkStart w:id="18" w:name="_Toc16938519"/>
      <w:r/>
      <w:bookmarkStart w:id="19" w:name="_Toc120614214"/>
      <w:r/>
      <w:bookmarkStart w:id="20" w:name="_Toc513029203"/>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16938520"/>
      <w:r/>
      <w:bookmarkStart w:id="23" w:name="_Toc513029204"/>
      <w:r/>
      <w:bookmarkStart w:id="24" w:name="_Toc20823276"/>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5" w:name="_Toc20823277"/>
      <w:r/>
      <w:bookmarkStart w:id="26" w:name="_Toc16938521"/>
      <w:r/>
      <w:bookmarkStart w:id="27" w:name="_Toc513029205"/>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8" w:name="_Toc16938522"/>
      <w:r/>
      <w:bookmarkStart w:id="29" w:name="_Toc513029206"/>
      <w:r/>
      <w:bookmarkStart w:id="30" w:name="_Toc20823278"/>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31" w:name="_Toc462564067"/>
      <w:r/>
      <w:bookmarkStart w:id="32" w:name="_Toc16938523"/>
      <w:r/>
      <w:bookmarkStart w:id="33" w:name="_Toc513029207"/>
      <w:r/>
      <w:bookmarkStart w:id="34" w:name="_Toc20823279"/>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cs="宋体"/>
          <w:bCs/>
          <w:color w:val="000000"/>
          <w:sz w:val="24"/>
          <w:highlight w:val="none"/>
        </w:rPr>
        <w:t xml:space="preserve">4.1 供应商应</w:t>
      </w:r>
      <w:r>
        <w:rPr>
          <w:rFonts w:hint="eastAsia" w:ascii="宋体" w:hAnsi="宋体" w:eastAsia="宋体" w:cs="宋体"/>
          <w:color w:val="000000"/>
          <w:sz w:val="24"/>
          <w:highlight w:val="none"/>
        </w:rPr>
        <w:t xml:space="preserve">自行承担所有与参加</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有关的费用，无论</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过程中的做法和结果如何，</w:t>
      </w:r>
      <w:r>
        <w:rPr>
          <w:rFonts w:hint="eastAsia" w:ascii="宋体" w:hAnsi="宋体" w:eastAsia="宋体" w:cs="宋体"/>
          <w:color w:val="000000"/>
          <w:sz w:val="24"/>
          <w:highlight w:val="none"/>
          <w:lang w:eastAsia="zh-CN"/>
        </w:rPr>
        <w:t xml:space="preserve">中招互连项目管理（苏州）有限公司</w:t>
      </w:r>
      <w:r>
        <w:rPr>
          <w:rFonts w:hint="eastAsia" w:ascii="宋体" w:hAnsi="宋体" w:eastAsia="宋体" w:cs="宋体"/>
          <w:color w:val="000000"/>
          <w:sz w:val="24"/>
          <w:highlight w:val="none"/>
        </w:rPr>
        <w:t xml:space="preserve">（以下简称采购代理机构）在任何情况下均无义务和责任承担这些费用。</w:t>
      </w:r>
      <w:r>
        <w:rPr>
          <w:rFonts w:hint="eastAsia" w:ascii="宋体" w:hAnsi="宋体" w:eastAsia="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4.2</w:t>
      </w:r>
      <w:r>
        <w:rPr>
          <w:rFonts w:hint="eastAsia" w:ascii="宋体" w:hAnsi="宋体" w:eastAsia="宋体" w:cs="宋体"/>
          <w:color w:val="000000"/>
          <w:sz w:val="24"/>
          <w:highlight w:val="none"/>
          <w:lang w:eastAsia="zh-CN"/>
        </w:rPr>
        <w:t xml:space="preserve">代理服务费</w:t>
      </w:r>
      <w:r>
        <w:rPr>
          <w:rFonts w:hint="eastAsia" w:ascii="宋体" w:hAnsi="宋体" w:eastAsia="宋体" w:cs="宋体"/>
          <w:color w:val="000000"/>
          <w:sz w:val="24"/>
          <w:highlight w:val="none"/>
        </w:rPr>
        <w:t xml:space="preserve">：</w:t>
      </w:r>
      <w:r>
        <w:rPr>
          <w:rFonts w:hint="eastAsia" w:ascii="宋体" w:hAnsi="宋体" w:cs="宋体"/>
          <w:bCs/>
          <w:color w:val="000000"/>
          <w:sz w:val="24"/>
          <w:highlight w:val="none"/>
        </w:rPr>
        <w:t xml:space="preserve">代理服务费在成交通知书发出之日起30个工作日内，由采购人向代理机构支付，</w:t>
      </w:r>
      <w:r>
        <w:rPr>
          <w:rFonts w:hint="eastAsia" w:ascii="宋体" w:hAnsi="宋体"/>
          <w:color w:val="000000"/>
          <w:sz w:val="24"/>
          <w:highlight w:val="none"/>
        </w:rPr>
        <w:t xml:space="preserve">采购人已通过</w:t>
      </w:r>
      <w:r>
        <w:rPr>
          <w:rStyle w:val="955"/>
          <w:rFonts w:hint="eastAsia" w:ascii="宋体" w:hAnsi="宋体" w:cs="宋体"/>
          <w:color w:val="000000"/>
          <w:sz w:val="24"/>
          <w:highlight w:val="none"/>
        </w:rPr>
        <w:t xml:space="preserve">吴江区中介超市确定</w:t>
      </w:r>
      <w:r>
        <w:rPr>
          <w:rStyle w:val="955"/>
          <w:rFonts w:hint="eastAsia" w:ascii="宋体" w:hAnsi="宋体" w:cs="宋体"/>
          <w:color w:val="000000"/>
          <w:sz w:val="24"/>
          <w:highlight w:val="none"/>
          <w:lang w:val="en-US" w:eastAsia="zh-CN"/>
        </w:rPr>
        <w:t xml:space="preserve">本项目</w:t>
      </w:r>
      <w:r>
        <w:rPr>
          <w:rStyle w:val="955"/>
          <w:rFonts w:hint="eastAsia" w:ascii="宋体" w:hAnsi="宋体" w:cs="宋体"/>
          <w:color w:val="000000"/>
          <w:sz w:val="24"/>
          <w:highlight w:val="none"/>
        </w:rPr>
        <w:t xml:space="preserve">代理服务费</w:t>
      </w:r>
      <w:r>
        <w:rPr>
          <w:rStyle w:val="955"/>
          <w:rFonts w:hint="eastAsia" w:ascii="宋体" w:hAnsi="宋体" w:cs="宋体"/>
          <w:color w:val="000000"/>
          <w:sz w:val="24"/>
          <w:highlight w:val="none"/>
          <w:lang w:val="en-US" w:eastAsia="zh-CN"/>
        </w:rPr>
        <w:t xml:space="preserve">金额</w:t>
      </w:r>
      <w:r>
        <w:rPr>
          <w:rStyle w:val="955"/>
          <w:rFonts w:hint="eastAsia" w:ascii="宋体" w:hAnsi="宋体" w:cs="宋体"/>
          <w:color w:val="000000"/>
          <w:sz w:val="24"/>
          <w:highlight w:val="none"/>
        </w:rPr>
        <w:t xml:space="preserve">为：</w:t>
      </w:r>
      <w:r>
        <w:rPr>
          <w:rStyle w:val="955"/>
          <w:rFonts w:hint="eastAsia" w:ascii="宋体" w:hAnsi="宋体" w:cs="宋体"/>
          <w:color w:val="000000"/>
          <w:sz w:val="24"/>
          <w:highlight w:val="none"/>
          <w:lang w:val="en-US" w:eastAsia="zh-CN"/>
        </w:rPr>
        <w:t xml:space="preserve">13685.00元。</w:t>
      </w:r>
      <w:r>
        <w:rPr>
          <w:rFonts w:ascii="宋体" w:hAnsi="宋体" w:eastAsia="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服务费交纳账户：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899"/>
        <w:ind w:firstLine="480"/>
        <w:spacing w:line="360" w:lineRule="auto"/>
        <w:rPr>
          <w:color w:val="000000"/>
          <w:highlight w:val="none"/>
          <w:lang w:val="en-US" w:eastAsia="zh-CN"/>
        </w:rPr>
      </w:pPr>
      <w:r>
        <w:rPr>
          <w:rFonts w:hint="eastAsia" w:ascii="宋体" w:hAnsi="宋体" w:cs="宋体"/>
          <w:color w:val="000000"/>
          <w:sz w:val="24"/>
          <w:highlight w:val="none"/>
          <w:lang w:val="en-US" w:eastAsia="zh-CN"/>
        </w:rPr>
        <w:t xml:space="preserve">4.3评审费：</w:t>
      </w:r>
      <w:r>
        <w:rPr>
          <w:rFonts w:hint="eastAsia" w:ascii="宋体" w:hAnsi="宋体" w:cs="宋体"/>
          <w:color w:val="000000"/>
          <w:sz w:val="24"/>
          <w:highlight w:val="none"/>
          <w:lang w:val="en-US" w:eastAsia="zh-CN"/>
        </w:rPr>
        <w:t xml:space="preserve">采购人在磋商结束后30个工作日内向专业评委支付。</w:t>
      </w:r>
      <w:r>
        <w:rPr>
          <w:color w:val="000000"/>
          <w:highlight w:val="none"/>
          <w:lang w:val="en-US" w:eastAsia="zh-CN"/>
        </w:rPr>
      </w:r>
      <w:r/>
    </w:p>
    <w:p>
      <w:pPr>
        <w:pStyle w:val="899"/>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35" w:name="_Toc120614215"/>
      <w:r/>
      <w:bookmarkStart w:id="36" w:name="_Toc513029209"/>
      <w:r/>
      <w:bookmarkStart w:id="37" w:name="_Toc16938525"/>
      <w:r/>
      <w:bookmarkStart w:id="38" w:name="_Toc20823281"/>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39" w:name="_Toc16938526"/>
      <w:r/>
      <w:bookmarkStart w:id="40" w:name="_Toc20823282"/>
      <w:r/>
      <w:bookmarkStart w:id="41" w:name="_Toc513029210"/>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2" w:name="_Toc20823283"/>
      <w:r/>
      <w:bookmarkStart w:id="43" w:name="_Toc462564070"/>
      <w:r/>
      <w:bookmarkStart w:id="44" w:name="_Toc513029211"/>
      <w:r/>
      <w:bookmarkStart w:id="45" w:name="_Toc16938527"/>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6" w:name="_Toc462564071"/>
      <w:r/>
      <w:bookmarkStart w:id="47" w:name="_Toc20823284"/>
      <w:r/>
      <w:bookmarkStart w:id="48" w:name="_Toc16938528"/>
      <w:r/>
      <w:bookmarkStart w:id="49" w:name="_Toc513029212"/>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16938529"/>
      <w:r/>
      <w:bookmarkStart w:id="51" w:name="_Toc120614216"/>
      <w:r/>
      <w:bookmarkStart w:id="52" w:name="_Toc462564072"/>
      <w:r/>
      <w:bookmarkStart w:id="53" w:name="_Toc20823285"/>
      <w:r/>
      <w:bookmarkStart w:id="54" w:name="_Toc513029213"/>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
          <w:color w:val="000000"/>
          <w:sz w:val="24"/>
          <w:highlight w:val="none"/>
        </w:rPr>
        <w:outlineLvl w:val="3"/>
      </w:pPr>
      <w:r/>
      <w:bookmarkStart w:id="55" w:name="_Toc513029214"/>
      <w:r/>
      <w:bookmarkStart w:id="56" w:name="_Toc16938530"/>
      <w:r/>
      <w:bookmarkStart w:id="57" w:name="_Toc462564073"/>
      <w:r/>
      <w:bookmarkStart w:id="58" w:name="_Toc20823286"/>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59" w:name="_Toc513029215"/>
      <w:r/>
      <w:bookmarkStart w:id="60" w:name="_Toc20823287"/>
      <w:r/>
      <w:bookmarkStart w:id="61" w:name="_Toc462564074"/>
      <w:r/>
      <w:bookmarkStart w:id="62" w:name="_Toc16938531"/>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07"/>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eastAsia="宋体" w:cs="宋体"/>
          <w:b/>
          <w:color w:val="000000"/>
          <w:sz w:val="24"/>
          <w:szCs w:val="24"/>
          <w:highlight w:val="none"/>
        </w:rPr>
        <w:t xml:space="preserve">磋商报价分析表</w:t>
      </w:r>
      <w:r>
        <w:rPr>
          <w:rFonts w:hint="eastAsia" w:ascii="宋体" w:hAnsi="宋体" w:eastAsia="宋体" w:cs="宋体"/>
          <w:b/>
          <w:color w:val="000000"/>
          <w:sz w:val="24"/>
          <w:szCs w:val="24"/>
          <w:highlight w:val="none"/>
          <w:lang w:eastAsia="zh-CN"/>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07"/>
        <w:ind w:firstLine="480"/>
        <w:spacing w:line="360" w:lineRule="auto"/>
        <w:rPr>
          <w:rFonts w:eastAsia="宋体"/>
          <w:color w:val="000000"/>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eastAsia="宋体"/>
          <w:color w:val="000000"/>
          <w:highlight w:val="none"/>
          <w:lang w:val="en-US" w:eastAsia="zh-CN"/>
        </w:rPr>
      </w:r>
      <w:r/>
    </w:p>
    <w:p>
      <w:pPr>
        <w:pStyle w:val="907"/>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7"/>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如有，详见采购文件第一章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b/>
          <w:color w:val="000000"/>
          <w:sz w:val="24"/>
          <w:szCs w:val="24"/>
          <w:highlight w:val="none"/>
        </w:rPr>
        <w:t xml:space="preserve">6综合评审响应文件</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w:t>
      </w:r>
      <w:r>
        <w:rPr>
          <w:rFonts w:hint="eastAsia" w:ascii="宋体" w:hAnsi="宋体" w:eastAsia="宋体" w:cs="宋体"/>
          <w:color w:val="000000"/>
          <w:sz w:val="24"/>
          <w:szCs w:val="24"/>
          <w:highlight w:val="none"/>
          <w:lang w:val="en-US" w:eastAsia="zh-CN"/>
        </w:rPr>
        <w:t xml:space="preserve">清单表（如有，见文件格式）；</w:t>
      </w:r>
      <w:r>
        <w:rPr>
          <w:rFonts w:hint="eastAsia" w:ascii="宋体" w:hAnsi="宋体" w:eastAsia="宋体" w:cs="宋体"/>
          <w:color w:val="000000"/>
          <w:sz w:val="24"/>
          <w:szCs w:val="24"/>
          <w:highlight w:val="none"/>
          <w:lang w:val="en-US" w:eastAsia="zh-CN"/>
        </w:rPr>
      </w:r>
      <w:r/>
    </w:p>
    <w:p>
      <w:pPr>
        <w:pStyle w:val="90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10.6.4类似项目</w:t>
      </w:r>
      <w:r>
        <w:rPr>
          <w:rFonts w:hint="eastAsia" w:ascii="宋体" w:hAnsi="宋体" w:eastAsia="宋体" w:cs="宋体"/>
          <w:color w:val="000000"/>
          <w:sz w:val="24"/>
          <w:szCs w:val="24"/>
          <w:highlight w:val="none"/>
          <w:lang w:val="zh-CN" w:eastAsia="zh-CN"/>
        </w:rPr>
        <w:t xml:space="preserve">业绩一览表</w:t>
      </w:r>
      <w:r>
        <w:rPr>
          <w:rFonts w:hint="eastAsia" w:ascii="宋体" w:hAnsi="宋体" w:eastAsia="宋体" w:cs="宋体"/>
          <w:color w:val="000000"/>
          <w:sz w:val="24"/>
          <w:szCs w:val="24"/>
          <w:highlight w:val="none"/>
          <w:lang w:val="en-US" w:eastAsia="zh-CN"/>
        </w:rPr>
        <w:t xml:space="preserve">（如有，见文件格式）；</w:t>
      </w:r>
      <w:r>
        <w:rPr>
          <w:rFonts w:hint="eastAsia" w:ascii="宋体" w:hAnsi="宋体" w:eastAsia="宋体" w:cs="宋体"/>
          <w:color w:val="000000"/>
          <w:sz w:val="24"/>
          <w:szCs w:val="24"/>
          <w:highlight w:val="none"/>
          <w:lang w:val="en-US" w:eastAsia="zh-CN"/>
        </w:rPr>
      </w:r>
      <w:r/>
    </w:p>
    <w:p>
      <w:pPr>
        <w:pStyle w:val="90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10.6.5关于符合本国产品标准的声明函（如有）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10.6.6采购需求及评分标准</w:t>
      </w:r>
      <w:r>
        <w:rPr>
          <w:rFonts w:hint="eastAsia" w:ascii="宋体" w:hAnsi="宋体" w:cs="宋体"/>
          <w:color w:val="000000"/>
          <w:sz w:val="24"/>
          <w:szCs w:val="24"/>
          <w:highlight w:val="none"/>
        </w:rPr>
        <w:t xml:space="preserve">中所涉及到的其他材料。</w:t>
      </w:r>
      <w:r>
        <w:rPr>
          <w:rFonts w:hint="eastAsia" w:ascii="宋体" w:hAnsi="宋体" w:cs="宋体"/>
          <w:color w:val="000000"/>
          <w:sz w:val="24"/>
          <w:szCs w:val="24"/>
          <w:highlight w:val="none"/>
        </w:rPr>
      </w:r>
      <w:r/>
    </w:p>
    <w:p>
      <w:pPr>
        <w:pStyle w:val="907"/>
        <w:ind w:firstLine="482"/>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b/>
          <w:bCs/>
          <w:color w:val="000000"/>
          <w:sz w:val="24"/>
          <w:szCs w:val="24"/>
          <w:highlight w:val="none"/>
        </w:rPr>
        <w:t xml:space="preserve">（1）以上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07"/>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899"/>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63" w:name="_Hlt26670360"/>
      <w:r/>
      <w:bookmarkEnd w:id="63"/>
      <w:r/>
      <w:bookmarkStart w:id="64" w:name="_Hlt26668975"/>
      <w:r/>
      <w:bookmarkEnd w:id="64"/>
      <w:r/>
      <w:bookmarkStart w:id="65" w:name="_Hlt26954838"/>
      <w:r/>
      <w:bookmarkEnd w:id="65"/>
      <w:r/>
      <w:bookmarkStart w:id="66" w:name="_Toc513029219"/>
      <w:r/>
      <w:bookmarkStart w:id="67" w:name="_Toc49090509"/>
      <w:r/>
      <w:bookmarkStart w:id="68" w:name="_Toc14577357"/>
      <w:r/>
      <w:bookmarkStart w:id="69" w:name="_Toc14577354"/>
      <w:r/>
      <w:bookmarkStart w:id="70" w:name="_Toc513029216"/>
      <w:r/>
      <w:bookmarkStart w:id="71" w:name="_Toc49090507"/>
      <w:r/>
      <w:bookmarkStart w:id="72" w:name="_Toc14577355"/>
      <w:r/>
      <w:bookmarkStart w:id="73" w:name="_Toc49090508"/>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4" w:name="_Hlt26670482"/>
      <w:r/>
      <w:bookmarkEnd w:id="74"/>
      <w:r/>
      <w:bookmarkStart w:id="75" w:name="_Hlt26954846"/>
      <w:r/>
      <w:bookmarkEnd w:id="75"/>
      <w:r/>
      <w:bookmarkStart w:id="76" w:name="_Hlt26954848"/>
      <w:r/>
      <w:bookmarkEnd w:id="76"/>
      <w:r/>
      <w:bookmarkStart w:id="77" w:name="_Hlt26954731"/>
      <w:r/>
      <w:bookmarkEnd w:id="77"/>
      <w:r/>
      <w:bookmarkStart w:id="78" w:name="_Hlt26670486"/>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49090511"/>
      <w:r/>
      <w:bookmarkStart w:id="82" w:name="_Toc14577360"/>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83" w:name="_Hlt26954739"/>
      <w:r/>
      <w:bookmarkEnd w:id="83"/>
      <w:r/>
      <w:bookmarkStart w:id="84" w:name="_Hlt26954852"/>
      <w:r/>
      <w:bookmarkEnd w:id="84"/>
      <w:r/>
      <w:bookmarkStart w:id="85" w:name="_Toc20823296"/>
      <w:r/>
      <w:bookmarkStart w:id="86" w:name="_Toc513029224"/>
      <w:r/>
      <w:bookmarkStart w:id="87" w:name="_Toc120614217"/>
      <w:r/>
      <w:bookmarkStart w:id="88" w:name="_Toc16938540"/>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89" w:name="_Toc16938541"/>
      <w:r/>
      <w:bookmarkStart w:id="90" w:name="_Toc20823297"/>
      <w:r/>
      <w:bookmarkStart w:id="91" w:name="_Toc462564084"/>
      <w:r/>
      <w:bookmarkStart w:id="92" w:name="_Toc513029225"/>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16938542"/>
      <w:r/>
      <w:bookmarkStart w:id="94" w:name="_Toc513029226"/>
      <w:r/>
      <w:bookmarkStart w:id="95" w:name="_Toc20823298"/>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6" w:name="_Toc20823299"/>
      <w:r/>
      <w:bookmarkStart w:id="97" w:name="_Toc16938543"/>
      <w:r/>
      <w:bookmarkStart w:id="98" w:name="_Toc513029227"/>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513029228"/>
      <w:r/>
      <w:bookmarkStart w:id="101" w:name="_Toc16938544"/>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02" w:name="_Toc20823301"/>
      <w:r/>
      <w:bookmarkStart w:id="103" w:name="_Toc513029229"/>
      <w:r/>
      <w:bookmarkStart w:id="104" w:name="_Toc120614218"/>
      <w:r/>
      <w:bookmarkStart w:id="105" w:name="_Toc16938545"/>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6" w:name="_Toc513029230"/>
      <w:r/>
      <w:bookmarkStart w:id="107" w:name="_Toc20823302"/>
      <w:r/>
      <w:bookmarkStart w:id="108" w:name="_Toc16938546"/>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9" w:name="_Toc513029231"/>
      <w:r/>
      <w:bookmarkStart w:id="110" w:name="_Toc20823303"/>
      <w:r/>
      <w:bookmarkStart w:id="111" w:name="_Toc16938547"/>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89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2" w:name="_Toc20823304"/>
      <w:r/>
      <w:bookmarkStart w:id="113" w:name="_Toc513029232"/>
      <w:r/>
      <w:bookmarkStart w:id="114" w:name="_Toc16938548"/>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5" w:name="_Toc20823305"/>
      <w:r/>
      <w:bookmarkStart w:id="116" w:name="_Toc513029233"/>
      <w:r/>
      <w:bookmarkStart w:id="117" w:name="_Toc16938549"/>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 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中打“★”为实质性要求和条件）。</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cs="宋体"/>
          <w:b/>
          <w:bCs/>
          <w:color w:val="000000"/>
          <w:sz w:val="24"/>
          <w:highlight w:val="none"/>
        </w:rPr>
        <w:t xml:space="preserve">关于对参与供应商信用记录的政府采购要求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26.3.7.1</w:t>
      </w:r>
      <w:r>
        <w:rPr>
          <w:rFonts w:hint="eastAsia" w:ascii="宋体" w:hAnsi="宋体" w:cs="宋体"/>
          <w:color w:val="000000"/>
          <w:sz w:val="24"/>
          <w:highlight w:val="none"/>
        </w:rPr>
        <w:t xml:space="preserve">采购代理机构会在接收响应文件截止时间后，登录信用中国网站（www.creditchina.gov.cn）查询供应商的信用记录，并将查询结果递交评审小组。</w:t>
      </w:r>
      <w:r>
        <w:rPr>
          <w:rFonts w:hint="eastAsia" w:ascii="宋体" w:hAnsi="宋体" w:cs="宋体"/>
          <w:color w:val="000000"/>
          <w:sz w:val="24"/>
          <w:highlight w:val="none"/>
        </w:rPr>
      </w:r>
      <w:r/>
    </w:p>
    <w:p>
      <w:pPr>
        <w:pStyle w:val="89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26.3.7.2</w:t>
      </w:r>
      <w:r>
        <w:rPr>
          <w:rFonts w:hint="eastAsia" w:ascii="宋体" w:hAnsi="宋体" w:cs="宋体"/>
          <w:color w:val="000000"/>
          <w:sz w:val="24"/>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highlight w:val="none"/>
        </w:rPr>
      </w:r>
      <w:r/>
    </w:p>
    <w:p>
      <w:pPr>
        <w:pStyle w:val="899"/>
        <w:ind w:firstLine="482"/>
        <w:spacing w:line="360" w:lineRule="auto"/>
        <w:tabs>
          <w:tab w:val="left" w:pos="567"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26.3.7.3</w:t>
      </w:r>
      <w:r>
        <w:rPr>
          <w:rFonts w:hint="eastAsia" w:ascii="宋体" w:hAnsi="宋体" w:cs="宋体"/>
          <w:color w:val="000000"/>
          <w:sz w:val="24"/>
          <w:highlight w:val="none"/>
        </w:rPr>
        <w:t xml:space="preserve">供应商若在经营活动中受到罚款的，请携带相关地方、部门对较大数额认定标准的证明材料，与响应文件一并提交。若无法提供，则可能承担响应无效等相应不利后果。</w:t>
      </w:r>
      <w:r>
        <w:rPr>
          <w:rFonts w:hint="eastAsia" w:ascii="宋体" w:hAnsi="宋体" w:cs="宋体"/>
          <w:color w:val="000000"/>
          <w:sz w:val="24"/>
          <w:highlight w:val="none"/>
        </w:rPr>
      </w:r>
      <w:r/>
    </w:p>
    <w:p>
      <w:pPr>
        <w:pStyle w:val="899"/>
        <w:ind w:firstLine="482"/>
        <w:spacing w:line="360" w:lineRule="auto"/>
        <w:tabs>
          <w:tab w:val="left" w:pos="42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26.3.7.4</w:t>
      </w:r>
      <w:r>
        <w:rPr>
          <w:rFonts w:hint="eastAsia" w:ascii="宋体" w:hAnsi="宋体" w:cs="宋体"/>
          <w:color w:val="000000"/>
          <w:sz w:val="24"/>
          <w:highlight w:val="none"/>
        </w:rPr>
        <w:t xml:space="preserve">对存在失信信息的供应商，由失信供应商进行确认。同时，采购代理机构工作人员应根据评审小组确认的失信信息，登录到相关来源网站页面进行复核并打印，作为证据留存。</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w:t>
      </w:r>
      <w:r>
        <w:rPr>
          <w:rFonts w:hint="eastAsia" w:ascii="宋体" w:hAnsi="宋体" w:cs="宋体"/>
          <w:color w:val="000000"/>
          <w:sz w:val="24"/>
          <w:highlight w:val="none"/>
        </w:rPr>
        <w:t xml:space="preserve">按照《中华人民共和国政府采购法》第二十二条规定，下列信用记录属于应依法拒绝供应商参加政府采购的失信信息：</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26.3.7.5.1</w:t>
      </w:r>
      <w:r>
        <w:rPr>
          <w:rFonts w:hint="eastAsia" w:ascii="宋体" w:hAnsi="宋体" w:cs="宋体"/>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26.3.7.5.2</w:t>
      </w:r>
      <w:r>
        <w:rPr>
          <w:rFonts w:hint="eastAsia" w:ascii="宋体" w:hAnsi="宋体" w:cs="宋体"/>
          <w:color w:val="000000"/>
          <w:sz w:val="24"/>
          <w:highlight w:val="none"/>
        </w:rPr>
        <w:t xml:space="preserve">财政部门与法院、工商、税务等部门联合惩戒的失信信息，包括：</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1）被列入失信被执行人名单；</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2）被列入重大税收违法案件当事人名单；</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26.3.8  响应文件含有采购人不能接受的附加条件的。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26.3.10响应文件未按照磋商文件要求加盖CA电子公章的。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26.3.11 不同供应商的响应文件制作机器码一致。</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bookmarkStart w:id="118" w:name="_Toc16938550"/>
      <w:r/>
      <w:bookmarkStart w:id="119" w:name="_Toc20823306"/>
      <w:r/>
      <w:bookmarkStart w:id="120" w:name="_Toc513029234"/>
      <w:r>
        <w:rPr>
          <w:rFonts w:hint="eastAsia" w:ascii="宋体" w:hAnsi="宋体" w:cs="宋体"/>
          <w:color w:val="000000"/>
          <w:sz w:val="24"/>
          <w:highlight w:val="none"/>
        </w:rPr>
        <w:t xml:space="preserve">26.6供应商在项目评审全过程中应保持通讯畅通，并安排专人与采购代理机构及磋商小组联系。</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41"/>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27.2.2评审标准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见本磋商文件第五章规定。</w:t>
      </w:r>
      <w:r>
        <w:rPr>
          <w:rFonts w:hint="eastAsia" w:ascii="宋体" w:hAnsi="宋体" w:cs="宋体"/>
          <w:color w:val="000000"/>
          <w:sz w:val="24"/>
          <w:highlight w:val="none"/>
        </w:rPr>
      </w:r>
      <w:r/>
    </w:p>
    <w:p>
      <w:pPr>
        <w:pStyle w:val="899"/>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价格作出解释，并提供项目具体成本测算等与报价合理性相关的书面说明及相关证明材料</w:t>
      </w:r>
      <w:bookmarkStart w:id="121" w:name="OLE_LINK9"/>
      <w:r/>
      <w:bookmarkStart w:id="122" w:name="OLE_LINK10"/>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w:t>
      </w:r>
      <w:r>
        <w:rPr>
          <w:rFonts w:hint="eastAsia" w:ascii="宋体" w:hAnsi="宋体" w:eastAsia="宋体" w:cs="宋体"/>
          <w:color w:val="000000"/>
          <w:sz w:val="24"/>
          <w:highlight w:val="none"/>
          <w:lang w:eastAsia="zh-CN"/>
        </w:rPr>
        <w:t xml:space="preserve">无效响应处理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w:t>
      </w:r>
      <w:r>
        <w:rPr>
          <w:rFonts w:hint="eastAsia" w:ascii="宋体" w:hAnsi="宋体" w:eastAsia="宋体" w:cs="宋体"/>
          <w:color w:val="000000"/>
          <w:sz w:val="24"/>
          <w:highlight w:val="none"/>
          <w:lang w:eastAsia="zh-CN"/>
        </w:rPr>
        <w:t xml:space="preserve">成交价格</w:t>
      </w:r>
      <w:r>
        <w:rPr>
          <w:rFonts w:hint="eastAsia" w:ascii="宋体" w:hAnsi="宋体" w:eastAsia="宋体" w:cs="宋体"/>
          <w:color w:val="000000"/>
          <w:sz w:val="24"/>
          <w:highlight w:val="none"/>
        </w:rPr>
        <w:t xml:space="preserve">、类似产品市场价格水平、行业人工费用标准、国家有关部门指导行业协会发布的行业平均成本等相关信息资料提供便利。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采购活动终止的情况</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.3除本磋商文件第二章第27.1.2条第三款规定的情形外，在采购过程中符合要求的供应商或者最后报价未超过采购预算的供应商不足3家的。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.4在苏采云系统规定时间内成功解密电子响应文件的供应商不足3家的。</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23" w:name="_Toc16938551"/>
      <w:r/>
      <w:bookmarkStart w:id="124" w:name="_Toc20823307"/>
      <w:r/>
      <w:bookmarkStart w:id="125" w:name="_Toc120614219"/>
      <w:r/>
      <w:bookmarkStart w:id="126" w:name="_Toc513029235"/>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20823310"/>
      <w:r/>
      <w:bookmarkStart w:id="129" w:name="_Toc16938554"/>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07"/>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《投标供应商确认函》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07"/>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07"/>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07"/>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907"/>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0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16938552"/>
      <w:r/>
      <w:bookmarkStart w:id="133" w:name="_Toc513029236"/>
      <w:r/>
      <w:bookmarkStart w:id="134" w:name="_Toc20823308"/>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513029237"/>
      <w:r/>
      <w:bookmarkStart w:id="136" w:name="_Toc16938553"/>
      <w:r/>
      <w:bookmarkStart w:id="137" w:name="_Toc20823309"/>
      <w:r>
        <w:rPr>
          <w:rFonts w:hint="eastAsia" w:ascii="宋体" w:hAnsi="宋体" w:cs="宋体"/>
          <w:bCs/>
          <w:color w:val="000000"/>
          <w:sz w:val="24"/>
          <w:highlight w:val="none"/>
        </w:rPr>
        <w:t xml:space="preserve">31. 签订合同</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w:t>
      </w:r>
      <w:r>
        <w:rPr>
          <w:rFonts w:hint="eastAsia" w:ascii="宋体" w:hAnsi="宋体" w:eastAsia="宋体" w:cs="宋体"/>
          <w:color w:val="000000"/>
          <w:sz w:val="24"/>
          <w:highlight w:val="none"/>
        </w:rPr>
        <w:t xml:space="preserve">商提供产品及相关快递服务的包装应符合标准要求。</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33.6政府采购履约资金扶持政策</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成交供应商可凭政府采购合同办理融资贷款，详情请见江苏政府采购网“政采贷”专栏。</w:t>
      </w:r>
      <w:r>
        <w:rPr>
          <w:rFonts w:hint="eastAsia" w:ascii="宋体" w:hAnsi="宋体" w:eastAsia="宋体" w:cs="宋体"/>
          <w:color w:val="000000"/>
          <w:sz w:val="24"/>
          <w:highlight w:val="none"/>
        </w:rPr>
      </w:r>
      <w:r/>
    </w:p>
    <w:p>
      <w:pPr>
        <w:pStyle w:val="899"/>
        <w:ind w:firstLine="482"/>
        <w:spacing w:line="360" w:lineRule="auto"/>
        <w:tabs>
          <w:tab w:val="left" w:pos="567"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33.7针对</w:t>
      </w:r>
      <w:r>
        <w:rPr>
          <w:rFonts w:hint="eastAsia" w:ascii="宋体" w:hAnsi="宋体" w:eastAsia="宋体" w:cs="宋体"/>
          <w:b/>
          <w:bCs/>
          <w:color w:val="000000"/>
          <w:sz w:val="24"/>
          <w:highlight w:val="none"/>
        </w:rPr>
        <w:t xml:space="preserve">采购本国产品的支持政策</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如涉及</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99"/>
        <w:ind w:firstLine="480"/>
        <w:spacing w:line="360" w:lineRule="auto"/>
        <w:tabs>
          <w:tab w:val="left" w:pos="567" w:leader="none"/>
        </w:tabs>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33.7.1</w:t>
      </w:r>
      <w:r>
        <w:rPr>
          <w:rFonts w:hint="eastAsia" w:ascii="宋体" w:hAnsi="宋体" w:eastAsia="宋体" w:cs="宋体"/>
          <w:color w:val="000000"/>
          <w:spacing w:val="7"/>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 w:val="24"/>
          <w:highlight w:val="none"/>
          <w:lang w:val="en-US"/>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33.7.2</w:t>
      </w: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33.7.3</w:t>
      </w: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33.7.4</w:t>
      </w: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格式”的“</w:t>
      </w:r>
      <w:r>
        <w:rPr>
          <w:rFonts w:hint="eastAsia" w:ascii="宋体" w:hAnsi="宋体" w:eastAsia="宋体" w:cs="宋体"/>
          <w:color w:val="000000"/>
          <w:sz w:val="24"/>
          <w:highlight w:val="none"/>
          <w:lang w:val="en-US" w:eastAsia="zh-CN"/>
        </w:rPr>
        <w:t xml:space="preserve">磋商报价分析表</w:t>
      </w:r>
      <w:r>
        <w:rPr>
          <w:rFonts w:hint="eastAsia" w:ascii="宋体" w:hAnsi="宋体" w:eastAsia="宋体" w:cs="宋体"/>
          <w:color w:val="00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33.7.5</w:t>
      </w:r>
      <w:r>
        <w:rPr>
          <w:rFonts w:hint="eastAsia" w:ascii="宋体" w:hAnsi="宋体" w:eastAsia="宋体" w:cs="宋体"/>
          <w:color w:val="000000"/>
          <w:sz w:val="24"/>
          <w:highlight w:val="none"/>
        </w:rPr>
        <w:t xml:space="preserve">供应商需按照</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33.7.6</w:t>
      </w:r>
      <w:r>
        <w:rPr>
          <w:rFonts w:hint="eastAsia" w:ascii="宋体" w:hAnsi="宋体" w:eastAsia="宋体" w:cs="宋体"/>
          <w:color w:val="000000"/>
          <w:sz w:val="24"/>
          <w:highlight w:val="none"/>
        </w:rPr>
        <w:t xml:space="preserve">供应商需在《声明函》中逐一、准确填写产品名称、厂名、生产厂址三项信息（《声明函》中用</w:t>
      </w:r>
      <w:r>
        <w:rPr>
          <w:rFonts w:hint="eastAsia" w:ascii="宋体" w:hAnsi="宋体" w:eastAsia="宋体" w:cs="宋体"/>
          <w:color w:val="000000"/>
          <w:sz w:val="24"/>
          <w:highlight w:val="none"/>
          <w:lang w:val="en-US" w:eastAsia="zh-CN"/>
        </w:rPr>
        <w:t xml:space="preserve">横线</w:t>
      </w:r>
      <w:r>
        <w:rPr>
          <w:rFonts w:hint="eastAsia" w:ascii="宋体" w:hAnsi="宋体" w:eastAsia="宋体" w:cs="宋体"/>
          <w:color w:val="000000"/>
          <w:sz w:val="24"/>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33.7.7</w:t>
      </w: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规定的，供应商提供的相关产品视为不符合本国产品标准。</w:t>
      </w:r>
      <w:r>
        <w:rPr>
          <w:rFonts w:hint="eastAsia" w:ascii="宋体" w:hAnsi="宋体" w:eastAsia="宋体" w:cs="宋体"/>
          <w:color w:val="000000"/>
          <w:sz w:val="24"/>
          <w:highlight w:val="none"/>
        </w:rPr>
      </w:r>
      <w:r/>
    </w:p>
    <w:p>
      <w:pPr>
        <w:pStyle w:val="899"/>
        <w:ind w:firstLine="482"/>
        <w:spacing w:line="360" w:lineRule="auto"/>
        <w:tabs>
          <w:tab w:val="left" w:pos="567" w:leader="none"/>
        </w:tabs>
        <w:rPr>
          <w:rFonts w:eastAsia="宋体"/>
          <w:b/>
          <w:bCs/>
          <w:highlight w:val="none"/>
          <w:lang w:val="en-US" w:eastAsia="zh-CN"/>
        </w:rPr>
      </w:pPr>
      <w:r>
        <w:rPr>
          <w:rFonts w:hint="eastAsia" w:ascii="宋体" w:hAnsi="宋体" w:eastAsia="宋体" w:cs="宋体"/>
          <w:b/>
          <w:bCs/>
          <w:color w:val="000000"/>
          <w:sz w:val="24"/>
          <w:highlight w:val="none"/>
          <w:lang w:val="en-US" w:eastAsia="zh-CN"/>
        </w:rPr>
        <w:t xml:space="preserve">33.7.8如采购包中不涉及，则无需提供该声明函。</w:t>
      </w:r>
      <w:r>
        <w:rPr>
          <w:rFonts w:eastAsia="宋体"/>
          <w:b/>
          <w:bCs/>
          <w:highlight w:val="none"/>
          <w:lang w:val="en-US" w:eastAsia="zh-CN"/>
        </w:rPr>
      </w:r>
      <w:r/>
    </w:p>
    <w:p>
      <w:pPr>
        <w:pStyle w:val="899"/>
        <w:ind w:firstLine="482"/>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eastAsia="zh-CN"/>
        </w:rPr>
        <w:t xml:space="preserve">响应单位</w:t>
      </w:r>
      <w:r>
        <w:rPr>
          <w:rFonts w:hint="eastAsia" w:ascii="宋体" w:hAnsi="宋体" w:eastAsia="宋体" w:cs="宋体"/>
          <w:b/>
          <w:bCs/>
          <w:color w:val="000000"/>
          <w:sz w:val="24"/>
          <w:highlight w:val="none"/>
        </w:rPr>
        <w:t xml:space="preserve">提供虚假材料，将按“政府采购法”相关规定处理并由政府监管部门给予严肃处理。</w:t>
      </w:r>
      <w:r>
        <w:rPr>
          <w:rFonts w:hint="eastAsia" w:ascii="宋体" w:hAnsi="宋体" w:eastAsia="宋体" w:cs="宋体"/>
          <w:b/>
          <w:bCs/>
          <w:color w:val="000000"/>
          <w:sz w:val="24"/>
          <w:highlight w:val="none"/>
        </w:rPr>
      </w:r>
      <w:r/>
    </w:p>
    <w:p>
      <w:pPr>
        <w:pStyle w:val="905"/>
        <w:rPr>
          <w:rFonts w:hint="eastAsia"/>
          <w:highlight w:val="none"/>
        </w:rPr>
      </w:pPr>
      <w:r>
        <w:rPr>
          <w:rFonts w:hint="eastAsia"/>
          <w:highlight w:val="none"/>
        </w:rPr>
      </w:r>
      <w:r/>
    </w:p>
    <w:p>
      <w:pPr>
        <w:pStyle w:val="942"/>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44"/>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pStyle w:val="899"/>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苏州市吴江区同里镇人民政府</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同里镇小区管道设施管理服务项目(2026)</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899"/>
        <w:ind w:firstLine="482"/>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JSZC-320509-ZZHL-C2026-0028</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899"/>
        <w:ind w:firstLine="482"/>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val="0"/>
          <w:bCs/>
          <w:color w:val="000000"/>
          <w:sz w:val="24"/>
          <w:szCs w:val="24"/>
          <w:highlight w:val="none"/>
          <w:lang w:eastAsia="zh-CN"/>
        </w:rPr>
        <w:t xml:space="preserve">同里镇小区管道设施管理服务项目(2026)</w:t>
      </w:r>
      <w:r>
        <w:rPr>
          <w:rFonts w:hint="eastAsia" w:ascii="宋体" w:hAnsi="宋体" w:eastAsia="宋体" w:cs="宋体"/>
          <w:b/>
          <w:color w:val="000000"/>
          <w:sz w:val="24"/>
          <w:szCs w:val="24"/>
          <w:highlight w:val="none"/>
          <w:lang w:eastAsia="zh-CN"/>
        </w:rPr>
      </w:r>
      <w:r/>
    </w:p>
    <w:p>
      <w:pPr>
        <w:pStyle w:val="899"/>
        <w:ind w:firstLine="482"/>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w:t>
      </w:r>
      <w:r>
        <w:rPr>
          <w:rFonts w:hint="eastAsia" w:ascii="宋体" w:hAnsi="宋体" w:eastAsia="宋体" w:cs="宋体"/>
          <w:b w:val="0"/>
          <w:bCs/>
          <w:color w:val="000000"/>
          <w:sz w:val="24"/>
          <w:szCs w:val="24"/>
          <w:highlight w:val="none"/>
          <w:lang w:eastAsia="zh-CN"/>
        </w:rPr>
        <w:t xml:space="preserve">人民币壹佰壹拾万圆整（￥：1100000.00）</w:t>
      </w:r>
      <w:r>
        <w:rPr>
          <w:rFonts w:hint="eastAsia" w:ascii="宋体" w:hAnsi="宋体" w:eastAsia="宋体" w:cs="宋体"/>
          <w:b w:val="0"/>
          <w:bCs/>
          <w:color w:val="000000"/>
          <w:sz w:val="24"/>
          <w:szCs w:val="24"/>
          <w:highlight w:val="none"/>
          <w:lang w:eastAsia="zh-CN"/>
        </w:rPr>
      </w:r>
      <w:r/>
    </w:p>
    <w:p>
      <w:pPr>
        <w:pStyle w:val="899"/>
        <w:ind w:firstLine="482"/>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b w:val="0"/>
          <w:bCs/>
          <w:color w:val="000000"/>
          <w:sz w:val="24"/>
          <w:szCs w:val="24"/>
          <w:highlight w:val="none"/>
          <w:lang w:eastAsia="zh-CN"/>
        </w:rPr>
        <w:t xml:space="preserve">人民币壹佰壹拾万圆整（￥：1100000.00）</w:t>
      </w:r>
      <w:r>
        <w:rPr>
          <w:rFonts w:hint="eastAsia" w:ascii="宋体" w:hAnsi="宋体" w:eastAsia="宋体" w:cs="宋体"/>
          <w:b w:val="0"/>
          <w:bCs/>
          <w:color w:val="000000"/>
          <w:sz w:val="24"/>
          <w:szCs w:val="24"/>
          <w:highlight w:val="none"/>
          <w:lang w:eastAsia="zh-CN"/>
        </w:rPr>
      </w:r>
      <w:r/>
    </w:p>
    <w:p>
      <w:pPr>
        <w:pStyle w:val="899"/>
        <w:ind w:firstLine="482"/>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1.项目概况</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lang w:eastAsia="zh-CN"/>
        </w:rPr>
        <w:t xml:space="preserve">同里镇小区管道设施管理服务项目(2026)，</w:t>
      </w:r>
      <w:r>
        <w:rPr>
          <w:rFonts w:hint="eastAsia" w:ascii="宋体" w:hAnsi="宋体" w:cs="宋体"/>
          <w:color w:val="000000"/>
          <w:sz w:val="24"/>
          <w:highlight w:val="none"/>
          <w:lang w:val="en-US" w:eastAsia="zh-CN"/>
        </w:rPr>
        <w:t xml:space="preserve">主要服务内容包括</w:t>
      </w:r>
      <w:r>
        <w:rPr>
          <w:rFonts w:hint="eastAsia" w:ascii="宋体" w:hAnsi="宋体" w:eastAsia="宋体" w:cs="宋体"/>
          <w:color w:val="000000"/>
          <w:sz w:val="24"/>
          <w:highlight w:val="none"/>
          <w:lang w:eastAsia="zh-CN"/>
        </w:rPr>
        <w:t xml:space="preserve">21个动迁安置及无物业小区的</w:t>
      </w:r>
      <w:r>
        <w:rPr>
          <w:rFonts w:hint="eastAsia" w:ascii="宋体" w:hAnsi="宋体" w:eastAsia="宋体" w:cs="宋体"/>
          <w:color w:val="000000"/>
          <w:sz w:val="24"/>
          <w:szCs w:val="24"/>
          <w:highlight w:val="none"/>
          <w:lang w:val="en-US" w:eastAsia="zh-CN"/>
        </w:rPr>
        <w:t xml:space="preserve">雨污水管网养护、检测、修复等服务；涉及管道长度约为90.2千米，雨污水检查井 7145座。</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1.2合同履行期限：合同生效之日起一年。</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1.3合同履行地点：采购人指定地点（同里镇范围内）。</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2.服务事项</w:t>
      </w:r>
      <w:r>
        <w:rPr>
          <w:rFonts w:ascii="宋体" w:hAnsi="宋体" w:eastAsia="宋体" w:cs="宋体"/>
          <w:color w:val="000000"/>
          <w:sz w:val="24"/>
          <w:szCs w:val="24"/>
          <w:highlight w:val="none"/>
          <w:lang w:val="en-US" w:eastAsia="zh-CN"/>
        </w:rPr>
      </w:r>
      <w:r/>
    </w:p>
    <w:tbl>
      <w:tblPr>
        <w:tblW w:w="9500" w:type="dxa"/>
        <w:jc w:val="center"/>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562"/>
        <w:gridCol w:w="4384"/>
        <w:gridCol w:w="935"/>
        <w:gridCol w:w="887"/>
        <w:gridCol w:w="1034"/>
      </w:tblGrid>
      <w:tr>
        <w:trPr>
          <w:trHeight w:val="533"/>
        </w:trPr>
        <w:tc>
          <w:tcPr>
            <w:tcW w:w="698" w:type="dxa"/>
            <w:vAlign w:val="center"/>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序号</w:t>
            </w:r>
            <w:r>
              <w:rPr>
                <w:rFonts w:hint="eastAsia" w:ascii="宋体" w:hAnsi="宋体" w:eastAsia="宋体" w:cs="宋体"/>
                <w:color w:val="000000"/>
                <w:sz w:val="24"/>
                <w:szCs w:val="24"/>
                <w:highlight w:val="none"/>
              </w:rPr>
            </w:r>
            <w:r/>
          </w:p>
        </w:tc>
        <w:tc>
          <w:tcPr>
            <w:tcW w:w="1562" w:type="dxa"/>
            <w:vAlign w:val="center"/>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服务名称</w:t>
            </w:r>
            <w:r>
              <w:rPr>
                <w:rFonts w:hint="eastAsia" w:ascii="宋体" w:hAnsi="宋体" w:eastAsia="宋体" w:cs="宋体"/>
                <w:color w:val="000000"/>
                <w:sz w:val="24"/>
                <w:szCs w:val="24"/>
                <w:highlight w:val="none"/>
              </w:rPr>
            </w:r>
            <w:r/>
          </w:p>
        </w:tc>
        <w:tc>
          <w:tcPr>
            <w:tcW w:w="4384" w:type="dxa"/>
            <w:vAlign w:val="center"/>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服务描述</w:t>
            </w:r>
            <w:r>
              <w:rPr>
                <w:rFonts w:hint="eastAsia" w:ascii="宋体" w:hAnsi="宋体" w:eastAsia="宋体" w:cs="宋体"/>
                <w:color w:val="000000"/>
                <w:sz w:val="24"/>
                <w:szCs w:val="24"/>
                <w:highlight w:val="none"/>
              </w:rPr>
            </w:r>
            <w:r/>
          </w:p>
        </w:tc>
        <w:tc>
          <w:tcPr>
            <w:tcW w:w="935" w:type="dxa"/>
            <w:vAlign w:val="center"/>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rPr>
            </w:r>
            <w:r/>
          </w:p>
        </w:tc>
        <w:tc>
          <w:tcPr>
            <w:tcW w:w="887" w:type="dxa"/>
            <w:vAlign w:val="center"/>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r>
            <w:r/>
          </w:p>
        </w:tc>
        <w:tc>
          <w:tcPr>
            <w:tcW w:w="103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综合单价限价</w:t>
            </w:r>
            <w:r>
              <w:rPr>
                <w:rFonts w:hint="eastAsia" w:ascii="宋体" w:hAnsi="宋体" w:eastAsia="宋体" w:cs="宋体"/>
                <w:color w:val="000000"/>
                <w:sz w:val="24"/>
                <w:szCs w:val="24"/>
                <w:highlight w:val="none"/>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管道疏通 （管径综合考虑）</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疏通车疏通雨污水管道，包含气囊封堵、人工清理雨污水检查井、淤泥清运。（垃圾外运地点由投标单位自行处理）；</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59478.8</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元/米</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CCTV检测</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CCTV 视频检测管道及形成检测成果文件等；具体实施内容以采购单位派发的工单为准。</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元/米</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清疏检查井</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1、人工清疏检查井 井上清疏 。2、污泥装车外运，运距自行考虑。3、管道疏通清洗范围以外。</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雨水边井清理</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1、人工清理雨水边井，淤泥清运；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2、报价含上下游封堵、井盖开启、关闭、周边安全警示设置等；</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明沟疏通</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1、管道内积泥量：现场踏勘或根据以往经验确定；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2、工作内容：明沟，清理管内中的污泥、杂物，直接装车外弃（不得直接堆置在地面），运距及弃置场地由投标人自行考虑；</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元/米</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潜水员下井作业</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1、潜水员下井作业符合有限空间作业审批要求。2、下井前做好有毒气体检测、过程中需做好相关安全工作、确保安全状态下施工。3、污泥装车外运，运距自行考虑。</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元/次</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局部树脂固化（DN400及以下）</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1、局部树脂固化（DN400及以下）修补管道。2、非开挖、且在管内部完成修补，包含所有主材、辅材、相关工序及风险。</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元/环</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2800</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气囊封堵（DN600及以下）</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1、气囊封堵DN600及以下，2、限井上封堵（如潜水封堵潜水设备另计）。</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元/次</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补缺防坠网</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补缺防坠网，含8个挂钩；</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砌筑井</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1、更换600*600~800*800钢纤维砼井盖座D400级。</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砌筑井</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1、更换φ600~φ800钢纤维砼井盖座D400级。</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隔油池清掏</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1、人工清理隔油池，淤泥清运；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2、报价含上下游封堵、井盖开启、关闭、周边安全警示设置等。</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元/次</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化粪池疏通清理</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指不在疏通范围内的单次作业，每车吸污容量5吨以内。</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元/次</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r>
      <w:tr>
        <w:trPr>
          <w:trHeight w:val="533"/>
        </w:trPr>
        <w:tc>
          <w:tcPr>
            <w:tcW w:w="698"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c>
          <w:tcPr>
            <w:tcW w:w="156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汛期排涝</w:t>
            </w:r>
            <w:r>
              <w:rPr>
                <w:rFonts w:hint="eastAsia" w:ascii="宋体" w:hAnsi="宋体" w:eastAsia="宋体" w:cs="宋体"/>
                <w:i w:val="0"/>
                <w:iCs w:val="0"/>
                <w:color w:val="000000"/>
                <w:sz w:val="24"/>
                <w:szCs w:val="24"/>
                <w:highlight w:val="none"/>
                <w:u w:val="none"/>
                <w:lang w:val="en-US" w:eastAsia="zh-CN" w:bidi="ar-SA"/>
              </w:rPr>
            </w:r>
            <w:r/>
          </w:p>
        </w:tc>
        <w:tc>
          <w:tcPr>
            <w:tcW w:w="4384"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配备排涝泵等应急排涝设备，配备一定数量的安全警示牌及围挡。2、参与降雨期及防汛防台期间道路积水情况巡查与助排抢险：在降雨期间，根据不同雨情，进行巡查，发现道路积水点及时进行助排抢险；3、防汛防台期，按照甲方指令，安排抢险人员（掌握排涝设备机械车辆的操作）。</w:t>
            </w:r>
            <w:r>
              <w:rPr>
                <w:rFonts w:hint="eastAsia" w:ascii="宋体" w:hAnsi="宋体" w:eastAsia="宋体" w:cs="宋体"/>
                <w:i w:val="0"/>
                <w:iCs w:val="0"/>
                <w:color w:val="000000"/>
                <w:sz w:val="24"/>
                <w:szCs w:val="24"/>
                <w:highlight w:val="none"/>
                <w:u w:val="none"/>
                <w:lang w:val="en-US" w:eastAsia="zh-CN" w:bidi="ar-SA"/>
              </w:rPr>
            </w:r>
            <w:r/>
          </w:p>
        </w:tc>
        <w:tc>
          <w:tcPr>
            <w:tcW w:w="9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r>
            <w:r/>
          </w:p>
        </w:tc>
        <w:tc>
          <w:tcPr>
            <w:tcW w:w="8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元/项</w:t>
            </w:r>
            <w:r>
              <w:rPr>
                <w:rFonts w:hint="eastAsia" w:ascii="宋体" w:hAnsi="宋体" w:eastAsia="宋体" w:cs="宋体"/>
                <w:i w:val="0"/>
                <w:iCs w:val="0"/>
                <w:color w:val="000000"/>
                <w:sz w:val="24"/>
                <w:szCs w:val="24"/>
                <w:highlight w:val="none"/>
                <w:u w:val="none"/>
                <w:lang w:val="en-US" w:eastAsia="zh-CN" w:bidi="ar-SA"/>
              </w:rPr>
            </w:r>
            <w:r/>
          </w:p>
        </w:tc>
        <w:tc>
          <w:tcPr>
            <w:tcW w:w="1034" w:type="dxa"/>
            <w:vAlign w:val="center"/>
            <w:textDirection w:val="lrTb"/>
            <w:noWrap/>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100000</w:t>
            </w:r>
            <w:r>
              <w:rPr>
                <w:rFonts w:hint="eastAsia" w:ascii="宋体" w:hAnsi="宋体" w:eastAsia="宋体" w:cs="宋体"/>
                <w:i w:val="0"/>
                <w:iCs w:val="0"/>
                <w:color w:val="000000"/>
                <w:sz w:val="24"/>
                <w:szCs w:val="24"/>
                <w:highlight w:val="none"/>
                <w:u w:val="none"/>
                <w:lang w:val="en-US" w:eastAsia="zh-CN" w:bidi="ar-SA"/>
              </w:rPr>
            </w:r>
            <w:r/>
          </w:p>
        </w:tc>
      </w:tr>
    </w:tbl>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3.服务团队人员配置要求：</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3.1管理人员：项目负责人1名，技术负责人1名，安全人员2名。</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3.2其他服务人员（包括但不限于日常巡视人员不少于1人、其他服务人员至少5人、资料员至少1人）。</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3.3管理人员及现场服务人员须为未退休人员。</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3.4爱岗敬业，主人翁意识强，遵纪守法，文明礼貌。</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3.5团结协作意识、安全作业意识强，工作高质、高效。</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3.6注重个人形象，作业时穿戴反光背心、安全帽等安全防护设施。</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3.7供应商必须遵守劳动法及劳动合同法，依法规范用工，全员购买意外险。</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4.车辆机械、设备配置要求：</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4.1具有相应的车辆机械，以保障项目顺利进行。</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配备车辆机械设备包括但不限于：巡查车辆（标有醒目的“专用道路养护车辆”标识）、疏通车、吸污车、厢式货车、运输车辆等。</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4.2具有相应的机械设备，以保障项目顺利进行。</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配备包括但不限于：CCTV机器人、水泵、气囊、发电机等管网设施维护设备。</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4.3配备包括但不限于QV检测设备、气体检测仪、GPS等仪器设备。</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5.服务内容及要求：</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5.1日常巡查：</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5.1.1对管网、井盖及管网其他配套设施等进行巡查，配备1辆巡查车及抢修工具，配备至少1名专职巡查员，并做好巡查记录及台账资料。</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5.1.2落实专人对区域内各类设施进行日常巡查，问题及时上报并进行资料归档。</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5.1.3供应商应做好安全巡查工作，发现问题应及时上报采购单位，由采购单位综合研判是否需要整改。</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5.1.4其他与日常养护巡查有关的工作。</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5.2管网设施维护：</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5.2.1雨水检查窨井井盖（含预留井）和雨水边井盖、边井蓖缺损更换，发现井盖缺失的应及时完成补缺。</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5.2.2发现雨水检查窨井盖底与路面高差超过允许范围后，对井座的调整恢复，做到井盖与框配套、吻合，安装平稳。</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5.2.3发现道路雨水管网内淤积、破损、堵塞等现象，应及时处理，保证道路排水管网排水通畅；发现道路范围内积水现象，应及时消除。</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5.2.4雨水管道的疏通维护（雨水支管及落水井一年清理二次，雨水主管一年清理一次，台风及雨季适当增加巡查及清理雨水口频率，确保畅通，养护发现问题需及时上报）。</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5.2.5供应商应在半小时内赶到故障现场进行疏通服务（包括所需设备、配件到达现场），轻微情节的修理应立即排除；一般情节的故障修理须2小时内排除；重大情节的故障修理须12小时内排除；特殊情节的故障修理，申报方案后实施。</w:t>
      </w:r>
      <w:r>
        <w:rPr>
          <w:rFonts w:hint="eastAsia" w:ascii="宋体" w:hAnsi="宋体" w:eastAsia="宋体" w:cs="宋体"/>
          <w:color w:val="000000"/>
          <w:sz w:val="24"/>
          <w:szCs w:val="24"/>
          <w:highlight w:val="none"/>
          <w:lang w:val="en-US" w:eastAsia="zh-CN"/>
        </w:rPr>
      </w:r>
      <w:r/>
    </w:p>
    <w:tbl>
      <w:tblPr>
        <w:tblW w:w="93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64"/>
        <w:gridCol w:w="3160"/>
        <w:gridCol w:w="1264"/>
        <w:gridCol w:w="1264"/>
        <w:gridCol w:w="1566"/>
      </w:tblGrid>
      <w:tr>
        <w:trPr>
          <w:trHeight w:val="624"/>
        </w:trPr>
        <w:tc>
          <w:tcPr>
            <w:tcW w:w="791" w:type="dxa"/>
            <w:vAlign w:val="center"/>
            <w:textDirection w:val="lrTb"/>
            <w:noWrap/>
          </w:tcPr>
          <w:p>
            <w:pPr>
              <w:pStyle w:val="899"/>
              <w:jc w:val="center"/>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故障情况</w:t>
            </w:r>
            <w:r>
              <w:rPr>
                <w:rFonts w:hint="eastAsia" w:ascii="宋体" w:hAnsi="宋体" w:eastAsia="宋体"/>
                <w:color w:val="000000"/>
                <w:sz w:val="24"/>
                <w:szCs w:val="24"/>
                <w:highlight w:val="none"/>
              </w:rPr>
            </w:r>
            <w:r/>
          </w:p>
        </w:tc>
        <w:tc>
          <w:tcPr>
            <w:tcW w:w="3160"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故障情节定义</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响应时间</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到场时间</w:t>
            </w:r>
            <w:r>
              <w:rPr>
                <w:rFonts w:hint="eastAsia" w:ascii="宋体" w:hAnsi="宋体" w:eastAsia="宋体"/>
                <w:color w:val="000000"/>
                <w:sz w:val="24"/>
                <w:szCs w:val="24"/>
                <w:highlight w:val="none"/>
              </w:rPr>
            </w:r>
            <w:r/>
          </w:p>
        </w:tc>
        <w:tc>
          <w:tcPr>
            <w:tcW w:w="1566"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解决问题时间</w:t>
            </w:r>
            <w:r>
              <w:rPr>
                <w:rFonts w:hint="eastAsia" w:ascii="宋体" w:hAnsi="宋体" w:eastAsia="宋体"/>
                <w:color w:val="000000"/>
                <w:sz w:val="24"/>
                <w:szCs w:val="24"/>
                <w:highlight w:val="none"/>
              </w:rPr>
            </w:r>
            <w:r/>
          </w:p>
        </w:tc>
      </w:tr>
      <w:tr>
        <w:trPr>
          <w:trHeight w:val="624"/>
        </w:trPr>
        <w:tc>
          <w:tcPr>
            <w:tcW w:w="791" w:type="dxa"/>
            <w:vAlign w:val="center"/>
            <w:textDirection w:val="lrTb"/>
            <w:noWrap/>
          </w:tcPr>
          <w:p>
            <w:pPr>
              <w:pStyle w:val="899"/>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轻微情节</w:t>
            </w:r>
            <w:r>
              <w:rPr>
                <w:rFonts w:hint="eastAsia" w:ascii="宋体" w:hAnsi="宋体" w:eastAsia="宋体"/>
                <w:color w:val="000000"/>
                <w:sz w:val="24"/>
                <w:szCs w:val="24"/>
                <w:highlight w:val="none"/>
              </w:rPr>
            </w:r>
            <w:r/>
          </w:p>
        </w:tc>
        <w:tc>
          <w:tcPr>
            <w:tcW w:w="3160"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正确的操作可预防发生故障</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10分钟</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30分钟</w:t>
            </w:r>
            <w:r>
              <w:rPr>
                <w:rFonts w:hint="eastAsia" w:ascii="宋体" w:hAnsi="宋体" w:eastAsia="宋体"/>
                <w:color w:val="000000"/>
                <w:sz w:val="24"/>
                <w:szCs w:val="24"/>
                <w:highlight w:val="none"/>
              </w:rPr>
            </w:r>
            <w:r/>
          </w:p>
        </w:tc>
        <w:tc>
          <w:tcPr>
            <w:tcW w:w="1566"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立即排除</w:t>
            </w:r>
            <w:r>
              <w:rPr>
                <w:rFonts w:hint="eastAsia" w:ascii="宋体" w:hAnsi="宋体" w:eastAsia="宋体"/>
                <w:color w:val="000000"/>
                <w:sz w:val="24"/>
                <w:szCs w:val="24"/>
                <w:highlight w:val="none"/>
              </w:rPr>
            </w:r>
            <w:r/>
          </w:p>
        </w:tc>
      </w:tr>
      <w:tr>
        <w:trPr>
          <w:trHeight w:val="624"/>
        </w:trPr>
        <w:tc>
          <w:tcPr>
            <w:tcW w:w="791" w:type="dxa"/>
            <w:vAlign w:val="center"/>
            <w:textDirection w:val="lrTb"/>
            <w:noWrap/>
          </w:tcPr>
          <w:p>
            <w:pPr>
              <w:pStyle w:val="899"/>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ascii="宋体" w:hAnsi="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一般情节</w:t>
            </w:r>
            <w:r>
              <w:rPr>
                <w:rFonts w:hint="eastAsia" w:ascii="宋体" w:hAnsi="宋体" w:eastAsia="宋体"/>
                <w:color w:val="000000"/>
                <w:sz w:val="24"/>
                <w:szCs w:val="24"/>
                <w:highlight w:val="none"/>
              </w:rPr>
            </w:r>
            <w:r/>
          </w:p>
        </w:tc>
        <w:tc>
          <w:tcPr>
            <w:tcW w:w="3160"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管网通水不畅</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10分钟</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30分钟</w:t>
            </w:r>
            <w:r>
              <w:rPr>
                <w:rFonts w:hint="eastAsia" w:ascii="宋体" w:hAnsi="宋体" w:eastAsia="宋体"/>
                <w:color w:val="000000"/>
                <w:sz w:val="24"/>
                <w:szCs w:val="24"/>
                <w:highlight w:val="none"/>
              </w:rPr>
            </w:r>
            <w:r/>
          </w:p>
        </w:tc>
        <w:tc>
          <w:tcPr>
            <w:tcW w:w="1566"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2小时</w:t>
            </w:r>
            <w:r>
              <w:rPr>
                <w:rFonts w:hint="eastAsia" w:ascii="宋体" w:hAnsi="宋体" w:eastAsia="宋体"/>
                <w:color w:val="000000"/>
                <w:sz w:val="24"/>
                <w:szCs w:val="24"/>
                <w:highlight w:val="none"/>
              </w:rPr>
            </w:r>
            <w:r/>
          </w:p>
        </w:tc>
      </w:tr>
      <w:tr>
        <w:trPr>
          <w:trHeight w:val="624"/>
        </w:trPr>
        <w:tc>
          <w:tcPr>
            <w:tcW w:w="791" w:type="dxa"/>
            <w:vAlign w:val="center"/>
            <w:textDirection w:val="lrTb"/>
            <w:noWrap/>
          </w:tcPr>
          <w:p>
            <w:pPr>
              <w:pStyle w:val="899"/>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3</w:t>
            </w:r>
            <w:r>
              <w:rPr>
                <w:rFonts w:ascii="宋体" w:hAnsi="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重大情节</w:t>
            </w:r>
            <w:r>
              <w:rPr>
                <w:rFonts w:hint="eastAsia" w:ascii="宋体" w:hAnsi="宋体" w:eastAsia="宋体"/>
                <w:color w:val="000000"/>
                <w:sz w:val="24"/>
                <w:szCs w:val="24"/>
                <w:highlight w:val="none"/>
              </w:rPr>
            </w:r>
            <w:r/>
          </w:p>
        </w:tc>
        <w:tc>
          <w:tcPr>
            <w:tcW w:w="3160"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管网堵塞不能正常工作</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10分钟</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30分钟</w:t>
            </w:r>
            <w:r>
              <w:rPr>
                <w:rFonts w:hint="eastAsia" w:ascii="宋体" w:hAnsi="宋体" w:eastAsia="宋体"/>
                <w:color w:val="000000"/>
                <w:sz w:val="24"/>
                <w:szCs w:val="24"/>
                <w:highlight w:val="none"/>
              </w:rPr>
            </w:r>
            <w:r/>
          </w:p>
        </w:tc>
        <w:tc>
          <w:tcPr>
            <w:tcW w:w="1566"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12小时</w:t>
            </w:r>
            <w:r>
              <w:rPr>
                <w:rFonts w:hint="eastAsia" w:ascii="宋体" w:hAnsi="宋体" w:eastAsia="宋体"/>
                <w:color w:val="000000"/>
                <w:sz w:val="24"/>
                <w:szCs w:val="24"/>
                <w:highlight w:val="none"/>
              </w:rPr>
            </w:r>
            <w:r/>
          </w:p>
        </w:tc>
      </w:tr>
      <w:tr>
        <w:trPr>
          <w:trHeight w:val="624"/>
        </w:trPr>
        <w:tc>
          <w:tcPr>
            <w:tcW w:w="791" w:type="dxa"/>
            <w:vAlign w:val="center"/>
            <w:textDirection w:val="lrTb"/>
            <w:noWrap/>
          </w:tcPr>
          <w:p>
            <w:pPr>
              <w:pStyle w:val="899"/>
              <w:jc w:val="center"/>
              <w:spacing w:line="360" w:lineRule="auto"/>
              <w:rPr>
                <w:rFonts w:ascii="宋体" w:hAnsi="宋体"/>
                <w:color w:val="000000"/>
                <w:sz w:val="24"/>
                <w:szCs w:val="24"/>
                <w:highlight w:val="none"/>
              </w:rPr>
            </w:pPr>
            <w:r>
              <w:rPr>
                <w:rFonts w:ascii="宋体" w:hAnsi="宋体"/>
                <w:color w:val="000000"/>
                <w:sz w:val="24"/>
                <w:szCs w:val="24"/>
                <w:highlight w:val="none"/>
              </w:rPr>
              <w:t xml:space="preserve">4</w:t>
            </w:r>
            <w:r>
              <w:rPr>
                <w:rFonts w:ascii="宋体" w:hAnsi="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特殊情节</w:t>
            </w:r>
            <w:r>
              <w:rPr>
                <w:rFonts w:hint="eastAsia" w:ascii="宋体" w:hAnsi="宋体" w:eastAsia="宋体"/>
                <w:color w:val="000000"/>
                <w:sz w:val="24"/>
                <w:szCs w:val="24"/>
                <w:highlight w:val="none"/>
              </w:rPr>
            </w:r>
            <w:r/>
          </w:p>
        </w:tc>
        <w:tc>
          <w:tcPr>
            <w:tcW w:w="3160"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管网损坏等突发事件</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10分钟</w:t>
            </w:r>
            <w:r>
              <w:rPr>
                <w:rFonts w:hint="eastAsia" w:ascii="宋体" w:hAnsi="宋体" w:eastAsia="宋体"/>
                <w:color w:val="000000"/>
                <w:sz w:val="24"/>
                <w:szCs w:val="24"/>
                <w:highlight w:val="none"/>
              </w:rPr>
            </w:r>
            <w:r/>
          </w:p>
        </w:tc>
        <w:tc>
          <w:tcPr>
            <w:tcW w:w="1264"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30分钟</w:t>
            </w:r>
            <w:r>
              <w:rPr>
                <w:rFonts w:hint="eastAsia" w:ascii="宋体" w:hAnsi="宋体" w:eastAsia="宋体"/>
                <w:color w:val="000000"/>
                <w:sz w:val="24"/>
                <w:szCs w:val="24"/>
                <w:highlight w:val="none"/>
              </w:rPr>
            </w:r>
            <w:r/>
          </w:p>
        </w:tc>
        <w:tc>
          <w:tcPr>
            <w:tcW w:w="1566" w:type="dxa"/>
            <w:vAlign w:val="center"/>
            <w:textDirection w:val="lrTb"/>
            <w:noWrap/>
          </w:tcPr>
          <w:p>
            <w:pPr>
              <w:pStyle w:val="899"/>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按方案实施</w:t>
            </w:r>
            <w:r>
              <w:rPr>
                <w:rFonts w:hint="eastAsia" w:ascii="宋体" w:hAnsi="宋体" w:eastAsia="宋体"/>
                <w:color w:val="000000"/>
                <w:sz w:val="24"/>
                <w:szCs w:val="24"/>
                <w:highlight w:val="none"/>
              </w:rPr>
            </w:r>
            <w:r/>
          </w:p>
        </w:tc>
      </w:tr>
    </w:tbl>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5.2.6供应商负责及时处置疏通产生的所有垃圾、污泥，包括运输以及合法合理地处置。</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5.3应急处置：</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5.3.1根据不同应急需求，对需提前进行应急处置的内容进行全面排查；</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5.3.2考虑整体区域分布较广，应做好应急队伍的组建，满足采购人的应急需求；</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5.3.3根据采购人要求准备应急物资及相关机具设备、警示标记、安全围档等；</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5.3.4需制定各位应急处置方案，并在30分钟内到场应急处理，服从采购人现场指挥。</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5.4其他：</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5.4.1管网设施维护包括管网设施的抢修、维修、12345热线及采购人交办的维修内容；检查任务、创建活动及重要活动的保障任务需按时保质完成。</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5.4.2遇节假日及重大保障活动，配合采购人做好保障工作检查；极端恶劣天气下（防汛、防台、防冻等）供应商应根据作业内容安排好相应人员值班，并将值班人员安排表及时报采购人备案。</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5.4.3服务期内应按上述日常养护作业内容进行全天候巡查，发现问题第一时间上报采购人，并优先采取防护隔离措施，未及时上报或及时处置等主观原因引起的一切责任和损失由供应商承担。</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5.4.4供应商须为本项目提供每周7×24小时免费服务热线，无条件响应采购人在该项目上的时间安排。</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6.服务规范：按照建设部CJJ36-2016《城镇城区道路、桥梁、下水道等维修养护服务技术规范》，养护单位必须制定养护质量保证体系，严格工程质量操作流程。</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7.安全要求：</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7.1服务团队必须加强管理，遵守作业现场的一切规章制度，文明施工，注意安全，一切伤亡事故由供应商负全责；</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7.2服务人员、施工机械或在运输装卸途中对其他设备及邻近管线等造成损坏，应由供应商负责修复及承担一切费用；</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7.3服务过程中注意保护现场已存在的公共设施，如有第三方损坏的由供应商进行协商并进行追责。</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7.4服务人员在维护作业时应按规定要求统一着装，穿戴好相关安全防护工具，现场作业时应明示安全警示标志和作业围挡。供应商负责及时清理垃圾，保证场地清洁不影响市民出行。</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7.5井下作业按照相关规范要求做好人员安全防护措施，避免可能存在的有毒有害气体造成的危害。</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7.6项目服务过程中，供应商不得将维护材料/设备与人员共用一辆车辆运输，不得违反相关道路交通法规。</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7.7供应商应及时响应采购人检查发现问题的整改，并落实回复。</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7.8安全责任：供应商自行承担合同实施期间其人员的人身安全、仪器设备的使用正常及其一切可能产生的后果。</w:t>
      </w:r>
      <w:r>
        <w:rPr>
          <w:rFonts w:hint="eastAsia" w:ascii="宋体" w:hAnsi="宋体" w:eastAsia="宋体" w:cs="宋体"/>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六、服务考核办法：</w:t>
      </w:r>
      <w:r>
        <w:rPr>
          <w:rFonts w:hint="eastAsia" w:ascii="宋体" w:hAnsi="宋体" w:eastAsia="宋体" w:cs="宋体"/>
          <w:b/>
          <w:bCs/>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1.适用范围</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苏州市吴江区同里镇人民政府所管辖本次同里镇小区管道设施管理服务项目(2026)工作适用本办法进行考核。</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2.考核内容</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考核内容包括组织管理、实施现场管理、安全文明管理、业务管理、其他共五个方面，总分100分，每季度对考核结果进行汇总和通报，并根据每季度考核总得分计取当季度服务费用。具体考核评分详见《附件：同里镇小区管道设施管理服务项目(2026)考核表》。</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3.考核实施</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甲方根据《附件：同里镇小区管道设施管理服务项目(2026)考核表》中的考核标准，每季度对乙方的管理服务工作进行考核。甲方安排巡视检查人员，对乙方养护作业工作进行检查，对发现的问题记录在案，乙方进行问题的限期整改。甲方除日常巡视检查外，其中每月安排至少1次明查，由乙方负责人陪同甲方检查人员一起对乙方工作进行检查、考核、评分。</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3.2实行例会制度，由甲方组织召开，要求乙方项目负责人和对应区域或专业责任人参加，总结工作，通报检查中发现的问题。</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3.3考核周期内，甲方对检查考核表中的单个子项检查不少于1次，每一子项的问题直接下发《处罚单》。</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3.4若该月出现因乙方工作不力而出现媒体曝光、上级通报、点名批评，除甲方在乙方月度考评得分扣分外，若造成重大影响的，另直接扣除当月养护经费的1％。</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甲方在检查中发现的问题及时通知乙方，乙方及时整改，同时乙方须主动联系甲方，对每星期汇总扣款表、每季度考核得分情况说明签字确认，如若乙方不及时签字确认，甲方一律视为乙方默认甲方的考核评分。</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3.6服务单位在服务年度内如果连续两次经采购人考核不合格的，或结算时上报单项工作量超过实际工作量的10％以上的，采购人有权终止服务合同。</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4.考核结果及运用：</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4.1每季度考核汇总一次，按每季度考核得分计取当季服务费用，每季度结算1次。</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（1）得分≥95分，全额结算该考核周期服务费用；</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（2）85分≤得分＜95分，扣除该考核周期服务费用的5％；</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（3）75分≤得分＜85分，扣除该考核周期服务费用的10％；</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（4）得分＜75分为不合格，扣除该考核周期服务费用的20％；</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（5）供应商在合同履行期限内如果连续两次经采购人考核不合格的，采购人有权终止服务合同。</w:t>
      </w:r>
      <w:r>
        <w:rPr>
          <w:rFonts w:hint="eastAsia" w:ascii="宋体" w:hAnsi="宋体" w:eastAsia="宋体" w:cs="宋体"/>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、综合说明及其它要求：</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提供的服务能够至少达到以上</w:t>
      </w:r>
      <w:r>
        <w:rPr>
          <w:rFonts w:hint="eastAsia" w:ascii="宋体" w:hAnsi="宋体" w:eastAsia="宋体" w:cs="宋体"/>
          <w:color w:val="000000"/>
          <w:sz w:val="24"/>
          <w:szCs w:val="24"/>
          <w:highlight w:val="none"/>
          <w:lang w:eastAsia="zh-CN"/>
        </w:rPr>
        <w:t xml:space="preserve">采购要求</w:t>
      </w:r>
      <w:r>
        <w:rPr>
          <w:rFonts w:hint="eastAsia" w:ascii="宋体" w:hAnsi="宋体" w:eastAsia="宋体" w:cs="宋体"/>
          <w:color w:val="000000"/>
          <w:sz w:val="24"/>
          <w:szCs w:val="24"/>
          <w:highlight w:val="none"/>
        </w:rPr>
        <w:t xml:space="preserve">，同时对每项要求做出明确应答并提供详细的服务方案，否则视为非实质响应采购文件。</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必须承诺采购文件中提出的全部服务要求，如果以其中某些条款不响应时，应在文件中逐条列出，未列出的视同响应。</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应对所投项目的全部内容进行报价，只投其中部分内容者或出现选择性报价的，其标书将被拒绝。</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4.供应商报价</w:t>
      </w:r>
      <w:r>
        <w:rPr>
          <w:rFonts w:hint="eastAsia" w:ascii="宋体" w:hAnsi="宋体" w:eastAsia="宋体" w:cs="宋体"/>
          <w:color w:val="000000"/>
          <w:sz w:val="24"/>
          <w:szCs w:val="24"/>
          <w:highlight w:val="none"/>
        </w:rPr>
        <w:t xml:space="preserve">应包括完成该项目所有服务管理内容所需的人工、机械设备、工具器具、垃圾清运、耗材、通讯、服装、胸卡、办公设备、巡检器材、保险、劳保、高温费、防暑降温物品费用、维护、技术支持与培训及相关劳务支出等工作所发生的全部费用以及</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企业管理费用、利润、</w:t>
      </w:r>
      <w:r>
        <w:rPr>
          <w:rFonts w:hint="eastAsia" w:ascii="宋体" w:hAnsi="宋体" w:eastAsia="宋体" w:cs="宋体"/>
          <w:color w:val="000000"/>
          <w:sz w:val="24"/>
          <w:szCs w:val="24"/>
          <w:highlight w:val="none"/>
          <w:lang w:eastAsia="zh-CN"/>
        </w:rPr>
        <w:t xml:space="preserve">各种税金、代理服务费和政策文件规定</w:t>
      </w:r>
      <w:r>
        <w:rPr>
          <w:rFonts w:hint="eastAsia" w:ascii="宋体" w:hAnsi="宋体" w:eastAsia="宋体" w:cs="宋体"/>
          <w:color w:val="000000"/>
          <w:sz w:val="24"/>
          <w:szCs w:val="24"/>
          <w:highlight w:val="none"/>
        </w:rPr>
        <w:t xml:space="preserve">及合同包含的所有风险、责任等各项应有费用。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人员工资标准及加班费、高温费、社保、税金计算均须满足苏州市及吴江区相关政府文件规定的最低标准要求。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成交单位必须按月支付服务人员的工资，甲方有权要求乙方按月提供员工工资发放清单，若经甲方抽查，乙方未按期足额发放员工工资，甲方有权扣除相应费用以支付乙方未支付之费用。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本项目全年无休，</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要充分考虑所有工作人员的值休、轮休、法定假日休息以及岗位顶班、日常机动人员的配备，以上所有费用均计入</w:t>
      </w:r>
      <w:r>
        <w:rPr>
          <w:rFonts w:hint="eastAsia" w:ascii="宋体" w:hAnsi="宋体" w:eastAsia="宋体" w:cs="宋体"/>
          <w:color w:val="000000"/>
          <w:sz w:val="24"/>
          <w:szCs w:val="24"/>
          <w:highlight w:val="none"/>
          <w:lang w:eastAsia="zh-CN"/>
        </w:rPr>
        <w:t xml:space="preserve">磋商总价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服务期间，服务人员应注意人身交通安全，成交单位需对员工进行相关安全培训，项目服务期间，成交单位的服务工作人员发生的一切安全问题包括由于成交单位的服务导致的安全事故的责任，均由成交单位自行负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因</w:t>
      </w:r>
      <w:r>
        <w:rPr>
          <w:rFonts w:hint="eastAsia" w:ascii="宋体" w:hAnsi="宋体" w:eastAsia="宋体" w:cs="宋体"/>
          <w:color w:val="000000"/>
          <w:sz w:val="24"/>
          <w:szCs w:val="24"/>
          <w:highlight w:val="none"/>
          <w:lang w:val="en-US" w:eastAsia="zh-CN"/>
        </w:rPr>
        <w:t xml:space="preserve">质量问题或</w:t>
      </w:r>
      <w:r>
        <w:rPr>
          <w:rFonts w:hint="eastAsia" w:ascii="宋体" w:hAnsi="宋体" w:eastAsia="宋体" w:cs="宋体"/>
          <w:color w:val="000000"/>
          <w:sz w:val="24"/>
          <w:szCs w:val="24"/>
          <w:highlight w:val="none"/>
        </w:rPr>
        <w:t xml:space="preserve">成交单位原因，造成采购单位或第三方发生财产损失或人身安全事故的，均由成交单位负责处理并承担经济和道义上的责任，</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不承担任何责任。</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10.成交单位在项目实施期间应无条件的接受采购人的监督管理，提出的质量问题要及时整改，整改完毕后通知采购人检查验收，合格后书面报送采购人备案。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成交单位应根据项目实际情况和需求调整、完善工作方案，确保并不断提高服务质量。</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11.1响应文件</w:t>
      </w:r>
      <w:r>
        <w:rPr>
          <w:rFonts w:hint="eastAsia" w:ascii="宋体" w:hAnsi="宋体" w:eastAsia="宋体" w:cs="宋体"/>
          <w:b/>
          <w:bCs/>
          <w:color w:val="000000"/>
          <w:sz w:val="24"/>
          <w:szCs w:val="24"/>
          <w:highlight w:val="none"/>
        </w:rPr>
        <w:t xml:space="preserve">需提供详细具体的服务管理工作流程和标准。</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11.2</w:t>
      </w:r>
      <w:r>
        <w:rPr>
          <w:rFonts w:hint="eastAsia" w:ascii="宋体" w:hAnsi="宋体" w:eastAsia="宋体" w:cs="宋体"/>
          <w:b/>
          <w:bCs/>
          <w:color w:val="000000"/>
          <w:sz w:val="24"/>
          <w:szCs w:val="24"/>
          <w:highlight w:val="none"/>
        </w:rPr>
        <w:t xml:space="preserve">制订并提供各类操作规程、服务员作业规范，建立合理有效的服务质量检查制度并切实执行。</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发生下列情形之一者甲方有权立即终止与之签订的服务合同，所有损失由成交单位承担：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rPr>
        <w:t xml:space="preserve">严重违反国家法律法规和政策的；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12.2</w:t>
      </w:r>
      <w:r>
        <w:rPr>
          <w:rFonts w:hint="eastAsia" w:ascii="宋体" w:hAnsi="宋体" w:eastAsia="宋体" w:cs="宋体"/>
          <w:color w:val="000000"/>
          <w:sz w:val="24"/>
          <w:szCs w:val="24"/>
          <w:highlight w:val="none"/>
        </w:rPr>
        <w:t xml:space="preserve">服务辖区范围内被上级部门或媒体三次以上（含三次）曝光或给服务辖区造成恶劣影响的；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12.3</w:t>
      </w:r>
      <w:r>
        <w:rPr>
          <w:rFonts w:hint="eastAsia" w:ascii="宋体" w:hAnsi="宋体" w:eastAsia="宋体" w:cs="宋体"/>
          <w:color w:val="000000"/>
          <w:sz w:val="24"/>
          <w:szCs w:val="24"/>
          <w:highlight w:val="none"/>
          <w:lang w:val="en-US" w:eastAsia="zh-CN"/>
        </w:rPr>
        <w:t xml:space="preserve">供应商在合同履行期限内如果连续两次经采购人考核不合格的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逾期未整改且严重违约的；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12.4</w:t>
      </w:r>
      <w:r>
        <w:rPr>
          <w:rFonts w:hint="eastAsia" w:ascii="宋体" w:hAnsi="宋体" w:eastAsia="宋体" w:cs="宋体"/>
          <w:color w:val="000000"/>
          <w:sz w:val="24"/>
          <w:szCs w:val="24"/>
          <w:highlight w:val="none"/>
        </w:rPr>
        <w:t xml:space="preserve">拖欠人员工资、发生重大安全作业事故的；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12.5</w:t>
      </w:r>
      <w:r>
        <w:rPr>
          <w:rFonts w:hint="eastAsia" w:ascii="宋体" w:hAnsi="宋体" w:eastAsia="宋体" w:cs="宋体"/>
          <w:color w:val="000000"/>
          <w:sz w:val="24"/>
          <w:szCs w:val="24"/>
          <w:highlight w:val="none"/>
        </w:rPr>
        <w:t xml:space="preserve">成交单位在合同履约期内未经采购单位批准自行终止履行合同义务的。</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12.6</w:t>
      </w:r>
      <w:r>
        <w:rPr>
          <w:rFonts w:hint="eastAsia" w:ascii="宋体" w:hAnsi="宋体" w:eastAsia="宋体" w:cs="宋体"/>
          <w:color w:val="000000"/>
          <w:sz w:val="24"/>
          <w:szCs w:val="24"/>
          <w:highlight w:val="none"/>
        </w:rPr>
        <w:t xml:space="preserve">未经甲方同意，成交单位擅自将合同转让或者进行分包。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如遇范围内有大的调整或迁移等重大情况，采购人将提前告知成交单位，合同内容经双方协商调整。</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响应供应商</w:t>
      </w:r>
      <w:r>
        <w:rPr>
          <w:rFonts w:hint="eastAsia" w:ascii="宋体" w:hAnsi="宋体" w:eastAsia="宋体" w:cs="宋体"/>
          <w:color w:val="000000"/>
          <w:sz w:val="24"/>
          <w:szCs w:val="24"/>
          <w:highlight w:val="none"/>
        </w:rPr>
        <w:t xml:space="preserve">必须保证全部响应资料的真实性，如有虚假或对</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所要求说明的情况故意隐瞒或虚报，取消其中标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的资格，并将按照《中华人民共和国政府采购法》相关条款给予处罚。</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rPr>
        <w:t xml:space="preserve">磋商保证金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rPr>
        <w:t xml:space="preserve">采购文件中有关磋商保证金的规定均不适用。投标（响应）人应在投标（响应）文件中提交《投标（响应）保证承诺书》（详见附件），否则为无效</w:t>
      </w:r>
      <w:r>
        <w:rPr>
          <w:rFonts w:hint="eastAsia" w:ascii="宋体" w:hAnsi="宋体" w:eastAsia="宋体" w:cs="宋体"/>
          <w:b/>
          <w:bCs/>
          <w:color w:val="000000"/>
          <w:sz w:val="24"/>
          <w:szCs w:val="24"/>
          <w:highlight w:val="none"/>
          <w:lang w:val="en-US" w:eastAsia="zh-CN"/>
        </w:rPr>
        <w:t xml:space="preserve">响应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15.</w:t>
      </w: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不收取。</w:t>
      </w:r>
      <w:r>
        <w:rPr>
          <w:rFonts w:hint="eastAsia" w:ascii="宋体" w:hAnsi="宋体" w:eastAsia="宋体" w:cs="宋体"/>
          <w:b/>
          <w:bCs/>
          <w:color w:val="000000"/>
          <w:sz w:val="24"/>
          <w:szCs w:val="24"/>
          <w:highlight w:val="none"/>
          <w:lang w:val="en-US" w:eastAsia="zh-CN"/>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rPr>
          <w:rFonts w:hint="eastAsia" w:ascii="宋体" w:hAnsi="宋体" w:eastAsia="宋体" w:cs="宋体"/>
          <w:b/>
          <w:bCs/>
          <w:color w:val="000000"/>
          <w:sz w:val="24"/>
          <w:szCs w:val="24"/>
          <w:highlight w:val="none"/>
        </w:rP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w:t>
      </w:r>
      <w:r>
        <w:rPr>
          <w:rFonts w:hint="eastAsia" w:ascii="宋体" w:hAnsi="宋体" w:eastAsia="宋体" w:cs="宋体"/>
          <w:color w:val="000000"/>
          <w:sz w:val="24"/>
          <w:szCs w:val="24"/>
          <w:highlight w:val="none"/>
        </w:rPr>
        <w:t xml:space="preserve">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w:t>
      </w:r>
      <w:r>
        <w:rPr>
          <w:rFonts w:hint="eastAsia" w:ascii="宋体" w:hAnsi="宋体" w:eastAsia="宋体" w:cs="宋体"/>
          <w:color w:val="000000"/>
          <w:sz w:val="24"/>
          <w:szCs w:val="24"/>
          <w:highlight w:val="none"/>
        </w:rPr>
        <w:t xml:space="preserve">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7.本项目专门面向中小微企业，不再执行价格优惠政策。</w:t>
      </w:r>
      <w:r>
        <w:rPr>
          <w:rFonts w:ascii="宋体" w:hAnsi="宋体" w:eastAsia="宋体" w:cs="宋体"/>
          <w:b/>
          <w:bCs/>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若供应商提供的声明函或认定证明为虚假材料，按“政府采购法”相关规定处</w:t>
      </w:r>
      <w:r>
        <w:rPr>
          <w:rFonts w:hint="eastAsia" w:ascii="宋体" w:hAnsi="宋体" w:eastAsia="宋体" w:cs="宋体"/>
          <w:color w:val="000000"/>
          <w:sz w:val="24"/>
          <w:szCs w:val="24"/>
          <w:highlight w:val="none"/>
        </w:rPr>
        <w:t xml:space="preserve">理并报请政府监管部门给予行政处罚。</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采购本国产品的支持政策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如涉及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bookmarkStart w:id="138" w:name="OLE_LINK25"/>
      <w:r/>
      <w:bookmarkStart w:id="139" w:name="OLE_LINK17"/>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000000"/>
          <w:sz w:val="24"/>
          <w:szCs w:val="24"/>
          <w:highlight w:val="none"/>
          <w:lang w:val="en-US" w:eastAsia="zh-CN"/>
        </w:rPr>
        <w:t xml:space="preserve">供应商须在采购文件提供的格式中填写比例</w:t>
      </w:r>
      <w:r>
        <w:rPr>
          <w:rFonts w:hint="eastAsia" w:ascii="宋体" w:hAnsi="宋体" w:eastAsia="宋体" w:cs="宋体"/>
          <w:color w:val="000000"/>
          <w:sz w:val="24"/>
          <w:szCs w:val="24"/>
          <w:highlight w:val="none"/>
        </w:rPr>
        <w:t xml:space="preserve">），依法对该供应商提供的全部产品给予价格评审优惠，即对该供应商提供的全部产品的总报价给予20%的价格扣除，用扣除后的价格参与评审。</w:t>
      </w:r>
      <w:bookmarkStart w:id="140" w:name="OLE_LINK26"/>
      <w:r>
        <w:rPr>
          <w:rFonts w:hint="eastAsia" w:ascii="宋体" w:hAnsi="宋体" w:eastAsia="宋体" w:cs="宋体"/>
          <w:color w:val="000000"/>
          <w:sz w:val="24"/>
          <w:szCs w:val="24"/>
          <w:highlight w:val="none"/>
        </w:rPr>
        <w:t xml:space="preserve">供应商未填写比例数值，或比例数值未达到80%的，将不享受本国产品价格评审优惠。</w:t>
      </w:r>
      <w:bookmarkEnd w:id="138"/>
      <w:r/>
      <w:bookmarkEnd w:id="139"/>
      <w:r/>
      <w:bookmarkEnd w:id="140"/>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.3供应商需按照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的要求对其提供的产品出具《关于符合本国产品标准的声明函》（以下简称《声明函》），如不提供将不享受本国产品价格评审优惠。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需在《声明函》中逐一、准确填写产品名称、厂名、生产厂址三项信息（《声明函》中用线划除的地方无需填写），三项信息中任意一项未填写的视为该项产品不符合本国产品标准，不享受本国产品价格评审优惠。 </w:t>
      </w:r>
      <w:r>
        <w:rPr>
          <w:rFonts w:hint="eastAsia" w:ascii="宋体" w:hAnsi="宋体" w:eastAsia="宋体" w:cs="宋体"/>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（一）价格</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第一步：响应总报价低于或等于财政预算（</w:t>
      </w:r>
      <w:r>
        <w:rPr>
          <w:rFonts w:hint="eastAsia" w:ascii="宋体" w:hAnsi="宋体" w:eastAsia="宋体" w:cs="宋体"/>
          <w:color w:val="000000"/>
          <w:sz w:val="24"/>
          <w:highlight w:val="none"/>
          <w:lang w:val="en-US" w:eastAsia="zh-CN"/>
        </w:rPr>
        <w:t xml:space="preserve">或单价</w:t>
      </w:r>
      <w:r>
        <w:rPr>
          <w:rFonts w:hint="eastAsia" w:ascii="宋体" w:hAnsi="宋体" w:eastAsia="宋体" w:cs="宋体"/>
          <w:color w:val="000000"/>
          <w:sz w:val="24"/>
          <w:highlight w:val="none"/>
          <w:lang w:eastAsia="zh-CN"/>
        </w:rPr>
        <w:t xml:space="preserve">限价）价格的，为有效响应报价。超财政预算（</w:t>
      </w:r>
      <w:r>
        <w:rPr>
          <w:rFonts w:hint="eastAsia" w:ascii="宋体" w:hAnsi="宋体" w:eastAsia="宋体" w:cs="宋体"/>
          <w:color w:val="000000"/>
          <w:sz w:val="24"/>
          <w:highlight w:val="none"/>
          <w:lang w:val="en-US" w:eastAsia="zh-CN"/>
        </w:rPr>
        <w:t xml:space="preserve">或单价</w:t>
      </w:r>
      <w:r>
        <w:rPr>
          <w:rFonts w:hint="eastAsia" w:ascii="宋体" w:hAnsi="宋体" w:eastAsia="宋体" w:cs="宋体"/>
          <w:color w:val="000000"/>
          <w:sz w:val="24"/>
          <w:highlight w:val="none"/>
          <w:lang w:eastAsia="zh-CN"/>
        </w:rPr>
        <w:t xml:space="preserve">限价）的响应报价为无效响应报价。无效响应报价的响应文件不进行评审，也不得成交。</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第二步：价格分采用低价优先法计算，即满足采购文件要求且最后响应报价最低的响应报价为评标基准价，其价格分为满分。其他响应单位的价格分统一按照下列公式计算（计算结果四舍五入保留两位小数）：</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响应报价得分=（评标基准价/最后响应报价）*价格权值（</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0%）*100</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（二）项目服务方案情况（53分）</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本项目实施方案（10分）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按照管网设施维护服务整体实施方案情况进行综合评审。安排科学、有序，符合项目实际需求，能突显针对性且具有操作性的得10分；有一定的计划安排，组织协调性能基本满足项目实施需要的得7分；有计划安排，措施简单，无针对性的得5分；未作说明的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本项目重点、难点分析及处理措施（8分） </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常见管网设施病害有具体完善解决办法，病害种类全面，解决方法科学有效且具有操作性，日常保养项目方案科学合理的得8分；病害种类及日常保养项目较全面，解决方法有效且具有操作性的得5分；病害种类及日常保养项目较少，无针对性的得2分；未作说明的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本项目工作管理责任（5分）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管理责任分工明确，总体安排科学合理、规范，能完全满足项目需求的得5分；管理责任分工较明确，总体安排较科学、合理，能基本满足项目需求的得3分；有管理责任分工，但安排不科学、不合理，仅满足部分项目需求的得1分；未做说明的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巡查维护相关责任制度、内部考核及奖惩（6分）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管理制度完备、考虑周全、合理、详实具体的得6分；管理制度比较完备、考虑比较周全、内容充分的得4分；有涉及但不全面的得2分；未作说明的不得分。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应急及突发事件的应对方案（6分）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项目突发天气、特殊季节、重大活动及安全事故等风险进行分析，给出应对措施，风险分析全面、并且有对应的应急措施，操作性强、能及时有效应对的得6分；风险分析较全面、措施应急能力较强，有效，操作性较强的得4分；风险分析片面，应对措施一般，操作性一般的得2分；未作说明的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规范用工及安全文明作业的承诺及保障措施（6分）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对项目用工及安全、文明给出应对承诺及措施，能突显针对性、科学合理，措施保障性强的得6分；针对性较强、较合理，措施保障性较强的得4分；措施简单，针对性一般的得2分；未作说明的不得分。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服务保障、安全管理承诺（6分）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保障、安全管理承诺内容（包括正常巡查及养护作业时和发生事故时的交通组织和安全防护措施），服务保障内容详尽，规范，安全防护措施有保障的得6分；服务保障内容较详尽规范，安全防护措施有一定保障性的得4分；服务保障内容粗略简单，安全防护措施保障性一般的得2分；未作说明的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8.</w:t>
      </w:r>
      <w:r>
        <w:rPr>
          <w:rFonts w:hint="eastAsia" w:ascii="宋体" w:hAnsi="宋体" w:eastAsia="宋体" w:cs="宋体"/>
          <w:color w:val="000000"/>
          <w:sz w:val="24"/>
          <w:highlight w:val="none"/>
        </w:rPr>
        <w:t xml:space="preserve">巡查及维护期间与其他单位、部门的综合协调方案（6分）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协调方案考虑周全、方案科学合理、问题沟通和解决机制简洁有效，应对措施全面，操作性强的得6分；考虑较周全、方案较合理、操作性较强的，有具体应对措施，能满足项目实施需要的得4分；协调方案简单、片面，问题沟通解决机制不够有效，应对措施简单、可行性一般的得2分；未作说明的不得分。</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（三）针对本项目的人员配置：15分</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针对本项目配置项目负责人情况</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具有市政公用工程建造师二级（含）以上证书且具有安全员证书（B证）的，得1分；具有市政公用工程中级及以上职称或给排水中级及以上职称的得1分。本项最高2分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针对本项目配置技术负责人情况</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针对本项目配置的技术负责人具有市政公用工程</w:t>
      </w:r>
      <w:r>
        <w:rPr>
          <w:rFonts w:hint="eastAsia" w:ascii="宋体" w:hAnsi="宋体" w:eastAsia="宋体" w:cs="宋体"/>
          <w:color w:val="000000"/>
          <w:sz w:val="24"/>
          <w:highlight w:val="none"/>
          <w:lang w:val="en-US" w:eastAsia="zh-CN"/>
        </w:rPr>
        <w:t xml:space="preserve">或给排水</w:t>
      </w:r>
      <w:r>
        <w:rPr>
          <w:rFonts w:hint="eastAsia" w:ascii="宋体" w:hAnsi="宋体" w:eastAsia="宋体" w:cs="宋体"/>
          <w:color w:val="000000"/>
          <w:sz w:val="24"/>
          <w:highlight w:val="none"/>
        </w:rPr>
        <w:t xml:space="preserve">中级及以上职称的得1分，具有城镇排水管道检测与评估及非开挖修复证书得1分。本项最高2分；未提供不得分。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项目组其他人员配置情况（不含项目负责人及技术负责人）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11分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3.1针对本项目配置管理人员具有安全员证书（C证）的得1分，最高2分；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3.2针对本项目配置人员具有下水道养护工或管道工证书的，每提供一名得1分，最高4分；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3.3针对本项目配置具有有毒有害有限空间作业证书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或有限空间作业安全培训证书的，每提供一名得1分，最高2分；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3.4针对本项目配置人员具有城镇排水管道检测与评估及非开挖修复证书的，每提供一名得1分，最高1分；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3.5项目组配置中具有潜水作业人员证书，每提供1人得1分，最高2分；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注：响应文件中提供上述序号1-3项相关人员证书及响应单位</w:t>
      </w:r>
      <w:r>
        <w:rPr>
          <w:rFonts w:hint="eastAsia" w:ascii="宋体" w:hAnsi="宋体" w:eastAsia="宋体" w:cs="宋体"/>
          <w:color w:val="000000"/>
          <w:sz w:val="24"/>
          <w:highlight w:val="none"/>
          <w:lang w:val="en-US" w:eastAsia="zh-CN"/>
        </w:rPr>
        <w:t xml:space="preserve">在磋商响应截止时间前三个月内为其缴纳的任意一期</w:t>
      </w:r>
      <w:r>
        <w:rPr>
          <w:rFonts w:hint="eastAsia" w:ascii="宋体" w:hAnsi="宋体" w:eastAsia="宋体" w:cs="宋体"/>
          <w:color w:val="000000"/>
          <w:sz w:val="24"/>
          <w:highlight w:val="none"/>
        </w:rPr>
        <w:t xml:space="preserve">社保证明，资料不全不得分。</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（四）针对本项目投入的车辆、设备配置：10分</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疏通车配置情况（</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分）：响应单位自有或租赁高压疏通车的，有1辆得1分；最高为</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吸污车配置情况（</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分）：响应单位自有或租赁吸污车的，有1辆得1分；最高为</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rPr>
        <w:t xml:space="preserve">发电机配置情况（2分）：响应单位具有发电机的，有1台得1分；最高为2分。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rPr>
        <w:t xml:space="preserve">CCTV(探测式管道机器人)配置情况（2分）：响应单位具有CCTV(探测式管道机器人)的，有1台得1分；最高为2分。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5.</w:t>
      </w:r>
      <w:r>
        <w:rPr>
          <w:rFonts w:hint="eastAsia" w:ascii="宋体" w:hAnsi="宋体" w:eastAsia="宋体" w:cs="宋体"/>
          <w:color w:val="000000"/>
          <w:sz w:val="24"/>
          <w:highlight w:val="none"/>
        </w:rPr>
        <w:t xml:space="preserve">管道潜望镜配置情况（2分）：响应单位具有管道潜望镜的，有1台得1分；最高为2分。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注：上述1-5评分项，自有设备须提供设备照片、设备购置发票或财务凭证等产权证明文件（发票上的购买单位应为</w:t>
      </w:r>
      <w:r>
        <w:rPr>
          <w:rFonts w:hint="eastAsia" w:ascii="宋体" w:hAnsi="宋体" w:eastAsia="宋体" w:cs="宋体"/>
          <w:color w:val="000000"/>
          <w:sz w:val="24"/>
          <w:highlight w:val="none"/>
          <w:lang w:eastAsia="zh-CN"/>
        </w:rPr>
        <w:t xml:space="preserve">磋商响应单位</w:t>
      </w:r>
      <w:r>
        <w:rPr>
          <w:rFonts w:hint="eastAsia" w:ascii="宋体" w:hAnsi="宋体" w:eastAsia="宋体" w:cs="宋体"/>
          <w:color w:val="000000"/>
          <w:sz w:val="24"/>
          <w:highlight w:val="none"/>
        </w:rPr>
        <w:t xml:space="preserve">）；租赁</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须提供租赁合同（租赁到期期限不得先于本项目服务期结束期限）、</w:t>
      </w:r>
      <w:r>
        <w:rPr>
          <w:rFonts w:hint="eastAsia" w:ascii="宋体" w:hAnsi="宋体" w:eastAsia="宋体" w:cs="宋体"/>
          <w:color w:val="000000"/>
          <w:sz w:val="24"/>
          <w:highlight w:val="none"/>
          <w:lang w:val="en-US" w:eastAsia="zh-CN"/>
        </w:rPr>
        <w:t xml:space="preserve">出租方</w:t>
      </w:r>
      <w:r>
        <w:rPr>
          <w:rFonts w:hint="eastAsia" w:ascii="宋体" w:hAnsi="宋体" w:eastAsia="宋体" w:cs="宋体"/>
          <w:color w:val="000000"/>
          <w:sz w:val="24"/>
          <w:highlight w:val="none"/>
        </w:rPr>
        <w:t xml:space="preserve">设备购置发票或财务凭证等产权证明（发票上的购买单位应为出租单位）、设备照片及相关租赁费用缴费凭证（租赁费用缴费单位应为</w:t>
      </w:r>
      <w:r>
        <w:rPr>
          <w:rFonts w:hint="eastAsia" w:ascii="宋体" w:hAnsi="宋体" w:eastAsia="宋体" w:cs="宋体"/>
          <w:color w:val="000000"/>
          <w:sz w:val="24"/>
          <w:highlight w:val="none"/>
          <w:lang w:eastAsia="zh-CN"/>
        </w:rPr>
        <w:t xml:space="preserve">磋商响应单位</w:t>
      </w:r>
      <w:r>
        <w:rPr>
          <w:rFonts w:hint="eastAsia" w:ascii="宋体" w:hAnsi="宋体" w:eastAsia="宋体" w:cs="宋体"/>
          <w:color w:val="000000"/>
          <w:sz w:val="24"/>
          <w:highlight w:val="none"/>
        </w:rPr>
        <w:t xml:space="preserve">）；车辆设备须提供车辆产权证及行驶证等信息；上述资料提供彩色扫描件加盖响应单位公章，未提供或者提供不全的不得分。</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（五）响应单位履约能力：12分</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rPr>
        <w:t xml:space="preserve">体系认证</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6分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响应单位具有有效期内的质量管理体系认证证书、环境管理体系认证证书、职业健康安全管理体系认证证书，每个证书得2分，最高为6分；未提供不得分。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注：响应文件中提供证书复印件及中国国家认证认可监督管理委员会官网证书查询页面截图，否则相应证书不得分。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rPr>
        <w:t xml:space="preserve">响应单位类似项目业绩经验情况</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6分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响应单位2022年1月1日（以合同签订时间为准）至今具有履行类似项目业绩的并，每</w:t>
      </w:r>
      <w:r>
        <w:rPr>
          <w:rFonts w:hint="eastAsia" w:ascii="宋体" w:hAnsi="宋体" w:eastAsia="宋体" w:cs="宋体"/>
          <w:color w:val="000000"/>
          <w:sz w:val="24"/>
          <w:highlight w:val="none"/>
          <w:lang w:val="en-US" w:eastAsia="zh-CN"/>
        </w:rPr>
        <w:t xml:space="preserve">提供1个</w:t>
      </w:r>
      <w:r>
        <w:rPr>
          <w:rFonts w:hint="eastAsia" w:ascii="宋体" w:hAnsi="宋体" w:eastAsia="宋体" w:cs="宋体"/>
          <w:color w:val="000000"/>
          <w:sz w:val="24"/>
          <w:highlight w:val="none"/>
        </w:rPr>
        <w:t xml:space="preserve">得2分，最高6分。响应文件中须提供类似业绩合同复印件并加盖单位公章，资料提供不全或无法证明的不得分。</w:t>
      </w:r>
      <w:r>
        <w:rPr>
          <w:rFonts w:hint="eastAsia" w:ascii="宋体" w:hAnsi="宋体" w:eastAsia="宋体" w:cs="宋体"/>
          <w:color w:val="000000"/>
          <w:sz w:val="24"/>
          <w:highlight w:val="none"/>
        </w:rPr>
      </w:r>
      <w:r/>
    </w:p>
    <w:p>
      <w:pPr>
        <w:pStyle w:val="899"/>
        <w:rPr>
          <w:highlight w:val="none"/>
        </w:rPr>
      </w:pPr>
      <w:r>
        <w:rPr>
          <w:highlight w:val="none"/>
        </w:rPr>
      </w:r>
      <w:r/>
    </w:p>
    <w:p>
      <w:pPr>
        <w:pStyle w:val="957"/>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r>
      <w:r/>
    </w:p>
    <w:p>
      <w:pPr>
        <w:pStyle w:val="957"/>
        <w:ind w:firstLine="482"/>
        <w:jc w:val="both"/>
        <w:spacing w:line="360" w:lineRule="auto"/>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lang w:eastAsia="zh-CN"/>
        </w:rPr>
        <w:t xml:space="preserve">注：</w:t>
      </w:r>
      <w:r>
        <w:rPr>
          <w:rFonts w:hint="eastAsia" w:hAnsi="宋体" w:eastAsia="宋体" w:cs="宋体"/>
          <w:b/>
          <w:bCs/>
          <w:color w:val="000000"/>
          <w:sz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1.报价超采购限价或</w:t>
      </w:r>
      <w:r>
        <w:rPr>
          <w:rFonts w:hint="eastAsia" w:ascii="宋体" w:hAnsi="宋体" w:cs="宋体"/>
          <w:color w:val="000000"/>
          <w:sz w:val="24"/>
          <w:highlight w:val="none"/>
          <w:lang w:val="en-US" w:eastAsia="zh-CN"/>
        </w:rPr>
        <w:t xml:space="preserve">超过单价最高限价或</w:t>
      </w:r>
      <w:r>
        <w:rPr>
          <w:rFonts w:hint="eastAsia" w:ascii="宋体" w:hAnsi="宋体" w:cs="宋体"/>
          <w:color w:val="000000"/>
          <w:sz w:val="24"/>
          <w:highlight w:val="none"/>
        </w:rPr>
        <w:t xml:space="preserve">未按采购要求报价的为无效报价，</w:t>
      </w:r>
      <w:r>
        <w:rPr>
          <w:rFonts w:hint="eastAsia" w:ascii="宋体" w:hAnsi="宋体" w:cs="宋体"/>
          <w:color w:val="000000"/>
          <w:sz w:val="24"/>
          <w:highlight w:val="none"/>
          <w:lang w:val="en-US" w:eastAsia="zh-CN"/>
        </w:rPr>
        <w:t xml:space="preserve">视为实质性响应</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2.付款步骤、项目履约期限要求如有负偏离的不得成交。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3.针对评分标准中评分的每一条，响应单位均应提供相关资料并作出相应说明供评委评判，不提供相关资料或所提供资料无法证明的视为不具备该项得分的条件。</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4.响应文件中复印件可用扫描件代替，要求加盖公章的可用电子签章代替。</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5.响应单位必须保证全部</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资料的真实性，采购单位有权在采购的任何阶段进行调查和核实，如有虚假或对采购文件所要求说明的情况故意隐瞒或虚报，视为不实质性响应采购文件，为</w:t>
      </w:r>
      <w:r>
        <w:rPr>
          <w:rFonts w:hint="eastAsia" w:ascii="宋体" w:hAnsi="宋体" w:cs="宋体"/>
          <w:color w:val="000000"/>
          <w:sz w:val="24"/>
          <w:highlight w:val="none"/>
          <w:lang w:eastAsia="zh-CN"/>
        </w:rPr>
        <w:t xml:space="preserve">无效响应</w:t>
      </w:r>
      <w:r>
        <w:rPr>
          <w:rFonts w:hint="eastAsia" w:ascii="宋体" w:hAnsi="宋体" w:cs="宋体"/>
          <w:color w:val="000000"/>
          <w:sz w:val="24"/>
          <w:highlight w:val="none"/>
        </w:rPr>
        <w:t xml:space="preserve">。已成交的将取消成交资格，并按《中华人民共和国政府采购法》第七十七条“提供虚假材料谋取中标、成交”相关处理办法处理。</w:t>
      </w:r>
      <w:r>
        <w:rPr>
          <w:rFonts w:hint="eastAsia" w:ascii="宋体" w:hAnsi="宋体" w:cs="宋体"/>
          <w:color w:val="000000"/>
          <w:sz w:val="24"/>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899"/>
        <w:ind w:firstLine="422"/>
        <w:jc w:val="right"/>
        <w:keepLines w:val="0"/>
        <w:keepNext w:val="0"/>
        <w:pageBreakBefore w:val="0"/>
        <w:spacing w:line="360" w:lineRule="auto"/>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r>
      <w:r/>
    </w:p>
    <w:p>
      <w:pPr>
        <w:pStyle w:val="899"/>
        <w:ind w:firstLine="420"/>
        <w:jc w:val="right"/>
        <w:keepLines w:val="0"/>
        <w:keepNext w:val="0"/>
        <w:pageBreakBefore w:val="0"/>
        <w:spacing w:line="360" w:lineRule="auto"/>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根据苏州市吴江区政府采购编号JSZC-320509-ZZHL-C2026-0028采购文件及乙方的响应文件和成交通知书，甲乙各方就此次乙方成交的项目事宜，签订本合同书。</w:t>
      </w:r>
      <w:r>
        <w:rPr>
          <w:rFonts w:hint="eastAsia" w:ascii="宋体" w:hAnsi="宋体" w:eastAsia="宋体" w:cs="宋体"/>
          <w:color w:val="000000"/>
          <w:sz w:val="24"/>
          <w:highlight w:val="none"/>
          <w:lang w:eastAsia="zh-CN"/>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一、下列文件为本合同不可分割部分，与本合同具有同等效力：</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中标（成交）通知书；</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采购文件；</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乙方中标（成交）的投标（响应）文件；</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乙方在采购过程中所作的其他承诺、声明、书面澄清等。</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二、合同内容：</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服务内容：乙方负责完成甲方的</w:t>
      </w:r>
      <w:r>
        <w:rPr>
          <w:rFonts w:hint="eastAsia" w:ascii="宋体" w:hAnsi="宋体" w:eastAsia="宋体" w:cs="宋体"/>
          <w:color w:val="000000"/>
          <w:sz w:val="24"/>
          <w:highlight w:val="none"/>
          <w:lang w:eastAsia="zh-CN"/>
        </w:rPr>
        <w:t xml:space="preserve">同里镇小区管道设施管理服务项目(2026)</w:t>
      </w:r>
      <w:r>
        <w:rPr>
          <w:rFonts w:hint="eastAsia" w:ascii="宋体" w:hAnsi="宋体" w:eastAsia="宋体" w:cs="宋体"/>
          <w:color w:val="000000"/>
          <w:sz w:val="24"/>
          <w:highlight w:val="none"/>
        </w:rPr>
        <w:t xml:space="preserve">，详见采购文件。</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合同履行期限：</w:t>
      </w:r>
      <w:r>
        <w:rPr>
          <w:rFonts w:hint="eastAsia" w:ascii="宋体" w:hAnsi="宋体" w:eastAsia="宋体" w:cs="宋体"/>
          <w:color w:val="000000"/>
          <w:sz w:val="24"/>
          <w:highlight w:val="none"/>
          <w:lang w:val="en-US" w:eastAsia="zh-CN"/>
        </w:rPr>
        <w:t xml:space="preserve">合同签订之日起</w:t>
      </w:r>
      <w:r>
        <w:rPr>
          <w:rFonts w:hint="eastAsia" w:ascii="宋体" w:hAnsi="宋体" w:eastAsia="宋体" w:cs="宋体"/>
          <w:color w:val="000000"/>
          <w:sz w:val="24"/>
          <w:highlight w:val="none"/>
        </w:rPr>
        <w:t xml:space="preserve">一年。</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项目地点：详见采购文件。</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服务要求：详见采购文件。</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三、价格与支付：</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合同价格按此次</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价格执行。合同总金额为人民币（大写）元（￥：）</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合同金额</w:t>
      </w:r>
      <w:r>
        <w:rPr>
          <w:rFonts w:hint="eastAsia" w:ascii="宋体" w:hAnsi="宋体" w:eastAsia="宋体" w:cs="宋体"/>
          <w:color w:val="000000"/>
          <w:sz w:val="24"/>
          <w:szCs w:val="24"/>
          <w:highlight w:val="none"/>
        </w:rPr>
        <w:t xml:space="preserve">包括完成该项目所有服务管理内容所需的人工、机械设备、工具器具、垃圾清运、耗材、通讯、服装、胸卡、办公设备、巡检器材、保险、劳保、高温费、防暑降温物品费用、维护、技术支持与培训及相关劳务支出等工作所发生的全部费用以及</w:t>
      </w:r>
      <w:r>
        <w:rPr>
          <w:rFonts w:hint="eastAsia" w:ascii="宋体" w:hAnsi="宋体" w:eastAsia="宋体" w:cs="宋体"/>
          <w:color w:val="000000"/>
          <w:sz w:val="24"/>
          <w:szCs w:val="24"/>
          <w:highlight w:val="none"/>
          <w:lang w:eastAsia="zh-CN"/>
        </w:rPr>
        <w:t xml:space="preserve">磋商供应商</w:t>
      </w:r>
      <w:r>
        <w:rPr>
          <w:rFonts w:hint="eastAsia" w:ascii="宋体" w:hAnsi="宋体" w:eastAsia="宋体" w:cs="宋体"/>
          <w:color w:val="000000"/>
          <w:sz w:val="24"/>
          <w:szCs w:val="24"/>
          <w:highlight w:val="none"/>
        </w:rPr>
        <w:t xml:space="preserve">企业管理费用、利润、</w:t>
      </w:r>
      <w:r>
        <w:rPr>
          <w:rFonts w:hint="eastAsia" w:ascii="宋体" w:hAnsi="宋体" w:eastAsia="宋体" w:cs="宋体"/>
          <w:color w:val="000000"/>
          <w:sz w:val="24"/>
          <w:szCs w:val="24"/>
          <w:highlight w:val="none"/>
          <w:lang w:eastAsia="zh-CN"/>
        </w:rPr>
        <w:t xml:space="preserve">各种税金、代理服务费和政策文件规定</w:t>
      </w:r>
      <w:r>
        <w:rPr>
          <w:rFonts w:hint="eastAsia" w:ascii="宋体" w:hAnsi="宋体" w:eastAsia="宋体" w:cs="宋体"/>
          <w:color w:val="000000"/>
          <w:sz w:val="24"/>
          <w:szCs w:val="24"/>
          <w:highlight w:val="none"/>
        </w:rPr>
        <w:t xml:space="preserve">及合同包含的所有风险、责任等各项应有费用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合同价款的支付及付款方式：</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付款步骤：</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合同签订生效后，</w:t>
      </w: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lang w:val="zh-CN"/>
        </w:rPr>
        <w:t xml:space="preserve">按</w:t>
      </w:r>
      <w:r>
        <w:rPr>
          <w:rFonts w:hint="eastAsia" w:ascii="宋体" w:hAnsi="宋体" w:eastAsia="宋体" w:cs="宋体"/>
          <w:color w:val="000000"/>
          <w:sz w:val="24"/>
          <w:highlight w:val="none"/>
        </w:rPr>
        <w:t xml:space="preserve">季度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三个月）根据考核情况</w:t>
      </w:r>
      <w:r>
        <w:rPr>
          <w:rFonts w:hint="eastAsia" w:ascii="宋体" w:hAnsi="宋体" w:eastAsia="宋体" w:cs="宋体"/>
          <w:color w:val="000000"/>
          <w:sz w:val="24"/>
          <w:highlight w:val="none"/>
          <w:lang w:val="zh-CN"/>
        </w:rPr>
        <w:t xml:space="preserve">向乙方支付费用，</w:t>
      </w:r>
      <w:r>
        <w:rPr>
          <w:rFonts w:hint="eastAsia" w:ascii="宋体" w:hAnsi="宋体" w:eastAsia="宋体" w:cs="宋体"/>
          <w:color w:val="000000"/>
          <w:sz w:val="24"/>
          <w:highlight w:val="none"/>
          <w:lang w:val="en-US" w:eastAsia="zh-CN"/>
        </w:rPr>
        <w:t xml:space="preserve">每季度支付费用为合同总金额/4-考核扣款(如有)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得分≥95分，全额结算该考核周期服务费用；</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85分≤得分＜95分，扣除该考核周期服务费用的5％；</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75分≤得分＜85分，扣除该考核周期服务费用的10％；</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得分＜75分为不合格，扣除该考核周期服务费用的20％；</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甲方支付此项费用外不再承担其他任何费用（包括个人）。</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确因甲方工作需要，甲方需要乙方完成一些突击工作，可另行协商。</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付款方式：乙方开具正规发票后甲方</w:t>
      </w:r>
      <w:r>
        <w:rPr>
          <w:rFonts w:hint="eastAsia" w:ascii="宋体" w:hAnsi="宋体" w:eastAsia="宋体" w:cs="宋体"/>
          <w:color w:val="000000"/>
          <w:sz w:val="24"/>
          <w:highlight w:val="none"/>
          <w:lang w:val="zh-CN"/>
        </w:rPr>
        <w:t xml:space="preserve">以转帐方式直接转入</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lang w:val="zh-CN"/>
        </w:rPr>
        <w:t xml:space="preserve">账户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乙方银行账户信息如下：</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账户名称：</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 户 行：</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甲方支付费用前，乙方应开具符合甲方所在地税务部门要求的发票。如由于乙方提供账户信息有误、未开具发票、违约等乙方原因致使甲方未按时付款的，甲方不承担任何逾期付款的责任。</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根据国家现行税法对甲方征收的与本合同有关的税费均由甲方承担；根据国家现行税法对乙方征收的与本合同有关的一切税费均由乙方承担。</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四、验收要求：</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履约验收标准：根据政府采购合同要求、采购文件要求、响应文件、承诺及有关行业规定。</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履约验收主体：由甲方或委托专家（或第三方机构）组成的验收小组进行验收。</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并在报价时综合考虑。</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验收时间：</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4.1政府采购合同约定的履约验收条件达到时，甲方应当在 5 个工作日内启动履约验收工作，并向乙方发出《政府采购履约验收通知单》。</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4.2在政府采购合同约定的履行验收条件达到时，乙方可以主动联系甲方启动履约验收工作。</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其他验收要求按照《江苏省政府采购履约验收管理办法》规定执行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2"/>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五、甲乙双方权力和义务</w:t>
      </w:r>
      <w:r>
        <w:rPr>
          <w:rFonts w:ascii="宋体" w:hAnsi="宋体" w:eastAsia="宋体" w:cs="宋体"/>
          <w:b/>
          <w:bCs/>
          <w:color w:val="000000"/>
          <w:sz w:val="24"/>
          <w:highlight w:val="none"/>
          <w:lang w:val="en-US" w:eastAsia="zh-CN"/>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甲方权利和义务：</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根据甲方服务管理要求及乙方的相关承诺，对乙方提供的服务及履行本合同情况实行验收考核。</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甲方有义务在适当的范围内公开考核结果。</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因突发情况，甲方需调动乙方人员和器材设备时，乙方应服从安排予以配合。</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乙方权利和义务：</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乙方根据国家标准、行业标准和规范要求及标书规定的服务质量标准和有关要求，积极主动保质保量地完成服务工作。</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接受并主动配合甲方及行业主管部门的检查。</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服务范围之外的突击性、突发性工作，乙方须服从甲方的安排，不得无故拖延。</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因乙方管理不善而损坏的硬件、设施应负责及时修复，或照价赔偿。</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乙方应做好详细的管理台账，建立管理档案，并按双方约定将管理情况汇总报送甲方。</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rPr>
        <w:t xml:space="preserve">乙方应按采购文件的要求配备服务人员，并依法为其发放工资、缴纳社保，如在服务过程中，发生人身损害、安全事故的，由乙方承担全部经济赔偿和法律责任。</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rPr>
        <w:t xml:space="preserve">乙方应按采购文件要求完成设备日常运行工作、除臭消杀工作、中转站渗滤液处理工作、设备维修工作，并按要求配备相应设施，满足采购文件中约定的作业标准。</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六、服务管理内容的调整：</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合同签订定时因实际服务管理要求与采购文件中所述要求有差异，以实际要求为准，且不再因此调整合同金额；</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七、服务管理基本要求：</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为确保服务质量，乙方安排管理人员进行监督管理。    </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服务过程中，乙方必须采取周密的安全措施，以避免对人身和财产的损害。如造成人身伤害或财产损失的，由乙方承担全部经济赔偿和法律责任。</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对于乙方服务期间由于服务工作不能及时完成，且造成较大影响的，甲方有权通过扣除服务费用进行处罚。</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八、不可抗力：</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因不可抗力不能履行合同的，根据不可抗力的影响，部分或者全部免除责任。但合同一方迟延履行后发生严重后果的，不能免除责任。</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合同一方因不可抗力不能履行合同的，应当及时通知对方，以减轻可能给对方造成的损失，并应当在合理期限内提供证明。发生不可抗力的一方未及时通知，导致另一方损失扩大的，发生不可抗力方应赔偿另一方扩大部分损失。</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九、合同的解除和转让：</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合同的解除</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甲方和乙方协商一致，可以解除合同。</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有下列情形之一，合同一方可以解除合同：</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（1）因不可抗力致使不能实现合同目的，未受不可抗力影响的一方有权解除合同；</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（2）因合同一方违约导致合同不能履行，另一方有权解除合同。</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合同的转让</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合同的部分和全部都不得转让。</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十、合同的生效：</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本合同在甲方双方签字盖章后生效，生效合同在2个工作日内公示。</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十一、争议解决：</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甲乙双方因合同发生争议，签约双方应友好协商解决。协商不成，任何一方应向甲方所在地人民法院起诉。</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十二、其他附则：</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合同份数：本合同一式</w:t>
      </w:r>
      <w:r>
        <w:rPr>
          <w:rFonts w:hint="eastAsia" w:ascii="宋体" w:hAnsi="宋体" w:eastAsia="宋体" w:cs="宋体"/>
          <w:color w:val="000000"/>
          <w:sz w:val="24"/>
          <w:highlight w:val="none"/>
          <w:lang w:val="en-US" w:eastAsia="zh-CN"/>
        </w:rPr>
        <w:t xml:space="preserve">伍</w:t>
      </w:r>
      <w:r>
        <w:rPr>
          <w:rFonts w:hint="eastAsia" w:ascii="宋体" w:hAnsi="宋体" w:eastAsia="宋体" w:cs="宋体"/>
          <w:color w:val="000000"/>
          <w:sz w:val="24"/>
          <w:highlight w:val="none"/>
        </w:rPr>
        <w:t xml:space="preserve">份，甲乙双方各执</w:t>
      </w:r>
      <w:r>
        <w:rPr>
          <w:rFonts w:hint="eastAsia" w:ascii="宋体" w:hAnsi="宋体" w:eastAsia="宋体" w:cs="宋体"/>
          <w:color w:val="000000"/>
          <w:sz w:val="24"/>
          <w:highlight w:val="none"/>
          <w:lang w:val="en-US" w:eastAsia="zh-CN"/>
        </w:rPr>
        <w:t xml:space="preserve">贰</w:t>
      </w:r>
      <w:r>
        <w:rPr>
          <w:rFonts w:hint="eastAsia" w:ascii="宋体" w:hAnsi="宋体" w:eastAsia="宋体" w:cs="宋体"/>
          <w:color w:val="000000"/>
          <w:sz w:val="24"/>
          <w:highlight w:val="none"/>
        </w:rPr>
        <w:t xml:space="preserve">份，采购代理机构壹份，各份具有同等效力。</w:t>
      </w:r>
      <w:r>
        <w:rPr>
          <w:rFonts w:hint="eastAsia" w:ascii="宋体" w:hAnsi="宋体" w:eastAsia="宋体" w:cs="宋体"/>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hint="eastAsia" w:ascii="宋体" w:hAnsi="宋体" w:eastAsia="宋体" w:cs="宋体"/>
          <w:color w:val="000000"/>
          <w:sz w:val="24"/>
          <w:highlight w:val="none"/>
        </w:rPr>
      </w:r>
      <w:r/>
    </w:p>
    <w:p>
      <w:pPr>
        <w:pStyle w:val="899"/>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（以下无正文）</w:t>
      </w:r>
      <w:r>
        <w:rPr>
          <w:rFonts w:hint="eastAsia" w:ascii="宋体" w:hAnsi="宋体" w:eastAsia="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0"/>
        <w:tabs>
          <w:tab w:val="left" w:pos="5250" w:leader="none"/>
        </w:tabs>
        <w:rPr>
          <w:rFonts w:ascii="宋体" w:hAnsi="宋体" w:cs="宋体"/>
          <w:b/>
          <w:color w:val="000000"/>
          <w:sz w:val="21"/>
          <w:szCs w:val="21"/>
          <w:highlight w:val="none"/>
        </w:rPr>
      </w:pPr>
      <w:r>
        <w:rPr>
          <w:rFonts w:ascii="宋体" w:hAnsi="宋体" w:cs="宋体"/>
          <w:b/>
          <w:color w:val="000000"/>
          <w:sz w:val="21"/>
          <w:szCs w:val="21"/>
          <w:highlight w:val="none"/>
        </w:rPr>
      </w:r>
      <w:r/>
    </w:p>
    <w:tbl>
      <w:tblPr>
        <w:tblW w:w="94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019"/>
        <w:gridCol w:w="4466"/>
      </w:tblGrid>
      <w:tr>
        <w:trPr>
          <w:trHeight w:val="844"/>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甲方（盖章）：</w:t>
            </w:r>
            <w:r>
              <w:rPr>
                <w:rFonts w:ascii="宋体" w:hAnsi="宋体" w:cs="宋体"/>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乙方（盖章）：</w:t>
            </w:r>
            <w:r>
              <w:rPr>
                <w:rFonts w:ascii="宋体" w:hAnsi="宋体" w:cs="宋体"/>
                <w:b/>
                <w:bCs/>
                <w:color w:val="000000"/>
                <w:sz w:val="24"/>
                <w:szCs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法定（或授权）代表人（签字或盖章）：</w:t>
            </w:r>
            <w:r>
              <w:rPr>
                <w:rFonts w:ascii="宋体" w:hAnsi="宋体" w:cs="宋体"/>
                <w:b/>
                <w:bCs/>
                <w:color w:val="000000"/>
                <w:sz w:val="24"/>
                <w:szCs w:val="24"/>
                <w:highlight w:val="none"/>
              </w:rPr>
            </w:r>
            <w:r/>
          </w:p>
          <w:p>
            <w:pPr>
              <w:pStyle w:val="910"/>
              <w:tabs>
                <w:tab w:val="left" w:pos="5250" w:leader="none"/>
              </w:tabs>
              <w:rPr>
                <w:color w:val="000000"/>
                <w:sz w:val="24"/>
                <w:szCs w:val="24"/>
                <w:highlight w:val="none"/>
              </w:rPr>
            </w:pPr>
            <w:r>
              <w:rPr>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法定（或授权）代表人（签字或盖章）：  </w:t>
            </w:r>
            <w:r>
              <w:rPr>
                <w:rFonts w:ascii="宋体" w:hAnsi="宋体" w:cs="宋体"/>
                <w:b/>
                <w:bCs/>
                <w:color w:val="000000"/>
                <w:sz w:val="24"/>
                <w:szCs w:val="24"/>
                <w:highlight w:val="none"/>
              </w:rPr>
            </w:r>
            <w:r/>
          </w:p>
          <w:p>
            <w:pPr>
              <w:pStyle w:val="899"/>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p>
        </w:tc>
      </w:tr>
      <w:tr>
        <w:trPr>
          <w:trHeight w:val="576"/>
        </w:trPr>
        <w:tc>
          <w:tcPr>
            <w:tcBorders>
              <w:top w:val="none" w:color="000000" w:sz="0" w:space="0"/>
              <w:left w:val="none" w:color="000000" w:sz="0" w:space="0"/>
              <w:bottom w:val="none" w:color="000000" w:sz="0" w:space="0"/>
              <w:right w:val="none" w:color="000000" w:sz="0" w:space="0"/>
            </w:tcBorders>
            <w:tcW w:w="5019" w:type="dxa"/>
            <w:vAlign w:val="center"/>
            <w:textDirection w:val="lrTb"/>
            <w:noWrap w:val="false"/>
          </w:tcPr>
          <w:p>
            <w:pPr>
              <w:pStyle w:val="899"/>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日期：    年    月    日</w:t>
            </w:r>
            <w:r>
              <w:rPr>
                <w:rFonts w:ascii="宋体" w:hAnsi="宋体" w:cs="宋体"/>
                <w:b/>
                <w:bCs/>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466" w:type="dxa"/>
            <w:vAlign w:val="center"/>
            <w:textDirection w:val="lrTb"/>
            <w:noWrap w:val="false"/>
          </w:tcPr>
          <w:p>
            <w:pPr>
              <w:pStyle w:val="899"/>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日期：   年   月    日 </w:t>
            </w:r>
            <w:r>
              <w:rPr>
                <w:rFonts w:ascii="宋体" w:hAnsi="宋体" w:cs="宋体"/>
                <w:b/>
                <w:bCs/>
                <w:color w:val="000000"/>
                <w:sz w:val="24"/>
                <w:szCs w:val="24"/>
                <w:highlight w:val="none"/>
              </w:rPr>
            </w:r>
            <w:r/>
          </w:p>
        </w:tc>
      </w:tr>
    </w:tbl>
    <w:p>
      <w:pPr>
        <w:pStyle w:val="931"/>
        <w:ind w:firstLine="480"/>
        <w:spacing w:line="360" w:lineRule="auto"/>
        <w:rPr>
          <w:rFonts w:hAnsi="宋体" w:cs="宋体"/>
          <w:color w:val="000000"/>
          <w:szCs w:val="21"/>
          <w:highlight w:val="none"/>
        </w:rPr>
      </w:pPr>
      <w:r>
        <w:rPr>
          <w:rFonts w:hAnsi="宋体" w:cs="宋体"/>
          <w:color w:val="000000"/>
          <w:szCs w:val="21"/>
          <w:highlight w:val="none"/>
        </w:rPr>
      </w:r>
      <w:r/>
    </w:p>
    <w:p>
      <w:pPr>
        <w:pStyle w:val="931"/>
        <w:ind w:firstLine="480"/>
        <w:spacing w:line="360" w:lineRule="auto"/>
        <w:rPr>
          <w:rFonts w:hAnsi="宋体" w:cs="宋体"/>
          <w:color w:val="000000"/>
          <w:szCs w:val="21"/>
          <w:highlight w:val="none"/>
        </w:rPr>
      </w:pPr>
      <w:r>
        <w:rPr>
          <w:rFonts w:hAnsi="宋体" w:cs="宋体"/>
          <w:color w:val="000000"/>
          <w:szCs w:val="21"/>
          <w:highlight w:val="none"/>
        </w:rPr>
      </w:r>
      <w:r/>
    </w:p>
    <w:p>
      <w:pPr>
        <w:pStyle w:val="931"/>
        <w:ind w:firstLine="480"/>
        <w:spacing w:line="360" w:lineRule="auto"/>
        <w:rPr>
          <w:rFonts w:hAnsi="宋体" w:cs="宋体"/>
          <w:color w:val="000000"/>
          <w:szCs w:val="21"/>
          <w:highlight w:val="none"/>
        </w:rPr>
      </w:pPr>
      <w:r>
        <w:rPr>
          <w:rFonts w:hAnsi="宋体" w:cs="宋体"/>
          <w:color w:val="000000"/>
          <w:szCs w:val="21"/>
          <w:highlight w:val="none"/>
        </w:rPr>
      </w:r>
      <w:r/>
    </w:p>
    <w:p>
      <w:pPr>
        <w:pStyle w:val="899"/>
        <w:rPr>
          <w:rFonts w:hAnsi="宋体" w:cs="宋体"/>
          <w:color w:val="000000"/>
          <w:szCs w:val="21"/>
          <w:highlight w:val="none"/>
        </w:rPr>
      </w:pPr>
      <w:r>
        <w:rPr>
          <w:rFonts w:hAnsi="宋体" w:cs="宋体"/>
          <w:color w:val="000000"/>
          <w:szCs w:val="21"/>
          <w:highlight w:val="none"/>
        </w:rPr>
      </w:r>
      <w:r/>
    </w:p>
    <w:p>
      <w:pPr>
        <w:pStyle w:val="899"/>
        <w:rPr>
          <w:rFonts w:hAnsi="宋体" w:cs="宋体"/>
          <w:color w:val="000000"/>
          <w:szCs w:val="21"/>
          <w:highlight w:val="none"/>
        </w:rPr>
      </w:pPr>
      <w:r>
        <w:rPr>
          <w:rFonts w:hAnsi="宋体" w:cs="宋体"/>
          <w:color w:val="000000"/>
          <w:szCs w:val="21"/>
          <w:highlight w:val="none"/>
        </w:rPr>
      </w:r>
      <w:r/>
    </w:p>
    <w:p>
      <w:pPr>
        <w:pStyle w:val="899"/>
        <w:rPr>
          <w:rFonts w:hAnsi="宋体" w:cs="宋体"/>
          <w:color w:val="000000"/>
          <w:szCs w:val="21"/>
          <w:highlight w:val="none"/>
        </w:rPr>
      </w:pPr>
      <w:r>
        <w:rPr>
          <w:rFonts w:hAnsi="宋体" w:cs="宋体"/>
          <w:color w:val="000000"/>
          <w:szCs w:val="21"/>
          <w:highlight w:val="none"/>
        </w:rPr>
      </w:r>
      <w:r/>
    </w:p>
    <w:p>
      <w:pPr>
        <w:pStyle w:val="899"/>
        <w:rPr>
          <w:rFonts w:hAnsi="宋体" w:cs="宋体"/>
          <w:color w:val="000000"/>
          <w:szCs w:val="21"/>
          <w:highlight w:val="none"/>
        </w:rPr>
      </w:pPr>
      <w:r>
        <w:rPr>
          <w:rFonts w:hAnsi="宋体" w:cs="宋体"/>
          <w:color w:val="000000"/>
          <w:szCs w:val="21"/>
          <w:highlight w:val="none"/>
        </w:rPr>
      </w:r>
      <w:r/>
    </w:p>
    <w:p>
      <w:pPr>
        <w:pStyle w:val="899"/>
        <w:rPr>
          <w:rFonts w:hAnsi="宋体" w:cs="宋体"/>
          <w:color w:val="000000"/>
          <w:szCs w:val="21"/>
          <w:highlight w:val="none"/>
        </w:rPr>
      </w:pPr>
      <w:r>
        <w:rPr>
          <w:rFonts w:hAnsi="宋体" w:cs="宋体"/>
          <w:color w:val="000000"/>
          <w:szCs w:val="21"/>
          <w:highlight w:val="none"/>
        </w:rPr>
      </w:r>
      <w:r/>
    </w:p>
    <w:p>
      <w:pPr>
        <w:pStyle w:val="899"/>
        <w:rPr>
          <w:rFonts w:hAnsi="宋体" w:cs="宋体"/>
          <w:color w:val="000000"/>
          <w:szCs w:val="21"/>
          <w:highlight w:val="none"/>
        </w:rPr>
      </w:pPr>
      <w:r>
        <w:rPr>
          <w:rFonts w:hAnsi="宋体" w:cs="宋体"/>
          <w:color w:val="000000"/>
          <w:szCs w:val="21"/>
          <w:highlight w:val="none"/>
        </w:rPr>
      </w:r>
      <w:r/>
    </w:p>
    <w:p>
      <w:pPr>
        <w:pStyle w:val="899"/>
        <w:rPr>
          <w:rFonts w:hAnsi="宋体" w:cs="宋体"/>
          <w:color w:val="000000"/>
          <w:szCs w:val="21"/>
          <w:highlight w:val="none"/>
        </w:rPr>
      </w:pPr>
      <w:r>
        <w:rPr>
          <w:rFonts w:hAnsi="宋体" w:cs="宋体"/>
          <w:color w:val="000000"/>
          <w:szCs w:val="21"/>
          <w:highlight w:val="none"/>
        </w:rPr>
      </w:r>
      <w:r/>
    </w:p>
    <w:p>
      <w:pPr>
        <w:pStyle w:val="899"/>
        <w:rPr>
          <w:rFonts w:hAnsi="宋体" w:cs="宋体"/>
          <w:color w:val="000000"/>
          <w:szCs w:val="21"/>
          <w:highlight w:val="none"/>
        </w:rPr>
      </w:pPr>
      <w:r>
        <w:rPr>
          <w:rFonts w:hAnsi="宋体" w:cs="宋体"/>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26"/>
        <w:ind w:left="0" w:firstLine="0"/>
        <w:spacing w:after="0"/>
        <w:rPr>
          <w:rFonts w:ascii="宋体" w:hAnsi="宋体" w:cs="宋体"/>
          <w:b/>
          <w:bCs/>
          <w:color w:val="000000"/>
          <w:szCs w:val="21"/>
          <w:highlight w:val="none"/>
        </w:rPr>
      </w:pPr>
      <w:r>
        <w:rPr>
          <w:rFonts w:ascii="宋体" w:hAnsi="宋体" w:cs="宋体"/>
          <w:b/>
          <w:bCs/>
          <w:color w:val="000000"/>
          <w:szCs w:val="21"/>
          <w:highlight w:val="none"/>
        </w:rPr>
      </w:r>
      <w:r/>
    </w:p>
    <w:p>
      <w:pPr>
        <w:pStyle w:val="931"/>
        <w:ind w:firstLine="0"/>
        <w:spacing w:line="360" w:lineRule="auto"/>
        <w:rPr>
          <w:rFonts w:hint="eastAsia" w:hAnsi="宋体" w:cs="宋体"/>
          <w:b/>
          <w:color w:val="000000"/>
          <w:szCs w:val="21"/>
          <w:highlight w:val="none"/>
        </w:rPr>
      </w:pPr>
      <w:r>
        <w:rPr>
          <w:rFonts w:hint="eastAsia" w:hAnsi="宋体" w:cs="宋体"/>
          <w:b/>
          <w:color w:val="000000"/>
          <w:szCs w:val="21"/>
          <w:highlight w:val="none"/>
        </w:rPr>
      </w:r>
      <w:r/>
    </w:p>
    <w:p>
      <w:pPr>
        <w:pStyle w:val="899"/>
        <w:rPr>
          <w:rFonts w:hint="eastAsia" w:hAnsi="宋体" w:cs="宋体"/>
          <w:b/>
          <w:color w:val="000000"/>
          <w:szCs w:val="21"/>
          <w:highlight w:val="none"/>
        </w:rPr>
      </w:pPr>
      <w:r>
        <w:rPr>
          <w:rFonts w:hint="eastAsia" w:hAnsi="宋体" w:cs="宋体"/>
          <w:b/>
          <w:color w:val="000000"/>
          <w:szCs w:val="21"/>
          <w:highlight w:val="none"/>
        </w:rPr>
      </w:r>
      <w:r/>
    </w:p>
    <w:p>
      <w:pPr>
        <w:pStyle w:val="899"/>
        <w:rPr>
          <w:rFonts w:hint="eastAsia" w:hAnsi="宋体" w:cs="宋体"/>
          <w:b/>
          <w:color w:val="000000"/>
          <w:szCs w:val="21"/>
          <w:highlight w:val="none"/>
        </w:rPr>
      </w:pPr>
      <w:r>
        <w:rPr>
          <w:rFonts w:hint="eastAsia" w:hAnsi="宋体" w:cs="宋体"/>
          <w:b/>
          <w:color w:val="000000"/>
          <w:szCs w:val="21"/>
          <w:highlight w:val="none"/>
        </w:rPr>
      </w:r>
      <w:r/>
    </w:p>
    <w:p>
      <w:pPr>
        <w:pStyle w:val="899"/>
        <w:rPr>
          <w:rFonts w:hint="eastAsia" w:hAnsi="宋体" w:cs="宋体"/>
          <w:b/>
          <w:color w:val="000000"/>
          <w:szCs w:val="21"/>
          <w:highlight w:val="none"/>
        </w:rPr>
      </w:pPr>
      <w:r>
        <w:rPr>
          <w:rFonts w:hint="eastAsia" w:hAnsi="宋体" w:cs="宋体"/>
          <w:b/>
          <w:color w:val="000000"/>
          <w:szCs w:val="21"/>
          <w:highlight w:val="none"/>
        </w:rPr>
      </w:r>
      <w:r/>
    </w:p>
    <w:p>
      <w:pPr>
        <w:pStyle w:val="931"/>
        <w:ind w:left="0"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合同附件一：</w:t>
      </w:r>
      <w:r>
        <w:rPr>
          <w:rFonts w:hint="eastAsia" w:ascii="宋体" w:hAnsi="宋体" w:eastAsia="宋体" w:cs="宋体"/>
          <w:b/>
          <w:color w:val="000000"/>
          <w:sz w:val="24"/>
          <w:szCs w:val="24"/>
          <w:highlight w:val="none"/>
        </w:rPr>
      </w:r>
      <w:r/>
    </w:p>
    <w:p>
      <w:pPr>
        <w:pStyle w:val="931"/>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同里镇小区管道设施管理服务项目(2026)</w:t>
      </w:r>
      <w:r>
        <w:rPr>
          <w:rFonts w:hint="eastAsia" w:ascii="宋体" w:hAnsi="宋体" w:eastAsia="宋体" w:cs="宋体"/>
          <w:b/>
          <w:color w:val="000000"/>
          <w:sz w:val="24"/>
          <w:szCs w:val="24"/>
          <w:highlight w:val="none"/>
        </w:rPr>
        <w:t xml:space="preserve">考核表</w:t>
      </w:r>
      <w:r>
        <w:rPr>
          <w:rFonts w:hint="eastAsia" w:ascii="宋体" w:hAnsi="宋体" w:eastAsia="宋体" w:cs="宋体"/>
          <w:color w:val="000000"/>
          <w:sz w:val="24"/>
          <w:szCs w:val="24"/>
          <w:highlight w:val="none"/>
        </w:rPr>
      </w:r>
      <w:r/>
    </w:p>
    <w:p>
      <w:pPr>
        <w:pStyle w:val="899"/>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考核周期：                                  被考核单位：</w:t>
      </w:r>
      <w:r>
        <w:rPr>
          <w:rFonts w:hint="eastAsia" w:ascii="宋体" w:hAnsi="宋体" w:eastAsia="宋体" w:cs="宋体"/>
          <w:color w:val="000000"/>
          <w:sz w:val="24"/>
          <w:szCs w:val="24"/>
          <w:highlight w:val="none"/>
        </w:rPr>
      </w:r>
      <w:r/>
    </w:p>
    <w:tbl>
      <w:tblPr>
        <w:tblW w:w="96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724"/>
        <w:gridCol w:w="528"/>
        <w:gridCol w:w="4536"/>
        <w:gridCol w:w="1026"/>
        <w:gridCol w:w="871"/>
        <w:gridCol w:w="696"/>
        <w:gridCol w:w="816"/>
      </w:tblGrid>
      <w:tr>
        <w:trPr>
          <w:trHeight w:val="567"/>
        </w:trPr>
        <w:tc>
          <w:tcPr>
            <w:tcW w:w="457" w:type="dxa"/>
            <w:vAlign w:val="center"/>
            <w:textDirection w:val="lrTb"/>
            <w:noWrap/>
          </w:tcPr>
          <w:p>
            <w:pPr>
              <w:pStyle w:val="899"/>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724" w:type="dxa"/>
            <w:vAlign w:val="center"/>
            <w:textDirection w:val="lrTb"/>
            <w:noWrap/>
          </w:tcPr>
          <w:p>
            <w:pPr>
              <w:pStyle w:val="899"/>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考核项目</w:t>
            </w:r>
            <w:r>
              <w:rPr>
                <w:rFonts w:hint="eastAsia" w:ascii="宋体" w:hAnsi="宋体" w:eastAsia="宋体" w:cs="宋体"/>
                <w:bCs/>
                <w:color w:val="000000"/>
                <w:sz w:val="24"/>
                <w:szCs w:val="24"/>
                <w:highlight w:val="none"/>
              </w:rPr>
            </w:r>
            <w:r/>
          </w:p>
        </w:tc>
        <w:tc>
          <w:tcPr>
            <w:tcW w:w="528" w:type="dxa"/>
            <w:vAlign w:val="center"/>
            <w:textDirection w:val="lrTb"/>
            <w:noWrap/>
          </w:tcPr>
          <w:p>
            <w:pPr>
              <w:pStyle w:val="899"/>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分值</w:t>
            </w:r>
            <w:r>
              <w:rPr>
                <w:rFonts w:hint="eastAsia" w:ascii="宋体" w:hAnsi="宋体" w:eastAsia="宋体" w:cs="宋体"/>
                <w:bCs/>
                <w:color w:val="000000"/>
                <w:sz w:val="24"/>
                <w:szCs w:val="24"/>
                <w:highlight w:val="none"/>
              </w:rPr>
            </w:r>
            <w:r/>
          </w:p>
        </w:tc>
        <w:tc>
          <w:tcPr>
            <w:gridSpan w:val="2"/>
            <w:tcW w:w="5562" w:type="dxa"/>
            <w:vAlign w:val="center"/>
            <w:textDirection w:val="lrTb"/>
            <w:noWrap/>
          </w:tcPr>
          <w:p>
            <w:pPr>
              <w:pStyle w:val="899"/>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考核内容</w:t>
            </w:r>
            <w:r>
              <w:rPr>
                <w:rFonts w:hint="eastAsia" w:ascii="宋体" w:hAnsi="宋体" w:eastAsia="宋体" w:cs="宋体"/>
                <w:bCs/>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扣分标准</w:t>
            </w:r>
            <w:r>
              <w:rPr>
                <w:rFonts w:hint="eastAsia" w:ascii="宋体" w:hAnsi="宋体" w:eastAsia="宋体" w:cs="宋体"/>
                <w:bCs/>
                <w:color w:val="000000"/>
                <w:sz w:val="24"/>
                <w:szCs w:val="24"/>
                <w:highlight w:val="none"/>
              </w:rPr>
            </w:r>
            <w:r/>
          </w:p>
        </w:tc>
        <w:tc>
          <w:tcPr>
            <w:tcW w:w="816" w:type="dxa"/>
            <w:vAlign w:val="center"/>
            <w:textDirection w:val="lrTb"/>
            <w:noWrap/>
          </w:tcPr>
          <w:p>
            <w:pPr>
              <w:pStyle w:val="899"/>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得分</w:t>
            </w:r>
            <w:r>
              <w:rPr>
                <w:rFonts w:hint="eastAsia" w:ascii="宋体" w:hAnsi="宋体" w:eastAsia="宋体" w:cs="宋体"/>
                <w:bCs/>
                <w:color w:val="000000"/>
                <w:sz w:val="24"/>
                <w:szCs w:val="24"/>
                <w:highlight w:val="none"/>
              </w:rPr>
            </w:r>
            <w:r/>
          </w:p>
        </w:tc>
      </w:tr>
      <w:tr>
        <w:trPr>
          <w:trHeight w:val="567"/>
        </w:trPr>
        <w:tc>
          <w:tcPr>
            <w:tcW w:w="457"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724"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组织管理</w:t>
            </w:r>
            <w:r>
              <w:rPr>
                <w:rFonts w:hint="eastAsia" w:ascii="宋体" w:hAnsi="宋体" w:eastAsia="宋体" w:cs="宋体"/>
                <w:color w:val="000000"/>
                <w:sz w:val="24"/>
                <w:szCs w:val="24"/>
                <w:highlight w:val="none"/>
              </w:rPr>
            </w:r>
            <w:r/>
          </w:p>
        </w:tc>
        <w:tc>
          <w:tcPr>
            <w:tcW w:w="528" w:type="dxa"/>
            <w:vAlign w:val="center"/>
            <w:vMerge w:val="restart"/>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运行维护单位未按要求配备明确的专职管理和技术人员，特殊工种人员未持证上岗。</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项目负责人到位情况（每月请假天数超过4天的）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未及时报送上级要求的信息、数据等材料</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未按时参加工作例会</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服务单位日常管理制度、巡检制度、巡查计划、考核制度、维护制度、应急预案等各项制度不完善的或者未上墙的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724"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实施管理</w:t>
            </w:r>
            <w:r>
              <w:rPr>
                <w:rFonts w:hint="eastAsia" w:ascii="宋体" w:hAnsi="宋体" w:eastAsia="宋体" w:cs="宋体"/>
                <w:color w:val="000000"/>
                <w:sz w:val="24"/>
                <w:szCs w:val="24"/>
                <w:highlight w:val="none"/>
              </w:rPr>
            </w:r>
            <w:r/>
          </w:p>
        </w:tc>
        <w:tc>
          <w:tcPr>
            <w:tcW w:w="528"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清理疏通后管道畅通，积泥深度不超过管径的1/5；检查井积泥深度不超过落底井（包括半落底井）管底以下50mm；平底井主管径的1/5；井内清洁，四壁无结垢。</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/处/项</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服务单位接到任务10分钟内响应，30分钟到达现场，超过前述时限到场的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未通知业主，无故停止实施，未能及时完成业主布置的任务</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管网疏通检测、测绘如未按规定时间完成的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巡查记录缺失、或周期内未完成巡查全覆盖的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未做好日常管理和巡查工作，或未及时处置工单，造成工单处置超时（超时按天数计0.5分/天/件，封顶扣5分/件）。</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/天/件</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724"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安全文明作业</w:t>
            </w:r>
            <w:r>
              <w:rPr>
                <w:rFonts w:hint="eastAsia" w:ascii="宋体" w:hAnsi="宋体" w:eastAsia="宋体" w:cs="宋体"/>
                <w:color w:val="000000"/>
                <w:sz w:val="24"/>
                <w:szCs w:val="24"/>
                <w:highlight w:val="none"/>
              </w:rPr>
            </w:r>
            <w:r/>
          </w:p>
        </w:tc>
        <w:tc>
          <w:tcPr>
            <w:tcW w:w="528"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工作现场未设置安全防护措施或未检测有害气体</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16"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作业实施区域内指示、警示、实施安全标志不健全</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未按规定统一着装</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实施现场布置不合理：材料、设备堆放不整齐</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作业完成后造成道路设施污染</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作业完成后未及时清理建材、垃圾、需日常清理部位未做到位</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窨井框盖未及时恢复，或井框盖需定制而现场未设置安全护栏的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作业过程中出现安全事故，经交警部门鉴定为承包人责任的，由承包人自行承担责任</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724"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业务管理</w:t>
            </w:r>
            <w:r>
              <w:rPr>
                <w:rFonts w:hint="eastAsia" w:ascii="宋体" w:hAnsi="宋体" w:eastAsia="宋体" w:cs="宋体"/>
                <w:color w:val="000000"/>
                <w:sz w:val="24"/>
                <w:szCs w:val="24"/>
                <w:highlight w:val="none"/>
              </w:rPr>
            </w:r>
            <w:r/>
          </w:p>
        </w:tc>
        <w:tc>
          <w:tcPr>
            <w:tcW w:w="528"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日常巡查及服务过程中发现需大修的项目未及时书面上报甲方的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未及时申报工作量，或虚报工作量、机械台班的；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发现CCTV检测人为造假的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未按已审核的实施方案中配备的作业人员与设备到场作业的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区域内所有的养护项目需数字化管理，一个季度更新一次，未及时上报的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养护台账混乱、或养护资料不全的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724"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528"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因服务单位工作不力而出现有责投诉或遭新闻媒体曝光、上级通报、点名批评的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16" w:type="dxa"/>
            <w:vAlign w:val="center"/>
            <w:vMerge w:val="restart"/>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6" w:type="dxa"/>
            <w:vAlign w:val="center"/>
            <w:vMerge w:val="restart"/>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各相关部门督查、通报反应的问题，经查实为服务外包单位管理责任造成的。因管理失职造成恶劣社会影响、安全事故或导致管理部门被追责的，直接解除合同，当月服务费不予支付，列入黑名单体系。</w:t>
            </w:r>
            <w:r>
              <w:rPr>
                <w:rFonts w:hint="eastAsia" w:ascii="宋体" w:hAnsi="宋体" w:eastAsia="宋体" w:cs="宋体"/>
                <w:color w:val="000000"/>
                <w:sz w:val="24"/>
                <w:szCs w:val="24"/>
                <w:highlight w:val="none"/>
              </w:rPr>
            </w:r>
            <w:r/>
          </w:p>
        </w:tc>
        <w:tc>
          <w:tcPr>
            <w:tcW w:w="102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县区级</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地市级</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省级</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53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2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国家级</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对雨雪等灾害性天气，突击任务、应急处理事件中保障不利的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承包人需积极响应发包人对人员及设备的统一调配，若不予服从的；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对重点环节如小区内的排涝、重大节日活动的实施配合等，不予配合造成恶劣影响的，除扣分外，发包人有权取消该承包人的承包资格。</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在各项检查考核中，发生责任问题，经查属实，受到通报的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管理过程中主动作为，收到上级部门或领导表扬</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考核期间，在吴江区的高质量考核中为管理部门获得加分或通报嘉奖的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考核期间，在苏州市的高质量考核中为管理部门获得加分或通报嘉奖的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24"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28"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5562"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考核期间，在省级及以上高质量考核中为管理部门获得加分或通报嘉奖的</w:t>
            </w:r>
            <w:r>
              <w:rPr>
                <w:rFonts w:hint="eastAsia" w:ascii="宋体" w:hAnsi="宋体" w:eastAsia="宋体" w:cs="宋体"/>
                <w:color w:val="000000"/>
                <w:sz w:val="24"/>
                <w:szCs w:val="24"/>
                <w:highlight w:val="none"/>
              </w:rPr>
            </w:r>
            <w:r/>
          </w:p>
        </w:tc>
        <w:tc>
          <w:tcPr>
            <w:tcW w:w="871"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/次</w:t>
            </w:r>
            <w:r>
              <w:rPr>
                <w:rFonts w:hint="eastAsia" w:ascii="宋体" w:hAnsi="宋体" w:eastAsia="宋体" w:cs="宋体"/>
                <w:color w:val="000000"/>
                <w:sz w:val="24"/>
                <w:szCs w:val="24"/>
                <w:highlight w:val="none"/>
              </w:rPr>
            </w:r>
            <w:r/>
          </w:p>
        </w:tc>
        <w:tc>
          <w:tcPr>
            <w:tcW w:w="696"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16" w:type="dxa"/>
            <w:vAlign w:val="center"/>
            <w:vMerge w:val="continue"/>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457"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gridSpan w:val="2"/>
            <w:tcW w:w="1252"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总得分</w:t>
            </w:r>
            <w:r>
              <w:rPr>
                <w:rFonts w:hint="eastAsia" w:ascii="宋体" w:hAnsi="宋体" w:eastAsia="宋体" w:cs="宋体"/>
                <w:color w:val="000000"/>
                <w:sz w:val="24"/>
                <w:szCs w:val="24"/>
                <w:highlight w:val="none"/>
              </w:rPr>
            </w:r>
            <w:r/>
          </w:p>
        </w:tc>
        <w:tc>
          <w:tcPr>
            <w:gridSpan w:val="5"/>
            <w:tcW w:w="7945" w:type="dxa"/>
            <w:vAlign w:val="center"/>
            <w:textDirection w:val="lrTb"/>
            <w:noWrap/>
          </w:tcPr>
          <w:p>
            <w:pPr>
              <w:pStyle w:val="899"/>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gridSpan w:val="8"/>
            <w:tcW w:w="9654"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甲方（业主）签字：                       乙方（实施单位）签字：</w:t>
            </w:r>
            <w:r>
              <w:rPr>
                <w:rFonts w:hint="eastAsia" w:ascii="宋体" w:hAnsi="宋体" w:eastAsia="宋体" w:cs="宋体"/>
                <w:color w:val="000000"/>
                <w:sz w:val="24"/>
                <w:szCs w:val="24"/>
                <w:highlight w:val="none"/>
              </w:rPr>
            </w:r>
            <w:r/>
          </w:p>
        </w:tc>
      </w:tr>
      <w:tr>
        <w:trPr>
          <w:trHeight w:val="567"/>
        </w:trPr>
        <w:tc>
          <w:tcPr>
            <w:gridSpan w:val="8"/>
            <w:tcW w:w="9654" w:type="dxa"/>
            <w:vAlign w:val="center"/>
            <w:textDirection w:val="lrTb"/>
            <w:noWrap/>
          </w:tcPr>
          <w:p>
            <w:pPr>
              <w:pStyle w:val="899"/>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考核日期：      年   月   日</w:t>
            </w:r>
            <w:r>
              <w:rPr>
                <w:rFonts w:hint="eastAsia" w:ascii="宋体" w:hAnsi="宋体" w:eastAsia="宋体" w:cs="宋体"/>
                <w:color w:val="000000"/>
                <w:sz w:val="24"/>
                <w:szCs w:val="24"/>
                <w:highlight w:val="none"/>
              </w:rPr>
            </w:r>
            <w:r/>
          </w:p>
        </w:tc>
      </w:tr>
      <w:tr>
        <w:trPr>
          <w:trHeight w:val="567"/>
        </w:trPr>
        <w:tc>
          <w:tcPr>
            <w:gridSpan w:val="8"/>
            <w:tcW w:w="9654" w:type="dxa"/>
            <w:vAlign w:val="center"/>
            <w:textDirection w:val="lrTb"/>
            <w:noWrap/>
          </w:tcPr>
          <w:p>
            <w:pPr>
              <w:pStyle w:val="899"/>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w:t>
            </w:r>
            <w:r>
              <w:rPr>
                <w:rFonts w:hint="eastAsia" w:ascii="宋体" w:hAnsi="宋体" w:eastAsia="宋体" w:cs="宋体"/>
                <w:bCs/>
                <w:color w:val="000000"/>
                <w:sz w:val="24"/>
                <w:szCs w:val="24"/>
                <w:highlight w:val="none"/>
              </w:rPr>
            </w:r>
            <w:r/>
          </w:p>
          <w:p>
            <w:pPr>
              <w:pStyle w:val="899"/>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考核周期：每季度考核汇总一次</w:t>
            </w:r>
            <w:r>
              <w:rPr>
                <w:rFonts w:hint="eastAsia" w:ascii="宋体" w:hAnsi="宋体" w:eastAsia="宋体" w:cs="宋体"/>
                <w:bCs/>
                <w:color w:val="000000"/>
                <w:sz w:val="24"/>
                <w:szCs w:val="24"/>
                <w:highlight w:val="none"/>
              </w:rPr>
            </w:r>
            <w:r/>
          </w:p>
          <w:p>
            <w:pPr>
              <w:pStyle w:val="899"/>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考核结果及运用：</w:t>
            </w:r>
            <w:r>
              <w:rPr>
                <w:rFonts w:hint="eastAsia" w:ascii="宋体" w:hAnsi="宋体" w:eastAsia="宋体" w:cs="宋体"/>
                <w:bCs/>
                <w:color w:val="000000"/>
                <w:sz w:val="24"/>
                <w:szCs w:val="24"/>
                <w:highlight w:val="none"/>
              </w:rPr>
            </w:r>
            <w:r/>
          </w:p>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（1）得分≥95分，全额结算该考核周期服务费用；</w:t>
            </w:r>
            <w:r>
              <w:rPr>
                <w:rFonts w:hint="eastAsia" w:ascii="宋体" w:hAnsi="宋体" w:eastAsia="宋体" w:cs="宋体"/>
                <w:color w:val="000000"/>
                <w:sz w:val="24"/>
                <w:szCs w:val="24"/>
                <w:highlight w:val="none"/>
              </w:rPr>
            </w:r>
            <w:r/>
          </w:p>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（2）85分≤得分＜95分，扣除该考核周期服务费用的5％；</w:t>
            </w:r>
            <w:r>
              <w:rPr>
                <w:rFonts w:hint="eastAsia" w:ascii="宋体" w:hAnsi="宋体" w:eastAsia="宋体" w:cs="宋体"/>
                <w:color w:val="000000"/>
                <w:sz w:val="24"/>
                <w:szCs w:val="24"/>
                <w:highlight w:val="none"/>
              </w:rPr>
            </w:r>
            <w:r/>
          </w:p>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（3）75分≤得分＜85分，扣除该考核周期服务费用的10％；</w:t>
            </w:r>
            <w:r>
              <w:rPr>
                <w:rFonts w:hint="eastAsia" w:ascii="宋体" w:hAnsi="宋体" w:eastAsia="宋体" w:cs="宋体"/>
                <w:color w:val="000000"/>
                <w:sz w:val="24"/>
                <w:szCs w:val="24"/>
                <w:highlight w:val="none"/>
              </w:rPr>
            </w:r>
            <w:r/>
          </w:p>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（4）得分＜75分为不合格，扣除该考核周期服务费用的20％；</w:t>
            </w:r>
            <w:r>
              <w:rPr>
                <w:rFonts w:hint="eastAsia" w:ascii="宋体" w:hAnsi="宋体" w:eastAsia="宋体" w:cs="宋体"/>
                <w:color w:val="000000"/>
                <w:sz w:val="24"/>
                <w:szCs w:val="24"/>
                <w:highlight w:val="none"/>
              </w:rPr>
            </w:r>
            <w:r/>
          </w:p>
          <w:p>
            <w:pPr>
              <w:pStyle w:val="899"/>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（5）乙方在</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000000"/>
                <w:sz w:val="24"/>
                <w:szCs w:val="24"/>
                <w:highlight w:val="none"/>
              </w:rPr>
              <w:t xml:space="preserve">内如果连续两次经甲方考核不合格的，甲方有权终止服务合同。</w:t>
            </w:r>
            <w:r>
              <w:rPr>
                <w:rFonts w:hint="eastAsia" w:ascii="宋体" w:hAnsi="宋体" w:eastAsia="宋体" w:cs="宋体"/>
                <w:bCs/>
                <w:color w:val="000000"/>
                <w:sz w:val="24"/>
                <w:szCs w:val="24"/>
                <w:highlight w:val="none"/>
              </w:rPr>
            </w:r>
            <w:r/>
          </w:p>
        </w:tc>
      </w:tr>
    </w:tbl>
    <w:p>
      <w:pPr>
        <w:pStyle w:val="899"/>
        <w:ind w:firstLine="42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2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899"/>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JSZC-320509-ZZHL-C2026-0028</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lang w:eastAsia="zh-CN"/>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07"/>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0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7"/>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7"/>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2"/>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5"/>
        <w:rPr>
          <w:rFonts w:hint="eastAsia"/>
          <w:color w:val="000000"/>
          <w:highlight w:val="none"/>
        </w:rPr>
      </w:pPr>
      <w:r>
        <w:rPr>
          <w:rFonts w:hint="eastAsia"/>
          <w:color w:val="000000"/>
          <w:highlight w:val="none"/>
        </w:rPr>
      </w:r>
      <w:r/>
    </w:p>
    <w:p>
      <w:pPr>
        <w:pStyle w:val="899"/>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磋商编号：JSZC-320509-ZZHL-C2026-0028号</w:t>
      </w:r>
      <w:r>
        <w:rPr>
          <w:rFonts w:hint="eastAsia" w:ascii="宋体" w:hAnsi="宋体" w:eastAsia="宋体" w:cs="宋体"/>
          <w:color w:val="000000"/>
          <w:spacing w:val="20"/>
          <w:sz w:val="24"/>
          <w:highlight w:val="none"/>
          <w:lang w:val="en-US" w:eastAsia="zh-CN"/>
        </w:rPr>
      </w:r>
      <w:r/>
    </w:p>
    <w:tbl>
      <w:tblPr>
        <w:tblW w:w="9428" w:type="dxa"/>
        <w:jc w:val="center"/>
        <w:tblInd w:w="-10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5"/>
        <w:gridCol w:w="2488"/>
        <w:gridCol w:w="3715"/>
        <w:gridCol w:w="2400"/>
      </w:tblGrid>
      <w:tr>
        <w:trPr>
          <w:trHeight w:val="601"/>
        </w:trPr>
        <w:tc>
          <w:tcPr>
            <w:tcW w:w="825" w:type="dxa"/>
            <w:vAlign w:val="center"/>
            <w:textDirection w:val="lrTb"/>
            <w:noWrap w:val="false"/>
          </w:tcPr>
          <w:p>
            <w:pPr>
              <w:pStyle w:val="899"/>
              <w:jc w:val="center"/>
              <w:spacing w:line="360" w:lineRule="auto"/>
              <w:rPr>
                <w:rFonts w:ascii="宋体" w:hAnsi="宋体" w:cs="宋体"/>
                <w:color w:val="000000"/>
                <w:spacing w:val="20"/>
                <w:sz w:val="24"/>
                <w:szCs w:val="24"/>
                <w:highlight w:val="none"/>
              </w:rPr>
            </w:pPr>
            <w:r>
              <w:rPr>
                <w:rFonts w:hint="eastAsia" w:ascii="宋体" w:hAnsi="宋体" w:cs="宋体"/>
                <w:color w:val="000000"/>
                <w:spacing w:val="20"/>
                <w:sz w:val="24"/>
                <w:szCs w:val="24"/>
                <w:highlight w:val="none"/>
                <w:lang w:val="zh-CN"/>
              </w:rPr>
              <w:t xml:space="preserve">序号</w:t>
            </w:r>
            <w:r>
              <w:rPr>
                <w:rFonts w:ascii="宋体" w:hAnsi="宋体" w:cs="宋体"/>
                <w:color w:val="000000"/>
                <w:spacing w:val="20"/>
                <w:sz w:val="24"/>
                <w:szCs w:val="24"/>
                <w:highlight w:val="none"/>
              </w:rPr>
            </w:r>
            <w:r/>
          </w:p>
        </w:tc>
        <w:tc>
          <w:tcPr>
            <w:tcW w:w="2488" w:type="dxa"/>
            <w:vAlign w:val="center"/>
            <w:textDirection w:val="lrTb"/>
            <w:noWrap w:val="false"/>
          </w:tcPr>
          <w:p>
            <w:pPr>
              <w:pStyle w:val="899"/>
              <w:jc w:val="center"/>
              <w:spacing w:line="360" w:lineRule="auto"/>
              <w:rPr>
                <w:rFonts w:ascii="宋体" w:hAnsi="宋体" w:cs="宋体"/>
                <w:color w:val="000000"/>
                <w:spacing w:val="20"/>
                <w:sz w:val="24"/>
                <w:szCs w:val="24"/>
                <w:highlight w:val="none"/>
              </w:rPr>
            </w:pPr>
            <w:r>
              <w:rPr>
                <w:rFonts w:hint="eastAsia" w:ascii="宋体" w:hAnsi="宋体" w:cs="宋体"/>
                <w:color w:val="000000"/>
                <w:spacing w:val="20"/>
                <w:sz w:val="24"/>
                <w:szCs w:val="24"/>
                <w:highlight w:val="none"/>
                <w:lang w:val="zh-CN"/>
              </w:rPr>
              <w:t xml:space="preserve">项目名称</w:t>
            </w:r>
            <w:r>
              <w:rPr>
                <w:rFonts w:ascii="宋体" w:hAnsi="宋体" w:cs="宋体"/>
                <w:color w:val="000000"/>
                <w:spacing w:val="20"/>
                <w:sz w:val="24"/>
                <w:szCs w:val="24"/>
                <w:highlight w:val="none"/>
              </w:rPr>
            </w:r>
            <w:r/>
          </w:p>
        </w:tc>
        <w:tc>
          <w:tcPr>
            <w:tcW w:w="3715" w:type="dxa"/>
            <w:vAlign w:val="center"/>
            <w:textDirection w:val="lrTb"/>
            <w:noWrap w:val="false"/>
          </w:tcPr>
          <w:p>
            <w:pPr>
              <w:pStyle w:val="899"/>
              <w:jc w:val="center"/>
              <w:spacing w:line="360" w:lineRule="auto"/>
              <w:rPr>
                <w:rFonts w:ascii="宋体" w:hAnsi="宋体" w:cs="宋体"/>
                <w:color w:val="000000"/>
                <w:spacing w:val="20"/>
                <w:sz w:val="24"/>
                <w:szCs w:val="24"/>
                <w:highlight w:val="none"/>
              </w:rPr>
            </w:pPr>
            <w:r>
              <w:rPr>
                <w:rFonts w:hint="eastAsia" w:ascii="宋体" w:hAnsi="宋体" w:cs="宋体"/>
                <w:color w:val="000000"/>
                <w:spacing w:val="20"/>
                <w:sz w:val="24"/>
                <w:szCs w:val="24"/>
                <w:highlight w:val="none"/>
              </w:rPr>
              <w:t xml:space="preserve">磋商响应总报价(元)</w:t>
            </w:r>
            <w:r>
              <w:rPr>
                <w:rFonts w:ascii="宋体" w:hAnsi="宋体" w:cs="宋体"/>
                <w:color w:val="000000"/>
                <w:spacing w:val="20"/>
                <w:sz w:val="24"/>
                <w:szCs w:val="24"/>
                <w:highlight w:val="none"/>
              </w:rPr>
            </w:r>
            <w:r/>
          </w:p>
        </w:tc>
        <w:tc>
          <w:tcPr>
            <w:tcW w:w="2400" w:type="dxa"/>
            <w:vAlign w:val="center"/>
            <w:textDirection w:val="lrTb"/>
            <w:noWrap w:val="false"/>
          </w:tcPr>
          <w:p>
            <w:pPr>
              <w:pStyle w:val="899"/>
              <w:jc w:val="center"/>
              <w:spacing w:line="360" w:lineRule="auto"/>
              <w:rPr>
                <w:rFonts w:ascii="宋体" w:hAnsi="宋体" w:eastAsia="宋体" w:cs="宋体"/>
                <w:color w:val="000000"/>
                <w:spacing w:val="20"/>
                <w:sz w:val="24"/>
                <w:szCs w:val="24"/>
                <w:highlight w:val="none"/>
                <w:lang w:val="en-US" w:eastAsia="zh-CN"/>
              </w:rPr>
            </w:pPr>
            <w:r>
              <w:rPr>
                <w:rFonts w:hint="eastAsia" w:ascii="宋体" w:hAnsi="宋体" w:cs="宋体"/>
                <w:color w:val="000000"/>
                <w:spacing w:val="20"/>
                <w:sz w:val="24"/>
                <w:szCs w:val="24"/>
                <w:highlight w:val="none"/>
                <w:lang w:val="en-US" w:eastAsia="zh-CN"/>
              </w:rPr>
              <w:t xml:space="preserve">服务期限</w:t>
            </w:r>
            <w:r>
              <w:rPr>
                <w:rFonts w:ascii="宋体" w:hAnsi="宋体" w:eastAsia="宋体" w:cs="宋体"/>
                <w:color w:val="000000"/>
                <w:spacing w:val="20"/>
                <w:sz w:val="24"/>
                <w:szCs w:val="24"/>
                <w:highlight w:val="none"/>
                <w:lang w:val="en-US" w:eastAsia="zh-CN"/>
              </w:rPr>
            </w:r>
            <w:r/>
          </w:p>
        </w:tc>
      </w:tr>
      <w:tr>
        <w:trPr>
          <w:trHeight w:val="601"/>
        </w:trPr>
        <w:tc>
          <w:tcPr>
            <w:tcW w:w="825" w:type="dxa"/>
            <w:vAlign w:val="center"/>
            <w:textDirection w:val="lrTb"/>
            <w:noWrap w:val="false"/>
          </w:tcPr>
          <w:p>
            <w:pPr>
              <w:pStyle w:val="899"/>
              <w:jc w:val="center"/>
              <w:spacing w:line="360" w:lineRule="auto"/>
              <w:rPr>
                <w:rFonts w:ascii="宋体" w:hAnsi="宋体" w:cs="宋体"/>
                <w:color w:val="000000"/>
                <w:spacing w:val="20"/>
                <w:sz w:val="24"/>
                <w:szCs w:val="24"/>
                <w:highlight w:val="none"/>
              </w:rPr>
            </w:pPr>
            <w:r>
              <w:rPr>
                <w:rFonts w:hint="eastAsia" w:ascii="宋体" w:hAnsi="宋体" w:cs="宋体"/>
                <w:color w:val="000000"/>
                <w:spacing w:val="20"/>
                <w:sz w:val="24"/>
                <w:szCs w:val="24"/>
                <w:highlight w:val="none"/>
              </w:rPr>
              <w:t xml:space="preserve">1</w:t>
            </w:r>
            <w:r>
              <w:rPr>
                <w:rFonts w:ascii="宋体" w:hAnsi="宋体" w:cs="宋体"/>
                <w:color w:val="000000"/>
                <w:spacing w:val="20"/>
                <w:sz w:val="24"/>
                <w:szCs w:val="24"/>
                <w:highlight w:val="none"/>
              </w:rPr>
            </w:r>
            <w:r/>
          </w:p>
        </w:tc>
        <w:tc>
          <w:tcPr>
            <w:tcW w:w="2488" w:type="dxa"/>
            <w:vAlign w:val="center"/>
            <w:textDirection w:val="lrTb"/>
            <w:noWrap w:val="false"/>
          </w:tcPr>
          <w:p>
            <w:pPr>
              <w:pStyle w:val="899"/>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3715" w:type="dxa"/>
            <w:vAlign w:val="center"/>
            <w:textDirection w:val="lrTb"/>
            <w:noWrap w:val="false"/>
          </w:tcPr>
          <w:p>
            <w:pPr>
              <w:pStyle w:val="899"/>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2400" w:type="dxa"/>
            <w:vAlign w:val="center"/>
            <w:textDirection w:val="lrTb"/>
            <w:noWrap w:val="false"/>
          </w:tcPr>
          <w:p>
            <w:pPr>
              <w:pStyle w:val="899"/>
              <w:jc w:val="center"/>
              <w:spacing w:line="360" w:lineRule="auto"/>
              <w:rPr>
                <w:rFonts w:ascii="宋体" w:hAnsi="宋体" w:eastAsia="宋体" w:cs="宋体"/>
                <w:color w:val="000000"/>
                <w:spacing w:val="20"/>
                <w:sz w:val="24"/>
                <w:szCs w:val="24"/>
                <w:highlight w:val="none"/>
                <w:lang w:val="en-US" w:eastAsia="zh-CN"/>
              </w:rPr>
            </w:pPr>
            <w:r>
              <w:rPr>
                <w:rFonts w:hint="eastAsia" w:ascii="宋体" w:hAnsi="宋体" w:cs="宋体"/>
                <w:color w:val="000000"/>
                <w:spacing w:val="20"/>
                <w:sz w:val="24"/>
                <w:szCs w:val="24"/>
                <w:highlight w:val="none"/>
                <w:lang w:val="en-US" w:eastAsia="zh-CN"/>
              </w:rPr>
              <w:t xml:space="preserve">按采购文件要求</w:t>
            </w:r>
            <w:r>
              <w:rPr>
                <w:rFonts w:ascii="宋体" w:hAnsi="宋体" w:eastAsia="宋体" w:cs="宋体"/>
                <w:color w:val="000000"/>
                <w:spacing w:val="20"/>
                <w:sz w:val="24"/>
                <w:szCs w:val="24"/>
                <w:highlight w:val="none"/>
                <w:lang w:val="en-US" w:eastAsia="zh-CN"/>
              </w:rPr>
            </w:r>
            <w:r/>
          </w:p>
        </w:tc>
      </w:tr>
    </w:tbl>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注：如本格式与“苏采云”格式冲突的，以苏采云格式为准。</w:t>
      </w:r>
      <w:r>
        <w:rPr>
          <w:rFonts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磋商响应单位（签章）： </w:t>
      </w:r>
      <w:r>
        <w:rPr>
          <w:rFonts w:hint="eastAsia" w:ascii="宋体" w:hAnsi="宋体" w:eastAsia="宋体" w:cs="宋体"/>
          <w:color w:val="000000"/>
          <w:sz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899"/>
        <w:jc w:val="both"/>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附件4：磋商报价分析表</w:t>
      </w:r>
      <w:r>
        <w:rPr>
          <w:rFonts w:hint="eastAsia" w:ascii="宋体" w:hAnsi="宋体" w:eastAsia="宋体" w:cs="宋体"/>
          <w:b/>
          <w:bCs/>
          <w:color w:val="000000"/>
          <w:sz w:val="24"/>
          <w:szCs w:val="24"/>
          <w:highlight w:val="none"/>
          <w:lang w:val="en-US" w:eastAsia="zh-CN" w:bidi="ar-SA"/>
        </w:rPr>
      </w:r>
      <w:r/>
    </w:p>
    <w:p>
      <w:pPr>
        <w:pStyle w:val="899"/>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磋商报价分析表</w:t>
      </w:r>
      <w:r>
        <w:rPr>
          <w:rFonts w:hint="eastAsia" w:ascii="宋体" w:hAnsi="宋体" w:eastAsia="宋体" w:cs="宋体"/>
          <w:b/>
          <w:color w:val="000000"/>
          <w:sz w:val="24"/>
          <w:szCs w:val="24"/>
          <w:highlight w:val="none"/>
        </w:rPr>
      </w:r>
      <w:r/>
    </w:p>
    <w:p>
      <w:pPr>
        <w:pStyle w:val="899"/>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采购编号：</w:t>
      </w:r>
      <w:r>
        <w:rPr>
          <w:rFonts w:hint="eastAsia" w:ascii="宋体" w:hAnsi="宋体" w:eastAsia="宋体" w:cs="宋体"/>
          <w:color w:val="000000"/>
          <w:sz w:val="24"/>
          <w:szCs w:val="24"/>
          <w:highlight w:val="none"/>
        </w:rPr>
      </w:r>
      <w:r/>
    </w:p>
    <w:tbl>
      <w:tblPr>
        <w:tblW w:w="9944" w:type="dxa"/>
        <w:jc w:val="center"/>
        <w:tblInd w:w="-15" w:type="dxa"/>
        <w:tblLayout w:type="fixed"/>
        <w:tblCellMar>
          <w:left w:w="108" w:type="dxa"/>
          <w:top w:w="0" w:type="dxa"/>
          <w:right w:w="108" w:type="dxa"/>
          <w:bottom w:w="0" w:type="dxa"/>
        </w:tblCellMar>
        <w:tblLook w:val="04A0" w:firstRow="1" w:lastRow="0" w:firstColumn="1" w:lastColumn="0" w:noHBand="0" w:noVBand="1"/>
      </w:tblPr>
      <w:tblGrid>
        <w:gridCol w:w="687"/>
        <w:gridCol w:w="1233"/>
        <w:gridCol w:w="3551"/>
        <w:gridCol w:w="855"/>
        <w:gridCol w:w="892"/>
        <w:gridCol w:w="1065"/>
        <w:gridCol w:w="938"/>
        <w:gridCol w:w="723"/>
      </w:tblGrid>
      <w:tr>
        <w:trPr>
          <w:trHeight w:val="81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服务描述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pStyle w:val="899"/>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综合单价限价</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响应单价</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lang w:val="en-US" w:eastAsia="zh-CN"/>
              </w:rPr>
            </w:r>
            <w:r/>
          </w:p>
        </w:tc>
      </w:tr>
      <w:tr>
        <w:trPr>
          <w:trHeight w:val="1142"/>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管道疏通 （管径综合考虑）</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疏通车疏通雨污水管道，包含气囊封堵、人工清理雨污水检查井、淤泥清运。（垃圾外运地点由投标单位自行处理）；</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59478.8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元/米</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CCTV检测</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CCTV 视频检测管道及形成检测成果文件等；具体实施内容以采购单位派发的工单为准。</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元/米</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清疏检查井</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1、人工清疏检查井 井上清疏 。2、污泥装车外运，运距自行考虑。3、管道疏通清洗范围以外。</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95"/>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雨水边井清理</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1、人工清理雨水边井，淤泥清运；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2、报价含上下游封堵、井盖开启、关闭、周边安全警示设置等；</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明沟疏通</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1、管道内积泥量：现场踏勘或根据以往经验确定；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2、工作内容：明沟，清理管内中的污泥、杂物，直接装车外弃（不得直接堆置在地面），运距及弃置场地由投标人自行考虑；</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元/米</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潜水员下井作业</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1、潜水员下井作业符合有限空间作业审批要求。2、下井前做好有毒气体检测、过程中需做好相关安全工作、确保安全状态下施工。3、污泥装车外运，运距自行考虑。</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1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局部树脂固化（DN400及以下）</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1、局部树脂固化（DN400及以下）修补管道。2、非开挖、且在管内部完成修补，包含所有主材、辅材、相关工序及风险。</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元/环</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08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气囊封堵（DN600及以下）</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1、气囊封堵DN600及以下，2、限井上封堵（如潜水封堵潜水设备另计）。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补缺防坠网</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补缺防坠网，含8个挂钩；</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6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砌筑井</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1、更换600*600~800*800钢纤维砼井盖座D400级。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3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砌筑井</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1、更换φ600~φ800钢纤维砼井盖座D400级。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元/座</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318"/>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隔油池清掏</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1、人工清理隔油池，淤泥清运；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2、报价含上下游封堵、井盖开启、关闭、周边安全警示设置等。</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化粪池疏通清理</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指不在疏通范围内的单次作业，每车吸污容量5吨以内。</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元/次</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汛期排涝</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配备排涝泵等应急排涝设备，配备一定数量的安全警示牌及围挡。2、参与降雨期及防汛防台期间道路积水情况巡查与助排抢险：在降雨期间，根据不同雨情，进行巡查，发现道路积水点及时进行助排抢险；3、防汛防台期，按照甲方指令，安排抢险人员（掌握排涝设备机械车辆的操作）。</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元/项</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899"/>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100000</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0"/>
        </w:trPr>
        <w:tc>
          <w:tcPr>
            <w:gridSpan w:val="7"/>
            <w:tcBorders>
              <w:top w:val="single" w:color="000000" w:sz="4" w:space="0"/>
              <w:left w:val="single" w:color="000000" w:sz="4" w:space="0"/>
              <w:bottom w:val="single" w:color="000000" w:sz="4" w:space="0"/>
              <w:right w:val="single" w:color="000000" w:sz="4" w:space="0"/>
            </w:tcBorders>
            <w:tcW w:w="9221"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合计金额</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pStyle w:val="899"/>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40"/>
        </w:trPr>
        <w:tc>
          <w:tcPr>
            <w:gridSpan w:val="8"/>
            <w:tcBorders>
              <w:top w:val="single" w:color="000000" w:sz="4" w:space="0"/>
              <w:left w:val="single" w:color="000000" w:sz="4" w:space="0"/>
              <w:bottom w:val="single" w:color="000000" w:sz="4" w:space="0"/>
              <w:right w:val="single" w:color="000000" w:sz="4" w:space="0"/>
            </w:tcBorders>
            <w:tcW w:w="9944" w:type="dxa"/>
            <w:vAlign w:val="center"/>
            <w:textDirection w:val="lrTb"/>
            <w:noWrap w:val="false"/>
          </w:tcPr>
          <w:p>
            <w:pPr>
              <w:pStyle w:val="899"/>
              <w:jc w:val="left"/>
              <w:widowControl/>
              <w:rPr>
                <w:rFonts w:hint="eastAsia" w:ascii="宋体" w:hAnsi="宋体"/>
                <w:b w:val="0"/>
                <w:bCs/>
                <w:sz w:val="24"/>
                <w:szCs w:val="24"/>
                <w:highlight w:val="none"/>
              </w:rPr>
            </w:pPr>
            <w:r>
              <w:rPr>
                <w:rFonts w:hint="eastAsia" w:ascii="宋体" w:hAnsi="宋体"/>
                <w:b w:val="0"/>
                <w:bCs/>
                <w:sz w:val="24"/>
                <w:szCs w:val="24"/>
                <w:highlight w:val="none"/>
              </w:rPr>
              <w:t xml:space="preserve">本采购包中提供的符合本国产品标准的产品成本之和占该采购包提供的全部产品成本之和的比例为</w:t>
            </w:r>
            <w:r>
              <w:rPr>
                <w:rFonts w:ascii="宋体" w:hAnsi="宋体"/>
                <w:b w:val="0"/>
                <w:bCs/>
                <w:sz w:val="24"/>
                <w:szCs w:val="24"/>
                <w:highlight w:val="none"/>
                <w:u w:val="single"/>
              </w:rPr>
              <w:t xml:space="preserve">    </w:t>
            </w:r>
            <w:r>
              <w:rPr>
                <w:rFonts w:hint="eastAsia" w:ascii="宋体" w:hAnsi="宋体"/>
                <w:b w:val="0"/>
                <w:bCs/>
                <w:sz w:val="24"/>
                <w:szCs w:val="24"/>
                <w:highlight w:val="none"/>
              </w:rPr>
              <w:t xml:space="preserve">%。</w:t>
            </w:r>
            <w:r>
              <w:rPr>
                <w:rFonts w:hint="eastAsia" w:ascii="宋体" w:hAnsi="宋体"/>
                <w:b w:val="0"/>
                <w:bCs/>
                <w:sz w:val="24"/>
                <w:szCs w:val="24"/>
                <w:highlight w:val="none"/>
              </w:rPr>
            </w:r>
            <w:r/>
          </w:p>
          <w:p>
            <w:pPr>
              <w:pStyle w:val="905"/>
              <w:ind w:left="0" w:firstLine="0"/>
              <w:jc w:val="left"/>
              <w:rPr>
                <w:rFonts w:eastAsia="宋体"/>
                <w:highlight w:val="none"/>
                <w:lang w:val="en-US" w:eastAsia="zh-CN"/>
              </w:rPr>
            </w:pPr>
            <w:r>
              <w:rPr>
                <w:rFonts w:hint="eastAsia" w:ascii="宋体" w:hAnsi="宋体"/>
                <w:b/>
                <w:sz w:val="24"/>
                <w:szCs w:val="24"/>
                <w:highlight w:val="none"/>
                <w:lang w:val="en-US" w:eastAsia="zh-CN"/>
              </w:rPr>
              <w:t xml:space="preserve">如不涉及的，该项无需填写</w:t>
            </w:r>
            <w:r>
              <w:rPr>
                <w:rFonts w:eastAsia="宋体"/>
                <w:highlight w:val="none"/>
                <w:lang w:val="en-US" w:eastAsia="zh-CN"/>
              </w:rPr>
            </w:r>
            <w:r/>
          </w:p>
        </w:tc>
      </w:tr>
    </w:tbl>
    <w:p>
      <w:pPr>
        <w:pStyle w:val="907"/>
        <w:ind w:firstLine="482"/>
        <w:jc w:val="both"/>
        <w:keepLines w:val="0"/>
        <w:keepNext w:val="0"/>
        <w:pageBreakBefore w:val="0"/>
        <w:spacing w:line="360" w:lineRule="auto"/>
        <w:rPr>
          <w:rFonts w:hint="eastAsia" w:ascii="宋体" w:hAnsi="宋体"/>
          <w:b/>
          <w:sz w:val="24"/>
          <w:szCs w:val="24"/>
          <w:highlight w:val="none"/>
        </w:rPr>
      </w:pPr>
      <w:r>
        <w:rPr>
          <w:rFonts w:hint="eastAsia" w:ascii="宋体" w:hAnsi="宋体" w:eastAsia="宋体" w:cs="宋体"/>
          <w:b/>
          <w:bCs/>
          <w:color w:val="000000"/>
          <w:sz w:val="24"/>
          <w:szCs w:val="24"/>
          <w:highlight w:val="none"/>
          <w:lang w:val="en-US" w:eastAsia="zh-CN"/>
        </w:rPr>
        <w:t xml:space="preserve">注：若</w:t>
      </w:r>
      <w:r>
        <w:rPr>
          <w:rFonts w:hint="eastAsia" w:ascii="宋体" w:hAnsi="宋体"/>
          <w:b/>
          <w:bCs/>
          <w:sz w:val="24"/>
          <w:szCs w:val="24"/>
          <w:highlight w:val="none"/>
        </w:rPr>
        <w:t xml:space="preserve">采</w:t>
      </w:r>
      <w:r>
        <w:rPr>
          <w:rFonts w:hint="eastAsia" w:ascii="宋体" w:hAnsi="宋体"/>
          <w:b/>
          <w:sz w:val="24"/>
          <w:szCs w:val="24"/>
          <w:highlight w:val="none"/>
        </w:rPr>
        <w:t xml:space="preserve">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b/>
          <w:sz w:val="24"/>
          <w:szCs w:val="24"/>
          <w:highlight w:val="none"/>
        </w:rPr>
      </w:r>
      <w:r/>
    </w:p>
    <w:p>
      <w:pPr>
        <w:pStyle w:val="899"/>
        <w:rPr>
          <w:rFonts w:hint="eastAsia"/>
          <w:highlight w:val="none"/>
          <w:lang w:val="en-US" w:eastAsia="zh-CN"/>
        </w:rPr>
      </w:pPr>
      <w:r>
        <w:rPr>
          <w:rFonts w:hint="eastAsia"/>
          <w:highlight w:val="none"/>
          <w:lang w:val="en-US" w:eastAsia="zh-CN"/>
        </w:rPr>
      </w:r>
      <w:r/>
    </w:p>
    <w:p>
      <w:pPr>
        <w:pStyle w:val="907"/>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磋商响应单位：（签章）</w:t>
      </w:r>
      <w:r>
        <w:rPr>
          <w:rFonts w:hint="eastAsia" w:ascii="宋体" w:hAnsi="宋体" w:eastAsia="宋体" w:cs="宋体"/>
          <w:color w:val="000000"/>
          <w:sz w:val="24"/>
          <w:szCs w:val="24"/>
          <w:highlight w:val="none"/>
        </w:rPr>
      </w:r>
      <w:r/>
    </w:p>
    <w:p>
      <w:pPr>
        <w:pStyle w:val="913"/>
        <w:ind w:firstLine="480"/>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b/>
          <w:bCs/>
          <w:color w:val="000000"/>
          <w:sz w:val="24"/>
          <w:szCs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913"/>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rPr>
          <w:rFonts w:hint="eastAsia" w:ascii="宋体" w:hAnsi="宋体" w:eastAsia="宋体" w:cs="宋体"/>
          <w:b/>
          <w:bCs/>
          <w:color w:val="000000"/>
          <w:sz w:val="24"/>
          <w:szCs w:val="24"/>
          <w:highlight w:val="none"/>
          <w:lang w:val="en-US" w:eastAsia="zh-CN" w:bidi="ar-SA"/>
        </w:rPr>
      </w:r>
    </w:p>
    <w:p>
      <w:pPr>
        <w:pStyle w:val="913"/>
        <w:jc w:val="left"/>
        <w:spacing w:line="36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附件5：技术偏离表</w:t>
      </w:r>
      <w:r>
        <w:rPr>
          <w:rFonts w:hint="eastAsia" w:ascii="宋体" w:hAnsi="宋体" w:eastAsia="宋体" w:cs="宋体"/>
          <w:b/>
          <w:bCs/>
          <w:color w:val="000000"/>
          <w:sz w:val="24"/>
          <w:szCs w:val="24"/>
          <w:highlight w:val="none"/>
          <w:lang w:val="en-US" w:eastAsia="zh-CN" w:bidi="ar-SA"/>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899"/>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注：1.磋商响应单位应对照采购文件服务要求等要求，所响应标的物（服务）与采购文件的规定有偏离的，应在此表中申明与服务要求条文的偏差和例外。</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未在上表中说明的，如在响应文件其他内容中已有文字说明的，则以已有文字说明为准，否则，将被认为完全响应采购文件的规定。但该表不作为磋商响应单位对所响应的物（服务）关于技术要求等详细描述和说明的替代。</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磋商响应单位：（签章）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eastAsia="宋体" w:cs="宋体"/>
          <w:color w:val="000000"/>
          <w:sz w:val="24"/>
          <w:highlight w:val="none"/>
          <w:lang w:val="en-US" w:eastAsia="zh-CN"/>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6</w:t>
      </w: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907"/>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响应服务关于商务条款等详细描述和说明的替代。</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磋商响应单位：（签章）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         年         月       日</w:t>
      </w:r>
      <w:r>
        <w:rPr>
          <w:rFonts w:hint="eastAsia" w:ascii="宋体" w:hAnsi="宋体" w:eastAsia="宋体" w:cs="宋体"/>
          <w:color w:val="000000"/>
          <w:sz w:val="24"/>
          <w:highlight w:val="none"/>
          <w:lang w:val="en-US" w:eastAsia="zh-CN"/>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3"/>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w:t>
      </w:r>
      <w:r>
        <w:rPr>
          <w:rFonts w:hint="eastAsia" w:hAnsi="宋体" w:eastAsia="宋体" w:cs="宋体"/>
          <w:b/>
          <w:bCs/>
          <w:color w:val="000000"/>
          <w:sz w:val="24"/>
          <w:highlight w:val="none"/>
          <w:lang w:val="en-US" w:eastAsia="zh-CN"/>
        </w:rPr>
        <w:t xml:space="preserve">7</w:t>
      </w:r>
      <w:r>
        <w:rPr>
          <w:rFonts w:hint="eastAsia" w:hAnsi="宋体" w:eastAsia="宋体" w:cs="宋体"/>
          <w:b/>
          <w:bCs/>
          <w:color w:val="000000"/>
          <w:sz w:val="24"/>
          <w:highlight w:val="none"/>
        </w:rPr>
        <w:t xml:space="preserve">.针对本项目的人员配置表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JSZC-320509-ZZHL-C2026-0028</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5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912"/>
        <w:gridCol w:w="818"/>
        <w:gridCol w:w="840"/>
        <w:gridCol w:w="967"/>
        <w:gridCol w:w="705"/>
        <w:gridCol w:w="900"/>
        <w:gridCol w:w="1613"/>
        <w:gridCol w:w="1067"/>
      </w:tblGrid>
      <w:tr>
        <w:trPr>
          <w:trHeight w:val="405"/>
        </w:trPr>
        <w:tc>
          <w:tcPr>
            <w:tcW w:w="731"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912"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18"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840"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705"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900"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13" w:type="dxa"/>
            <w:vAlign w:val="center"/>
            <w:textDirection w:val="lrTb"/>
            <w:noWrap/>
          </w:tcPr>
          <w:p>
            <w:pPr>
              <w:pStyle w:val="914"/>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12"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12"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12"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12"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912"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912"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912"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731"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12"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18"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705"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13"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67" w:type="dxa"/>
            <w:vAlign w:val="center"/>
            <w:textDirection w:val="lrTb"/>
            <w:noWrap/>
          </w:tcPr>
          <w:p>
            <w:pPr>
              <w:pStyle w:val="910"/>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ind w:firstLine="482"/>
        <w:keepLines w:val="0"/>
        <w:keepNext w:val="0"/>
        <w:pageBreakBefore w:val="0"/>
        <w:spacing w:line="360" w:lineRule="auto"/>
        <w:widowControl w:val="off"/>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注：此表所有人员须与响应文件中所承诺本项目配备人员（人数、证书等）情况一致。</w:t>
      </w:r>
      <w:r>
        <w:rPr>
          <w:rFonts w:ascii="宋体" w:hAnsi="宋体" w:eastAsia="宋体" w:cs="宋体"/>
          <w:b/>
          <w:bCs/>
          <w:color w:val="000000"/>
          <w:sz w:val="24"/>
          <w:highlight w:val="none"/>
          <w:lang w:val="en-US" w:eastAsia="zh-CN"/>
        </w:rPr>
      </w:r>
      <w:r/>
    </w:p>
    <w:p>
      <w:pPr>
        <w:pStyle w:val="899"/>
        <w:ind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磋商响应单位：（签章）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lang w:val="en-US" w:eastAsia="zh-CN"/>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899"/>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899"/>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JSZC-320509-ZZHL-C2026-0028</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法定代表人或委托代理人：（签字或盖章）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日期：</w:t>
      </w:r>
      <w:r>
        <w:rPr>
          <w:rFonts w:hint="eastAsia" w:ascii="宋体" w:hAnsi="宋体" w:eastAsia="宋体" w:cs="宋体"/>
          <w:color w:val="000000"/>
          <w:sz w:val="24"/>
          <w:highlight w:val="none"/>
          <w:lang w:val="en-US" w:eastAsia="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1"/>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1"/>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899"/>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899"/>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9"/>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供应商：（单位盖章）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法定代表人或代理人：（签字或盖章）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年  月  日</w:t>
      </w:r>
      <w:r>
        <w:rPr>
          <w:rFonts w:hint="eastAsia" w:ascii="宋体" w:hAnsi="宋体" w:eastAsia="宋体" w:cs="宋体"/>
          <w:color w:val="000000"/>
          <w:sz w:val="24"/>
          <w:highlight w:val="none"/>
          <w:lang w:val="en-US" w:eastAsia="zh-CN"/>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899"/>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w:t>
      </w:r>
      <w:r>
        <w:rPr>
          <w:rFonts w:hint="eastAsia" w:ascii="宋体" w:hAnsi="宋体" w:eastAsia="宋体" w:cs="宋体"/>
          <w:color w:val="000000"/>
          <w:sz w:val="24"/>
          <w:highlight w:val="none"/>
          <w:lang w:val="en-US" w:eastAsia="zh-CN"/>
        </w:rPr>
        <w:t xml:space="preserve">、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tab/>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供应商：（单位盖章）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法定代表人或代理人：（签字或盖章）</w:t>
      </w:r>
      <w:r>
        <w:rPr>
          <w:rFonts w:hint="eastAsia" w:ascii="宋体" w:hAnsi="宋体" w:eastAsia="宋体" w:cs="宋体"/>
          <w:color w:val="000000"/>
          <w:sz w:val="24"/>
          <w:highlight w:val="none"/>
          <w:lang w:val="en-US" w:eastAsia="zh-CN"/>
        </w:rPr>
      </w:r>
      <w:r/>
    </w:p>
    <w:p>
      <w:pPr>
        <w:pStyle w:val="899"/>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年  月  日</w:t>
      </w:r>
      <w:r>
        <w:rPr>
          <w:rFonts w:hint="eastAsia" w:ascii="宋体" w:hAnsi="宋体" w:eastAsia="宋体" w:cs="宋体"/>
          <w:color w:val="000000"/>
          <w:sz w:val="24"/>
          <w:highlight w:val="none"/>
          <w:lang w:val="en-US" w:eastAsia="zh-CN"/>
        </w:rPr>
      </w:r>
      <w:r/>
    </w:p>
    <w:p>
      <w:pPr>
        <w:pStyle w:val="907"/>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534" w:type="dxa"/>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39"/>
        <w:gridCol w:w="1695"/>
        <w:gridCol w:w="1403"/>
        <w:gridCol w:w="2077"/>
        <w:gridCol w:w="1320"/>
      </w:tblGrid>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320"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397"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695"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center"/>
            <w:textDirection w:val="lrTb"/>
            <w:noWrap/>
          </w:tcPr>
          <w:p>
            <w:pPr>
              <w:pStyle w:val="907"/>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397"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476"/>
        </w:trPr>
        <w:tc>
          <w:tcPr>
            <w:tcW w:w="3039"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495" w:type="dxa"/>
            <w:vAlign w:val="center"/>
            <w:textDirection w:val="lrTb"/>
            <w:noWrap/>
          </w:tcPr>
          <w:p>
            <w:pPr>
              <w:pStyle w:val="907"/>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99"/>
        <w:pageBreakBefore/>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所属行业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58"/>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58"/>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41"/>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0"/>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0"/>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0"/>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0"/>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0"/>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10"/>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w:t>
      </w:r>
      <w:bookmarkStart w:id="141" w:name="OLE_LINK13"/>
      <w:r/>
      <w:bookmarkStart w:id="142"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899"/>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9"/>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1"/>
      <w:r/>
      <w:bookmarkEnd w:id="142"/>
      <w:r>
        <w:rPr>
          <w:rFonts w:hint="eastAsia" w:ascii="宋体" w:hAnsi="宋体" w:cs="宋体"/>
          <w:b/>
          <w:color w:val="000000"/>
          <w:spacing w:val="6"/>
          <w:sz w:val="24"/>
          <w:highlight w:val="none"/>
        </w:rPr>
      </w:r>
      <w:r/>
    </w:p>
    <w:p>
      <w:pPr>
        <w:pStyle w:val="899"/>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99"/>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899"/>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05"/>
        <w:rPr>
          <w:rFonts w:hint="eastAsia"/>
          <w:color w:val="000000"/>
          <w:highlight w:val="none"/>
          <w:lang w:val="zh-CN"/>
        </w:rPr>
      </w:pPr>
      <w:r>
        <w:rPr>
          <w:rFonts w:hint="eastAsia"/>
          <w:color w:val="000000"/>
          <w:highlight w:val="none"/>
          <w:lang w:val="zh-CN"/>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right="-4"/>
        <w:pageBreakBefore/>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附件14：</w:t>
      </w:r>
      <w:r>
        <w:rPr>
          <w:rFonts w:hint="eastAsia" w:ascii="宋体" w:hAnsi="宋体" w:eastAsia="宋体" w:cs="宋体"/>
          <w:b/>
          <w:color w:val="000000"/>
          <w:sz w:val="24"/>
          <w:highlight w:val="none"/>
        </w:rPr>
        <w:t xml:space="preserve">关于符合本国产品标准的声明函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如涉及</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99"/>
        <w:rPr>
          <w:rFonts w:hint="eastAsia"/>
          <w:highlight w:val="none"/>
        </w:rPr>
      </w:pPr>
      <w:r>
        <w:rPr>
          <w:rFonts w:hint="eastAsia"/>
          <w:highlight w:val="none"/>
        </w:rPr>
      </w:r>
      <w:r/>
    </w:p>
    <w:p>
      <w:pPr>
        <w:pStyle w:val="899"/>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t xml:space="preserve">关于符合本国产品标准的声明函</w:t>
      </w:r>
      <w:r>
        <w:rPr>
          <w:rFonts w:hint="eastAsia" w:ascii="宋体" w:hAnsi="宋体" w:eastAsia="宋体" w:cs="宋体"/>
          <w:b/>
          <w:color w:val="000000"/>
          <w:spacing w:val="6"/>
          <w:sz w:val="24"/>
          <w:highlight w:val="none"/>
        </w:rPr>
      </w:r>
      <w:r/>
    </w:p>
    <w:p>
      <w:pPr>
        <w:pStyle w:val="899"/>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929"/>
          <w:rFonts w:hint="eastAsia" w:ascii="宋体" w:hAnsi="宋体" w:eastAsia="宋体" w:cs="宋体"/>
          <w:i w:val="0"/>
          <w:iCs w:val="0"/>
          <w:caps w:val="0"/>
          <w:color w:val="000000"/>
          <w:spacing w:val="0"/>
          <w:sz w:val="24"/>
          <w:szCs w:val="24"/>
          <w:highlight w:val="none"/>
          <w:shd w:val="clear" w:color="auto" w:fill="ffffff"/>
        </w:rPr>
        <w:t xml:space="preserve">（产品名称1）</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929"/>
          <w:rFonts w:hint="eastAsia" w:ascii="宋体" w:hAnsi="宋体" w:eastAsia="宋体" w:cs="宋体"/>
          <w:i w:val="0"/>
          <w:iCs w:val="0"/>
          <w:caps w:val="0"/>
          <w:color w:val="000000"/>
          <w:spacing w:val="0"/>
          <w:sz w:val="24"/>
          <w:szCs w:val="24"/>
          <w:highlight w:val="none"/>
          <w:shd w:val="clear" w:color="auto" w:fill="ffffff"/>
        </w:rPr>
        <w:t xml:space="preserve">（厂名）</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929"/>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929"/>
          <w:rFonts w:hint="eastAsia" w:ascii="宋体" w:hAnsi="宋体" w:eastAsia="宋体" w:cs="宋体"/>
          <w:i w:val="0"/>
          <w:iCs w:val="0"/>
          <w:caps w:val="0"/>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929"/>
          <w:rFonts w:hint="eastAsia" w:ascii="宋体" w:hAnsi="宋体" w:eastAsia="宋体" w:cs="宋体"/>
          <w:i w:val="0"/>
          <w:iCs w:val="0"/>
          <w:caps w:val="0"/>
          <w:color w:val="000000"/>
          <w:spacing w:val="0"/>
          <w:sz w:val="24"/>
          <w:szCs w:val="24"/>
          <w:highlight w:val="non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929"/>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公司（单位）名称（盖章）：　</w:t>
      </w:r>
      <w:r>
        <w:rPr>
          <w:rFonts w:hint="eastAsia" w:ascii="宋体" w:hAnsi="宋体" w:eastAsia="宋体" w:cs="宋体"/>
          <w:i w:val="0"/>
          <w:iCs w:val="0"/>
          <w:caps w:val="0"/>
          <w:color w:val="000000"/>
          <w:spacing w:val="0"/>
          <w:sz w:val="24"/>
          <w:szCs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w:t>
      </w:r>
      <w:r>
        <w:rPr>
          <w:rFonts w:hint="eastAsia" w:ascii="宋体" w:hAnsi="宋体" w:eastAsia="宋体" w:cs="宋体"/>
          <w:i w:val="0"/>
          <w:iCs w:val="0"/>
          <w:caps w:val="0"/>
          <w:color w:val="000000"/>
          <w:spacing w:val="0"/>
          <w:sz w:val="24"/>
          <w:szCs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rPr>
          <w:rFonts w:hint="eastAsia" w:ascii="宋体" w:hAnsi="宋体" w:eastAsia="宋体" w:cs="宋体"/>
          <w:i w:val="0"/>
          <w:iCs w:val="0"/>
          <w:caps w:val="0"/>
          <w:color w:val="000000"/>
          <w:spacing w:val="0"/>
          <w:sz w:val="24"/>
          <w:szCs w:val="24"/>
          <w:highlight w:val="none"/>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shd w:val="clear" w:color="auto" w:fill="ffffff"/>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shd w:val="clear" w:color="auto" w:fill="ffffff"/>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922"/>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22"/>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6.供应商应当对所有所投产品一一进行声明。</w:t>
      </w:r>
      <w:r>
        <w:rPr>
          <w:rFonts w:hint="eastAsia" w:ascii="宋体" w:hAnsi="宋体" w:eastAsia="宋体" w:cs="宋体"/>
          <w:b/>
          <w:bCs/>
          <w:i w:val="0"/>
          <w:iCs w:val="0"/>
          <w:caps w:val="0"/>
          <w:color w:val="000000"/>
          <w:spacing w:val="0"/>
          <w:sz w:val="24"/>
          <w:szCs w:val="24"/>
          <w:highlight w:val="none"/>
          <w:shd w:val="clear" w:color="auto" w:fill="ffffff"/>
          <w:lang w:val="en-US" w:eastAsia="zh-CN"/>
        </w:rPr>
      </w:r>
      <w:r/>
    </w:p>
    <w:p>
      <w:pPr>
        <w:pStyle w:val="922"/>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7.划线部分</w:t>
      </w:r>
      <w:r>
        <w:rPr>
          <w:rFonts w:hint="eastAsia" w:ascii="宋体" w:hAnsi="宋体" w:eastAsia="宋体" w:cs="宋体"/>
          <w:b/>
          <w:sz w:val="24"/>
          <w:szCs w:val="24"/>
          <w:highlight w:val="none"/>
        </w:rPr>
        <w:t xml:space="preserve">无需填写。</w:t>
      </w:r>
      <w:r>
        <w:rPr>
          <w:rFonts w:hint="eastAsia" w:ascii="宋体" w:hAnsi="宋体" w:eastAsia="宋体" w:cs="宋体"/>
          <w:b/>
          <w:sz w:val="24"/>
          <w:szCs w:val="24"/>
          <w:highlight w:val="none"/>
        </w:rPr>
      </w:r>
      <w:r/>
    </w:p>
    <w:p>
      <w:pPr>
        <w:pStyle w:val="922"/>
        <w:ind w:left="0" w:right="0" w:firstLine="482"/>
        <w:jc w:val="both"/>
        <w:keepLines w:val="0"/>
        <w:keepNext w:val="0"/>
        <w:pageBreakBefore w:val="0"/>
        <w:spacing w:beforeAutospacing="0" w:afterAutospacing="0" w:line="360" w:lineRule="auto"/>
        <w:shd w:val="clear" w:color="auto" w:fill="ffffff"/>
        <w:widowControl/>
        <w:rPr>
          <w:rFonts w:ascii="宋体" w:hAnsi="宋体" w:eastAsia="宋体" w:cs="宋体"/>
          <w:b/>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val="en-US" w:eastAsia="zh-CN"/>
        </w:rPr>
        <w:t xml:space="preserve">8.若本采购包中不涉及，则无需提供该声明函。</w:t>
      </w:r>
      <w:r>
        <w:rPr>
          <w:rFonts w:ascii="宋体" w:hAnsi="宋体" w:eastAsia="宋体" w:cs="宋体"/>
          <w:b/>
          <w:sz w:val="24"/>
          <w:szCs w:val="24"/>
          <w:highlight w:val="none"/>
          <w:lang w:val="en-US" w:eastAsia="zh-CN"/>
        </w:rPr>
      </w:r>
      <w:r/>
    </w:p>
    <w:p>
      <w:pPr>
        <w:pStyle w:val="922"/>
        <w:ind w:firstLine="480"/>
        <w:jc w:val="both"/>
        <w:keepLines w:val="0"/>
        <w:keepNext w:val="0"/>
        <w:pageBreakBefore w:val="0"/>
        <w:spacing w:beforeAutospacing="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99"/>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10"/>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0"/>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89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_GB2312">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fldSimple w:instr="PAGE \* MERGEFORMAT">
      <w:r>
        <w:t xml:space="preserve">1</w:t>
      </w:r>
    </w:fldSimple>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JSZC-320509-ZZHL-C2026-0028</w:t>
    </w:r>
    <w:r>
      <w:rPr>
        <w:rFonts w:hint="eastAsia" w:eastAsia="宋体"/>
        <w:lang w:eastAsia="zh-CN"/>
      </w:rPr>
    </w:r>
    <w:r/>
  </w:p>
  <w:p>
    <w:pPr>
      <w:pStyle w:val="917"/>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9"/>
        <w:ind w:left="432" w:hanging="432"/>
        <w:tabs>
          <w:tab w:val="num" w:pos="432" w:leader="none"/>
        </w:tabs>
      </w:pPr>
      <w:rPr>
        <w:rFonts w:hint="eastAsia" w:ascii="宋体" w:hAnsi="宋体" w:eastAsia="宋体"/>
        <w:b/>
        <w:i w:val="0"/>
        <w:sz w:val="28"/>
        <w:szCs w:val="28"/>
      </w:rPr>
    </w:lvl>
    <w:lvl w:ilvl="1">
      <w:start w:val="1"/>
      <w:numFmt w:val="decimal"/>
      <w:pStyle w:val="901"/>
      <w:isLgl w:val="false"/>
      <w:suff w:val="tab"/>
      <w:lvlText w:val="%1.%2"/>
      <w:lvlJc w:val="left"/>
      <w:pPr>
        <w:pStyle w:val="899"/>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9"/>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9"/>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9"/>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9"/>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9"/>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9"/>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9"/>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905"/>
    <w:link w:val="899"/>
    <w:qFormat/>
    <w:pPr>
      <w:jc w:val="both"/>
      <w:widowControl w:val="off"/>
    </w:pPr>
    <w:rPr>
      <w:rFonts w:ascii="Calibri" w:hAnsi="Calibri" w:cs="Calibri"/>
      <w:sz w:val="21"/>
      <w:szCs w:val="24"/>
      <w:lang w:val="en-US" w:eastAsia="zh-CN" w:bidi="ar-SA"/>
    </w:rPr>
  </w:style>
  <w:style w:type="paragraph" w:styleId="900">
    <w:name w:val="标题 1"/>
    <w:basedOn w:val="899"/>
    <w:next w:val="899"/>
    <w:link w:val="899"/>
    <w:qFormat/>
    <w:pPr>
      <w:ind w:left="405" w:hanging="405"/>
      <w:jc w:val="left"/>
      <w:keepNext/>
      <w:spacing w:line="300" w:lineRule="auto"/>
      <w:tabs>
        <w:tab w:val="left" w:pos="405" w:leader="none"/>
      </w:tabs>
      <w:outlineLvl w:val="0"/>
    </w:pPr>
    <w:rPr>
      <w:sz w:val="28"/>
    </w:rPr>
  </w:style>
  <w:style w:type="paragraph" w:styleId="901">
    <w:name w:val="标题 2"/>
    <w:basedOn w:val="899"/>
    <w:next w:val="899"/>
    <w:link w:val="899"/>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2">
    <w:name w:val="标题 3"/>
    <w:basedOn w:val="899"/>
    <w:next w:val="899"/>
    <w:link w:val="899"/>
    <w:qFormat/>
    <w:pPr>
      <w:keepLines/>
      <w:keepNext/>
      <w:spacing w:before="260" w:after="260" w:line="413" w:lineRule="auto"/>
      <w:outlineLvl w:val="2"/>
    </w:pPr>
    <w:rPr>
      <w:b/>
      <w:sz w:val="32"/>
    </w:rPr>
  </w:style>
  <w:style w:type="character" w:styleId="903">
    <w:name w:val="默认段落字体"/>
    <w:next w:val="903"/>
    <w:link w:val="899"/>
    <w:semiHidden/>
    <w:qFormat/>
  </w:style>
  <w:style w:type="table" w:styleId="904">
    <w:name w:val="普通表格"/>
    <w:next w:val="904"/>
    <w:link w:val="899"/>
    <w:semiHidden/>
    <w:tblPr/>
  </w:style>
  <w:style w:type="paragraph" w:styleId="905">
    <w:name w:val="正文文本缩进"/>
    <w:basedOn w:val="899"/>
    <w:next w:val="899"/>
    <w:link w:val="899"/>
    <w:qFormat/>
    <w:pPr>
      <w:ind w:left="420"/>
      <w:spacing w:after="120"/>
    </w:pPr>
  </w:style>
  <w:style w:type="paragraph" w:styleId="906">
    <w:name w:val="目录 7"/>
    <w:basedOn w:val="900"/>
    <w:next w:val="899"/>
    <w:link w:val="899"/>
    <w:uiPriority w:val="39"/>
    <w:unhideWhenUsed/>
    <w:qFormat/>
    <w:pPr>
      <w:ind w:left="1260"/>
      <w:jc w:val="left"/>
      <w:tabs>
        <w:tab w:val="left" w:pos="405" w:leader="none"/>
      </w:tabs>
    </w:pPr>
    <w:rPr>
      <w:sz w:val="18"/>
      <w:szCs w:val="18"/>
    </w:rPr>
  </w:style>
  <w:style w:type="paragraph" w:styleId="907">
    <w:name w:val="正文缩进"/>
    <w:basedOn w:val="899"/>
    <w:next w:val="899"/>
    <w:link w:val="899"/>
    <w:qFormat/>
    <w:pPr>
      <w:ind w:firstLine="420"/>
    </w:pPr>
    <w:rPr>
      <w:szCs w:val="20"/>
    </w:rPr>
  </w:style>
  <w:style w:type="paragraph" w:styleId="908">
    <w:name w:val="批注文字"/>
    <w:basedOn w:val="899"/>
    <w:next w:val="908"/>
    <w:link w:val="909"/>
    <w:qFormat/>
    <w:pPr>
      <w:jc w:val="left"/>
    </w:pPr>
  </w:style>
  <w:style w:type="character" w:styleId="909">
    <w:name w:val="批注文字 字符"/>
    <w:next w:val="909"/>
    <w:link w:val="908"/>
    <w:rPr>
      <w:rFonts w:ascii="Calibri" w:hAnsi="Calibri" w:cs="Calibri"/>
      <w:sz w:val="21"/>
      <w:szCs w:val="24"/>
    </w:rPr>
  </w:style>
  <w:style w:type="paragraph" w:styleId="910">
    <w:name w:val="正文文本"/>
    <w:basedOn w:val="899"/>
    <w:next w:val="910"/>
    <w:link w:val="899"/>
    <w:qFormat/>
    <w:pPr>
      <w:tabs>
        <w:tab w:val="left" w:pos="5250" w:leader="none"/>
      </w:tabs>
    </w:pPr>
    <w:rPr>
      <w:sz w:val="28"/>
    </w:rPr>
  </w:style>
  <w:style w:type="paragraph" w:styleId="911">
    <w:name w:val="列表 2"/>
    <w:basedOn w:val="900"/>
    <w:next w:val="906"/>
    <w:link w:val="899"/>
    <w:qFormat/>
    <w:pPr>
      <w:ind w:left="100" w:firstLine="3640"/>
      <w:spacing w:before="0" w:after="0" w:line="240" w:lineRule="auto"/>
      <w:tabs>
        <w:tab w:val="left" w:pos="405" w:leader="none"/>
      </w:tabs>
    </w:pPr>
    <w:rPr>
      <w:rFonts w:ascii="Times New Roman" w:hAnsi="Times New Roman" w:cs="Times New Roman"/>
    </w:rPr>
  </w:style>
  <w:style w:type="paragraph" w:styleId="912">
    <w:name w:val="文本块"/>
    <w:basedOn w:val="900"/>
    <w:next w:val="899"/>
    <w:link w:val="899"/>
    <w:qFormat/>
    <w:pPr>
      <w:ind w:left="420" w:right="-294"/>
      <w:spacing w:line="320" w:lineRule="exact"/>
      <w:tabs>
        <w:tab w:val="left" w:pos="405" w:leader="none"/>
      </w:tabs>
    </w:pPr>
    <w:rPr>
      <w:rFonts w:ascii="宋体"/>
      <w:sz w:val="24"/>
    </w:rPr>
  </w:style>
  <w:style w:type="paragraph" w:styleId="913">
    <w:name w:val="纯文本"/>
    <w:basedOn w:val="899"/>
    <w:next w:val="913"/>
    <w:link w:val="899"/>
    <w:qFormat/>
    <w:rPr>
      <w:rFonts w:ascii="宋体" w:hAnsi="Courier New" w:eastAsia="楷体_GB2312"/>
      <w:sz w:val="28"/>
    </w:rPr>
  </w:style>
  <w:style w:type="paragraph" w:styleId="914">
    <w:name w:val="批注框文本"/>
    <w:basedOn w:val="899"/>
    <w:next w:val="914"/>
    <w:link w:val="899"/>
    <w:qFormat/>
    <w:rPr>
      <w:sz w:val="18"/>
      <w:szCs w:val="18"/>
    </w:rPr>
  </w:style>
  <w:style w:type="paragraph" w:styleId="915">
    <w:name w:val="页脚"/>
    <w:basedOn w:val="899"/>
    <w:next w:val="915"/>
    <w:link w:val="899"/>
    <w:uiPriority w:val="99"/>
    <w:qFormat/>
    <w:pPr>
      <w:jc w:val="left"/>
      <w:tabs>
        <w:tab w:val="center" w:pos="4153" w:leader="none"/>
        <w:tab w:val="right" w:pos="8306" w:leader="none"/>
      </w:tabs>
    </w:pPr>
    <w:rPr>
      <w:sz w:val="18"/>
      <w:szCs w:val="18"/>
    </w:rPr>
  </w:style>
  <w:style w:type="paragraph" w:styleId="916">
    <w:name w:val="寄信人地址"/>
    <w:basedOn w:val="899"/>
    <w:next w:val="916"/>
    <w:link w:val="899"/>
    <w:qFormat/>
    <w:rPr>
      <w:rFonts w:ascii="Arial" w:hAnsi="Arial" w:eastAsia="楷体_GB2312"/>
      <w:sz w:val="26"/>
      <w:szCs w:val="20"/>
    </w:rPr>
  </w:style>
  <w:style w:type="paragraph" w:styleId="917">
    <w:name w:val="页眉"/>
    <w:basedOn w:val="899"/>
    <w:next w:val="917"/>
    <w:link w:val="899"/>
    <w:uiPriority w:val="99"/>
    <w:qFormat/>
    <w:pPr>
      <w:jc w:val="center"/>
      <w:tabs>
        <w:tab w:val="center" w:pos="4153" w:leader="none"/>
        <w:tab w:val="right" w:pos="8306" w:leader="none"/>
      </w:tabs>
      <w:pBdr>
        <w:bottom w:val="none" w:color="000000" w:sz="0" w:space="1"/>
      </w:pBdr>
    </w:pPr>
    <w:rPr>
      <w:sz w:val="18"/>
      <w:szCs w:val="18"/>
    </w:rPr>
  </w:style>
  <w:style w:type="paragraph" w:styleId="918">
    <w:name w:val="副标题"/>
    <w:basedOn w:val="899"/>
    <w:next w:val="899"/>
    <w:link w:val="899"/>
    <w:qFormat/>
    <w:pPr>
      <w:jc w:val="center"/>
      <w:spacing w:before="240" w:after="60" w:line="312" w:lineRule="auto"/>
      <w:outlineLvl w:val="1"/>
    </w:pPr>
    <w:rPr>
      <w:rFonts w:ascii="宋体" w:hAnsi="Courier New" w:eastAsia="楷体_GB2312"/>
      <w:sz w:val="26"/>
    </w:rPr>
  </w:style>
  <w:style w:type="paragraph" w:styleId="919">
    <w:name w:val="脚注文本"/>
    <w:basedOn w:val="900"/>
    <w:next w:val="912"/>
    <w:link w:val="899"/>
    <w:qFormat/>
    <w:pPr>
      <w:ind w:firstLine="3584"/>
      <w:spacing w:line="360" w:lineRule="auto"/>
      <w:tabs>
        <w:tab w:val="left" w:pos="405" w:leader="none"/>
      </w:tabs>
    </w:pPr>
  </w:style>
  <w:style w:type="paragraph" w:styleId="920">
    <w:name w:val="目录 2"/>
    <w:basedOn w:val="899"/>
    <w:next w:val="899"/>
    <w:link w:val="899"/>
    <w:uiPriority w:val="39"/>
    <w:unhideWhenUsed/>
    <w:qFormat/>
    <w:pPr>
      <w:ind w:left="420"/>
    </w:pPr>
  </w:style>
  <w:style w:type="paragraph" w:styleId="921">
    <w:name w:val="正文文本 2"/>
    <w:basedOn w:val="899"/>
    <w:next w:val="921"/>
    <w:link w:val="899"/>
    <w:qFormat/>
    <w:pPr>
      <w:spacing w:line="360" w:lineRule="auto"/>
    </w:pPr>
    <w:rPr>
      <w:color w:val="ff0000"/>
    </w:rPr>
  </w:style>
  <w:style w:type="paragraph" w:styleId="922">
    <w:name w:val="普通(网站)"/>
    <w:basedOn w:val="899"/>
    <w:next w:val="922"/>
    <w:link w:val="899"/>
    <w:uiPriority w:val="99"/>
    <w:qFormat/>
    <w:pPr>
      <w:jc w:val="left"/>
      <w:spacing w:beforeAutospacing="1" w:afterAutospacing="1"/>
    </w:pPr>
    <w:rPr>
      <w:rFonts w:cs="Times New Roman"/>
      <w:sz w:val="24"/>
    </w:rPr>
  </w:style>
  <w:style w:type="paragraph" w:styleId="923">
    <w:name w:val="批注主题"/>
    <w:basedOn w:val="908"/>
    <w:next w:val="908"/>
    <w:link w:val="924"/>
    <w:rPr>
      <w:b/>
      <w:bCs/>
    </w:rPr>
  </w:style>
  <w:style w:type="character" w:styleId="924">
    <w:name w:val="批注主题 字符"/>
    <w:next w:val="924"/>
    <w:link w:val="923"/>
    <w:rPr>
      <w:rFonts w:ascii="Calibri" w:hAnsi="Calibri" w:cs="Calibri"/>
      <w:b/>
      <w:bCs/>
      <w:sz w:val="21"/>
      <w:szCs w:val="24"/>
    </w:rPr>
  </w:style>
  <w:style w:type="paragraph" w:styleId="925">
    <w:name w:val="正文首行缩进"/>
    <w:basedOn w:val="910"/>
    <w:next w:val="899"/>
    <w:link w:val="899"/>
    <w:qFormat/>
    <w:pPr>
      <w:ind w:firstLine="420"/>
      <w:tabs>
        <w:tab w:val="left" w:pos="5250" w:leader="none"/>
      </w:tabs>
    </w:pPr>
  </w:style>
  <w:style w:type="paragraph" w:styleId="926">
    <w:name w:val="正文首行缩进 2"/>
    <w:basedOn w:val="905"/>
    <w:next w:val="926"/>
    <w:link w:val="899"/>
    <w:uiPriority w:val="99"/>
    <w:unhideWhenUsed/>
    <w:qFormat/>
    <w:pPr>
      <w:ind w:firstLine="420"/>
    </w:pPr>
  </w:style>
  <w:style w:type="table" w:styleId="927">
    <w:name w:val="网格型"/>
    <w:basedOn w:val="904"/>
    <w:next w:val="927"/>
    <w:link w:val="899"/>
    <w:qFormat/>
    <w:tblPr/>
  </w:style>
  <w:style w:type="character" w:styleId="928">
    <w:name w:val="页码"/>
    <w:next w:val="928"/>
    <w:link w:val="899"/>
    <w:qFormat/>
  </w:style>
  <w:style w:type="character" w:styleId="929">
    <w:name w:val="强调"/>
    <w:next w:val="929"/>
    <w:link w:val="899"/>
    <w:uiPriority w:val="20"/>
    <w:qFormat/>
    <w:rPr>
      <w:rFonts w:ascii="Times New Roman" w:hAnsi="Times New Roman" w:eastAsia="宋体" w:cs="Times New Roman"/>
      <w:i/>
      <w:sz w:val="21"/>
    </w:rPr>
  </w:style>
  <w:style w:type="character" w:styleId="930">
    <w:name w:val="批注引用"/>
    <w:next w:val="930"/>
    <w:link w:val="899"/>
    <w:rPr>
      <w:sz w:val="21"/>
      <w:szCs w:val="21"/>
    </w:rPr>
  </w:style>
  <w:style w:type="paragraph" w:styleId="931">
    <w:name w:val="段"/>
    <w:basedOn w:val="932"/>
    <w:next w:val="899"/>
    <w:link w:val="899"/>
    <w:qFormat/>
    <w:pPr>
      <w:ind w:firstLine="200"/>
      <w:jc w:val="both"/>
    </w:pPr>
    <w:rPr>
      <w:rFonts w:ascii="宋体" w:hAnsi="Calibri"/>
      <w:sz w:val="21"/>
      <w:lang w:val="en-US" w:eastAsia="zh-CN" w:bidi="ar-SA"/>
    </w:rPr>
  </w:style>
  <w:style w:type="paragraph" w:styleId="932">
    <w:name w:val="正文1"/>
    <w:basedOn w:val="933"/>
    <w:next w:val="935"/>
    <w:link w:val="899"/>
    <w:qFormat/>
    <w:pPr>
      <w:ind w:left="420" w:firstLine="527"/>
      <w:spacing w:before="120" w:line="360" w:lineRule="auto"/>
    </w:pPr>
    <w:rPr>
      <w:rFonts w:ascii="宋体" w:hAnsi="宋体"/>
    </w:rPr>
  </w:style>
  <w:style w:type="paragraph" w:styleId="933">
    <w:name w:val="正文12"/>
    <w:next w:val="934"/>
    <w:link w:val="899"/>
    <w:qFormat/>
    <w:pPr>
      <w:jc w:val="both"/>
      <w:widowControl w:val="off"/>
    </w:pPr>
    <w:rPr>
      <w:rFonts w:ascii="Times New Roman" w:hAnsi="Times New Roman" w:eastAsia="宋体" w:cs="Times New Roman"/>
      <w:sz w:val="21"/>
      <w:szCs w:val="24"/>
      <w:lang w:val="en-US" w:eastAsia="zh-CN" w:bidi="ar-SA"/>
    </w:rPr>
  </w:style>
  <w:style w:type="paragraph" w:styleId="934">
    <w:name w:val="Default"/>
    <w:next w:val="920"/>
    <w:link w:val="899"/>
    <w:qFormat/>
    <w:pPr>
      <w:widowControl w:val="off"/>
    </w:pPr>
    <w:rPr>
      <w:rFonts w:ascii="宋体" w:hAnsi="Times New Roman" w:eastAsia="宋体" w:cs="宋体"/>
      <w:color w:val="000000"/>
      <w:sz w:val="24"/>
      <w:szCs w:val="24"/>
      <w:lang w:val="en-US" w:eastAsia="zh-CN" w:bidi="ar-SA"/>
    </w:rPr>
  </w:style>
  <w:style w:type="paragraph" w:styleId="935">
    <w:name w:val="正文首行缩进1"/>
    <w:basedOn w:val="936"/>
    <w:next w:val="938"/>
    <w:link w:val="899"/>
    <w:qFormat/>
    <w:pPr>
      <w:ind w:firstLine="420"/>
    </w:pPr>
    <w:rPr>
      <w:szCs w:val="22"/>
    </w:rPr>
  </w:style>
  <w:style w:type="paragraph" w:styleId="936">
    <w:name w:val="正文文本1"/>
    <w:basedOn w:val="937"/>
    <w:next w:val="899"/>
    <w:link w:val="899"/>
    <w:qFormat/>
    <w:pPr>
      <w:spacing w:after="120"/>
    </w:pPr>
  </w:style>
  <w:style w:type="paragraph" w:styleId="937">
    <w:name w:val="正文11"/>
    <w:next w:val="899"/>
    <w:link w:val="899"/>
    <w:qFormat/>
    <w:pPr>
      <w:jc w:val="both"/>
      <w:widowControl w:val="off"/>
    </w:pPr>
    <w:rPr>
      <w:rFonts w:ascii="Times New Roman" w:hAnsi="Times New Roman" w:eastAsia="宋体" w:cs="Times New Roman"/>
      <w:sz w:val="21"/>
      <w:szCs w:val="24"/>
      <w:lang w:val="en-US" w:eastAsia="zh-CN" w:bidi="ar-SA"/>
    </w:rPr>
  </w:style>
  <w:style w:type="paragraph" w:styleId="938">
    <w:name w:val="正文首行缩进 21"/>
    <w:basedOn w:val="939"/>
    <w:next w:val="932"/>
    <w:link w:val="899"/>
    <w:qFormat/>
    <w:pPr>
      <w:ind w:firstLine="420"/>
      <w:widowControl/>
    </w:pPr>
    <w:rPr>
      <w:rFonts w:ascii="仿宋_GB2312"/>
      <w:color w:val="ff6600"/>
      <w:sz w:val="21"/>
    </w:rPr>
  </w:style>
  <w:style w:type="paragraph" w:styleId="939">
    <w:name w:val="正文文本缩进1"/>
    <w:basedOn w:val="899"/>
    <w:next w:val="940"/>
    <w:link w:val="899"/>
    <w:qFormat/>
    <w:pPr>
      <w:ind w:firstLine="560"/>
      <w:spacing w:line="300" w:lineRule="auto"/>
    </w:pPr>
    <w:rPr>
      <w:sz w:val="28"/>
    </w:rPr>
  </w:style>
  <w:style w:type="paragraph" w:styleId="940">
    <w:name w:val="寄信人地址1"/>
    <w:basedOn w:val="899"/>
    <w:next w:val="940"/>
    <w:link w:val="899"/>
    <w:qFormat/>
    <w:rPr>
      <w:rFonts w:ascii="Arial" w:hAnsi="Arial"/>
    </w:rPr>
  </w:style>
  <w:style w:type="paragraph" w:styleId="941">
    <w:name w:val="首行缩进"/>
    <w:basedOn w:val="899"/>
    <w:next w:val="941"/>
    <w:link w:val="899"/>
    <w:qFormat/>
    <w:pPr>
      <w:ind w:firstLine="480"/>
      <w:jc w:val="left"/>
      <w:spacing w:line="360" w:lineRule="auto"/>
    </w:pPr>
    <w:rPr>
      <w:rFonts w:ascii="宋体" w:hAnsi="宋体"/>
      <w:sz w:val="24"/>
    </w:rPr>
  </w:style>
  <w:style w:type="paragraph" w:styleId="942">
    <w:name w:val="正文首行缩进 211"/>
    <w:basedOn w:val="943"/>
    <w:next w:val="944"/>
    <w:link w:val="899"/>
    <w:qFormat/>
    <w:pPr>
      <w:ind w:left="420" w:firstLine="420"/>
      <w:spacing w:after="120" w:line="240" w:lineRule="auto"/>
    </w:pPr>
    <w:rPr>
      <w:b w:val="0"/>
      <w:szCs w:val="24"/>
    </w:rPr>
  </w:style>
  <w:style w:type="paragraph" w:styleId="943">
    <w:name w:val="正文文本缩进11"/>
    <w:basedOn w:val="899"/>
    <w:next w:val="899"/>
    <w:link w:val="899"/>
    <w:qFormat/>
    <w:pPr>
      <w:ind w:left="315" w:firstLine="632"/>
      <w:spacing w:line="360" w:lineRule="auto"/>
    </w:pPr>
    <w:rPr>
      <w:b/>
    </w:rPr>
  </w:style>
  <w:style w:type="paragraph" w:styleId="944">
    <w:name w:val="正文首行缩进11"/>
    <w:basedOn w:val="945"/>
    <w:next w:val="899"/>
    <w:link w:val="899"/>
    <w:qFormat/>
    <w:pPr>
      <w:ind w:firstLine="420"/>
      <w:spacing w:after="120" w:line="240" w:lineRule="auto"/>
    </w:pPr>
    <w:rPr>
      <w:rFonts w:ascii="Times New Roman"/>
      <w:sz w:val="26"/>
    </w:rPr>
  </w:style>
  <w:style w:type="paragraph" w:styleId="945">
    <w:name w:val="正文文本11"/>
    <w:basedOn w:val="899"/>
    <w:next w:val="946"/>
    <w:link w:val="899"/>
    <w:uiPriority w:val="99"/>
    <w:qFormat/>
    <w:pPr>
      <w:spacing w:after="120"/>
    </w:pPr>
    <w:rPr>
      <w:rFonts w:ascii="Times New Roman" w:hAnsi="Times New Roman"/>
      <w:sz w:val="20"/>
      <w:szCs w:val="20"/>
    </w:rPr>
  </w:style>
  <w:style w:type="paragraph" w:styleId="946">
    <w:name w:val="正文缩进1"/>
    <w:basedOn w:val="899"/>
    <w:next w:val="899"/>
    <w:link w:val="899"/>
    <w:qFormat/>
    <w:pPr>
      <w:ind w:firstLine="420"/>
      <w:jc w:val="left"/>
    </w:pPr>
    <w:rPr>
      <w:rFonts w:eastAsia="楷体_GB2312"/>
      <w:sz w:val="24"/>
      <w:szCs w:val="20"/>
    </w:rPr>
  </w:style>
  <w:style w:type="paragraph" w:styleId="947">
    <w:name w:val="寄信人地址111"/>
    <w:basedOn w:val="899"/>
    <w:next w:val="947"/>
    <w:link w:val="899"/>
    <w:qFormat/>
    <w:rPr>
      <w:rFonts w:ascii="Arial" w:hAnsi="Arial" w:eastAsia="楷体_GB2312"/>
      <w:sz w:val="26"/>
    </w:rPr>
  </w:style>
  <w:style w:type="paragraph" w:styleId="948">
    <w:name w:val="正文文本缩进 21"/>
    <w:basedOn w:val="899"/>
    <w:next w:val="949"/>
    <w:link w:val="899"/>
    <w:qFormat/>
    <w:pPr>
      <w:ind w:firstLine="420"/>
      <w:spacing w:line="360" w:lineRule="auto"/>
    </w:pPr>
    <w:rPr>
      <w:rFonts w:ascii="宋体" w:hAnsi="宋体"/>
    </w:rPr>
  </w:style>
  <w:style w:type="paragraph" w:styleId="949">
    <w:name w:val="索引 91"/>
    <w:basedOn w:val="899"/>
    <w:next w:val="899"/>
    <w:link w:val="899"/>
    <w:qFormat/>
    <w:pPr>
      <w:ind w:left="1600"/>
    </w:pPr>
    <w:rPr>
      <w:szCs w:val="24"/>
    </w:rPr>
  </w:style>
  <w:style w:type="paragraph" w:styleId="950">
    <w:name w:val="一级条标题"/>
    <w:basedOn w:val="951"/>
    <w:next w:val="931"/>
    <w:link w:val="8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name w:val="章标题"/>
    <w:next w:val="899"/>
    <w:link w:val="8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2">
    <w:name w:val="PlainText1"/>
    <w:basedOn w:val="899"/>
    <w:next w:val="952"/>
    <w:link w:val="899"/>
    <w:uiPriority w:val="99"/>
    <w:qFormat/>
    <w:rPr>
      <w:rFonts w:ascii="宋体" w:hAnsi="Courier New" w:eastAsia="楷体_GB2312"/>
      <w:sz w:val="28"/>
      <w:szCs w:val="20"/>
    </w:rPr>
  </w:style>
  <w:style w:type="paragraph" w:styleId="953">
    <w:name w:val="目录 51"/>
    <w:next w:val="899"/>
    <w:link w:val="899"/>
    <w:qFormat/>
    <w:pPr>
      <w:ind w:left="1275"/>
      <w:jc w:val="both"/>
    </w:pPr>
    <w:rPr>
      <w:rFonts w:ascii="Calibri" w:hAnsi="Calibri" w:eastAsia="宋体" w:cs="Times New Roman"/>
      <w:sz w:val="21"/>
      <w:lang w:val="en-US" w:eastAsia="zh-CN" w:bidi="ar-SA"/>
    </w:rPr>
  </w:style>
  <w:style w:type="paragraph" w:styleId="954">
    <w:name w:val="列表段落"/>
    <w:basedOn w:val="899"/>
    <w:next w:val="954"/>
    <w:link w:val="899"/>
    <w:uiPriority w:val="34"/>
    <w:qFormat/>
    <w:pPr>
      <w:ind w:firstLine="420"/>
    </w:pPr>
  </w:style>
  <w:style w:type="character" w:styleId="955">
    <w:name w:val="NormalCharacter1"/>
    <w:next w:val="955"/>
    <w:link w:val="899"/>
    <w:qFormat/>
  </w:style>
  <w:style w:type="paragraph" w:styleId="956">
    <w:name w:val="+标题1"/>
    <w:basedOn w:val="900"/>
    <w:next w:val="956"/>
    <w:link w:val="899"/>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7">
    <w:name w:val="纯文本13"/>
    <w:basedOn w:val="899"/>
    <w:next w:val="957"/>
    <w:link w:val="899"/>
    <w:qFormat/>
    <w:pPr>
      <w:jc w:val="left"/>
      <w:widowControl/>
    </w:pPr>
    <w:rPr>
      <w:rFonts w:ascii="宋体" w:hAnsi="Courier New" w:eastAsia="楷体_GB2312"/>
      <w:sz w:val="26"/>
      <w:lang w:eastAsia="en-US"/>
    </w:rPr>
  </w:style>
  <w:style w:type="paragraph" w:styleId="958">
    <w:name w:val="纯文本1"/>
    <w:basedOn w:val="899"/>
    <w:next w:val="958"/>
    <w:link w:val="899"/>
    <w:qFormat/>
    <w:rPr>
      <w:rFonts w:ascii="宋体" w:hAnsi="Courier New" w:eastAsia="楷体_GB2312"/>
      <w:sz w:val="26"/>
    </w:rPr>
  </w:style>
  <w:style w:type="character" w:styleId="959">
    <w:name w:val="font11"/>
    <w:basedOn w:val="903"/>
    <w:next w:val="959"/>
    <w:link w:val="899"/>
    <w:rPr>
      <w:rFonts w:hint="eastAsia" w:ascii="宋体" w:hAnsi="宋体" w:eastAsia="宋体" w:cs="宋体"/>
      <w:i w:val="0"/>
      <w:iCs w:val="0"/>
      <w:color w:val="000000"/>
      <w:sz w:val="22"/>
      <w:szCs w:val="22"/>
      <w:u w:val="none"/>
    </w:rPr>
  </w:style>
  <w:style w:type="character" w:styleId="960">
    <w:name w:val="font61"/>
    <w:basedOn w:val="903"/>
    <w:next w:val="960"/>
    <w:link w:val="899"/>
    <w:rPr>
      <w:rFonts w:ascii="Arial" w:hAnsi="Arial" w:cs="Arial"/>
      <w:i w:val="0"/>
      <w:iCs w:val="0"/>
      <w:color w:val="000000"/>
      <w:sz w:val="22"/>
      <w:szCs w:val="22"/>
      <w:u w:val="none"/>
    </w:rPr>
  </w:style>
  <w:style w:type="character" w:styleId="961">
    <w:name w:val="font71"/>
    <w:basedOn w:val="903"/>
    <w:next w:val="961"/>
    <w:link w:val="899"/>
    <w:rPr>
      <w:rFonts w:hint="eastAsia" w:ascii="宋体" w:hAnsi="宋体" w:eastAsia="宋体" w:cs="宋体"/>
      <w:i w:val="0"/>
      <w:iCs w:val="0"/>
      <w:color w:val="ff0000"/>
      <w:sz w:val="22"/>
      <w:szCs w:val="22"/>
      <w:u w:val="none"/>
    </w:rPr>
  </w:style>
  <w:style w:type="character" w:styleId="962">
    <w:name w:val="font81"/>
    <w:basedOn w:val="903"/>
    <w:next w:val="962"/>
    <w:link w:val="899"/>
    <w:rPr>
      <w:rFonts w:ascii="Calibri" w:hAnsi="Calibri" w:cs="Calibri"/>
      <w:i w:val="0"/>
      <w:iCs w:val="0"/>
      <w:color w:val="000000"/>
      <w:sz w:val="22"/>
      <w:szCs w:val="22"/>
      <w:u w:val="none"/>
    </w:rPr>
  </w:style>
  <w:style w:type="paragraph" w:styleId="963">
    <w:name w:val="p0"/>
    <w:basedOn w:val="899"/>
    <w:next w:val="963"/>
    <w:link w:val="899"/>
    <w:qFormat/>
    <w:rPr>
      <w:rFonts w:ascii="Times New Roman" w:hAnsi="Times New Roman"/>
      <w:szCs w:val="24"/>
    </w:rPr>
  </w:style>
  <w:style w:type="paragraph" w:styleId="964">
    <w:name w:val="纯文本3"/>
    <w:basedOn w:val="899"/>
    <w:next w:val="964"/>
    <w:link w:val="899"/>
    <w:qFormat/>
    <w:rPr>
      <w:rFonts w:ascii="宋体" w:hAnsi="Courier New" w:eastAsia="KaiTi_GB2312"/>
      <w:sz w:val="28"/>
      <w:szCs w:val="20"/>
    </w:rPr>
  </w:style>
  <w:style w:type="paragraph" w:styleId="965">
    <w:name w:val="纯文本11"/>
    <w:basedOn w:val="899"/>
    <w:next w:val="965"/>
    <w:link w:val="899"/>
    <w:qFormat/>
    <w:rPr>
      <w:rFonts w:ascii="宋体" w:hAnsi="Courier New" w:eastAsia="楷体_GB2312"/>
      <w:sz w:val="28"/>
      <w:szCs w:val="20"/>
    </w:rPr>
  </w:style>
  <w:style w:type="paragraph" w:styleId="966">
    <w:name w:val="正文文本缩进 311"/>
    <w:basedOn w:val="899"/>
    <w:next w:val="966"/>
    <w:link w:val="899"/>
    <w:uiPriority w:val="99"/>
    <w:qFormat/>
    <w:pPr>
      <w:ind w:firstLine="480"/>
      <w:spacing w:line="360" w:lineRule="auto"/>
      <w:widowControl/>
    </w:pPr>
    <w:rPr>
      <w:sz w:val="24"/>
    </w:rPr>
  </w:style>
  <w:style w:type="paragraph" w:styleId="967">
    <w:name w:val="标题 21"/>
    <w:basedOn w:val="899"/>
    <w:next w:val="899"/>
    <w:link w:val="899"/>
    <w:qFormat/>
    <w:pPr>
      <w:keepLines/>
      <w:keepNext/>
      <w:spacing w:before="260" w:after="260" w:line="413" w:lineRule="auto"/>
      <w:outlineLvl w:val="1"/>
    </w:pPr>
    <w:rPr>
      <w:rFonts w:ascii="Arial" w:hAnsi="Arial" w:eastAsia="黑体"/>
      <w:b/>
      <w:bCs/>
      <w:sz w:val="32"/>
      <w:szCs w:val="32"/>
    </w:rPr>
  </w:style>
  <w:style w:type="table" w:styleId="968">
    <w:name w:val="网格型2"/>
    <w:basedOn w:val="904"/>
    <w:next w:val="968"/>
    <w:link w:val="899"/>
    <w:uiPriority w:val="99"/>
    <w:qFormat/>
    <w:pPr>
      <w:jc w:val="both"/>
      <w:widowControl w:val="off"/>
    </w:pPr>
    <w:tblPr/>
  </w:style>
  <w:style w:type="paragraph" w:styleId="969">
    <w:name w:val="正文-标"/>
    <w:basedOn w:val="899"/>
    <w:next w:val="969"/>
    <w:link w:val="899"/>
    <w:qFormat/>
    <w:pPr>
      <w:ind w:firstLine="200"/>
      <w:spacing w:line="360" w:lineRule="auto"/>
    </w:pPr>
  </w:style>
  <w:style w:type="paragraph" w:styleId="970">
    <w:name w:val="Table Text"/>
    <w:basedOn w:val="899"/>
    <w:next w:val="970"/>
    <w:link w:val="899"/>
    <w:semiHidden/>
    <w:qFormat/>
    <w:rPr>
      <w:rFonts w:ascii="宋体" w:hAnsi="宋体" w:eastAsia="宋体" w:cs="宋体"/>
      <w:sz w:val="15"/>
      <w:szCs w:val="15"/>
      <w:lang w:val="en-US" w:eastAsia="en-US" w:bidi="ar-SA"/>
    </w:rPr>
  </w:style>
  <w:style w:type="table" w:styleId="971">
    <w:name w:val="Table Normal"/>
    <w:next w:val="971"/>
    <w:link w:val="899"/>
    <w:unhideWhenUsed/>
    <w:qFormat/>
    <w:tblPr/>
  </w:style>
  <w:style w:type="paragraph" w:styleId="972">
    <w:name w:val="正文文本 21"/>
    <w:basedOn w:val="899"/>
    <w:next w:val="972"/>
    <w:link w:val="899"/>
    <w:qFormat/>
    <w:pPr>
      <w:spacing w:after="120" w:line="480" w:lineRule="auto"/>
    </w:pPr>
  </w:style>
  <w:style w:type="paragraph" w:styleId="973">
    <w:name w:val="页脚1"/>
    <w:basedOn w:val="899"/>
    <w:next w:val="973"/>
    <w:link w:val="899"/>
    <w:qFormat/>
    <w:pPr>
      <w:jc w:val="left"/>
      <w:tabs>
        <w:tab w:val="center" w:pos="4153" w:leader="none"/>
        <w:tab w:val="right" w:pos="8306" w:leader="none"/>
      </w:tabs>
    </w:pPr>
    <w:rPr>
      <w:sz w:val="18"/>
      <w:szCs w:val="18"/>
    </w:rPr>
  </w:style>
  <w:style w:type="character" w:styleId="974">
    <w:name w:val="font31"/>
    <w:basedOn w:val="903"/>
    <w:next w:val="974"/>
    <w:link w:val="899"/>
    <w:qFormat/>
    <w:rPr>
      <w:rFonts w:ascii="等线" w:hAnsi="等线" w:eastAsia="等线" w:cs="等线"/>
      <w:color w:val="000000"/>
      <w:sz w:val="21"/>
      <w:szCs w:val="21"/>
      <w:u w:val="none"/>
    </w:rPr>
  </w:style>
  <w:style w:type="paragraph" w:styleId="975">
    <w:name w:val="正文缩进111"/>
    <w:basedOn w:val="899"/>
    <w:next w:val="899"/>
    <w:link w:val="899"/>
    <w:qFormat/>
    <w:pPr>
      <w:ind w:firstLine="420"/>
      <w:jc w:val="left"/>
    </w:pPr>
    <w:rPr>
      <w:rFonts w:ascii="Times New Roman" w:hAnsi="Times New Roman" w:eastAsia="楷体_GB2312"/>
      <w:sz w:val="24"/>
      <w:szCs w:val="20"/>
    </w:rPr>
  </w:style>
  <w:style w:type="character" w:styleId="976">
    <w:name w:val="font41"/>
    <w:basedOn w:val="903"/>
    <w:next w:val="976"/>
    <w:link w:val="899"/>
    <w:rPr>
      <w:rFonts w:hint="eastAsia" w:ascii="宋体" w:hAnsi="宋体" w:eastAsia="宋体" w:cs="宋体"/>
      <w:b/>
      <w:bCs/>
      <w:i w:val="0"/>
      <w:iCs w:val="0"/>
      <w:color w:val="ff0000"/>
      <w:sz w:val="32"/>
      <w:szCs w:val="32"/>
      <w:u w:val="none"/>
    </w:rPr>
  </w:style>
  <w:style w:type="character" w:styleId="977">
    <w:name w:val="font51"/>
    <w:basedOn w:val="903"/>
    <w:next w:val="977"/>
    <w:link w:val="899"/>
    <w:qFormat/>
    <w:rPr>
      <w:rFonts w:ascii="Times New Roman" w:hAnsi="Times New Roman" w:cs="Times New Roman"/>
      <w:color w:val="000000"/>
      <w:sz w:val="21"/>
      <w:szCs w:val="21"/>
      <w:u w:val="none"/>
    </w:rPr>
  </w:style>
  <w:style w:type="paragraph" w:styleId="978">
    <w:name w:val="纯文本5"/>
    <w:basedOn w:val="899"/>
    <w:next w:val="978"/>
    <w:link w:val="899"/>
    <w:qFormat/>
    <w:rPr>
      <w:rFonts w:ascii="宋体" w:hAnsi="Courier New" w:eastAsia="楷体_GB2312"/>
      <w:sz w:val="26"/>
    </w:rPr>
  </w:style>
  <w:style w:type="paragraph" w:styleId="979">
    <w:name w:val="正文_7"/>
    <w:next w:val="979"/>
    <w:link w:val="899"/>
    <w:qFormat/>
    <w:pPr>
      <w:jc w:val="both"/>
      <w:widowControl w:val="off"/>
    </w:pPr>
    <w:rPr>
      <w:rFonts w:ascii="Times New Roman" w:hAnsi="Times New Roman" w:eastAsia="宋体" w:cs="Times New Roman"/>
      <w:sz w:val="21"/>
      <w:szCs w:val="22"/>
      <w:lang w:val="en-US" w:eastAsia="zh-CN" w:bidi="ar-SA"/>
    </w:rPr>
  </w:style>
  <w:style w:type="paragraph" w:styleId="980">
    <w:name w:val="Char Char Char Char Char Char Char"/>
    <w:basedOn w:val="899"/>
    <w:next w:val="980"/>
    <w:link w:val="899"/>
    <w:qFormat/>
    <w:pPr>
      <w:ind w:left="405" w:hanging="405"/>
      <w:tabs>
        <w:tab w:val="left" w:pos="405" w:leader="none"/>
      </w:tabs>
    </w:pPr>
    <w:rPr>
      <w:szCs w:val="24"/>
    </w:rPr>
  </w:style>
  <w:style w:type="paragraph" w:styleId="981">
    <w:name w:val="纯文本8"/>
    <w:basedOn w:val="899"/>
    <w:next w:val="981"/>
    <w:link w:val="899"/>
    <w:qFormat/>
    <w:rPr>
      <w:rFonts w:hAnsi="Courier New" w:eastAsia="楷体_GB2312"/>
      <w:sz w:val="28"/>
    </w:r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4</cp:revision>
  <dcterms:created xsi:type="dcterms:W3CDTF">2025-05-18T16:19:00Z</dcterms:created>
  <dcterms:modified xsi:type="dcterms:W3CDTF">2026-07-30T02:47:23Z</dcterms:modified>
</cp:coreProperties>
</file>