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南京林业大学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多个物种的Pore-C测序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52600" cy="2133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67258" name=""/>
                        <pic:cNvPicPr>
                          <a:picLocks noChangeAspect="1"/>
                        </pic:cNvPicPr>
                        <pic:nvPr/>
                      </pic:nvPicPr>
                      <pic:blipFill>
                        <a:blip/>
                        <a:stretch/>
                      </pic:blipFill>
                      <pic:spPr bwMode="auto">
                        <a:xfrm>
                          <a:off x="0" y="0"/>
                          <a:ext cx="1752599" cy="2133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0pt;height:168.0pt;mso-wrap-distance-left:0.0pt;mso-wrap-distance-top:0.0pt;mso-wrap-distance-right:0.0pt;mso-wrap-distance-bottom:0.0pt;" stroked="false">
                <v:path textboxrect="0,0,0,0"/>
              </v:shape>
            </w:pict>
          </mc:Fallback>
        </mc:AlternateContent>
      </w:r>
      <w:r>
        <w:rPr>
          <w:rFonts w:ascii="SimSun" w:hAnsi="SimSun" w:eastAsia="SimSun" w:cs="SimSun"/>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项目编号：JSZC-320000-SNZX-G2026-0106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采购人：南京林业大学</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采购代理机构：南京苏宁工程咨询有限公司</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日期：二〇二六年七月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南京林业大学多个物种的Pore-C测序</w:t>
            </w:r>
            <w:r>
              <w:rPr>
                <w:rFonts w:ascii="SimSun" w:hAnsi="SimSun" w:eastAsia="SimSun" w:cs="SimSun"/>
                <w:color w:val="000000"/>
                <w:sz w:val="21"/>
              </w:rPr>
              <w:t xml:space="preserve">招标项目的潜在供应商应在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w:t>
            </w:r>
            <w:r>
              <w:rPr>
                <w:rFonts w:ascii="SimSun" w:hAnsi="SimSun" w:eastAsia="SimSun" w:cs="SimSun"/>
                <w:color w:val="000000"/>
                <w:sz w:val="21"/>
                <w:u w:val="single"/>
              </w:rPr>
              <w:t xml:space="preserve">2026-8-13 9：30</w:t>
            </w:r>
            <w:r>
              <w:rPr>
                <w:rFonts w:ascii="SimSun" w:hAnsi="SimSun" w:eastAsia="SimSun" w:cs="SimSun"/>
                <w:color w:val="000000"/>
                <w:sz w:val="21"/>
              </w:rPr>
              <w:t xml:space="preserve">（北京时间）前递交投标文件。</w:t>
            </w:r>
            <w:r/>
          </w:p>
        </w:tc>
      </w:tr>
    </w:tbl>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项目编号：JSZC-320000-SNZX-G2026-0106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项目名称：南京林业大学多个物种的Pore-C测序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预算金额：131.56万元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最高限价：131.56万元，投标报价超过最高限价的为无效投标。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采购需求：为研究裸子植物进化，进行多个物种的pore-c 测序；具体详见招标文件第四章；具体详见招标文件。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合同履行期限：自合同签订之日起，365个日历日内完成项目。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1.具有独立承担民事责任的能力（提供法人或者其他组织的营业执照等证明材料复印件加盖公章，自然人的身份证复印件加盖公章）；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或2025年度的审计报告复印件加盖公章或投标截止时间前六个月内（2026年02月至2026年07月）至少一个月的财务状况报告（至少包括资产负债表和利润表）复印件并加盖公章，或投标截止时间前六个月内（2026年02月至2026年07月）银行出具的资信证明复印件并加盖公章，或财政部门认可的专业担保机构出具的投标担保函复印件加盖公章，成立不满一个月的无须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3.具有履行合同所必需的设备和专业技术能力（根据项目需求提供履行合同所必需的设备和专业技术能力的声明函或证明材料）；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投标截止时间前六个月内（税款所属时期：2026年02月至2026年07月）至少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5.参加本次采购活动前三年内，在经营活动中没有重大违法记录（提供参加本次采购活动前3年内在经营活动中没有重大违法记录的书面声明）；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（2）为采购项目提供整体设计、规范编制或者项目管理、监理、检测等服务的供应商，不得再参加该采购项目的其他采购活动。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本项目按照采用以下第（4）种方式落实政府采购促进中小企业发展的要求：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（3）本项目通过以下第种方式预留部分采购份额采购中小企业服务：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①本项目要求供应商以联合体形式参加，企业合同金额应当达到的比例为%。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②本项目要求供应商进行合同分包，企业合同金额应当达到的比例为%。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（4）本项目为非预留份额的采购项目或采购包，执行价格扣除优惠政策，具体详见采购文件。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（三）本项目的特定资格要求：无。</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地点：江苏政府采购网</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方式：在“江苏政府采购网”自行免费下载采购文件</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 </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1"/>
        </w:rPr>
        <w:t xml:space="preserve">2026-8-13 9：30</w:t>
      </w:r>
      <w:r>
        <w:rPr>
          <w:rFonts w:ascii="SimSun" w:hAnsi="SimSun" w:eastAsia="SimSun" w:cs="SimSun"/>
          <w:color w:val="000000"/>
          <w:sz w:val="21"/>
        </w:rPr>
        <w:t xml:space="preserve">（北京时间）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地点：江苏省政府采购交易系统（以下简称“苏采云系统”）网上开标大厅</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（一）本项目是否接受进口产品：不接受。（本文件所称进口产品是指通过中国海关报验放进入中国境内且产自境外的产品）</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（二）本项目不允许转包、分包。</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420"/>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（四）发布媒介：本公告在江苏政府采购网（http：//www.ccgp-jiangsu.gov.cn/）公示发布，敬请各供应商关注；若有关本次采购存在变动或修改，敬请各供应商及时关注关于本项目的信息更正公告。</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（五）需要落实的政府采购政策：本项目若符合将落实政府采购促进中小企业发展；政府采购支持监狱企业发展；政府采购促进残疾人就业；政府采购鼓励采购节能环保产品等政策。</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（七）本项目标的所属行业：其他未列明行业。</w:t>
      </w:r>
      <w:r/>
    </w:p>
    <w:p>
      <w:pPr>
        <w:ind w:left="0" w:right="0" w:firstLine="420"/>
        <w:spacing w:before="0" w:after="0" w:line="85" w:lineRule="atLeast"/>
        <w:tabs>
          <w:tab w:val="left" w:pos="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地址：南京市龙蟠路新庄159号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联系人：陆老师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联系电话：025-85428503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名称：南京苏宁工程咨询有限公司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地址：南京市鼓楼区中山路99号1212室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联系人：聂丽丽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联系电话：025-84205129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项目联系人：聂丽丽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电话：025-84205129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供应商须知</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1.1《中华人民共和国政府采购法》、《中华人民共和国政府采购法实施条例》、《政府采购货物和服务招标投标管理办法》等有关法律、规章和规定等。</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2.1“采购人”“招标人”指依法进行政府采购的国家机关、事业单位、团体组织。</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2.2“使用单位”是指使用货物、服务的单位。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2.3“采购代理”是指集中采购机构和集中采购机构以外的采购代理机构。</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2.4“投标人”“供应商”是指向采购人提供货物、工程或者服务的法人、其他组织或者自然人。</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2.5“产品”指本招标文件中所述产品及相关服务。</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rPr>
          <w:rFonts w:ascii="SimSun" w:hAnsi="SimSun" w:eastAsia="SimSun" w:cs="SimSun"/>
          <w:b/>
          <w:color w:val="000000"/>
          <w:sz w:val="21"/>
        </w:rPr>
        <w:t xml:space="preserve">中小企业、监狱企业及残疾人福利性单位政策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3.1.1政府采购促进中小企业发展，在政府采购活动中，供应商提供的货物、工程或者服务符合下列情形的，享受中小企业扶持政策：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3.1.2在货物采购项目中，供应商提供的货物既有中小企业制造货物，也有大型企业制造货物的，不享受中小企业扶持政策。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3.1.3以联合体形式参加政府采购活动，联合体各方均为中小企业的，联合体视同中小企业。其中，联合体各方均为小微企业的，联合体视同小微企业。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3.1.4中小企业供应商参加政府采购活动，应当出具《中小企业声明函》（格式见后附件），否则不得享受相关中小企业扶持政策。</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第三章评标标准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第四章项目需求</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第五章合同主要条款及格式</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第六章投标文件格式及附件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4.2招标的最小单位是包。招标服务数量及技术要求中未分包的，供应商对要求提供的服务不得部分投标；招标服务数量及技术要求中已经分包的，应当以包为单位投标。</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4.3招标文件如果要求供应商提交备选投标方案的，供应商可以提交备选方案；否则，备选方案将被拒绝。</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5、招标文件的澄清、修改</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5.1招标代理对已发出的招标文件进行必要澄清或者修改的，将在招标文件要求提交投标文件截止时间前，在原招标公告媒体发布更正公告，该澄清或者修改的内容为招标文件的组成部分。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5.2招标代理在招标文件要求提交投标文件截止时间前，有权决定延长投标截止时间和开标时间，并在原采购信息发布媒体上发布变更公告。</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5.3供应商应在投标截止时间前关注原采购信息发布媒体上有关本招标项目有无变更公告。</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6.4投标文件应字迹清楚、内容齐全。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6.5投标文件应按照招标文件规定的顺序并编制目录，由于编排混乱导致投标文件被误读或查找不到，责任由供应商承担。</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7、联合体及分包：</w:t>
      </w:r>
      <w:r>
        <w:rPr>
          <w:rFonts w:ascii="SimSun" w:hAnsi="SimSun" w:eastAsia="SimSun" w:cs="SimSun"/>
          <w:color w:val="000000"/>
          <w:sz w:val="21"/>
        </w:rPr>
        <w:t xml:space="preserve">本项目不接受联合体投标；不接受分包、转包。</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8.1无论采购结果如何，供应商应自行承担所有与参加投标有关的费用。</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代理机构按照以下中标代理费收取比例收取采购代理服务费，单个采购项目代理服务费按照计价格[2002]1980号文件规定的基准费率50%收取，如单个项目按上述计价方式折扣后计算的招标代理服务费用不足3000元的，按3000元计。采购代理服务费由中标（成交）供应商支付。</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9、投标文件组成</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根据招标文件要求编制投标文件，投标文件应对招标文件提出的要求和条件作出实质性响应，并在《商务条款偏离表》、《技术条款偏离表》和《资格性和符合性检查响应对照表》等处逐条标明满足与否。</w:t>
      </w:r>
      <w:r/>
    </w:p>
    <w:p>
      <w:pPr>
        <w:ind w:left="0" w:right="0" w:firstLine="42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9.2投标文件由商务部分、技术部分、价格部分，以及其他部分组成。</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10、投标文件的商务部分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商务部分是证明供应商有资格参加投标和中标后有能力履行合同的文件，这些文件应能满足招标的要求，格式见招标文件第六章《投标文件格式及附件》包括但不限于投标申请及声明、法定代表人授权书、商务条款偏离表、供应商认为需要提供的其他商务资料等。</w:t>
      </w:r>
      <w:r>
        <w:rPr>
          <w:rFonts w:ascii="SimSun" w:hAnsi="SimSun" w:eastAsia="SimSun" w:cs="SimSun"/>
          <w:b/>
          <w:color w:val="000000"/>
          <w:sz w:val="21"/>
        </w:rPr>
        <w:t xml:space="preserve">（加“*”目录不得有缺失或无效，否则视为无效投标；具体详见第六章《投标文件格式及附件》）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11、投标文件的技术部分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11.1技术部分是证明供应商提供的产品或服务是合格的、并提供符合招标文件要求的证明文件，以及对所投的货物或服务的详细说明，这些文件可以是文字资料、图纸和数据等。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11.2若技术性能无特殊说明，则按国家有关部门最新颁布的标准及规范为准；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11.3提供的货物或服务如与招标文件要求有不符之处，应说明其差别之所在，并在《技术条款偏离表》中逐条予以说明。</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文件应按照招标文件要求提供技术资料、文件和有关证明，格式见招标文件第六章《投标文件格式及附件》包括但不限于：技术说明与服务方案、技术条款偏离表、供应商认为需要提供的其他技术资料等。</w:t>
      </w:r>
      <w:r>
        <w:rPr>
          <w:rFonts w:ascii="SimSun" w:hAnsi="SimSun" w:eastAsia="SimSun" w:cs="SimSun"/>
          <w:b/>
          <w:color w:val="000000"/>
          <w:sz w:val="21"/>
        </w:rPr>
        <w:t xml:space="preserve">（加“*”目录不得有缺失或无效，否则视为无效投标；具体详见第六章《投标文件格式及附件》）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12、投标文件的价格部分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12.1价格部分是对投标货物或服务价格构成的说明，每一项产品或服务仅接受一个价格，</w:t>
      </w:r>
      <w:r>
        <w:rPr>
          <w:rFonts w:ascii="SimSun" w:hAnsi="SimSun" w:eastAsia="SimSun" w:cs="SimSun"/>
          <w:b/>
          <w:color w:val="000000"/>
          <w:sz w:val="21"/>
        </w:rPr>
        <w:t xml:space="preserve">任何有选择的报价将不予接受，将作为无效投标文件处理</w:t>
      </w:r>
      <w:r>
        <w:rPr>
          <w:rFonts w:ascii="SimSun" w:hAnsi="SimSun" w:eastAsia="SimSun" w:cs="SimSun"/>
          <w:color w:val="000000"/>
          <w:sz w:val="21"/>
        </w:rPr>
        <w:t xml:space="preserve">；格式见招标文件第六章《投标文件格式及附件》包括但不限于：《开标一览表》等。</w:t>
      </w:r>
      <w:r>
        <w:rPr>
          <w:rFonts w:ascii="SimSun" w:hAnsi="SimSun" w:eastAsia="SimSun" w:cs="SimSun"/>
          <w:b/>
          <w:color w:val="000000"/>
          <w:sz w:val="21"/>
        </w:rPr>
        <w:t xml:space="preserve">（加“*”目录不得有缺失或无效，否则视为无效投标；具体详见第六章《投标文件格式及附件》）</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供应商的让利行为。供应商估算错误的风险一律由供应商自行承担。</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12.3供应商的任何错漏、优惠、竞争性报价不得作为减轻责任、减少服务、增加收费、降低质量的理由。</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13、投标文件的其他部分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13.1其他部分由供应商根据编制投标文件需要提供的其他相关文件。</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14、投标保证金：无</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15.1自开标之日起</w:t>
      </w:r>
      <w:r>
        <w:rPr>
          <w:rFonts w:ascii="SimSun" w:hAnsi="SimSun" w:eastAsia="SimSun" w:cs="SimSun"/>
          <w:b/>
          <w:color w:val="000000"/>
          <w:sz w:val="21"/>
        </w:rPr>
        <w:t xml:space="preserve">90天</w:t>
      </w:r>
      <w:r>
        <w:rPr>
          <w:rFonts w:ascii="SimSun" w:hAnsi="SimSun" w:eastAsia="SimSun" w:cs="SimSun"/>
          <w:color w:val="000000"/>
          <w:sz w:val="21"/>
        </w:rPr>
        <w:t xml:space="preserve">内投标有效。</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16、投标文件签署</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16.1投标文件须经法定代表人或经正式授权并对供应商有约束力的委托代理人签字和加盖公章。本招标文件所表述（指定）的公章是指法定名称章，不包括合同专用章、业务专用章等印章。</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16.2除供应商对错处做必要修改外，投标文件不得行间插字、涂改或增删。如有修改错漏处，必须由投标文件签署人签字或盖章。</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17.1供应商应当按照《操作手册》规定，在采购公告规定的提交投标文件截止时间前制作并上传电子投标文件。</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17.2供应商应充分考虑网络环境、网络带宽等因素可能产生的影响，如因供应商自身原因造成的电子投标文件上传不成功的，按无效响应处理。</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18、有下列情形之一的投标文件将拒收：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18.1提交投标文件截止时间后上传的任何投标文件将被拒绝。</w:t>
      </w:r>
      <w:r/>
    </w:p>
    <w:p>
      <w:pPr>
        <w:ind w:left="0" w:right="0" w:firstLine="422"/>
        <w:spacing w:before="0" w:after="0" w:line="85" w:lineRule="atLeast"/>
        <w:tabs>
          <w:tab w:val="left" w:pos="84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19.1供应商可在提交投标文件截止时间前，撤回其电子投标文件，具体操作方法见《操作手册》。供应商撤回电子投标文件，则认为其不再参与本项目采购活动。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19.2.1供应商可在提交投标文件截止时间前，对其电子投标文件进行修改，具体操作方法见《操作手册》。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19.2.2提交投标文件截止时间之后，供应商不得对其电子投标文件作任何修改。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19.3在提交投标文件截止时间至招标文件中规定的投标有效期满之间的这段时间内，供应商不得撤回其投标文件。</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四、解密、评标与确定中标人</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20、解密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应当按照《操作手册》规定，在苏采云系统规定的时间内对投标文件进行解密。本项目采购文件规定的供应商按时在线解密方式：开启后，在规定时间内通过“苏采云”系统（使用“CA数字证书”）解密；如因供应商自身原因造成的电子投标文件未在规定时间内解密成功的，按照无效响应处理。</w:t>
      </w:r>
      <w:r>
        <w:rPr>
          <w:rFonts w:ascii="SimSun" w:hAnsi="SimSun" w:eastAsia="SimSun" w:cs="SimSun"/>
          <w:b/>
          <w:color w:val="000000"/>
          <w:sz w:val="21"/>
        </w:rPr>
        <w:t xml:space="preserve">供应商在开、评标全过程中应保持通讯畅通，并安排专人等候代理机构或评标委员会联系。</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20.3未宣读的投标价格和招标文件允许提供的备选投标方案等实质性内容，评标时不予承认。</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20.4开标时，《开标一览表》内容与投标文件中相应内容不一致的，以《开标一览表》为准；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20.5投标文件、《开标一览表》中报价的大写金额与小写金额不一致的，以大写金额为准；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20.6单价金额小数点或者百分比有明显错位的，以《开标一览表》的总价为准，并修改单价（如有）；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20.7总价金额与按单价汇总金额不一致的，以单价金额计算结果为准（如有）；</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20.8同时出现 20.4-20.7 中两种以上不一致的，按照 20.4-20.7 的顺序修正。修正后的报价由法定代表人（或其授权的代表签字）或加盖公章确认后产生约束力，供应商不确认的，投标无效。</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20.9对不同文字文本投标文件的解释发生异议的，以中文文本为准。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20.10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21.1评标组织</w:t>
      </w:r>
      <w:r/>
    </w:p>
    <w:p>
      <w:pPr>
        <w:ind w:left="0" w:right="0" w:firstLine="42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21.1.1评标工作由招标代理负责组织，具体评标事务由依法组建的评标委员会负责，并独立履行下列职责：</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（1）审查、评价投标文件是否符合招标文件的商务、技术等实质性要求；</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（2）要求供应商对投标文件有关事项作出澄清或者说明；</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（3）对投标文件进行比较和评价；</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（4）确定中标候选人名单，以及根据采购人委托直接确定中标人；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（5）向采购人、采购代理机构或者有关部门报告评标中发现的违法行为。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21.1.2评标委员会由采购人代表和有关技术、经济等方面的专家组成，独立开展评审工作。</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21.2评标程序</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21.2.1投标文件的资格审查。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21.2.1.1采购人代表将依法对供应商的资格进行审查。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21.2.1.2资格审查：依据法律法规和招标文件的规定，对投标文件中的资格证明文件进行审查，以确定供应商是否具备投标资格。</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21.2.1.3在进行资格性审查的同时，将在“信用中国”网站（</w:t>
      </w:r>
      <w:hyperlink r:id="rId8" w:tooltip="http://www.creditchina.gov.cn/" w:history="1">
        <w:r>
          <w:rPr>
            <w:rStyle w:val="794"/>
            <w:rFonts w:ascii="SimSun" w:hAnsi="SimSun" w:eastAsia="SimSun" w:cs="SimSun"/>
            <w:color w:val="000000"/>
            <w:sz w:val="21"/>
            <w:u w:val="single"/>
          </w:rPr>
          <w:t xml:space="preserve">www.creditchina.gov.cn</w:t>
        </w:r>
      </w:hyperlink>
      <w:r>
        <w:rPr>
          <w:rFonts w:ascii="SimSun" w:hAnsi="SimSun" w:eastAsia="SimSun" w:cs="SimSun"/>
          <w:color w:val="000000"/>
          <w:sz w:val="21"/>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21.2.1.4投标文件有下列情况之一的，在资格审查时按照无效投标处理：</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（1）不具备招标文件中规定的资格条件的；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（2）供应商被“信用中国”网站（www.creditchina.gov.cn）、“中国政府采购网”（www.ccgp.gov.cn）列入失信被执行人、重大税收违法失信主体、政府采购严重违法失信行为记录名单的。</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21.2.2投标文件的符合性审查。</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21.2.2.1评标委员会将依据法律法规和招标文件的规定，对投标文件的有效性、完整性和对招标文件的响应程度进行审查，以确定是否对招标文件的实质性要求作出响应。</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21.2.2.2实质性要求是指本招标文件中用带星号（“★”或“*”）的商务和技术要求。</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21.2.2.3如果投标文件实质上没有响应招标文件的要求，评标委员会将予以拒绝，供应商不得通过修改或撤销不符合要求的偏离或保留而使其投标成为实质性响应的投标。</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21.2.2.4投标文件有下列情况之一的，在符合性审查时按照</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（1）未按照招标文件规定要求签署、盖章的；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（2）报价超过招标文件中规定的预算金额或者最高限价的；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（3）不同供应商的投标文件由同一单位或者个人编制；</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（4）不同供应商委托同一单位或者个人办理投标事宜；</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（5）不同供应商的投标文件载明的项目管理成员或者联系人员为同一人；</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（6）不同供应商的投标文件异常一致或者投标报价呈规律性差异；</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（7）不同供应商的负责人为同一人或者存在控股、管理关系的；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（8）实质性要求未响应招标文件要求的；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（9）投标文件含有采购人不能接受的附加条件的；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（10）评标委员会认为供应商的报价明显低于其他通过符合性审查供应商的报价，有可能影响产品质量或者不能诚信履约的，未在评标现场合理的时间内提供书面说明或相关证明材料，不能证明其报价合理的；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（11）不符合法律、法规或招标文件规定的其他无效情形；</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（12）供应商在苏采云系统规定的时间内未成功解密电子响应文件。</w:t>
      </w:r>
      <w:r/>
    </w:p>
    <w:p>
      <w:pPr>
        <w:ind w:left="0" w:right="0" w:firstLine="42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21.2.2.5在评标期间，出现符合专业条件的供应商或者对招标文件作出实质性响应的供应商不足三家情形的，比照 20.10 款执行。</w:t>
      </w:r>
      <w:r/>
    </w:p>
    <w:p>
      <w:pPr>
        <w:ind w:left="0" w:right="0" w:firstLine="420"/>
        <w:spacing w:before="0" w:after="0" w:line="85" w:lineRule="atLeast"/>
        <w:tabs>
          <w:tab w:val="left" w:pos="13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21.2.2.6有下列情形之一的予以</w:t>
      </w:r>
      <w:r>
        <w:rPr>
          <w:rFonts w:ascii="SimSun" w:hAnsi="SimSun" w:eastAsia="SimSun" w:cs="SimSun"/>
          <w:b/>
          <w:color w:val="000000"/>
          <w:sz w:val="21"/>
        </w:rPr>
        <w:t xml:space="preserve">废标</w:t>
      </w:r>
      <w:r>
        <w:rPr>
          <w:rFonts w:ascii="SimSun" w:hAnsi="SimSun" w:eastAsia="SimSun" w:cs="SimSun"/>
          <w:color w:val="000000"/>
          <w:sz w:val="21"/>
        </w:rPr>
        <w:t xml:space="preserve">，同时将废标理由通知所有供应商：</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（1）除满足21.2.2.5规定的情形外，符合专业条件的供应商或者对招标文件作实质性响应的供应商不足三家的；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（3）供应商的报价均高于采购预算或最高限价的，采购人不能支付的；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（5）招标文件存在歧义、重大缺陷，或者招标文件内容违反国家有关强制性规定的；</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（6）预留份额的采购项目或采购包，通过发布公告方式邀请供应商后，符合资格条件的中小企业数量不足3家的</w:t>
      </w:r>
      <w:r/>
    </w:p>
    <w:p>
      <w:pPr>
        <w:ind w:left="0" w:right="0" w:firstLine="422"/>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21.2.3投标文件的进一步评审。</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21.2.3.1评标委员会将对确定为实质性响应的投标文件进行进一步评审，看其是否有计算上或累加上的算术错误，修正错误的原则如下：</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（1）如果用数字表示的金额和用文字表示的金额不一致时，应以文字表示的金额为准进行修正；</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（2）当单价与数量的乘积和总价不一致时，以单价为准进行修正。只有在评标委员会认为单价有明显的小数点错误时，才能以标出的总价为准，并修改单价。</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21.2.3.2评标委员会将按上述修正错误的方法调整投标文件中的投标价，调整后的价格应对供应商具有约束力。如果供应商不接受修正后的价格，则其投标将被拒绝。</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21.2.3.3评标委员会将允许修正投标文件中不构成重大偏离的、微小的、非正规的、不一致的或不规则的地方，但这些修改不能影响任何供应商相应的名次排列。</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21.2.3.4澄清有关问题。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接到评标委员会澄清、说明和补正要求的供应商如未按规定或未在规定时间内做出澄清、说明和补正，其风险由供应商自行承担。评标委员会并非对每个供应商都做澄清要求。</w:t>
      </w:r>
      <w:r/>
    </w:p>
    <w:p>
      <w:pPr>
        <w:ind w:left="0" w:right="0" w:firstLine="420"/>
        <w:spacing w:before="0" w:after="0" w:line="85" w:lineRule="atLeast"/>
        <w:tabs>
          <w:tab w:val="left" w:pos="13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21.2.3.5比较与评价。按照招标文件中规定的评标方法和标准，对资格性检查和符合性检查合格的投标文件进行商务和技术评估，综合比较与评价。</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21.2.4评审过程中出现下列情形之一的，评审委员会应当启动异常低价投标（响应）审查程序：</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（3）投标（响应）报价低于采购项目最高限价50%的，即投标（响应）报价&lt;采购项目最高限价×50%；</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（4）评审委员会认定的供应商报价过低、有可能影响产品质量或者不能诚信履约的其他情形。</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ascii="SimSun" w:hAnsi="SimSun" w:eastAsia="SimSun" w:cs="SimSun"/>
          <w:color w:val="000000"/>
          <w:sz w:val="21"/>
        </w:rPr>
        <w:t xml:space="preserve">员会应当将其作为无效投标（响应）处理。审查相关情况应当在评审报告中进行记录。</w:t>
      </w:r>
      <w:r/>
    </w:p>
    <w:p>
      <w:pPr>
        <w:ind w:left="0" w:right="0" w:firstLine="422"/>
        <w:spacing w:before="0" w:after="0" w:line="85" w:lineRule="atLeast"/>
        <w:tabs>
          <w:tab w:val="left" w:pos="1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21.3评标方法和标准</w:t>
      </w:r>
      <w:r/>
    </w:p>
    <w:p>
      <w:pPr>
        <w:ind w:left="0" w:right="0" w:firstLine="420"/>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21.3.1</w:t>
      </w:r>
      <w:r>
        <w:rPr>
          <w:rFonts w:ascii="SimSun" w:hAnsi="SimSun" w:eastAsia="SimSun" w:cs="SimSun"/>
          <w:b/>
          <w:color w:val="000000"/>
          <w:sz w:val="21"/>
        </w:rPr>
        <w:t xml:space="preserve">采用综合评分法。</w:t>
      </w:r>
      <w:r>
        <w:rPr>
          <w:rFonts w:ascii="SimSun" w:hAnsi="SimSun" w:eastAsia="SimSun" w:cs="SimSun"/>
          <w:color w:val="000000"/>
          <w:sz w:val="21"/>
        </w:rPr>
        <w:t xml:space="preserve">即在投标文件满足招标文件全部实质性要求前提下，且按照评审因素的量化指标评审得分最高的供应商为中标人的评标方法。</w:t>
      </w:r>
      <w:r/>
    </w:p>
    <w:p>
      <w:pPr>
        <w:ind w:left="0" w:right="0" w:firstLine="420"/>
        <w:spacing w:before="0" w:after="0" w:line="85" w:lineRule="atLeast"/>
        <w:tabs>
          <w:tab w:val="left" w:pos="12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21.3.2评分标准详见文件第三章。</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22.2中标人确定之日起2个工作日内，将在指定的发布媒体上公告，中标人可在中标结果公告届满之日起三十日内，登录苏采云系统下载中标通知书。</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22.3中标通知书对采购人和中标人具有同等法律效力。</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22.4中标通知书发出后，中标人无正当理由不与采购人签订合同的，应当依法承担法律责任。</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22.5招标代理和评标委员会对未中标的供应商不作未中标原因的解释。</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23、编写评标报告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23.1评标委员会根据全体评标成员签字的原始评标记录和评标结果编写评标报告。</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24、评标过程的保密性</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24.1招标代理将采取必要措施，保证评标在严格保密的情况下进行。</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24.2任何单位和个人不得非法干预、影响评标办法的确定，以及评标过程和结果。</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24.3凡是与审查、澄清、评价和比较投标的有关资料等，均不向供应商及与评标无关的其他人员透露。</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25、签订合同</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25.2采购人不得向中标人提出任何不合理的要求作为签订合同的条件，不得与中标人私下订立背离合同实质性内容的协议。</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2"/>
        <w:spacing w:before="0" w:after="0" w:line="85"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六、询问、质疑、投诉和诚实信用</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26.1供应商对招标活动事项有疑问的，可以向招标代理或采购人提出询问，招标代理或采购人将在两个工作日内作出答复，但答复的内容不涉及商业秘密</w:t>
      </w:r>
      <w:r>
        <w:rPr>
          <w:rFonts w:ascii="SimSun" w:hAnsi="SimSun" w:eastAsia="SimSun" w:cs="SimSun"/>
          <w:b/>
          <w:color w:val="000000"/>
          <w:sz w:val="21"/>
        </w:rPr>
        <w:t xml:space="preserve">。</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27.1供应商认为采购文件、采购过程和中标结果使自己的合法权益受到损害的，可以在知道或者应当知道其权益受到损害之日起七个工作日内，将质疑文件原件以书面形式送达招标代理。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27.2供应商质疑行为应符合财政部94号令相关规定，未参加投标活动的供应商或在投标活动中自身权益未受到损害的供应商所提出的质疑不予受理。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27.3上述应知其权益受到损害之日是指：</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（1）对招标文件提出质疑的，自收到招标文件之日或者招标文件公告期限届满之日起计算；</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（3）对中标结果提出质疑的，自中标结果公告期限届满之日起计算。</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27.4质疑供应商在法定质疑期内应当一次性提出针对同一招标环节的质疑事项。供应商如在法定期限内对同一采购程序环节提出多次质疑的，采购人或采购代理机构将只对供应商第一次质疑作出答复。</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27.5代理机构在收到供应商的质疑后将及时组织调查核实，在七个工作日内作出答复，答复的内容不涉及商业秘密。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27.6代理机构遵循“谁过错谁负担”的原则，有过错的一方承担调查论证费用。</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28.1质疑供应商对招标代理的答复不满意，或招标代理未在规定的时间内作出答复的，可以在答复期满后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向采购项目采购部门投诉。</w:t>
      </w:r>
      <w:r/>
    </w:p>
    <w:p>
      <w:pPr>
        <w:ind w:left="0" w:right="0" w:firstLine="422"/>
        <w:spacing w:before="0" w:after="0" w:line="85" w:lineRule="atLeast"/>
        <w:tabs>
          <w:tab w:val="left" w:pos="9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29、诚实信用</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29.1供应商之间不得相互串通投标报价，不得妨碍其他供应商的公平竞争，不得损害采购人和其他供应商的合法权益。</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不得以向招标代理工作人员、评标委员会成员行贿或者采取其他不正当手段谋取中标。经查实供应商有此行为的，政府采购管理部门将供应商列入不良行为记录名单，按照《中华人民共和国政府采购法》有关规定处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相关部门将其列入不良行为记录名单，并依法予以处罚。</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29.4供应商不得虚假承诺，否则，按照提供虚假材料谋取中标成交处理。</w:t>
      </w:r>
      <w:r/>
    </w:p>
    <w:p>
      <w:pPr>
        <w:ind w:left="0" w:right="0" w:firstLine="420"/>
        <w:spacing w:before="0" w:after="0" w:line="85" w:lineRule="atLeast"/>
        <w:tabs>
          <w:tab w:val="left" w:pos="1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29.5供应商应自觉遵守开标、评标纪律，扰乱开标评标现场秩序的，属于失信行为，失信行为将被记入供应商诚信档案。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评标标准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3"/>
        <w:gridCol w:w="674"/>
        <w:gridCol w:w="6920"/>
        <w:gridCol w:w="586"/>
      </w:tblGrid>
      <w:tr>
        <w:trP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12"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12" w:space="0"/>
              <w:left w:val="single" w:color="000000" w:sz="8" w:space="0"/>
              <w:bottom w:val="none" w:color="000000" w:sz="4" w:space="0"/>
              <w:right w:val="none" w:color="000000" w:sz="4" w:space="0"/>
            </w:tcBorders>
            <w:tcMar>
              <w:left w:w="20" w:type="dxa"/>
              <w:top w:w="20" w:type="dxa"/>
              <w:right w:w="20" w:type="dxa"/>
              <w:bottom w:w="20" w:type="dxa"/>
            </w:tcMar>
            <w:tcW w:w="6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价格分采用低价优先法计算，即满足招标文件要求且投标评审报价最低的为评标基准价，其价格分为满分。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其他供应商的价格分统一按照下列公式计算（小数点保留后两位）：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投标评审价得分=（评标基准价/投标评审报价）×20分。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自2021年1月（含）（以合同签订时间为准）至今，承担过且已完成过类似业绩，每提供1个业绩得3分，最高得6分。（须提供合同（含首页、合同内容关键页和合同盖章页）复印件加盖公章；提供的证明材料需反映或体现相关数据内容，否则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样本提取合格率</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投标人提供的有效业绩中样本提取合格率≥98％的得1分/个；样本提取合格率≥95％的得0.5分/个；业绩合格率不满足要求不得分，最高得3分。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（提供抽提质检报告复印件加盖供应商公章）</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拟投入该项目的仪器</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供应商需具有三代高通量测序平台来保证交付周期，具体型号：Nanopore PromethION 24或Nanopore PromethION 48；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具有3台（含）以上Nanopore PromethION 24或Nanopore PromethION 48测序平台的，得6分；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具有2台Nanopore PromethION 24或Nanopore PromethION 48测序平台的，得4分；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具有1台Nanopore PromethION 24或Nanopore PromethION 48测序平台的，得2分；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（提供供应商或其分公司签订的购买或租赁协议或订购邮件、设备列表、设备序列号，三者缺一不可；提供的证明材料需反映或体现相关数据内容，否则视为未提供）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提取合格率承诺</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具备针对本项目的实验能力，承诺样本提取合格率≥98％的得4分，承诺样本提取合格率≥95％的得2分，其余不得分。（提供可达本项指标的承诺函并加公章，格式自拟；承诺函需清晰体现具体合格率；未提供承诺函或承诺函内容表述不清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DNA提取承诺</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供应商需承诺对于DNA提取不合格样本，免费提取至合格为止，得3分，否则不得分。（提供承诺函并加公章，格式自拟；未提供承诺函或承诺函内容表述不清的，视为未提供）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交付数据承诺</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供应商承诺从提取质量合格后3个月内交付原始数据的，得6分；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承诺从提取质量合格后4个月内交付原始数据的，得4分；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承诺从提取质量合格后5个月内交付原始数据的，得2分。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（提供承诺函并加公章，格式自拟；承诺函需清晰体现提取质量合格后交付原始数据的时长，未提供承诺函或承诺函内容表述不清的，视为未提供）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科研综合实力</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供应商具有植物样品pore-c项目经验：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具有20次（含）以上植物Pore-C测序项目经验的，得6分；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具有10次（含）以上植物Pore-C测序项目经验的，得4分；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具有5次（含）以上植物Pore-C测序项目经验的，得2分；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（提供植物样品pore-c项目经验的证明材料并加盖公章；提供的证明材料需反映或体现相关数据内容，否则视为未提供）</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single" w:color="000000" w:sz="8"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6</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供应商拟投入本项目的服务人数5人（含）以上的得6分；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拟投入本项目的服务人数3-4人的得4分；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拟投入本项目的服务人数1-2人的得2分；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团队人员清单、拟投入人员有效身份证（正反面）、社保机构出具的近半年（2026年1月至2026年6月）任意一个月供应商为上述人员缴纳的养老保险缴纳证明材料（须加盖社保机构公章或社保中心参保缴费证明电子专用章，具有可验证的二维码或验证码；在高等院校、科研机构、军事管理等从事工程设计、施工的技术人员不能提供养老保险缴纳证明的，由所在单位上级人事主管部门提供相应的证明材料）；团队人员清单格式自拟，上述证明材料三者缺一不可）</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方案内容完整详实，全部贴合本项目采购需求，技术路线、实施流程、质量管控、保障措施均严格遵循行业现行标准规范；整体方案逻辑清晰、项目实施进度计划节点划分清晰的，得10分；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全面，核心内容匹配本项目实施需求，主要技术流程、管控措施符合相关标准规范，整体具备合理性与实操条件；实施工作计划任务节点完整，时序安排、资源配置较为合理，仅存在少量非核心内容细节缺失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项目实施方案仅覆盖本项目基础实施内容，核心技术框架、实施流程基本满足项目需求，部分环节标准、保障措施描述简略；实施工作计划仅列明基础工作节点，时序、人员、设备资源安排较为笼统，细节不完善，存在多处需要补充完善的内容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测试管理方案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针对本项目提出的项目测试管理方案，包括项目实施管理、系统测评质量管理等内容，由评委综合评审：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架构科学合理，完整覆盖项目实施全流程管理、系统测评全流程质量管理全部要求；测试流程规范完备、质量管控节点齐全、风险防控及整改机制完善，方案专业性高，完全贴合本项目实际业务需求，落地可操作性极强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方案整体架构较为科学，涵盖项目实施管理、系统测评质量管理主要内容，核心管理流程、质量管控措施基本齐全；方案具备一定专业性，整体贴合本项目需求，具备较好可操作性的，得3分；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方案逻辑混乱、架构缺乏合理性，项目实施管理、系统测评质量管理多项关键管控内容缺失；测试与质量管控措施表述空泛，专业支撑不足，与本项目实际需求契合度低，难以直接落地实施的，得1分；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样品取样运输保障方案</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根据供应商提供的样品取样运输保障方案进行综合评分。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取样运输保障方案完整列明自有或合作运力、专业操作人员、标准化取样流程、样品防护包装、温控/避光/防震运输措施、运输时效管控计划等突发情况应急处置预案，各项保障措施细化可落地，履约承诺清晰完整、权责明确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样品取样运输保障方案，覆盖取样、运输基础流程，具备基础运力、防护、时效保障措施及对应履约承诺，整体方案具备可实施性；但内容描述偏简略，缺少专项应急处置、全过程管控等细化举措的，得7分；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仅简要罗列样品取样运输相关内容，服务保障能力说明、运输管控措施、履约承诺表述笼统简短，关键流程、风险应对内容缺失，方案支撑力度较弱的，得4分；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鉴定测试</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根据测试全流程方案开展评审，重点核查流程完整度、步骤详实程度、实施合理性、落地可行性、各环节与现行相关技术规程契合度、对本项目实际需求匹配程度进行综合评审。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测试流程各工序步骤划分清晰、逻辑连贯；全流程操作要求、实施手段、管控要点、判定标准完备；各环节严格匹配对应项目技术规程要求的得10分；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测试流程内容较为详实，主要实施环节无缺失；整体流程逻辑通顺，大部分环节符合相关技术规程，实施具备可行性的，得7分；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测试流程内容存在缺项、关键环节描述不完整；部分操作环节与相关技术规程存在偏差，实施保障措施不足，整体可行性一般；仅能基本覆盖项目基础工作，勉强满足最低项目需求的，得4分；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0"/>
        </w:trPr>
        <w:tc>
          <w:tcPr>
            <w:tcBorders>
              <w:top w:val="single" w:color="000000" w:sz="8" w:space="0"/>
              <w:left w:val="single" w:color="000000" w:sz="12" w:space="0"/>
              <w:bottom w:val="none" w:color="000000" w:sz="4" w:space="0"/>
              <w:right w:val="none" w:color="000000" w:sz="4" w:space="0"/>
            </w:tcBorders>
            <w:tcMar>
              <w:left w:w="20" w:type="dxa"/>
              <w:top w:w="20" w:type="dxa"/>
              <w:right w:w="20" w:type="dxa"/>
              <w:bottom w:w="2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根据供应商针对本项目检测分析技术梳理的重点、难点内容，以及对应解决对策、应急处置办法进行综合评审：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精准识别本项目检测分析全过程核心重点与关键技术难点，问题剖析贴合项目实际；提出的解决对策、防控手段、处置方案针对性极强，技术逻辑严谨、科学合规，措施具体详实、落地可行，可全面规避检测技术风险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能够梳理检测分析主要技术重难点，核心问题识别无明显偏差；配套对策具备基本技术逻辑，整体方向可行、存在少量细节优化空间，科学性、合理性尚可的，得3分；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检测分析重难点识别存在缺漏、偏差，未能抓住关键技术痛点；提出的对策措施针对性不足、技术逻辑薄弱，落地可行性低，科学性、合理性不足的，得1分；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
        </w:trPr>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117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67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none" w:color="000000" w:sz="4" w:space="0"/>
              <w:bottom w:val="none" w:color="000000" w:sz="4" w:space="0"/>
              <w:right w:val="none" w:color="000000" w:sz="4" w:space="0"/>
            </w:tcBorders>
            <w:tcMar>
              <w:left w:w="20" w:type="dxa"/>
              <w:top w:w="20" w:type="dxa"/>
              <w:right w:w="20" w:type="dxa"/>
              <w:bottom w:w="20" w:type="dxa"/>
            </w:tcMar>
            <w:tcW w:w="69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58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1.所有认证、证明和业绩均以有效清晰的证明文件为依据。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2.1对于未预留份额专门面向中小企业采购的采购项目或预留份额项目中的非预留部分采购包，给予小微企业报价10%的扣除，用扣除后的价格参加评审。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2.2中小微企业在投标文件中提供签署的《中小企业声明函》。未按采购文件的规定在投标文件中提供《中小企业声明函》的，不享受促进中小微企业发展的相关政府采购政策。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填报“中小企业声明函”需严格按“工信部联企业〔2011〕300号通知”中的《中小企业划型标准规定》进行。②若供应商提供的“中小企业声明函”（见投标文件格式及附件）为虚假声明则视同提供虚假材料，按“政府采购法”相关规定处理并报请政府监管部门给予行政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3.1本项目对监狱和戒毒企业，给予10%的价格优惠，用优惠后的价格参与评审。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4.1本项目对残疾人福利性单位，给予10%的价格优惠，用优惠后的价格参与评审。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符合规定条件的残疾人福利性单位在参加磋商时，应当提供《残疾人福利性单位声明函》（见附件），并对声明的真实性负责。供应商提供的《残疾人福利性单位声明函》与事实不符的，依照《政府采购法》第七十七条第一款的规定追究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7.本项目所属行业：</w:t>
      </w:r>
      <w:r>
        <w:rPr>
          <w:rFonts w:ascii="SimSun" w:hAnsi="SimSun" w:eastAsia="SimSun" w:cs="SimSun"/>
          <w:b/>
          <w:color w:val="000000"/>
          <w:sz w:val="21"/>
        </w:rPr>
        <w:t xml:space="preserve">其他未列明行业。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项目需求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1、基于三代纳米孔测序技术平台，完成143个植物样本固定、交联、细胞核抽提、酶切、质检、Pore-C文库构建，采用单分子实时纳米孔测序共计需要143张芯片完成测序。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2、测序要求使用：Nanopore PromethION24/48平台,R10芯片；Q值≥20（中位值）；平均每张芯片raw data数据量≥60G。</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1、数据交付要求：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（1）合同有效期内，采购人按需求分批次向中标供应商提供样本，中标供应商收到样品，质检合格后，开展技术服务，在约定交付周期内完成数据产出，并进行数据质控后完成数据交付。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（2）结题报告：对数据产出统计及测序数据的成分和质量评估，出具相应结题报告。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三、服务标准和要求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1、送样要求：其中40张芯片材料由招标方邮寄到供应商境外实验室（含港澳台）（完成40张芯片 Pore-c测序），供应商负责后续的所有实验过程并按招标方要求地点交付数据。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路线：将空间上靠近但线性基因组上相距很远的DNA片段通过化学交联“固定”在一起，再用限制性内切酶切割、连接形成嵌合片段，构建pore-c测序文库，通过单分子实时纳米孔测序技术一次性捕获多个远端DNA片段的连接关系。高效、更完整地解析染色质互作网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3、交联、提取、酶切：对组织样本进行甲醛交联、提取细胞核、酶切、DNA提取及纯化，提取得到高质量基因组 DNA，要求：DNA提取总量≥1ug/cell；样品基本提取合格率≥90％。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4、建库：确保文库质量符合Pore-C测序要求。准确测定文库浓度，将文库稀释至最佳上机浓度。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5、上机：使用单分子实时纳米孔测序测序芯片，上机时间48~72h。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6、质控：Q值≥20（中位值）；每张芯片raw data数据量≥60G raw reads。</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7、数据交付：收到样品后20个工作日内完成测序形成原始数据，云盘或硬盘拷贝等多种方式灵活交付数据，测序数据有效保存期不低于12个月。供应商负责fastq和pod 5原始数据返还（产出比预期多的数据无偿为采购人所有）。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8、结题报告：对数据产出统计及测序数据的成分和质量评估，开具相应结题报告。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四、商务条款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1、服务地点：南京林业大学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2、合同履行期限：自合同签订之日起，365个日历日内完成项目。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（1）采购人送样之后，7个工作日内支付至合同价款的50％；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（2）供应商提供建库报告后交付数据给采购人，采购人7个工作日内支付至合同价款的80％；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（3）采购人经过基本数据质控确认数据无误后，7个工作日内支付至合同价款的100%。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4、服务质量保证及售后服务响应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（1）中标供应商必须提供自最终验收合格、签署验收合格证书并办理移交手续之日起12个月的保修、技术支持及其他服务。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（2）质保期内中标供应商必须提供7*24小时即时响应服务，所有维护服务方式均为中标供应商上门服务，即由中标供应商派人员到采购人及用户使用现场处理；由此产生的一切费用均由中标供应商承担。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5、售后服务要求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（1）项目最终验收合格后，中标供应商必须将所有相关技术资料交采购人留存备案，质量保证期内必须提供上门服务。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（2）质量保证期内，非人为因素的质量问题，一切无条件调换、免费维修；人为因素则予以免费维修，保修期满后，收取材料费。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（3）中标供应商应详细列出售后服务中心地址、电话、负责人和服务组织机构。必须保证针对本项目有单独建立的服务档案，使用、维护情况必须得到完整的记录，以保证提供的售后服务的准确性和及时性。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为项目交付后至少1年，质保期间免费进行疑难问题解答，对数据结果和相关软件产品进行使用指导。对于数据问题，1天内响应投诉或建议，3天内给予反馈改进方案。项目合同期间及合同期结束后2年内免费提供相关技术咨询与支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（5）项目结题后，中标供应商应将剩余组织样本和DNA返还采购人；中标供应商需提供云盘或硬盘拷贝等多种方式灵活交付数据。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供应商提供对数据产出统计及测序数据的成分和质量评估，开具143份Pore-C的测序结果报告结题报告，Q值≥20（中位值）；平均每张芯片raw data数据量≥60G。</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合同主要条款及格式</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采购合同</w:t>
      </w:r>
      <w:r>
        <w:rPr>
          <w:rFonts w:ascii="SimSun" w:hAnsi="SimSun" w:eastAsia="SimSun" w:cs="SimSun"/>
          <w:b/>
          <w:color w:val="000000"/>
          <w:sz w:val="21"/>
          <w:u w:val="none"/>
        </w:rPr>
        <w:t xml:space="preserve">（合同编号）</w:t>
      </w:r>
      <w:r>
        <w:rPr>
          <w:rFonts w:ascii="SimSun" w:hAnsi="SimSun" w:eastAsia="SimSun" w:cs="SimSun"/>
          <w:b/>
          <w:color w:val="000000"/>
          <w:sz w:val="21"/>
        </w:rPr>
        <w:t xml:space="preserve">（服务类）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甲方（买方/采购方）：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乙方（卖方/供应商）：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甲、乙双方根据《中华人民共和国采购法》、《中华人民共和国民法典》等法律法规规定，按照（项目名称）的采购结果（编号：），签署本合同。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1.1乙方向甲方提供的服务内容：南京林业大学多个物种的Pore-C测序（具体的服务的目的、内容、要求、方式、服务质量、验收标准等详见采购文件、乙方的响应文件及采购过程中有关澄清、承诺文件）。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2.1本合同金额为（大写）：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（小写_____元）人民币。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本合同金额包含项目实施及与项目有关的所有费用以及利润、税金和政策性文件规定及合同包含的所有风险、责任等各项应有费用，还包括乙方应当提供的辅助性服务、伴随服务、售后服务费用。除非因特殊原因并经甲乙双方协商并签订补充协议，乙方不得再要求追加任何费用。同时，除非合同条款中另有规定，否则乙方所报价格已综合考虑各方面的风险，在合同实施期间不因市场变化因素而变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3.2本合同项下的采购资金由甲方自行支付，乙方向甲方开具发票。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四、组成本合同的有关文件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4.1本项目采购文件、成交供应商的响应文件及采购过程中有关澄清、承诺文件均为本合同有效附件，是本合同不可分割的组成部分，与本合同具有同等法律效力。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五、服务期、服务地点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5.1服务期/交付期：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5.2服务地点：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六、转包或分包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6.1本合同范围内服务，应由乙方直接提供，不得转让他人承接；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6.2除非得到甲方的书面同意，乙方不得部分分包给他人承接。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七、甲方权利和义务：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甲方依据采购文件上的项目要求、乙方响应文件承诺及国家、行业有关质量标准（下称“验收标准”）进行对乙方提供的服务及履行本合同情况实行考核验收。验收时乙方必须在现场，验收完毕后作出验收结果报告。考核验收标准为：必须按照现行国家规范的要求进行，质量必须符合国家和南京市地方有关标准和投标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7.2对专业技术复杂的服务，甲方可请国家认可的专业检测机构或组织相关的技术专家参与验收，并由其出具检测报告或验收报告。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7.3采购文件规定以外的验收费用由甲乙双方协商解决。若服务经考核验收不符合技术服务要求和验收标准的，由乙方承担验收费用。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7.4甲方有义务在适当的范围内公开考核结果，甲方有权对项目资金使用情况进行监督、检查，并要求乙方提供相关资料。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7.5因突发情况，甲方需调动乙方人员和器材设备时，乙方应服从安排并予以配合。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7.6甲方有权根据国家政策或法律法规的变动对服务的需求标准和质量做出相应变动。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八、乙方权利和义务：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8.1乙方应根据国家标准、行业标准和规范要求、采购文件规定的服务质量标准和有关要求及响应文件所作的承诺及本合同约定完成服务工作。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8.2乙方应接受并主动配合甲方及行业主管部门的检查，检查发现存在或潜在的不符合上述8.1条约定情况的，应及时纠正、整改；对甲方指出的问题，应及时做出合理解释或予以纠正。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8.3对因乙方管理不善而造成甲方的损失，乙方应负责及时修复或照价赔偿。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8.4乙方应保证本合同提供的服务及相关的软件和技术资料等，均已取得有关知识产权的权利人的合法授权，如发生侵权等争议，乙方负责处理并承担由此引发的全部责任。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8.5乙方应做好详细的管理台账，建立管理档案，并按双方约定将管理情况汇总报送甲方。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8.6为确保服务质量，乙方须安排管理人员进行监督管理。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服务过程中，乙方必须严格按法律法规规章的规定、国家及行业标准采取周密的、适当的安全、安保措施（包括但不限于在人员配备、设备设施、制度及执行、监督等全方位的措施），以避免对人身和财产的损害；因乙方提供服务发生的人身伤害、财产损失及其他任何行政、司法等责任，均由乙方承担，与甲方无关，但因甲方原因造成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8.8在服务过程中，乙方不得进行任何有损甲方、甲方教职工及学生的名誉、荣誉、信誉或其他人格权的行为。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9.1甲方无正当理由要求取消服务的，应按合同总价款的</w:t>
      </w:r>
      <w:r>
        <w:rPr>
          <w:rFonts w:ascii="SimSun" w:hAnsi="SimSun" w:eastAsia="SimSun" w:cs="SimSun"/>
          <w:color w:val="000000"/>
          <w:sz w:val="21"/>
          <w:u w:val="single"/>
        </w:rPr>
        <w:t xml:space="preserve">百分之五</w:t>
      </w:r>
      <w:r>
        <w:rPr>
          <w:rFonts w:ascii="SimSun" w:hAnsi="SimSun" w:eastAsia="SimSun" w:cs="SimSun"/>
          <w:color w:val="000000"/>
          <w:sz w:val="21"/>
        </w:rPr>
        <w:t xml:space="preserve">向乙方偿付违约金。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9.2甲方无故逾期验收和办理合同款支付手续的,甲方应按逾期付款总额</w:t>
      </w:r>
      <w:r>
        <w:rPr>
          <w:rFonts w:ascii="SimSun" w:hAnsi="SimSun" w:eastAsia="SimSun" w:cs="SimSun"/>
          <w:color w:val="000000"/>
          <w:sz w:val="21"/>
          <w:u w:val="single"/>
        </w:rPr>
        <w:t xml:space="preserve">每日万分之五</w:t>
      </w:r>
      <w:r>
        <w:rPr>
          <w:rFonts w:ascii="SimSun" w:hAnsi="SimSun" w:eastAsia="SimSun" w:cs="SimSun"/>
          <w:color w:val="000000"/>
          <w:sz w:val="21"/>
        </w:rPr>
        <w:t xml:space="preserve">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9.3乙方不能按约定时间，乙方应按合同总额</w:t>
      </w:r>
      <w:r>
        <w:rPr>
          <w:rFonts w:ascii="SimSun" w:hAnsi="SimSun" w:eastAsia="SimSun" w:cs="SimSun"/>
          <w:color w:val="000000"/>
          <w:sz w:val="21"/>
          <w:u w:val="single"/>
        </w:rPr>
        <w:t xml:space="preserve">每日千分之六</w:t>
      </w:r>
      <w:r>
        <w:rPr>
          <w:rFonts w:ascii="SimSun" w:hAnsi="SimSun" w:eastAsia="SimSun" w:cs="SimSun"/>
          <w:color w:val="000000"/>
          <w:sz w:val="21"/>
        </w:rPr>
        <w:t xml:space="preserve">向甲方支付违约金；乙方不能按约定方式、质量标准（验收标准）提供服务的，甲方每检查发现一次的，乙方应按合同金额百分之一向甲方支付违约金；甲方均有权从待付合同款中扣除违约金。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发生下列情况之一的，甲方有权解除合同：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（1）逾期超过约定日期10个自然日不能提供约定服务的；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（2）甲方检查发现不符合约定的方式、质量标准二次或以上或发现一次后乙方仍未能整改到位的；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（3）乙方原因导致人身伤害、财产损失的；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（4）乙方违反上述第8.3、8.4、8.7及8.8条约定的。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乙方因违约行为导致甲方解除合同的，乙方应向甲方支付合同总值</w:t>
      </w:r>
      <w:r>
        <w:rPr>
          <w:rFonts w:ascii="SimSun" w:hAnsi="SimSun" w:eastAsia="SimSun" w:cs="SimSun"/>
          <w:color w:val="000000"/>
          <w:sz w:val="21"/>
          <w:u w:val="single"/>
        </w:rPr>
        <w:t xml:space="preserve">百分之五</w:t>
      </w:r>
      <w:r>
        <w:rPr>
          <w:rFonts w:ascii="SimSun" w:hAnsi="SimSun" w:eastAsia="SimSun" w:cs="SimSun"/>
          <w:color w:val="000000"/>
          <w:sz w:val="21"/>
        </w:rPr>
        <w:t xml:space="preserve">的违约金，如造成甲方损失超过违约金的，超出部分由乙方继续承担赔偿责任。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十、补充条款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十一、不可抗力事件处理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在合同有效期内，任何一方因不可抗力事件导致不能履行合同，则合同履行期可延长，其延长期与不可抗力影响期相同。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不可抗力事件发生后，应立即通知对方，并寄送有关权威机构出具的证明。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不可抗力事件延续120天以上，双方应通过友好协商，确定是否继续履行合同。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十二、合同生效及其它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12.1合同的生效：本合同一式六份，自甲乙双方签字、盖章之日起生效。招标文件和投标文件都是合同不可分割的部分，与合同具有同等法律效力，如有冲突，由甲方负责解释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12.2合同纠纷处理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本合同交付验收使用后所发生的合同纠纷，按照《中华人民共和国民法典》，由甲方直接与乙方进行处理；并根据国家和本省有关政府采购的规定进行处罚。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12.3对本合同内容的任何修改和变更由甲乙双方协商后达成书面补充协议，并经双方签字并加盖单位公章或合同专用章后生效，补充协议与本合同具有同等法律效力。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12.4双方在执行合同中所发生的一切争议，双方协商解决。如协商不能达成一致，则任何一方应将争议提交甲方所在地人民法院诉讼解决。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甲方全称（盖章）：乙方全称（盖章）：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法定代表人或授权代表（签字）：法定代表人或授权代表（签字）：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投标文件封面格式：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*目录一、投标申请及声明格式</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1.我方的资格条件符合政府采购法和本次招标要求，我方同意并向贵方提供了与投标有关的所有证据和资料。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2.按招标要求，我方投标的报价总价为人民币（小写）</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6.我方没有为本采购项目提供整体设计、规范编制，以及项目管理、监理、检测等服务。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7.我方与参与本次采购活动的其他供应商的负责人不是同一人，也不存在直接控股、管理关系。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8.我方已详细审阅全部招标文件及其有效补充文件，放弃对招标文件任何误解的权利，提交投标文件后，不对招标文件本身提出质疑。否则，属于不诚信和故意扰乱政府采购活动行为，我们将无条件接受处罚。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9.我方同意从规定的开标日期起遵循本投标文件，并在规定的投标有效期期满之前均具有约束力。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10.一旦我方中标，将根据招标文件的规定严格履行合同，并保证按承诺的时间交付采购人验收、使用。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12.与本投标有关的正式联系方式为：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spacing w:before="0" w:after="12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spacing w:before="0" w:after="12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*目录三、开标一览表格式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开标一览表（总价）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投标人全称（CA公章）：供应商名称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2416"/>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41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41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mc:AlternateContent>
                <mc:Choice Requires="wpg">
                  <w:drawing>
                    <wp:inline xmlns:wp="http://schemas.openxmlformats.org/drawingml/2006/wordprocessingDrawing" distT="0" distB="0" distL="0" distR="0">
                      <wp:extent cx="7620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05364" name=""/>
                              <pic:cNvPicPr>
                                <a:picLocks noChangeAspect="1"/>
                              </pic:cNvPicPr>
                              <pic:nvPr/>
                            </pic:nvPicPr>
                            <pic:blipFill>
                              <a:blip/>
                              <a:stretch/>
                            </pic:blipFill>
                            <pic:spPr bwMode="auto">
                              <a:xfrm>
                                <a:off x="0" y="0"/>
                                <a:ext cx="7619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alse">
                      <v:path textboxrect="0,0,0,0"/>
                    </v:shape>
                  </w:pict>
                </mc:Fallback>
              </mc:AlternateContent>
              <w:t xml:space="preserve"> 元</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mc:AlternateContent>
          <mc:Choice Requires="wpg">
            <w:drawing>
              <wp:inline xmlns:wp="http://schemas.openxmlformats.org/drawingml/2006/wordprocessingDrawing" distT="0" distB="0" distL="0" distR="0">
                <wp:extent cx="7620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68351" name=""/>
                        <pic:cNvPicPr>
                          <a:picLocks noChangeAspect="1"/>
                        </pic:cNvPicPr>
                        <pic:nvPr/>
                      </pic:nvPicPr>
                      <pic:blipFill>
                        <a:blip/>
                        <a:stretch/>
                      </pic:blipFill>
                      <pic:spPr bwMode="auto">
                        <a:xfrm>
                          <a:off x="0" y="0"/>
                          <a:ext cx="7619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alse">
                <v:path textboxrect="0,0,0,0"/>
              </v:shape>
            </w:pict>
          </mc:Fallback>
        </mc:AlternateContent>
        <w:t xml:space="preserve"> 年</w:t>
        <mc:AlternateContent>
          <mc:Choice Requires="wpg">
            <w:drawing>
              <wp:inline xmlns:wp="http://schemas.openxmlformats.org/drawingml/2006/wordprocessingDrawing" distT="0" distB="0" distL="0" distR="0">
                <wp:extent cx="762000" cy="2286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14961" name=""/>
                        <pic:cNvPicPr>
                          <a:picLocks noChangeAspect="1"/>
                        </pic:cNvPicPr>
                        <pic:nvPr/>
                      </pic:nvPicPr>
                      <pic:blipFill>
                        <a:blip/>
                        <a:stretch/>
                      </pic:blipFill>
                      <pic:spPr bwMode="auto">
                        <a:xfrm>
                          <a:off x="0" y="0"/>
                          <a:ext cx="7619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alse">
                <v:path textboxrect="0,0,0,0"/>
              </v:shape>
            </w:pict>
          </mc:Fallback>
        </mc:AlternateContent>
        <w:t xml:space="preserve"> 月</w:t>
        <mc:AlternateContent>
          <mc:Choice Requires="wpg">
            <w:drawing>
              <wp:inline xmlns:wp="http://schemas.openxmlformats.org/drawingml/2006/wordprocessingDrawing" distT="0" distB="0" distL="0" distR="0">
                <wp:extent cx="762000" cy="2286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10150" name=""/>
                        <pic:cNvPicPr>
                          <a:picLocks noChangeAspect="1"/>
                        </pic:cNvPicPr>
                        <pic:nvPr/>
                      </pic:nvPicPr>
                      <pic:blipFill>
                        <a:blip/>
                        <a:stretch/>
                      </pic:blipFill>
                      <pic:spPr bwMode="auto">
                        <a:xfrm>
                          <a:off x="0" y="0"/>
                          <a:ext cx="7619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alse">
                <v:path textboxrect="0,0,0,0"/>
              </v:shape>
            </w:pict>
          </mc:Fallback>
        </mc:AlternateContent>
        <w:t xml:space="preserve">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目录四、分项报价表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996"/>
        <w:gridCol w:w="2628"/>
        <w:gridCol w:w="1158"/>
        <w:gridCol w:w="313"/>
        <w:gridCol w:w="887"/>
        <w:gridCol w:w="1665"/>
      </w:tblGrid>
      <w:tr>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5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否属于小、微型企业的报价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说明：如果行数不够，请自行增加。本表仅供参考。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目录五、技术条款偏离表格式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540"/>
        <w:gridCol w:w="4203"/>
        <w:gridCol w:w="1098"/>
        <w:gridCol w:w="951"/>
        <w:gridCol w:w="919"/>
      </w:tblGrid>
      <w:tr>
        <w:trPr>
          <w:trHeight w:val="227"/>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5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招标文件第四章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基于三代纳米孔测序技术平台，完成143个植物样本固定、交联、细胞核抽提、酶切、质检、Pore-C文库构建，采用单分子实时纳米孔测序共计需要143张芯片完成测序。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测序要求使用：Nanopore PromethION24/48平台,R10芯片；Q值≥20（中位值）；平均每张芯片raw data数据量≥60G。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数据交付要求：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（1）合同有效期内，采购人按需求分批次向中标供应商提供样本，中标供应商收到样品，质检合格后，开展技术服务，在约定交付周期内完成数据产出，并进行数据质控后完成数据交付。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（2）结题报告：对数据产出统计及测序数据的成分和质量评估，出具相应结题报告。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送样要求：其中40张芯片材料由招标方邮寄到供应商境外实验室（含港澳台）（完成40张芯片 Pore-c测序），供应商负责后续的所有实验过程并按招标方要求地点交付数据。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将空间上靠近但线性基因组上相距很远的DNA片段通过化学交联“固定”在一起，再用限制性内切酶切割、连接形成嵌合片段，构建pore-c测序文库，通过单分子实时纳米孔测序技术一次性捕获多个远端DNA片段的连接关系。高效、更完整地解析染色质互作网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交联、提取、酶切：对组织样本进行甲醛交联、提取细胞核、酶切、DNA提取及纯化，提取得到高质量基因组 DNA，要求：DNA提取总量≥1ug/cell；样品基本提取合格率≥90％。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建库：确保文库质量符合Pore-C测序要求。准确测定文库浓度，将文库稀释至最佳上机浓度。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上机：使用单分子实时纳米孔测序测序芯片，上机时间48~72h。</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质控：Q值≥20（中位值）；每张芯片raw data数据量≥60G raw reads。</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数据交付：收到样品后20个工作日内完成测序形成原始数据，云盘或硬盘拷贝等多种方式灵活交付数据，测序数据有效保存期不低于12个月。供应商负责fastq和pod 5原始数据返还（产出比预期多的数据无偿为采购人所有）。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结题报告：对数据产出统计及测序数据的成分和质量评估，开具相应结题报告。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2、偏离包括无偏离、正偏离、负偏离，无偏离指供应商的响应符合招标文件要求，正偏离指供应商的响应高于招标文件要求，负偏离指供应商的响应低于招标文件要求。</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3、投标响应作为投标文件重要的组成部分，不应通过简单拷贝或简单标注“符合”“满足”。</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4、如招标文件要求提供相应证明材料的，应在偏离表中注明证明材料所在投标文件的页码位置。</w:t>
      </w:r>
      <w:r/>
    </w:p>
    <w:p>
      <w:pPr>
        <w:ind w:left="0" w:right="0" w:firstLine="0"/>
        <w:spacing w:before="240" w:after="12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586"/>
        <w:gridCol w:w="4022"/>
        <w:gridCol w:w="1222"/>
        <w:gridCol w:w="723"/>
        <w:gridCol w:w="831"/>
      </w:tblGrid>
      <w:tr>
        <w:trPr>
          <w:trHeight w:val="2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招标文件第四章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服务地点：南京林业大学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合同履行期限：自合同签订之日起，365个日历日内完成项目。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（1）采购人送样之后，7个工作日内支付至合同价款的50％；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（2）供应商提供建库报告后交付数据给采购人，采购人7个工作日内支付至合同价款的80％；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（3）采购人经过基本数据质控确认数据无误后，7个工作日内支付至合同价款的100%。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服务质量保证及售后服务响应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（1）中标供应商必须提供自最终验收合格、签署验收合格证书并办理移交手续之日起12个月的保修、技术支持及其他服务。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（2）质保期内中标供应商必须提供7*24小时即时响应服务，所有维护服务方式均为中标供应商上门服务，即由中标供应商派人员到采购人及用户使用现场处理；由此产生的一切费用均由中标供应商承担。</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（1）项目最终验收合格后，中标供应商必须将所有相关技术资料交采购人留存备案，质量保证期内必须提供上门服务。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（2）质量保证期内，非人为因素的质量问题，一切无条件调换、免费维修；人为因素则予以免费维修，保修期满后，收取材料费。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（3）中标供应商应详细列出售后服务中心地址、电话、负责人和服务组织机构。必须保证针对本项目有单独建立的服务档案，使用、维护情况必须得到完整的记录，以保证提供的售后服务的准确性和及时性。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为项目交付后至少1年，质保期间免费进行疑难问题解答，对数据结果和相关软件产品进行使用指导。对于数据问题，1天内响应投诉或建议，3天内给予反馈改进方案。项目合同期间及合同期结束后2年内免费提供相关技术咨询与支持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（5）项目结题后，中标供应商应将剩余组织样本和DNA返还采购人；中标供应商需提供云盘或硬盘拷贝等多种方式灵活交付数据。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供应商提供对数据产出统计及测序数据的成分和质量评估，开具143份Pore-C的测序结果报告结题报告，Q值≥20（中位值）；平均每张芯片raw data数据量≥60G。</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2、偏离包括无偏离、正偏离、负偏离，无偏离指供应商的响应符合招标文件要求，正偏离指供应商的响应高于招标文件要求，负偏离指供应商的响应低于招标文件要求。</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3、投标响应作为投标文件重要的组成部分，不应通过简单拷贝或简单标注“符合”“满足”。</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4、如招标文件要求提供相应证明材料的，应在偏离表中注明证明材料所在投标文件的页码位置。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目录七、技术说明与服务方案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目录八、投标需要的其他证明文件及材料</w:t>
      </w:r>
      <w:r/>
    </w:p>
    <w:p>
      <w:pPr>
        <w:ind w:left="0" w:right="0" w:firstLine="42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目录九、资格性和符合性审查响应对照表</w:t>
      </w:r>
      <w:r/>
    </w:p>
    <w:p>
      <w:pPr>
        <w:ind w:left="0" w:right="0" w:firstLine="0"/>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资格性和符合性审查响应对照表</w:t>
      </w:r>
      <w:r/>
    </w:p>
    <w:p>
      <w:pPr>
        <w:ind w:left="0" w:right="0" w:firstLine="0"/>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5175"/>
        <w:gridCol w:w="1713"/>
        <w:gridCol w:w="1725"/>
      </w:tblGrid>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页码位置</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目录十、资格证明文件</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46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。（若有）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4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附件一、中小企业声明函格式（不符合的可不填写）</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中小企业声明函（工程、服务）本公司（联合体）郑重声明，根据《政府采购促进中小企业发展管理办法》（财库﹝2020﹞46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注2：从业人员、营业收入、资产总额填报上一年度数据，无上一年度数据的新成立企业可不填报。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注3：供应商如不提供此声明函，总报价将不参与优惠。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注4：供应商不得修改中小企业声明函格式。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注5：供应商对以上数据的真实性负责，中标人如享受本项目小微企业扶持政策的，其《中小企业声明函》将随本项目的中标结果同时公告，接受社会监督。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注6：其他未列明行业划分标准：从业人员300人以下的为中小微型企业。其中，从业人员100人及以上的为中型企业；从业人员10人及以上的为小型企业；从业人员10人以下的为微型企业。</w:t>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附件二、残疾人福利性单位声明函格式（不符合的可不填写）</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p>
      <w:pPr>
        <w:ind w:left="0" w:right="0" w:firstLine="420"/>
        <w:spacing w:before="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附件三、属于监狱企业的证明文件（不符合的可不填写）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陆蓉</cp:lastModifiedBy>
  <cp:revision>3</cp:revision>
  <dcterms:created xsi:type="dcterms:W3CDTF">2026-07-18T07:35:23Z</dcterms:created>
  <dcterms:modified xsi:type="dcterms:W3CDTF">2026-07-20T08:38:05Z</dcterms:modified>
</cp:coreProperties>
</file>