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8243C1">
      <w:pPr>
        <w:jc w:val="right"/>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14:textFill>
            <w14:solidFill>
              <w14:schemeClr w14:val="tx1"/>
            </w14:solidFill>
          </w14:textFill>
        </w:rPr>
        <w:t>项目编号：</w:t>
      </w:r>
      <w:r>
        <w:rPr>
          <w:rFonts w:hint="eastAsia" w:ascii="宋体" w:hAnsi="宋体"/>
          <w:color w:val="000000" w:themeColor="text1"/>
          <w:sz w:val="30"/>
          <w:szCs w:val="30"/>
          <w:lang w:eastAsia="zh-CN"/>
          <w14:textFill>
            <w14:solidFill>
              <w14:schemeClr w14:val="tx1"/>
            </w14:solidFill>
          </w14:textFill>
        </w:rPr>
        <w:t>JSZC-321023-JTGC-G2026-0007</w:t>
      </w:r>
    </w:p>
    <w:p w14:paraId="46D42ED9">
      <w:pPr>
        <w:jc w:val="center"/>
        <w:outlineLvl w:val="0"/>
        <w:rPr>
          <w:rFonts w:hint="eastAsia" w:ascii="宋体" w:hAnsi="宋体" w:eastAsia="宋体"/>
          <w:color w:val="000000" w:themeColor="text1"/>
          <w:sz w:val="36"/>
          <w:szCs w:val="36"/>
          <w:lang w:eastAsia="zh-CN"/>
          <w14:textFill>
            <w14:solidFill>
              <w14:schemeClr w14:val="tx1"/>
            </w14:solidFill>
          </w14:textFill>
        </w:rPr>
      </w:pPr>
      <w:r>
        <w:rPr>
          <w:rFonts w:hint="eastAsia" w:ascii="宋体" w:hAnsi="宋体"/>
          <w:bCs/>
          <w:color w:val="000000" w:themeColor="text1"/>
          <w:sz w:val="36"/>
          <w:szCs w:val="36"/>
          <w:lang w:eastAsia="zh-CN"/>
          <w14:textFill>
            <w14:solidFill>
              <w14:schemeClr w14:val="tx1"/>
            </w14:solidFill>
          </w14:textFill>
        </w:rPr>
        <w:t>宝应县安宜实验学校及沿河校区2026-2027学年学生军事化管理项目</w:t>
      </w:r>
    </w:p>
    <w:p w14:paraId="3DCE9D73">
      <w:pPr>
        <w:jc w:val="center"/>
        <w:rPr>
          <w:rFonts w:hint="eastAsia" w:ascii="宋体" w:hAnsi="宋体"/>
          <w:color w:val="000000" w:themeColor="text1"/>
          <w:sz w:val="36"/>
          <w14:textFill>
            <w14:solidFill>
              <w14:schemeClr w14:val="tx1"/>
            </w14:solidFill>
          </w14:textFill>
        </w:rPr>
      </w:pPr>
    </w:p>
    <w:p w14:paraId="43F709BF">
      <w:pPr>
        <w:jc w:val="center"/>
        <w:rPr>
          <w:rFonts w:hint="eastAsia" w:ascii="宋体" w:hAnsi="宋体"/>
          <w:color w:val="000000" w:themeColor="text1"/>
          <w:sz w:val="36"/>
          <w14:textFill>
            <w14:solidFill>
              <w14:schemeClr w14:val="tx1"/>
            </w14:solidFill>
          </w14:textFill>
        </w:rPr>
      </w:pPr>
    </w:p>
    <w:p w14:paraId="00A35FF2">
      <w:pPr>
        <w:jc w:val="center"/>
        <w:rPr>
          <w:rFonts w:hint="eastAsia" w:ascii="宋体" w:hAnsi="宋体"/>
          <w:color w:val="000000" w:themeColor="text1"/>
          <w:sz w:val="36"/>
          <w14:textFill>
            <w14:solidFill>
              <w14:schemeClr w14:val="tx1"/>
            </w14:solidFill>
          </w14:textFill>
        </w:rPr>
      </w:pPr>
    </w:p>
    <w:p w14:paraId="74FF2879">
      <w:pPr>
        <w:jc w:val="center"/>
        <w:rPr>
          <w:rFonts w:hint="eastAsia" w:ascii="宋体" w:hAnsi="宋体"/>
          <w:color w:val="000000" w:themeColor="text1"/>
          <w:sz w:val="36"/>
          <w14:textFill>
            <w14:solidFill>
              <w14:schemeClr w14:val="tx1"/>
            </w14:solidFill>
          </w14:textFill>
        </w:rPr>
      </w:pPr>
    </w:p>
    <w:p w14:paraId="006E5FE2">
      <w:pPr>
        <w:jc w:val="center"/>
        <w:rPr>
          <w:rFonts w:hint="eastAsia" w:ascii="宋体" w:hAnsi="宋体"/>
          <w:color w:val="000000" w:themeColor="text1"/>
          <w:sz w:val="36"/>
          <w14:textFill>
            <w14:solidFill>
              <w14:schemeClr w14:val="tx1"/>
            </w14:solidFill>
          </w14:textFill>
        </w:rPr>
      </w:pPr>
    </w:p>
    <w:p w14:paraId="69A0DDCB">
      <w:pPr>
        <w:jc w:val="center"/>
        <w:rPr>
          <w:rFonts w:ascii="宋体" w:hAnsi="宋体"/>
          <w:color w:val="000000" w:themeColor="text1"/>
          <w:sz w:val="52"/>
          <w:szCs w:val="52"/>
          <w14:textFill>
            <w14:solidFill>
              <w14:schemeClr w14:val="tx1"/>
            </w14:solidFill>
          </w14:textFill>
        </w:rPr>
      </w:pPr>
      <w:r>
        <w:rPr>
          <w:rFonts w:hint="eastAsia" w:ascii="宋体" w:hAnsi="宋体"/>
          <w:color w:val="000000" w:themeColor="text1"/>
          <w:sz w:val="52"/>
          <w:szCs w:val="52"/>
          <w14:textFill>
            <w14:solidFill>
              <w14:schemeClr w14:val="tx1"/>
            </w14:solidFill>
          </w14:textFill>
        </w:rPr>
        <w:t>公开招标文件</w:t>
      </w:r>
    </w:p>
    <w:p w14:paraId="461CAB22">
      <w:pPr>
        <w:jc w:val="center"/>
        <w:rPr>
          <w:rFonts w:ascii="宋体" w:hAnsi="宋体"/>
          <w:color w:val="000000" w:themeColor="text1"/>
          <w:sz w:val="36"/>
          <w14:textFill>
            <w14:solidFill>
              <w14:schemeClr w14:val="tx1"/>
            </w14:solidFill>
          </w14:textFill>
        </w:rPr>
      </w:pPr>
    </w:p>
    <w:p w14:paraId="1A86D4DD">
      <w:pPr>
        <w:jc w:val="center"/>
        <w:rPr>
          <w:rFonts w:ascii="宋体" w:hAnsi="宋体"/>
          <w:color w:val="000000" w:themeColor="text1"/>
          <w:sz w:val="36"/>
          <w14:textFill>
            <w14:solidFill>
              <w14:schemeClr w14:val="tx1"/>
            </w14:solidFill>
          </w14:textFill>
        </w:rPr>
      </w:pPr>
    </w:p>
    <w:p w14:paraId="6CC51E51">
      <w:pPr>
        <w:jc w:val="center"/>
        <w:rPr>
          <w:rFonts w:ascii="宋体" w:hAnsi="宋体"/>
          <w:color w:val="000000" w:themeColor="text1"/>
          <w:sz w:val="36"/>
          <w14:textFill>
            <w14:solidFill>
              <w14:schemeClr w14:val="tx1"/>
            </w14:solidFill>
          </w14:textFill>
        </w:rPr>
      </w:pPr>
    </w:p>
    <w:p w14:paraId="0EC44054">
      <w:pPr>
        <w:jc w:val="center"/>
        <w:rPr>
          <w:rFonts w:ascii="宋体" w:hAnsi="宋体"/>
          <w:color w:val="000000" w:themeColor="text1"/>
          <w:sz w:val="36"/>
          <w14:textFill>
            <w14:solidFill>
              <w14:schemeClr w14:val="tx1"/>
            </w14:solidFill>
          </w14:textFill>
        </w:rPr>
      </w:pPr>
    </w:p>
    <w:p w14:paraId="067C112C">
      <w:pPr>
        <w:jc w:val="center"/>
        <w:rPr>
          <w:rFonts w:ascii="宋体" w:hAnsi="宋体"/>
          <w:color w:val="000000" w:themeColor="text1"/>
          <w:sz w:val="36"/>
          <w14:textFill>
            <w14:solidFill>
              <w14:schemeClr w14:val="tx1"/>
            </w14:solidFill>
          </w14:textFill>
        </w:rPr>
      </w:pPr>
    </w:p>
    <w:p w14:paraId="534A4BE5">
      <w:pPr>
        <w:jc w:val="center"/>
        <w:rPr>
          <w:rFonts w:ascii="宋体" w:hAnsi="宋体"/>
          <w:color w:val="000000" w:themeColor="text1"/>
          <w:sz w:val="36"/>
          <w14:textFill>
            <w14:solidFill>
              <w14:schemeClr w14:val="tx1"/>
            </w14:solidFill>
          </w14:textFill>
        </w:rPr>
      </w:pPr>
    </w:p>
    <w:p w14:paraId="164402B8">
      <w:pPr>
        <w:jc w:val="center"/>
        <w:rPr>
          <w:rFonts w:ascii="宋体" w:hAnsi="宋体"/>
          <w:color w:val="000000" w:themeColor="text1"/>
          <w:sz w:val="36"/>
          <w14:textFill>
            <w14:solidFill>
              <w14:schemeClr w14:val="tx1"/>
            </w14:solidFill>
          </w14:textFill>
        </w:rPr>
      </w:pPr>
    </w:p>
    <w:p w14:paraId="084618E5">
      <w:pPr>
        <w:jc w:val="center"/>
        <w:rPr>
          <w:rFonts w:ascii="宋体" w:hAnsi="宋体"/>
          <w:color w:val="000000" w:themeColor="text1"/>
          <w:sz w:val="36"/>
          <w14:textFill>
            <w14:solidFill>
              <w14:schemeClr w14:val="tx1"/>
            </w14:solidFill>
          </w14:textFill>
        </w:rPr>
      </w:pPr>
    </w:p>
    <w:p w14:paraId="0A10880F">
      <w:pPr>
        <w:jc w:val="center"/>
        <w:rPr>
          <w:rFonts w:ascii="宋体" w:hAnsi="宋体"/>
          <w:color w:val="000000" w:themeColor="text1"/>
          <w:sz w:val="36"/>
          <w14:textFill>
            <w14:solidFill>
              <w14:schemeClr w14:val="tx1"/>
            </w14:solidFill>
          </w14:textFill>
        </w:rPr>
      </w:pPr>
    </w:p>
    <w:p w14:paraId="35FFD60D">
      <w:pPr>
        <w:jc w:val="center"/>
        <w:rPr>
          <w:rFonts w:ascii="宋体" w:hAnsi="宋体"/>
          <w:color w:val="000000" w:themeColor="text1"/>
          <w:sz w:val="36"/>
          <w14:textFill>
            <w14:solidFill>
              <w14:schemeClr w14:val="tx1"/>
            </w14:solidFill>
          </w14:textFill>
        </w:rPr>
      </w:pPr>
    </w:p>
    <w:p w14:paraId="1A4ACCD6">
      <w:pPr>
        <w:rPr>
          <w:rFonts w:ascii="宋体" w:hAnsi="宋体"/>
          <w:color w:val="000000" w:themeColor="text1"/>
          <w:sz w:val="36"/>
          <w14:textFill>
            <w14:solidFill>
              <w14:schemeClr w14:val="tx1"/>
            </w14:solidFill>
          </w14:textFill>
        </w:rPr>
      </w:pPr>
    </w:p>
    <w:p w14:paraId="3D04D044">
      <w:pPr>
        <w:rPr>
          <w:rFonts w:ascii="宋体" w:hAnsi="宋体"/>
          <w:color w:val="000000" w:themeColor="text1"/>
          <w:sz w:val="36"/>
          <w14:textFill>
            <w14:solidFill>
              <w14:schemeClr w14:val="tx1"/>
            </w14:solidFill>
          </w14:textFill>
        </w:rPr>
      </w:pPr>
    </w:p>
    <w:p w14:paraId="671AD916">
      <w:pPr>
        <w:jc w:val="center"/>
        <w:rPr>
          <w:rFonts w:hint="eastAsia" w:ascii="宋体" w:hAnsi="宋体" w:eastAsia="宋体"/>
          <w:b/>
          <w:color w:val="000000" w:themeColor="text1"/>
          <w:sz w:val="36"/>
          <w:lang w:eastAsia="zh-CN"/>
          <w14:textFill>
            <w14:solidFill>
              <w14:schemeClr w14:val="tx1"/>
            </w14:solidFill>
          </w14:textFill>
        </w:rPr>
      </w:pPr>
      <w:r>
        <w:rPr>
          <w:rFonts w:hint="eastAsia" w:ascii="宋体" w:hAnsi="宋体"/>
          <w:b/>
          <w:color w:val="000000" w:themeColor="text1"/>
          <w:sz w:val="36"/>
          <w:lang w:eastAsia="zh-CN"/>
          <w14:textFill>
            <w14:solidFill>
              <w14:schemeClr w14:val="tx1"/>
            </w14:solidFill>
          </w14:textFill>
        </w:rPr>
        <w:t>江苏嘉泰工程项目管理有限公司</w:t>
      </w:r>
    </w:p>
    <w:p w14:paraId="5DF1664F">
      <w:pPr>
        <w:jc w:val="center"/>
        <w:rPr>
          <w:rFonts w:ascii="宋体" w:hAnsi="宋体"/>
          <w:b/>
          <w:color w:val="000000" w:themeColor="text1"/>
          <w:sz w:val="36"/>
          <w14:textFill>
            <w14:solidFill>
              <w14:schemeClr w14:val="tx1"/>
            </w14:solidFill>
          </w14:textFill>
        </w:rPr>
        <w:sectPr>
          <w:headerReference r:id="rId3" w:type="default"/>
          <w:footerReference r:id="rId4" w:type="default"/>
          <w:pgSz w:w="11906" w:h="16838"/>
          <w:pgMar w:top="1440" w:right="1800" w:bottom="1440" w:left="1800" w:header="851" w:footer="992" w:gutter="0"/>
          <w:cols w:space="720" w:num="1"/>
          <w:docGrid w:linePitch="360" w:charSpace="0"/>
        </w:sectPr>
      </w:pPr>
      <w:r>
        <w:rPr>
          <w:rFonts w:ascii="宋体" w:hAnsi="宋体"/>
          <w:b/>
          <w:color w:val="000000" w:themeColor="text1"/>
          <w:sz w:val="36"/>
          <w14:textFill>
            <w14:solidFill>
              <w14:schemeClr w14:val="tx1"/>
            </w14:solidFill>
          </w14:textFill>
        </w:rPr>
        <w:t>20</w:t>
      </w:r>
      <w:r>
        <w:rPr>
          <w:rFonts w:hint="eastAsia" w:ascii="宋体" w:hAnsi="宋体"/>
          <w:b/>
          <w:color w:val="000000" w:themeColor="text1"/>
          <w:sz w:val="36"/>
          <w14:textFill>
            <w14:solidFill>
              <w14:schemeClr w14:val="tx1"/>
            </w14:solidFill>
          </w14:textFill>
        </w:rPr>
        <w:t>2</w:t>
      </w:r>
      <w:r>
        <w:rPr>
          <w:rFonts w:hint="eastAsia" w:ascii="宋体" w:hAnsi="宋体"/>
          <w:b/>
          <w:color w:val="000000" w:themeColor="text1"/>
          <w:sz w:val="36"/>
          <w:lang w:val="en-US" w:eastAsia="zh-CN"/>
          <w14:textFill>
            <w14:solidFill>
              <w14:schemeClr w14:val="tx1"/>
            </w14:solidFill>
          </w14:textFill>
        </w:rPr>
        <w:t>6</w:t>
      </w:r>
      <w:r>
        <w:rPr>
          <w:rFonts w:ascii="宋体" w:hAnsi="宋体"/>
          <w:b/>
          <w:color w:val="000000" w:themeColor="text1"/>
          <w:sz w:val="36"/>
          <w14:textFill>
            <w14:solidFill>
              <w14:schemeClr w14:val="tx1"/>
            </w14:solidFill>
          </w14:textFill>
        </w:rPr>
        <w:t>年</w:t>
      </w:r>
      <w:r>
        <w:rPr>
          <w:rFonts w:hint="eastAsia" w:ascii="宋体" w:hAnsi="宋体"/>
          <w:b/>
          <w:color w:val="000000" w:themeColor="text1"/>
          <w:sz w:val="36"/>
          <w:lang w:val="en-US" w:eastAsia="zh-CN"/>
          <w14:textFill>
            <w14:solidFill>
              <w14:schemeClr w14:val="tx1"/>
            </w14:solidFill>
          </w14:textFill>
        </w:rPr>
        <w:t>07</w:t>
      </w:r>
      <w:r>
        <w:rPr>
          <w:rFonts w:ascii="宋体" w:hAnsi="宋体"/>
          <w:b/>
          <w:color w:val="000000" w:themeColor="text1"/>
          <w:sz w:val="36"/>
          <w14:textFill>
            <w14:solidFill>
              <w14:schemeClr w14:val="tx1"/>
            </w14:solidFill>
          </w14:textFill>
        </w:rPr>
        <w:t>月</w:t>
      </w:r>
    </w:p>
    <w:p w14:paraId="405843D9">
      <w:pPr>
        <w:jc w:val="center"/>
        <w:rPr>
          <w:rFonts w:ascii="宋体" w:hAnsi="宋体"/>
          <w:b/>
          <w:color w:val="000000" w:themeColor="text1"/>
          <w:sz w:val="36"/>
          <w:szCs w:val="36"/>
          <w14:textFill>
            <w14:solidFill>
              <w14:schemeClr w14:val="tx1"/>
            </w14:solidFill>
          </w14:textFill>
        </w:rPr>
      </w:pPr>
    </w:p>
    <w:p w14:paraId="18D5DBA9">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目</w:t>
      </w:r>
      <w:r>
        <w:rPr>
          <w:rFonts w:ascii="宋体" w:hAnsi="宋体"/>
          <w:b/>
          <w:color w:val="000000" w:themeColor="text1"/>
          <w:sz w:val="44"/>
          <w:szCs w:val="44"/>
          <w14:textFill>
            <w14:solidFill>
              <w14:schemeClr w14:val="tx1"/>
            </w14:solidFill>
          </w14:textFill>
        </w:rPr>
        <w:t xml:space="preserve"> 录</w:t>
      </w:r>
    </w:p>
    <w:p w14:paraId="2EBAADE1">
      <w:pPr>
        <w:jc w:val="center"/>
        <w:rPr>
          <w:rFonts w:ascii="宋体" w:hAnsi="宋体"/>
          <w:b/>
          <w:color w:val="000000" w:themeColor="text1"/>
          <w:sz w:val="36"/>
          <w:szCs w:val="36"/>
          <w14:textFill>
            <w14:solidFill>
              <w14:schemeClr w14:val="tx1"/>
            </w14:solidFill>
          </w14:textFill>
        </w:rPr>
      </w:pPr>
    </w:p>
    <w:p w14:paraId="2CCA07D3">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TOC \o "1-3" \f </w:instrText>
      </w:r>
      <w:r>
        <w:rPr>
          <w:rFonts w:hint="eastAsia" w:ascii="宋体" w:hAnsi="宋体" w:cs="宋体"/>
          <w:color w:val="000000" w:themeColor="text1"/>
          <w:szCs w:val="21"/>
          <w14:textFill>
            <w14:solidFill>
              <w14:schemeClr w14:val="tx1"/>
            </w14:solidFill>
          </w14:textFill>
        </w:rPr>
        <w:fldChar w:fldCharType="separate"/>
      </w:r>
      <w:r>
        <w:rPr>
          <w:rFonts w:hint="eastAsia" w:ascii="宋体" w:hAnsi="宋体"/>
          <w:color w:val="000000" w:themeColor="text1"/>
          <w14:textFill>
            <w14:solidFill>
              <w14:schemeClr w14:val="tx1"/>
            </w14:solidFill>
          </w14:textFill>
        </w:rPr>
        <w:t>第一章招标公告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_Toc500859144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p>
    <w:p w14:paraId="07547042">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第二章投标人须知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p>
    <w:p w14:paraId="18BCC206">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第三章合同条款及格式</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19</w:t>
      </w:r>
    </w:p>
    <w:p w14:paraId="14704F3B">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第四章项目需求</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24</w:t>
      </w:r>
    </w:p>
    <w:p w14:paraId="17BFD198">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第五章评标方法及评标标准</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28</w:t>
      </w:r>
    </w:p>
    <w:p w14:paraId="03F6EBAA">
      <w:pPr>
        <w:pStyle w:val="31"/>
        <w:tabs>
          <w:tab w:val="right" w:leader="dot" w:pos="8296"/>
        </w:tabs>
        <w:spacing w:line="360" w:lineRule="auto"/>
        <w:rPr>
          <w:rFonts w:ascii="Calibri" w:hAnsi="Calibri"/>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第六章投标文件格式</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32</w:t>
      </w:r>
    </w:p>
    <w:p w14:paraId="3CEAC627">
      <w:pPr>
        <w:spacing w:line="360" w:lineRule="auto"/>
        <w:jc w:val="center"/>
        <w:rPr>
          <w:rFonts w:ascii="宋体" w:hAnsi="宋体"/>
          <w:color w:val="000000" w:themeColor="text1"/>
          <w:sz w:val="28"/>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  </w:t>
      </w:r>
    </w:p>
    <w:p w14:paraId="1D0F5548">
      <w:pPr>
        <w:pStyle w:val="226"/>
        <w:numPr>
          <w:ilvl w:val="0"/>
          <w:numId w:val="3"/>
        </w:numPr>
        <w:spacing w:line="440" w:lineRule="exact"/>
        <w:jc w:val="center"/>
        <w:rPr>
          <w:rFonts w:ascii="宋体" w:hAnsi="宋体"/>
          <w:color w:val="000000" w:themeColor="text1"/>
          <w:sz w:val="36"/>
          <w14:textFill>
            <w14:solidFill>
              <w14:schemeClr w14:val="tx1"/>
            </w14:solidFill>
          </w14:textFill>
        </w:rPr>
      </w:pPr>
      <w:bookmarkStart w:id="0" w:name="_Toc500859144"/>
      <w:r>
        <w:rPr>
          <w:rFonts w:ascii="宋体" w:hAnsi="宋体"/>
          <w:color w:val="000000" w:themeColor="text1"/>
          <w:sz w:val="36"/>
          <w14:textFill>
            <w14:solidFill>
              <w14:schemeClr w14:val="tx1"/>
            </w14:solidFill>
          </w14:textFill>
        </w:rPr>
        <w:t>招标公告</w:t>
      </w:r>
      <w:bookmarkEnd w:id="0"/>
      <w:bookmarkStart w:id="1" w:name="_Toc500859145"/>
    </w:p>
    <w:p w14:paraId="4572F0D9">
      <w:pPr>
        <w:spacing w:line="440" w:lineRule="exact"/>
        <w:ind w:firstLine="316"/>
        <w:jc w:val="center"/>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关于</w:t>
      </w:r>
      <w:r>
        <w:rPr>
          <w:rFonts w:hint="eastAsia" w:ascii="宋体" w:hAnsi="宋体" w:cs="宋体"/>
          <w:b/>
          <w:color w:val="000000" w:themeColor="text1"/>
          <w:szCs w:val="21"/>
          <w:lang w:eastAsia="zh-CN"/>
          <w14:textFill>
            <w14:solidFill>
              <w14:schemeClr w14:val="tx1"/>
            </w14:solidFill>
          </w14:textFill>
        </w:rPr>
        <w:t>宝应县安宜实验学校及沿河校区2026-2027学年学生军事化管理项目</w:t>
      </w:r>
    </w:p>
    <w:p w14:paraId="1D34CF79">
      <w:pPr>
        <w:spacing w:line="440" w:lineRule="exact"/>
        <w:ind w:firstLine="316"/>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lang w:eastAsia="zh-CN"/>
          <w14:textFill>
            <w14:solidFill>
              <w14:schemeClr w14:val="tx1"/>
            </w14:solidFill>
          </w14:textFill>
        </w:rPr>
        <w:t>JSZC-321023-JTGC-G2026-0007</w:t>
      </w:r>
      <w:r>
        <w:rPr>
          <w:rFonts w:hint="eastAsia" w:ascii="宋体" w:hAnsi="宋体" w:cs="宋体"/>
          <w:b/>
          <w:color w:val="000000" w:themeColor="text1"/>
          <w:szCs w:val="21"/>
          <w14:textFill>
            <w14:solidFill>
              <w14:schemeClr w14:val="tx1"/>
            </w14:solidFill>
          </w14:textFill>
        </w:rPr>
        <w:t>)公开招标公告</w:t>
      </w:r>
    </w:p>
    <w:p w14:paraId="76BBDCCF">
      <w:pPr>
        <w:tabs>
          <w:tab w:val="left" w:pos="266"/>
        </w:tabs>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受江苏宝应经济开发区管理委员会的委托，</w:t>
      </w:r>
      <w:r>
        <w:rPr>
          <w:rFonts w:hint="eastAsia" w:ascii="宋体" w:hAnsi="宋体" w:cs="宋体"/>
          <w:color w:val="000000" w:themeColor="text1"/>
          <w:lang w:eastAsia="zh-CN"/>
          <w14:textFill>
            <w14:solidFill>
              <w14:schemeClr w14:val="tx1"/>
            </w14:solidFill>
          </w14:textFill>
        </w:rPr>
        <w:t>江苏嘉泰工程项目管理有限公司</w:t>
      </w:r>
      <w:r>
        <w:rPr>
          <w:rFonts w:hint="eastAsia" w:ascii="宋体" w:hAnsi="宋体" w:cs="宋体"/>
          <w:color w:val="000000" w:themeColor="text1"/>
          <w14:textFill>
            <w14:solidFill>
              <w14:schemeClr w14:val="tx1"/>
            </w14:solidFill>
          </w14:textFill>
        </w:rPr>
        <w:t>就</w:t>
      </w:r>
      <w:r>
        <w:rPr>
          <w:rFonts w:hint="eastAsia" w:ascii="宋体" w:hAnsi="宋体"/>
          <w:color w:val="000000" w:themeColor="text1"/>
          <w:szCs w:val="21"/>
          <w:u w:val="single"/>
          <w:lang w:eastAsia="zh-CN"/>
          <w14:textFill>
            <w14:solidFill>
              <w14:schemeClr w14:val="tx1"/>
            </w14:solidFill>
          </w14:textFill>
        </w:rPr>
        <w:t>宝应县安宜实验学校及沿河校区2026-2027学年学生军事化管理项目</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eastAsia="zh-CN"/>
          <w14:textFill>
            <w14:solidFill>
              <w14:schemeClr w14:val="tx1"/>
            </w14:solidFill>
          </w14:textFill>
        </w:rPr>
        <w:t>JSZC-321023-JTGC-G2026-0007</w:t>
      </w:r>
      <w:r>
        <w:rPr>
          <w:rFonts w:hint="eastAsia" w:ascii="宋体" w:hAnsi="宋体" w:cs="宋体"/>
          <w:color w:val="000000" w:themeColor="text1"/>
          <w14:textFill>
            <w14:solidFill>
              <w14:schemeClr w14:val="tx1"/>
            </w14:solidFill>
          </w14:textFill>
        </w:rPr>
        <w:t>)进行公开招标采购，欢迎符合条件的供应商投标。</w:t>
      </w:r>
    </w:p>
    <w:p w14:paraId="38034AA8">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项目概况</w:t>
      </w:r>
    </w:p>
    <w:p w14:paraId="21EBD4B9">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宝应县安宜实验学校及沿河校区2026-2027学年学生军事化管理项目</w:t>
      </w:r>
      <w:r>
        <w:rPr>
          <w:rFonts w:ascii="宋体" w:hAnsi="宋体"/>
          <w:color w:val="000000" w:themeColor="text1"/>
          <w:szCs w:val="21"/>
          <w14:textFill>
            <w14:solidFill>
              <w14:schemeClr w14:val="tx1"/>
            </w14:solidFill>
          </w14:textFill>
        </w:rPr>
        <w:t>的潜在投标人可在</w:t>
      </w:r>
      <w:r>
        <w:rPr>
          <w:rFonts w:ascii="宋体" w:hAnsi="宋体"/>
          <w:color w:val="000000" w:themeColor="text1"/>
          <w:szCs w:val="21"/>
          <w:u w:val="single"/>
          <w14:textFill>
            <w14:solidFill>
              <w14:schemeClr w14:val="tx1"/>
            </w14:solidFill>
          </w14:textFill>
        </w:rPr>
        <w:t xml:space="preserve"> “扬州市政府采购网”、“江苏省政府采购网”</w:t>
      </w:r>
      <w:r>
        <w:rPr>
          <w:rFonts w:hint="eastAsia" w:ascii="MS Mincho" w:hAnsi="MS Mincho" w:eastAsia="MS Mincho" w:cs="MS Mincho"/>
          <w:color w:val="000000" w:themeColor="text1"/>
          <w:szCs w:val="21"/>
          <w:u w:val="single"/>
          <w14:textFill>
            <w14:solidFill>
              <w14:schemeClr w14:val="tx1"/>
            </w14:solidFill>
          </w14:textFill>
        </w:rPr>
        <w:t> </w:t>
      </w:r>
      <w:r>
        <w:rPr>
          <w:rFonts w:ascii="宋体" w:hAnsi="宋体"/>
          <w:color w:val="000000" w:themeColor="text1"/>
          <w:szCs w:val="21"/>
          <w14:textFill>
            <w14:solidFill>
              <w14:schemeClr w14:val="tx1"/>
            </w14:solidFill>
          </w14:textFill>
        </w:rPr>
        <w:t>自行下载招标文件，并于</w:t>
      </w:r>
      <w:r>
        <w:rPr>
          <w:rFonts w:ascii="宋体" w:hAnsi="宋体"/>
          <w:color w:val="000000" w:themeColor="text1"/>
          <w:szCs w:val="21"/>
          <w:u w:val="single"/>
          <w14:textFill>
            <w14:solidFill>
              <w14:schemeClr w14:val="tx1"/>
            </w14:solidFill>
          </w14:textFill>
        </w:rPr>
        <w:t>202</w:t>
      </w:r>
      <w:r>
        <w:rPr>
          <w:rFonts w:hint="eastAsia" w:ascii="宋体" w:hAnsi="宋体"/>
          <w:color w:val="000000" w:themeColor="text1"/>
          <w:szCs w:val="21"/>
          <w:u w:val="single"/>
          <w:lang w:val="en-US" w:eastAsia="zh-CN"/>
          <w14:textFill>
            <w14:solidFill>
              <w14:schemeClr w14:val="tx1"/>
            </w14:solidFill>
          </w14:textFill>
        </w:rPr>
        <w:t>6</w:t>
      </w:r>
      <w:r>
        <w:rPr>
          <w:rFonts w:ascii="宋体" w:hAnsi="宋体"/>
          <w:color w:val="000000" w:themeColor="text1"/>
          <w:szCs w:val="21"/>
          <w:u w:val="single"/>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08</w:t>
      </w:r>
      <w:r>
        <w:rPr>
          <w:rFonts w:ascii="宋体" w:hAnsi="宋体"/>
          <w:color w:val="000000" w:themeColor="text1"/>
          <w:szCs w:val="21"/>
          <w:u w:val="single"/>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18</w:t>
      </w:r>
      <w:r>
        <w:rPr>
          <w:rFonts w:ascii="宋体" w:hAnsi="宋体"/>
          <w:color w:val="000000" w:themeColor="text1"/>
          <w:szCs w:val="21"/>
          <w:u w:val="single"/>
          <w14:textFill>
            <w14:solidFill>
              <w14:schemeClr w14:val="tx1"/>
            </w14:solidFill>
          </w14:textFill>
        </w:rPr>
        <w:t>日</w:t>
      </w:r>
      <w:r>
        <w:rPr>
          <w:rFonts w:hint="eastAsia" w:ascii="宋体" w:hAnsi="宋体"/>
          <w:color w:val="000000" w:themeColor="text1"/>
          <w:szCs w:val="21"/>
          <w:u w:val="single"/>
          <w:lang w:val="en-US" w:eastAsia="zh-CN"/>
          <w14:textFill>
            <w14:solidFill>
              <w14:schemeClr w14:val="tx1"/>
            </w14:solidFill>
          </w14:textFill>
        </w:rPr>
        <w:t>14</w:t>
      </w:r>
      <w:r>
        <w:rPr>
          <w:rFonts w:ascii="宋体" w:hAnsi="宋体"/>
          <w:color w:val="000000" w:themeColor="text1"/>
          <w:szCs w:val="21"/>
          <w:u w:val="single"/>
          <w14:textFill>
            <w14:solidFill>
              <w14:schemeClr w14:val="tx1"/>
            </w14:solidFill>
          </w14:textFill>
        </w:rPr>
        <w:t>点</w:t>
      </w:r>
      <w:r>
        <w:rPr>
          <w:rFonts w:hint="eastAsia" w:ascii="宋体" w:hAnsi="宋体"/>
          <w:color w:val="000000" w:themeColor="text1"/>
          <w:szCs w:val="21"/>
          <w:u w:val="single"/>
          <w:lang w:val="en-US" w:eastAsia="zh-CN"/>
          <w14:textFill>
            <w14:solidFill>
              <w14:schemeClr w14:val="tx1"/>
            </w14:solidFill>
          </w14:textFill>
        </w:rPr>
        <w:t>3</w:t>
      </w:r>
      <w:r>
        <w:rPr>
          <w:rFonts w:ascii="宋体" w:hAnsi="宋体"/>
          <w:color w:val="000000" w:themeColor="text1"/>
          <w:szCs w:val="21"/>
          <w:u w:val="single"/>
          <w14:textFill>
            <w14:solidFill>
              <w14:schemeClr w14:val="tx1"/>
            </w14:solidFill>
          </w14:textFill>
        </w:rPr>
        <w:t>0分（</w:t>
      </w:r>
      <w:r>
        <w:rPr>
          <w:rFonts w:ascii="宋体" w:hAnsi="宋体"/>
          <w:color w:val="000000" w:themeColor="text1"/>
          <w:szCs w:val="21"/>
          <w14:textFill>
            <w14:solidFill>
              <w14:schemeClr w14:val="tx1"/>
            </w14:solidFill>
          </w14:textFill>
        </w:rPr>
        <w:t>北京时间）前递交投标文件</w:t>
      </w:r>
      <w:r>
        <w:rPr>
          <w:rFonts w:hint="eastAsia" w:ascii="宋体" w:hAnsi="宋体"/>
          <w:color w:val="000000" w:themeColor="text1"/>
          <w:szCs w:val="21"/>
          <w14:textFill>
            <w14:solidFill>
              <w14:schemeClr w14:val="tx1"/>
            </w14:solidFill>
          </w14:textFill>
        </w:rPr>
        <w:t>。</w:t>
      </w:r>
    </w:p>
    <w:p w14:paraId="32690A76">
      <w:pPr>
        <w:pStyle w:val="3"/>
        <w:spacing w:line="360" w:lineRule="auto"/>
        <w:rPr>
          <w:rFonts w:ascii="宋体" w:hAnsi="宋体" w:eastAsia="宋体" w:cs="宋体"/>
          <w:color w:val="000000" w:themeColor="text1"/>
          <w:sz w:val="24"/>
          <w:szCs w:val="24"/>
          <w14:textFill>
            <w14:solidFill>
              <w14:schemeClr w14:val="tx1"/>
            </w14:solidFill>
          </w14:textFill>
        </w:rPr>
      </w:pPr>
      <w:bookmarkStart w:id="2" w:name="_Toc35393798"/>
      <w:bookmarkStart w:id="3" w:name="_Toc28359089"/>
      <w:bookmarkStart w:id="4" w:name="_Toc28359012"/>
      <w:bookmarkStart w:id="5" w:name="_Toc35393629"/>
      <w:r>
        <w:rPr>
          <w:rFonts w:hint="eastAsia" w:ascii="宋体" w:hAnsi="宋体" w:eastAsia="宋体" w:cs="宋体"/>
          <w:color w:val="000000" w:themeColor="text1"/>
          <w:sz w:val="24"/>
          <w:szCs w:val="24"/>
          <w14:textFill>
            <w14:solidFill>
              <w14:schemeClr w14:val="tx1"/>
            </w14:solidFill>
          </w14:textFill>
        </w:rPr>
        <w:t>一、项目基本情况</w:t>
      </w:r>
      <w:bookmarkEnd w:id="2"/>
      <w:bookmarkEnd w:id="3"/>
      <w:bookmarkEnd w:id="4"/>
      <w:bookmarkEnd w:id="5"/>
    </w:p>
    <w:p w14:paraId="31BE1B88">
      <w:pPr>
        <w:spacing w:line="360" w:lineRule="auto"/>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1.项目编号：</w:t>
      </w:r>
      <w:r>
        <w:rPr>
          <w:rFonts w:hint="eastAsia" w:ascii="宋体" w:hAnsi="宋体" w:cs="宋体"/>
          <w:color w:val="000000" w:themeColor="text1"/>
          <w:lang w:eastAsia="zh-CN"/>
          <w14:textFill>
            <w14:solidFill>
              <w14:schemeClr w14:val="tx1"/>
            </w14:solidFill>
          </w14:textFill>
        </w:rPr>
        <w:t>JSZC-321023-JTGC-G2026-0007</w:t>
      </w:r>
    </w:p>
    <w:p w14:paraId="4BE6D344">
      <w:pPr>
        <w:spacing w:line="360" w:lineRule="auto"/>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2.项目名称：</w:t>
      </w:r>
      <w:r>
        <w:rPr>
          <w:rFonts w:hint="eastAsia" w:ascii="宋体" w:hAnsi="宋体" w:cs="宋体"/>
          <w:color w:val="000000" w:themeColor="text1"/>
          <w:lang w:eastAsia="zh-CN"/>
          <w14:textFill>
            <w14:solidFill>
              <w14:schemeClr w14:val="tx1"/>
            </w14:solidFill>
          </w14:textFill>
        </w:rPr>
        <w:t>宝应县安宜实验学校及沿河校区2026-2027学年学生军事化管理项目</w:t>
      </w:r>
    </w:p>
    <w:p w14:paraId="2189F027">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3.预算金额：</w:t>
      </w:r>
      <w:r>
        <w:rPr>
          <w:rFonts w:hint="eastAsia" w:ascii="宋体" w:hAnsi="宋体" w:cs="宋体"/>
          <w:color w:val="000000" w:themeColor="text1"/>
          <w:lang w:val="en-US" w:eastAsia="zh-CN"/>
          <w14:textFill>
            <w14:solidFill>
              <w14:schemeClr w14:val="tx1"/>
            </w14:solidFill>
          </w14:textFill>
        </w:rPr>
        <w:t>112</w:t>
      </w:r>
      <w:r>
        <w:rPr>
          <w:rFonts w:hint="eastAsia" w:ascii="宋体" w:hAnsi="宋体" w:cs="宋体"/>
          <w:color w:val="000000" w:themeColor="text1"/>
          <w14:textFill>
            <w14:solidFill>
              <w14:schemeClr w14:val="tx1"/>
            </w14:solidFill>
          </w14:textFill>
        </w:rPr>
        <w:t>万元。</w:t>
      </w:r>
    </w:p>
    <w:p w14:paraId="461DEBC5">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4.最高限价：</w:t>
      </w:r>
      <w:r>
        <w:rPr>
          <w:rFonts w:hint="eastAsia" w:ascii="宋体" w:hAnsi="宋体" w:cs="宋体"/>
          <w:color w:val="000000" w:themeColor="text1"/>
          <w:lang w:val="en-US" w:eastAsia="zh-CN"/>
          <w14:textFill>
            <w14:solidFill>
              <w14:schemeClr w14:val="tx1"/>
            </w14:solidFill>
          </w14:textFill>
        </w:rPr>
        <w:t>112</w:t>
      </w:r>
      <w:r>
        <w:rPr>
          <w:rFonts w:hint="eastAsia" w:ascii="宋体" w:hAnsi="宋体" w:cs="宋体"/>
          <w:color w:val="000000" w:themeColor="text1"/>
          <w14:textFill>
            <w14:solidFill>
              <w14:schemeClr w14:val="tx1"/>
            </w14:solidFill>
          </w14:textFill>
        </w:rPr>
        <w:t>万元。</w:t>
      </w:r>
    </w:p>
    <w:p w14:paraId="7F980249">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5.采购需求：见招标文件第四章</w:t>
      </w:r>
    </w:p>
    <w:p w14:paraId="2005CFE4">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6.合同履行期限：合同签订之日起</w:t>
      </w:r>
      <w:r>
        <w:rPr>
          <w:rFonts w:hint="eastAsia" w:ascii="宋体" w:hAnsi="宋体" w:cs="宋体"/>
          <w:color w:val="000000" w:themeColor="text1"/>
          <w:lang w:eastAsia="zh-CN"/>
          <w14:textFill>
            <w14:solidFill>
              <w14:schemeClr w14:val="tx1"/>
            </w14:solidFill>
          </w14:textFill>
        </w:rPr>
        <w:t>壹</w:t>
      </w:r>
      <w:r>
        <w:rPr>
          <w:rFonts w:hint="eastAsia" w:ascii="宋体" w:hAnsi="宋体" w:cs="宋体"/>
          <w:color w:val="000000" w:themeColor="text1"/>
          <w14:textFill>
            <w14:solidFill>
              <w14:schemeClr w14:val="tx1"/>
            </w14:solidFill>
          </w14:textFill>
        </w:rPr>
        <w:t>年。</w:t>
      </w:r>
    </w:p>
    <w:p w14:paraId="688A97D4">
      <w:pPr>
        <w:spacing w:line="360" w:lineRule="auto"/>
        <w:ind w:firstLine="420"/>
        <w:rPr>
          <w:rFonts w:ascii="宋体" w:hAnsi="宋体" w:cs="宋体"/>
          <w:color w:val="000000" w:themeColor="text1"/>
          <w14:textFill>
            <w14:solidFill>
              <w14:schemeClr w14:val="tx1"/>
            </w14:solidFill>
          </w14:textFill>
        </w:rPr>
      </w:pPr>
      <w:bookmarkStart w:id="6" w:name="_Toc28359090"/>
      <w:bookmarkStart w:id="7" w:name="_Toc35393799"/>
      <w:bookmarkStart w:id="8" w:name="_Toc35393630"/>
      <w:bookmarkStart w:id="9" w:name="_Toc28359013"/>
      <w:r>
        <w:rPr>
          <w:rFonts w:hint="eastAsia" w:ascii="宋体" w:hAnsi="宋体" w:cs="宋体"/>
          <w:color w:val="000000" w:themeColor="text1"/>
          <w14:textFill>
            <w14:solidFill>
              <w14:schemeClr w14:val="tx1"/>
            </w14:solidFill>
          </w14:textFill>
        </w:rPr>
        <w:t>7.本项目</w:t>
      </w:r>
      <w:bookmarkStart w:id="10" w:name="XMISLHT_1"/>
      <w:r>
        <w:rPr>
          <w:rFonts w:hint="eastAsia" w:ascii="宋体" w:hAnsi="宋体" w:cs="宋体"/>
          <w:color w:val="000000" w:themeColor="text1"/>
          <w14:textFill>
            <w14:solidFill>
              <w14:schemeClr w14:val="tx1"/>
            </w14:solidFill>
          </w14:textFill>
        </w:rPr>
        <w:t>不接受</w:t>
      </w:r>
      <w:bookmarkEnd w:id="10"/>
      <w:r>
        <w:rPr>
          <w:rFonts w:hint="eastAsia" w:ascii="宋体" w:hAnsi="宋体" w:cs="宋体"/>
          <w:color w:val="000000" w:themeColor="text1"/>
          <w14:textFill>
            <w14:solidFill>
              <w14:schemeClr w14:val="tx1"/>
            </w14:solidFill>
          </w14:textFill>
        </w:rPr>
        <w:t>联合体投标。</w:t>
      </w:r>
    </w:p>
    <w:p w14:paraId="4AE64C80">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8.本项目不接受进口产品投标。</w:t>
      </w:r>
    </w:p>
    <w:p w14:paraId="209DDBB6">
      <w:pPr>
        <w:pStyle w:val="3"/>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二、申请人的资格要求：</w:t>
      </w:r>
      <w:bookmarkEnd w:id="6"/>
      <w:bookmarkEnd w:id="7"/>
      <w:bookmarkEnd w:id="8"/>
      <w:bookmarkEnd w:id="9"/>
    </w:p>
    <w:p w14:paraId="1EBCBA38">
      <w:pPr>
        <w:spacing w:line="360" w:lineRule="auto"/>
        <w:ind w:firstLine="420"/>
        <w:rPr>
          <w:rFonts w:ascii="宋体" w:hAnsi="宋体" w:cs="宋体"/>
          <w:color w:val="000000" w:themeColor="text1"/>
          <w:szCs w:val="21"/>
          <w14:textFill>
            <w14:solidFill>
              <w14:schemeClr w14:val="tx1"/>
            </w14:solidFill>
          </w14:textFill>
        </w:rPr>
      </w:pPr>
      <w:bookmarkStart w:id="11" w:name="_Toc35393631"/>
      <w:bookmarkStart w:id="12" w:name="_Toc28359091"/>
      <w:bookmarkStart w:id="13" w:name="_Toc35393800"/>
      <w:bookmarkStart w:id="14" w:name="_Toc28359014"/>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3860EE2B">
      <w:pPr>
        <w:spacing w:line="360" w:lineRule="auto"/>
        <w:ind w:firstLine="42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1.1法人或者其他组织的营业执照等证明文件，自然人的身份证明</w:t>
      </w:r>
    </w:p>
    <w:p w14:paraId="31B9FBA0">
      <w:pPr>
        <w:spacing w:line="360" w:lineRule="auto"/>
        <w:ind w:firstLine="42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 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w:t>
      </w:r>
      <w:r>
        <w:rPr>
          <w:rFonts w:hint="eastAsia" w:ascii="宋体" w:hAnsi="宋体" w:cs="宋体"/>
          <w:b/>
          <w:bCs/>
          <w:i/>
          <w:iCs/>
          <w:color w:val="000000" w:themeColor="text1"/>
          <w:szCs w:val="21"/>
          <w:u w:val="single"/>
          <w:lang w:val="en-US" w:eastAsia="zh-CN"/>
          <w14:textFill>
            <w14:solidFill>
              <w14:schemeClr w14:val="tx1"/>
            </w14:solidFill>
          </w14:textFill>
        </w:rPr>
        <w:t>一年</w:t>
      </w:r>
      <w:r>
        <w:rPr>
          <w:rFonts w:hint="eastAsia" w:ascii="宋体" w:hAnsi="宋体" w:cs="宋体"/>
          <w:b/>
          <w:bCs/>
          <w:i/>
          <w:iCs/>
          <w:color w:val="000000" w:themeColor="text1"/>
          <w:szCs w:val="21"/>
          <w:u w:val="single"/>
          <w14:textFill>
            <w14:solidFill>
              <w14:schemeClr w14:val="tx1"/>
            </w14:solidFill>
          </w14:textFill>
        </w:rPr>
        <w:t>内任意一个月缴纳职工社会保障资金的缴款凭证或缴款证明)（投标人依法享受缓缴、免缴的提供证明材料）</w:t>
      </w:r>
    </w:p>
    <w:p w14:paraId="7DA8051D">
      <w:pPr>
        <w:spacing w:line="360" w:lineRule="auto"/>
        <w:ind w:firstLine="420"/>
        <w:rPr>
          <w:rFonts w:ascii="宋体" w:hAnsi="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 投标人近</w:t>
      </w:r>
      <w:r>
        <w:rPr>
          <w:rFonts w:hint="eastAsia" w:ascii="宋体" w:hAnsi="宋体" w:cs="宋体"/>
          <w:i/>
          <w:iCs/>
          <w:color w:val="000000" w:themeColor="text1"/>
          <w:szCs w:val="21"/>
          <w:u w:val="single"/>
          <w:lang w:val="en-US" w:eastAsia="zh-CN"/>
          <w14:textFill>
            <w14:solidFill>
              <w14:schemeClr w14:val="tx1"/>
            </w14:solidFill>
          </w14:textFill>
        </w:rPr>
        <w:t>一年</w:t>
      </w:r>
      <w:r>
        <w:rPr>
          <w:rFonts w:hint="eastAsia" w:ascii="宋体" w:hAnsi="宋体" w:cs="宋体"/>
          <w:i/>
          <w:iCs/>
          <w:color w:val="000000" w:themeColor="text1"/>
          <w:szCs w:val="21"/>
          <w:u w:val="single"/>
          <w14:textFill>
            <w14:solidFill>
              <w14:schemeClr w14:val="tx1"/>
            </w14:solidFill>
          </w14:textFill>
        </w:rPr>
        <w:t>内任意一份依法纳税的缴款凭证</w:t>
      </w:r>
      <w:r>
        <w:rPr>
          <w:rFonts w:hint="eastAsia" w:ascii="宋体" w:hAnsi="宋体" w:cs="宋体"/>
          <w:b/>
          <w:bCs/>
          <w:i/>
          <w:iCs/>
          <w:color w:val="000000" w:themeColor="text1"/>
          <w:szCs w:val="21"/>
          <w:u w:val="single"/>
          <w14:textFill>
            <w14:solidFill>
              <w14:schemeClr w14:val="tx1"/>
            </w14:solidFill>
          </w14:textFill>
        </w:rPr>
        <w:t>（投标人依法享受缓缴、免缴的提供证明材料）</w:t>
      </w:r>
    </w:p>
    <w:p w14:paraId="11DA2AC9">
      <w:pPr>
        <w:spacing w:line="360" w:lineRule="auto"/>
        <w:ind w:firstLine="42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 上一年度的财务报告情况</w:t>
      </w:r>
      <w:r>
        <w:rPr>
          <w:rFonts w:hint="eastAsia" w:ascii="宋体" w:hAnsi="宋体" w:cs="宋体"/>
          <w:b/>
          <w:bCs/>
          <w:i/>
          <w:iCs/>
          <w:color w:val="000000" w:themeColor="text1"/>
          <w:szCs w:val="21"/>
          <w:u w:val="single"/>
          <w14:textFill>
            <w14:solidFill>
              <w14:schemeClr w14:val="tx1"/>
            </w14:solidFill>
          </w14:textFill>
        </w:rPr>
        <w:t>（成立不满一年不需提供）</w:t>
      </w:r>
    </w:p>
    <w:p w14:paraId="0BEF8B51">
      <w:pPr>
        <w:spacing w:line="360" w:lineRule="auto"/>
        <w:ind w:firstLine="42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 具备履行合同所必需的设备和专业技术能力的证明材料</w:t>
      </w:r>
    </w:p>
    <w:p w14:paraId="36E48102">
      <w:pPr>
        <w:spacing w:line="360" w:lineRule="auto"/>
        <w:ind w:firstLine="42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 参加本次政府采购活动前3年内在经营活动中没有重大违法记录的书面声明</w:t>
      </w:r>
    </w:p>
    <w:p w14:paraId="6FA78794">
      <w:pPr>
        <w:spacing w:line="360" w:lineRule="auto"/>
        <w:ind w:firstLine="42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1.7供应商信用承诺函</w:t>
      </w:r>
    </w:p>
    <w:p w14:paraId="246B29FD">
      <w:pPr>
        <w:spacing w:line="360" w:lineRule="auto"/>
        <w:ind w:firstLine="42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1.8未被“信用中国”网站（</w:t>
      </w:r>
      <w:r>
        <w:rPr>
          <w:rFonts w:ascii="宋体" w:hAnsi="宋体" w:cs="宋体"/>
          <w:i/>
          <w:iCs/>
          <w:color w:val="000000" w:themeColor="text1"/>
          <w:szCs w:val="21"/>
          <w:u w:val="single"/>
          <w14:textFill>
            <w14:solidFill>
              <w14:schemeClr w14:val="tx1"/>
            </w14:solidFill>
          </w14:textFill>
        </w:rPr>
        <w:t>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6961FCDC">
      <w:pPr>
        <w:spacing w:line="360" w:lineRule="auto"/>
        <w:ind w:firstLine="420"/>
        <w:rPr>
          <w:rFonts w:ascii="宋体" w:hAnsi="宋体" w:cs="宋体"/>
          <w:bCs/>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w:t>
      </w:r>
      <w:bookmarkStart w:id="15" w:name="OLE_LINK2"/>
      <w:bookmarkStart w:id="16" w:name="OLE_LINK1"/>
      <w:r>
        <w:rPr>
          <w:rFonts w:hint="eastAsia" w:ascii="宋体" w:hAnsi="宋体" w:cs="宋体"/>
          <w:bCs/>
          <w:i/>
          <w:iCs/>
          <w:color w:val="000000" w:themeColor="text1"/>
          <w:szCs w:val="21"/>
          <w:u w:val="single"/>
          <w14:textFill>
            <w14:solidFill>
              <w14:schemeClr w14:val="tx1"/>
            </w14:solidFill>
          </w14:textFill>
        </w:rPr>
        <w:t>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bookmarkEnd w:id="15"/>
      <w:bookmarkEnd w:id="16"/>
    </w:p>
    <w:p w14:paraId="789D3F25">
      <w:pPr>
        <w:spacing w:line="360" w:lineRule="auto"/>
        <w:ind w:firstLine="420"/>
        <w:rPr>
          <w:rFonts w:ascii="宋体" w:hAnsi="宋体" w:cs="宋体"/>
          <w:bCs/>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r>
        <w:rPr>
          <w:rFonts w:hint="eastAsia" w:ascii="宋体" w:hAnsi="宋体" w:cs="宋体"/>
          <w:bCs/>
          <w:i/>
          <w:iCs/>
          <w:color w:val="000000" w:themeColor="text1"/>
          <w:szCs w:val="21"/>
          <w:u w:val="single"/>
          <w14:textFill>
            <w14:solidFill>
              <w14:schemeClr w14:val="tx1"/>
            </w14:solidFill>
          </w14:textFill>
        </w:rPr>
        <w:t>无。</w:t>
      </w:r>
    </w:p>
    <w:p w14:paraId="5B1A1BF1">
      <w:pPr>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w:t>
      </w:r>
      <w:bookmarkEnd w:id="11"/>
      <w:bookmarkEnd w:id="12"/>
      <w:bookmarkEnd w:id="13"/>
      <w:bookmarkEnd w:id="14"/>
      <w:r>
        <w:rPr>
          <w:rFonts w:hint="eastAsia" w:ascii="宋体" w:hAnsi="宋体" w:cs="宋体"/>
          <w:b/>
          <w:bCs/>
          <w:color w:val="000000" w:themeColor="text1"/>
          <w:sz w:val="24"/>
          <w14:textFill>
            <w14:solidFill>
              <w14:schemeClr w14:val="tx1"/>
            </w14:solidFill>
          </w14:textFill>
        </w:rPr>
        <w:t>获取招标文件</w:t>
      </w:r>
    </w:p>
    <w:p w14:paraId="4109151C">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1.时间：自招标公告发布之日起5个工作日。</w:t>
      </w:r>
    </w:p>
    <w:p w14:paraId="5D0C95E9">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2.获取方式：本项目采用网上注册登记方式。</w:t>
      </w:r>
    </w:p>
    <w:p w14:paraId="2F89DAD6">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3.潜在供应商访问政府采购管理交易系统（苏采云）的网络地址和方法：</w:t>
      </w:r>
    </w:p>
    <w:p w14:paraId="0BF03FE4">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9935613">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（2）“CA数字证书”的获取：供应商需办理CA锁，“苏采云”系统目前仅支持“苏采云”系统下的政务CA，省内各地区办理的“苏采云”系统下的政务CA全省通用。</w:t>
      </w:r>
    </w:p>
    <w:p w14:paraId="2539FE56">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（3）“CA数字证书”的办理材料以及供应商操作手册详见：</w:t>
      </w:r>
    </w:p>
    <w:p w14:paraId="59611058">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http://zfcg.yangzhou.gov.cn/zfcg/xzzx/202309/4d7de1f7865f4a2894fc22bc452f94d8.shtml。</w:t>
      </w:r>
    </w:p>
    <w:p w14:paraId="21D46883">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（4）潜在供应商访问“苏采云”系统的网络地址和方法：“苏采云”系统的网址：http://jszfcg.jsczt.cn/。</w:t>
      </w:r>
    </w:p>
    <w:p w14:paraId="0D94D760">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（5）采购文件（后缀名为“.kedt”）、供应商操作手册及政府采购客户端工具也可通过“苏采云”系统--已报名项目--报名详情页面内相应链接进行下载。</w:t>
      </w:r>
    </w:p>
    <w:p w14:paraId="136A0A39">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（6）招标代理机构（采购代理机构）将数据电文形式的采购文件加载至“苏采云”系统，供潜在供应商下载或者查阅。  </w:t>
      </w:r>
    </w:p>
    <w:p w14:paraId="4B141958">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（7）苏采云系统使用谷歌浏览器参与不见面开标。</w:t>
      </w:r>
    </w:p>
    <w:p w14:paraId="523CC9F1">
      <w:pPr>
        <w:pStyle w:val="3"/>
        <w:spacing w:line="360" w:lineRule="auto"/>
        <w:rPr>
          <w:rFonts w:ascii="宋体" w:hAnsi="宋体" w:eastAsia="宋体" w:cs="宋体"/>
          <w:color w:val="000000" w:themeColor="text1"/>
          <w:sz w:val="24"/>
          <w:szCs w:val="24"/>
          <w14:textFill>
            <w14:solidFill>
              <w14:schemeClr w14:val="tx1"/>
            </w14:solidFill>
          </w14:textFill>
        </w:rPr>
      </w:pPr>
      <w:bookmarkStart w:id="17" w:name="_Toc28359092"/>
      <w:bookmarkStart w:id="18" w:name="_Toc35393801"/>
      <w:bookmarkStart w:id="19" w:name="_Toc28359015"/>
      <w:bookmarkStart w:id="20" w:name="_Toc35393632"/>
      <w:r>
        <w:rPr>
          <w:rFonts w:hint="eastAsia" w:ascii="宋体" w:hAnsi="宋体" w:eastAsia="宋体" w:cs="宋体"/>
          <w:color w:val="000000" w:themeColor="text1"/>
          <w:sz w:val="24"/>
          <w:szCs w:val="24"/>
          <w14:textFill>
            <w14:solidFill>
              <w14:schemeClr w14:val="tx1"/>
            </w14:solidFill>
          </w14:textFill>
        </w:rPr>
        <w:t>四、</w:t>
      </w:r>
      <w:bookmarkEnd w:id="17"/>
      <w:bookmarkEnd w:id="18"/>
      <w:bookmarkEnd w:id="19"/>
      <w:bookmarkEnd w:id="20"/>
      <w:r>
        <w:rPr>
          <w:rFonts w:hint="eastAsia" w:ascii="宋体" w:hAnsi="宋体" w:eastAsia="宋体" w:cs="宋体"/>
          <w:color w:val="000000" w:themeColor="text1"/>
          <w:sz w:val="24"/>
          <w:szCs w:val="24"/>
          <w14:textFill>
            <w14:solidFill>
              <w14:schemeClr w14:val="tx1"/>
            </w14:solidFill>
          </w14:textFill>
        </w:rPr>
        <w:t>提交投标文件截止时间、开标时间和地点</w:t>
      </w:r>
    </w:p>
    <w:p w14:paraId="1FD04609">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截止时间：</w:t>
      </w:r>
      <w:r>
        <w:rPr>
          <w:rFonts w:hint="eastAsia" w:ascii="宋体" w:hAnsi="宋体"/>
          <w:color w:val="000000" w:themeColor="text1"/>
          <w:szCs w:val="21"/>
          <w:u w:val="single"/>
          <w14:textFill>
            <w14:solidFill>
              <w14:schemeClr w14:val="tx1"/>
            </w14:solidFill>
          </w14:textFill>
        </w:rPr>
        <w:t>202</w:t>
      </w:r>
      <w:r>
        <w:rPr>
          <w:rFonts w:hint="eastAsia" w:ascii="宋体" w:hAnsi="宋体"/>
          <w:color w:val="000000" w:themeColor="text1"/>
          <w:szCs w:val="21"/>
          <w:u w:val="single"/>
          <w:lang w:val="en-US" w:eastAsia="zh-CN"/>
          <w14:textFill>
            <w14:solidFill>
              <w14:schemeClr w14:val="tx1"/>
            </w14:solidFill>
          </w14:textFill>
        </w:rPr>
        <w:t>6</w:t>
      </w:r>
      <w:r>
        <w:rPr>
          <w:rFonts w:hint="eastAsia" w:ascii="宋体" w:hAnsi="宋体"/>
          <w:color w:val="000000" w:themeColor="text1"/>
          <w:szCs w:val="21"/>
          <w:u w:val="single"/>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08</w:t>
      </w:r>
      <w:r>
        <w:rPr>
          <w:rFonts w:hint="eastAsia" w:ascii="宋体" w:hAnsi="宋体"/>
          <w:color w:val="000000" w:themeColor="text1"/>
          <w:szCs w:val="21"/>
          <w:u w:val="single"/>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18</w:t>
      </w:r>
      <w:r>
        <w:rPr>
          <w:rFonts w:hint="eastAsia" w:ascii="宋体" w:hAnsi="宋体"/>
          <w:color w:val="000000" w:themeColor="text1"/>
          <w:szCs w:val="21"/>
          <w:u w:val="single"/>
          <w14:textFill>
            <w14:solidFill>
              <w14:schemeClr w14:val="tx1"/>
            </w14:solidFill>
          </w14:textFill>
        </w:rPr>
        <w:t>日</w:t>
      </w:r>
      <w:r>
        <w:rPr>
          <w:rFonts w:hint="eastAsia" w:ascii="宋体" w:hAnsi="宋体"/>
          <w:bCs/>
          <w:color w:val="000000" w:themeColor="text1"/>
          <w:szCs w:val="21"/>
          <w:u w:val="single"/>
          <w:lang w:val="en-US" w:eastAsia="zh-CN"/>
          <w14:textFill>
            <w14:solidFill>
              <w14:schemeClr w14:val="tx1"/>
            </w14:solidFill>
          </w14:textFill>
        </w:rPr>
        <w:t>14</w:t>
      </w:r>
      <w:r>
        <w:rPr>
          <w:rFonts w:hint="eastAsia" w:ascii="宋体" w:hAnsi="宋体"/>
          <w:bCs/>
          <w:color w:val="000000" w:themeColor="text1"/>
          <w:szCs w:val="21"/>
          <w:u w:val="single"/>
          <w14:textFill>
            <w14:solidFill>
              <w14:schemeClr w14:val="tx1"/>
            </w14:solidFill>
          </w14:textFill>
        </w:rPr>
        <w:t>点</w:t>
      </w:r>
      <w:r>
        <w:rPr>
          <w:rFonts w:hint="eastAsia" w:ascii="宋体" w:hAnsi="宋体"/>
          <w:bCs/>
          <w:color w:val="000000" w:themeColor="text1"/>
          <w:szCs w:val="21"/>
          <w:u w:val="single"/>
          <w:lang w:val="en-US" w:eastAsia="zh-CN"/>
          <w14:textFill>
            <w14:solidFill>
              <w14:schemeClr w14:val="tx1"/>
            </w14:solidFill>
          </w14:textFill>
        </w:rPr>
        <w:t>3</w:t>
      </w:r>
      <w:r>
        <w:rPr>
          <w:rFonts w:hint="eastAsia" w:ascii="宋体" w:hAnsi="宋体"/>
          <w:bCs/>
          <w:color w:val="000000" w:themeColor="text1"/>
          <w:szCs w:val="21"/>
          <w:u w:val="single"/>
          <w14:textFill>
            <w14:solidFill>
              <w14:schemeClr w14:val="tx1"/>
            </w14:solidFill>
          </w14:textFill>
        </w:rPr>
        <w:t>0分</w:t>
      </w:r>
      <w:r>
        <w:rPr>
          <w:rFonts w:hint="eastAsia" w:ascii="宋体" w:hAnsi="宋体" w:cs="宋体"/>
          <w:color w:val="000000" w:themeColor="text1"/>
          <w:szCs w:val="21"/>
          <w:u w:val="single"/>
          <w14:textFill>
            <w14:solidFill>
              <w14:schemeClr w14:val="tx1"/>
            </w14:solidFill>
          </w14:textFill>
        </w:rPr>
        <w:t>（北京时间）</w:t>
      </w:r>
      <w:r>
        <w:rPr>
          <w:rFonts w:hint="eastAsia" w:ascii="宋体" w:hAnsi="宋体" w:cs="宋体"/>
          <w:color w:val="000000" w:themeColor="text1"/>
          <w:szCs w:val="21"/>
          <w14:textFill>
            <w14:solidFill>
              <w14:schemeClr w14:val="tx1"/>
            </w14:solidFill>
          </w14:textFill>
        </w:rPr>
        <w:t>（自招标文件开始发出之日起至投标人提交投标文件截止之日止，不得少于20日）</w:t>
      </w:r>
    </w:p>
    <w:p w14:paraId="21134849">
      <w:pPr>
        <w:spacing w:line="440" w:lineRule="exact"/>
        <w:ind w:firstLine="42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地点：</w:t>
      </w:r>
      <w:r>
        <w:rPr>
          <w:rFonts w:hint="eastAsia" w:ascii="宋体" w:hAnsi="宋体" w:cs="宋体"/>
          <w:b/>
          <w:bCs/>
          <w:color w:val="000000" w:themeColor="text1"/>
          <w:szCs w:val="21"/>
          <w:shd w:val="clear" w:color="auto" w:fill="FFFFFF"/>
          <w14:textFill>
            <w14:solidFill>
              <w14:schemeClr w14:val="tx1"/>
            </w14:solidFill>
          </w14:textFill>
        </w:rPr>
        <w:t>“苏采云”系统（网址： http://jszfcg.jsczt.cn/）“开标大厅”</w:t>
      </w:r>
    </w:p>
    <w:p w14:paraId="38599DDD">
      <w:pPr>
        <w:pStyle w:val="3"/>
        <w:spacing w:line="360" w:lineRule="auto"/>
        <w:rPr>
          <w:rFonts w:ascii="宋体" w:hAnsi="宋体" w:eastAsia="宋体" w:cs="宋体"/>
          <w:color w:val="000000" w:themeColor="text1"/>
          <w:sz w:val="24"/>
          <w:szCs w:val="24"/>
          <w14:textFill>
            <w14:solidFill>
              <w14:schemeClr w14:val="tx1"/>
            </w14:solidFill>
          </w14:textFill>
        </w:rPr>
      </w:pPr>
      <w:bookmarkStart w:id="21" w:name="_Toc35393634"/>
      <w:bookmarkStart w:id="22" w:name="_Toc28359017"/>
      <w:bookmarkStart w:id="23" w:name="_Toc35393803"/>
      <w:bookmarkStart w:id="24" w:name="_Toc28359094"/>
      <w:r>
        <w:rPr>
          <w:rFonts w:hint="eastAsia" w:ascii="宋体" w:hAnsi="宋体" w:eastAsia="宋体" w:cs="宋体"/>
          <w:color w:val="000000" w:themeColor="text1"/>
          <w:sz w:val="24"/>
          <w:szCs w:val="24"/>
          <w14:textFill>
            <w14:solidFill>
              <w14:schemeClr w14:val="tx1"/>
            </w14:solidFill>
          </w14:textFill>
        </w:rPr>
        <w:t>五、公告期限</w:t>
      </w:r>
      <w:bookmarkEnd w:id="21"/>
      <w:bookmarkEnd w:id="22"/>
      <w:bookmarkEnd w:id="23"/>
      <w:bookmarkEnd w:id="24"/>
    </w:p>
    <w:p w14:paraId="3529A2A0">
      <w:pPr>
        <w:spacing w:line="44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自本公告发布之日起5个工作日。</w:t>
      </w:r>
    </w:p>
    <w:p w14:paraId="65AB8AC7">
      <w:pPr>
        <w:pStyle w:val="3"/>
        <w:spacing w:line="360" w:lineRule="auto"/>
        <w:rPr>
          <w:rFonts w:ascii="宋体" w:hAnsi="宋体" w:eastAsia="宋体" w:cs="宋体"/>
          <w:color w:val="000000" w:themeColor="text1"/>
          <w:sz w:val="24"/>
          <w:szCs w:val="24"/>
          <w14:textFill>
            <w14:solidFill>
              <w14:schemeClr w14:val="tx1"/>
            </w14:solidFill>
          </w14:textFill>
        </w:rPr>
      </w:pPr>
      <w:bookmarkStart w:id="25" w:name="_Toc35393804"/>
      <w:bookmarkStart w:id="26" w:name="_Toc35393635"/>
      <w:r>
        <w:rPr>
          <w:rFonts w:hint="eastAsia" w:ascii="宋体" w:hAnsi="宋体" w:eastAsia="宋体" w:cs="宋体"/>
          <w:color w:val="000000" w:themeColor="text1"/>
          <w:sz w:val="24"/>
          <w:szCs w:val="24"/>
          <w14:textFill>
            <w14:solidFill>
              <w14:schemeClr w14:val="tx1"/>
            </w14:solidFill>
          </w14:textFill>
        </w:rPr>
        <w:t>六、其他补充事宜</w:t>
      </w:r>
      <w:bookmarkEnd w:id="25"/>
      <w:bookmarkEnd w:id="26"/>
    </w:p>
    <w:p w14:paraId="33B97D91">
      <w:pPr>
        <w:spacing w:line="360" w:lineRule="auto"/>
        <w:ind w:firstLine="4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14:paraId="6AB55270">
      <w:pPr>
        <w:spacing w:line="360" w:lineRule="auto"/>
        <w:ind w:firstLine="4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2.供应商如确定参加投标，可自行下载招标文件及有关资料，按照《操作手册》进行注册，领取CA和办理电子签章，并按《操作手册》要求制作、上传电子投标文件，技术支持联系方式：13813140731。</w:t>
      </w:r>
    </w:p>
    <w:p w14:paraId="1416141D">
      <w:pPr>
        <w:spacing w:line="360" w:lineRule="auto"/>
        <w:ind w:firstLine="4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3.本次招标不收取投标保证金。</w:t>
      </w:r>
    </w:p>
    <w:p w14:paraId="1C217C6F">
      <w:pPr>
        <w:spacing w:line="360" w:lineRule="auto"/>
        <w:ind w:firstLine="4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4.有关本次招标的事项若存在变动或修改，敬请及时关注“江苏省政府采购网”“扬州市政府采购网”发布的信息。</w:t>
      </w:r>
    </w:p>
    <w:p w14:paraId="09FD9311">
      <w:pPr>
        <w:spacing w:line="360" w:lineRule="auto"/>
        <w:ind w:firstLine="4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r>
        <w:rPr>
          <w:rFonts w:ascii="宋体" w:hAnsi="宋体"/>
          <w:color w:val="000000" w:themeColor="text1"/>
          <w14:textFill>
            <w14:solidFill>
              <w14:schemeClr w14:val="tx1"/>
            </w14:solidFill>
          </w14:textFill>
        </w:rPr>
        <w:t>.潜在投标人对招标文件项目需求部分的询问、质疑请向采购人提出，由采购人负责答复。</w:t>
      </w:r>
    </w:p>
    <w:p w14:paraId="28A23EC0">
      <w:pPr>
        <w:spacing w:line="440" w:lineRule="exact"/>
        <w:ind w:firstLine="420"/>
        <w:rPr>
          <w:rFonts w:ascii="宋体" w:hAnsi="宋体"/>
          <w:i/>
          <w:color w:val="000000" w:themeColor="text1"/>
          <w:u w:val="single"/>
          <w14:textFill>
            <w14:solidFill>
              <w14:schemeClr w14:val="tx1"/>
            </w14:solidFill>
          </w14:textFill>
        </w:rPr>
      </w:pPr>
      <w:r>
        <w:rPr>
          <w:rFonts w:hint="eastAsia" w:ascii="宋体" w:hAnsi="宋体"/>
          <w:i/>
          <w:color w:val="000000" w:themeColor="text1"/>
          <w:u w:val="single"/>
          <w14:textFill>
            <w14:solidFill>
              <w14:schemeClr w14:val="tx1"/>
            </w14:solidFill>
          </w14:textFill>
        </w:rPr>
        <w:t>6</w:t>
      </w:r>
      <w:r>
        <w:rPr>
          <w:rFonts w:ascii="宋体" w:hAnsi="宋体"/>
          <w:i/>
          <w:color w:val="000000" w:themeColor="text1"/>
          <w:u w:val="single"/>
          <w14:textFill>
            <w14:solidFill>
              <w14:schemeClr w14:val="tx1"/>
            </w14:solidFill>
          </w14:textFill>
        </w:rPr>
        <w:t>.本项目招标文件中所有斜体下划线部分为实质性条款，如不满足，则为无效响应。</w:t>
      </w:r>
    </w:p>
    <w:p w14:paraId="2B6F880D">
      <w:pPr>
        <w:spacing w:line="440" w:lineRule="exact"/>
        <w:rPr>
          <w:rFonts w:ascii="宋体" w:hAnsi="宋体"/>
          <w:i/>
          <w:color w:val="000000" w:themeColor="text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14:paraId="68F8F888">
      <w:pPr>
        <w:pStyle w:val="3"/>
        <w:spacing w:line="360" w:lineRule="auto"/>
        <w:rPr>
          <w:rFonts w:ascii="宋体" w:hAnsi="宋体" w:eastAsia="宋体" w:cs="宋体"/>
          <w:color w:val="000000" w:themeColor="text1"/>
          <w:sz w:val="24"/>
          <w:szCs w:val="24"/>
          <w14:textFill>
            <w14:solidFill>
              <w14:schemeClr w14:val="tx1"/>
            </w14:solidFill>
          </w14:textFill>
        </w:rPr>
      </w:pPr>
      <w:bookmarkStart w:id="27" w:name="_Toc28359018"/>
      <w:bookmarkStart w:id="28" w:name="_Toc35393805"/>
      <w:bookmarkStart w:id="29" w:name="_Toc28359095"/>
      <w:bookmarkStart w:id="30" w:name="_Toc35393636"/>
      <w:r>
        <w:rPr>
          <w:rFonts w:hint="eastAsia" w:ascii="宋体" w:hAnsi="宋体" w:eastAsia="宋体" w:cs="宋体"/>
          <w:color w:val="000000" w:themeColor="text1"/>
          <w:sz w:val="24"/>
          <w:szCs w:val="24"/>
          <w14:textFill>
            <w14:solidFill>
              <w14:schemeClr w14:val="tx1"/>
            </w14:solidFill>
          </w14:textFill>
        </w:rPr>
        <w:t>八、凡对本次采购提出询问，请按</w:t>
      </w:r>
      <w:r>
        <w:rPr>
          <w:rFonts w:ascii="宋体" w:hAnsi="宋体" w:eastAsia="宋体" w:cs="宋体"/>
          <w:color w:val="000000" w:themeColor="text1"/>
          <w:sz w:val="24"/>
          <w:szCs w:val="24"/>
          <w14:textFill>
            <w14:solidFill>
              <w14:schemeClr w14:val="tx1"/>
            </w14:solidFill>
          </w14:textFill>
        </w:rPr>
        <w:t>以下方式</w:t>
      </w:r>
      <w:r>
        <w:rPr>
          <w:rFonts w:hint="eastAsia" w:ascii="宋体" w:hAnsi="宋体" w:eastAsia="宋体" w:cs="宋体"/>
          <w:color w:val="000000" w:themeColor="text1"/>
          <w:sz w:val="24"/>
          <w:szCs w:val="24"/>
          <w14:textFill>
            <w14:solidFill>
              <w14:schemeClr w14:val="tx1"/>
            </w14:solidFill>
          </w14:textFill>
        </w:rPr>
        <w:t>联系。</w:t>
      </w:r>
      <w:bookmarkEnd w:id="27"/>
      <w:bookmarkEnd w:id="28"/>
      <w:bookmarkEnd w:id="29"/>
      <w:bookmarkEnd w:id="30"/>
    </w:p>
    <w:p w14:paraId="0DBC7816">
      <w:pPr>
        <w:spacing w:line="360" w:lineRule="auto"/>
        <w:ind w:firstLine="420"/>
        <w:rPr>
          <w:rFonts w:ascii="宋体" w:hAnsi="宋体" w:cs="宋体"/>
          <w:color w:val="000000" w:themeColor="text1"/>
          <w:szCs w:val="21"/>
          <w14:textFill>
            <w14:solidFill>
              <w14:schemeClr w14:val="tx1"/>
            </w14:solidFill>
          </w14:textFill>
        </w:rPr>
      </w:pPr>
      <w:bookmarkStart w:id="31" w:name="_Toc35393637"/>
      <w:bookmarkStart w:id="32" w:name="_Toc28359096"/>
      <w:bookmarkStart w:id="33" w:name="_Toc35393806"/>
      <w:bookmarkStart w:id="34" w:name="_Toc28359019"/>
      <w:r>
        <w:rPr>
          <w:rFonts w:hint="eastAsia" w:ascii="宋体" w:hAnsi="宋体" w:cs="宋体"/>
          <w:color w:val="000000" w:themeColor="text1"/>
          <w:szCs w:val="21"/>
          <w14:textFill>
            <w14:solidFill>
              <w14:schemeClr w14:val="tx1"/>
            </w14:solidFill>
          </w14:textFill>
        </w:rPr>
        <w:t>1.采购人信息</w:t>
      </w:r>
      <w:bookmarkEnd w:id="31"/>
      <w:bookmarkEnd w:id="32"/>
      <w:bookmarkEnd w:id="33"/>
      <w:bookmarkEnd w:id="34"/>
    </w:p>
    <w:p w14:paraId="3FE49A11">
      <w:pPr>
        <w:spacing w:line="360" w:lineRule="auto"/>
        <w:ind w:firstLine="42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w:t>
      </w:r>
      <w:r>
        <w:rPr>
          <w:rFonts w:hint="eastAsia" w:ascii="宋体" w:hAnsi="宋体" w:cs="宋体"/>
          <w:color w:val="000000" w:themeColor="text1"/>
          <w:szCs w:val="21"/>
          <w:u w:val="single"/>
          <w14:textFill>
            <w14:solidFill>
              <w14:schemeClr w14:val="tx1"/>
            </w14:solidFill>
          </w14:textFill>
        </w:rPr>
        <w:t>宝应县安宜实验学校</w:t>
      </w:r>
    </w:p>
    <w:p w14:paraId="77B092AC">
      <w:pPr>
        <w:spacing w:line="360" w:lineRule="auto"/>
        <w:ind w:firstLine="42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w:t>
      </w:r>
      <w:r>
        <w:rPr>
          <w:rFonts w:hint="eastAsia" w:ascii="宋体" w:hAnsi="宋体" w:cs="宋体"/>
          <w:color w:val="000000" w:themeColor="text1"/>
          <w:szCs w:val="21"/>
          <w:u w:val="single"/>
          <w14:textFill>
            <w14:solidFill>
              <w14:schemeClr w14:val="tx1"/>
            </w14:solidFill>
          </w14:textFill>
        </w:rPr>
        <w:t>宝应县安宜实验学校及沿河校区</w:t>
      </w:r>
    </w:p>
    <w:p w14:paraId="27FA7A1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hint="eastAsia" w:ascii="宋体" w:hAnsi="宋体" w:cs="宋体"/>
          <w:bCs/>
          <w:color w:val="000000" w:themeColor="text1"/>
          <w:szCs w:val="21"/>
          <w:u w:val="single"/>
          <w14:textFill>
            <w14:solidFill>
              <w14:schemeClr w14:val="tx1"/>
            </w14:solidFill>
          </w14:textFill>
        </w:rPr>
        <w:t>13773336869</w:t>
      </w:r>
    </w:p>
    <w:p w14:paraId="73123749">
      <w:pPr>
        <w:spacing w:line="360" w:lineRule="auto"/>
        <w:ind w:firstLine="420"/>
        <w:rPr>
          <w:rFonts w:ascii="宋体" w:hAnsi="宋体" w:cs="宋体"/>
          <w:color w:val="000000" w:themeColor="text1"/>
          <w:szCs w:val="21"/>
          <w14:textFill>
            <w14:solidFill>
              <w14:schemeClr w14:val="tx1"/>
            </w14:solidFill>
          </w14:textFill>
        </w:rPr>
      </w:pPr>
      <w:bookmarkStart w:id="35" w:name="_Toc28359097"/>
      <w:bookmarkStart w:id="36" w:name="_Toc35393638"/>
      <w:bookmarkStart w:id="37" w:name="_Toc28359020"/>
      <w:bookmarkStart w:id="38" w:name="_Toc35393807"/>
      <w:r>
        <w:rPr>
          <w:rFonts w:hint="eastAsia" w:ascii="宋体" w:hAnsi="宋体" w:cs="宋体"/>
          <w:color w:val="000000" w:themeColor="text1"/>
          <w:szCs w:val="21"/>
          <w14:textFill>
            <w14:solidFill>
              <w14:schemeClr w14:val="tx1"/>
            </w14:solidFill>
          </w14:textFill>
        </w:rPr>
        <w:t>2.采购机构信息</w:t>
      </w:r>
      <w:bookmarkEnd w:id="35"/>
      <w:bookmarkEnd w:id="36"/>
      <w:bookmarkEnd w:id="37"/>
      <w:bookmarkEnd w:id="38"/>
    </w:p>
    <w:p w14:paraId="4DE0FB2B">
      <w:pPr>
        <w:spacing w:line="360" w:lineRule="auto"/>
        <w:ind w:firstLine="42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w:t>
      </w:r>
      <w:r>
        <w:rPr>
          <w:rFonts w:hint="eastAsia" w:ascii="宋体" w:hAnsi="宋体" w:cs="宋体"/>
          <w:color w:val="000000" w:themeColor="text1"/>
          <w:szCs w:val="21"/>
          <w:u w:val="single"/>
          <w:lang w:eastAsia="zh-CN"/>
          <w14:textFill>
            <w14:solidFill>
              <w14:schemeClr w14:val="tx1"/>
            </w14:solidFill>
          </w14:textFill>
        </w:rPr>
        <w:t>江苏嘉泰工程项目管理有限公司</w:t>
      </w:r>
    </w:p>
    <w:p w14:paraId="6035AF5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w:t>
      </w:r>
      <w:r>
        <w:rPr>
          <w:rFonts w:hint="eastAsia" w:ascii="宋体" w:hAnsi="宋体" w:cs="宋体"/>
          <w:color w:val="000000" w:themeColor="text1"/>
          <w:szCs w:val="21"/>
          <w:u w:val="single"/>
          <w14:textFill>
            <w14:solidFill>
              <w14:schemeClr w14:val="tx1"/>
            </w14:solidFill>
          </w14:textFill>
        </w:rPr>
        <w:t>宝应县宝应大道</w:t>
      </w:r>
      <w:r>
        <w:rPr>
          <w:rFonts w:hint="eastAsia" w:ascii="宋体" w:hAnsi="宋体" w:cs="宋体"/>
          <w:color w:val="000000" w:themeColor="text1"/>
          <w:szCs w:val="21"/>
          <w:u w:val="single"/>
          <w:lang w:val="en-US" w:eastAsia="zh-CN"/>
          <w14:textFill>
            <w14:solidFill>
              <w14:schemeClr w14:val="tx1"/>
            </w14:solidFill>
          </w14:textFill>
        </w:rPr>
        <w:t>66</w:t>
      </w:r>
      <w:r>
        <w:rPr>
          <w:rFonts w:hint="eastAsia" w:ascii="宋体" w:hAnsi="宋体" w:cs="宋体"/>
          <w:color w:val="000000" w:themeColor="text1"/>
          <w:szCs w:val="21"/>
          <w:u w:val="single"/>
          <w14:textFill>
            <w14:solidFill>
              <w14:schemeClr w14:val="tx1"/>
            </w14:solidFill>
          </w14:textFill>
        </w:rPr>
        <w:t>号</w:t>
      </w:r>
    </w:p>
    <w:p w14:paraId="7CB88462">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ascii="宋体" w:hAnsi="宋体" w:cs="宋体"/>
          <w:color w:val="000000" w:themeColor="text1"/>
          <w:szCs w:val="21"/>
          <w:u w:val="single"/>
          <w14:textFill>
            <w14:solidFill>
              <w14:schemeClr w14:val="tx1"/>
            </w14:solidFill>
          </w14:textFill>
        </w:rPr>
        <w:t>0514-88</w:t>
      </w:r>
      <w:r>
        <w:rPr>
          <w:rFonts w:hint="eastAsia" w:ascii="宋体" w:hAnsi="宋体" w:cs="宋体"/>
          <w:color w:val="000000" w:themeColor="text1"/>
          <w:szCs w:val="21"/>
          <w:u w:val="single"/>
          <w:lang w:val="en-US" w:eastAsia="zh-CN"/>
          <w14:textFill>
            <w14:solidFill>
              <w14:schemeClr w14:val="tx1"/>
            </w14:solidFill>
          </w14:textFill>
        </w:rPr>
        <w:t>629144</w:t>
      </w:r>
    </w:p>
    <w:p w14:paraId="02314056">
      <w:pPr>
        <w:spacing w:line="360" w:lineRule="auto"/>
        <w:ind w:firstLine="420"/>
        <w:rPr>
          <w:rFonts w:ascii="宋体" w:hAnsi="宋体" w:cs="宋体"/>
          <w:color w:val="000000" w:themeColor="text1"/>
          <w:szCs w:val="21"/>
          <w14:textFill>
            <w14:solidFill>
              <w14:schemeClr w14:val="tx1"/>
            </w14:solidFill>
          </w14:textFill>
        </w:rPr>
      </w:pPr>
      <w:bookmarkStart w:id="39" w:name="_Toc35393639"/>
      <w:bookmarkStart w:id="40" w:name="_Toc35393808"/>
      <w:bookmarkStart w:id="41" w:name="_Toc28359021"/>
      <w:bookmarkStart w:id="42" w:name="_Toc28359098"/>
      <w:r>
        <w:rPr>
          <w:rFonts w:hint="eastAsia" w:ascii="宋体" w:hAnsi="宋体" w:cs="宋体"/>
          <w:color w:val="000000" w:themeColor="text1"/>
          <w:szCs w:val="21"/>
          <w14:textFill>
            <w14:solidFill>
              <w14:schemeClr w14:val="tx1"/>
            </w14:solidFill>
          </w14:textFill>
        </w:rPr>
        <w:t>3.项目联系</w:t>
      </w:r>
      <w:r>
        <w:rPr>
          <w:rFonts w:ascii="宋体" w:hAnsi="宋体" w:cs="宋体"/>
          <w:color w:val="000000" w:themeColor="text1"/>
          <w:szCs w:val="21"/>
          <w14:textFill>
            <w14:solidFill>
              <w14:schemeClr w14:val="tx1"/>
            </w14:solidFill>
          </w14:textFill>
        </w:rPr>
        <w:t>方式</w:t>
      </w:r>
      <w:bookmarkEnd w:id="39"/>
      <w:bookmarkEnd w:id="40"/>
      <w:bookmarkEnd w:id="41"/>
      <w:bookmarkEnd w:id="42"/>
    </w:p>
    <w:p w14:paraId="1A536F88">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采购人本项目联系人：</w:t>
      </w:r>
      <w:r>
        <w:rPr>
          <w:rFonts w:hint="eastAsia" w:ascii="宋体" w:hAnsi="宋体" w:cs="宋体"/>
          <w:bCs/>
          <w:color w:val="000000" w:themeColor="text1"/>
          <w:szCs w:val="21"/>
          <w:u w:val="single"/>
          <w14:textFill>
            <w14:solidFill>
              <w14:schemeClr w14:val="tx1"/>
            </w14:solidFill>
          </w14:textFill>
        </w:rPr>
        <w:t>张成宝</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电　　 话：</w:t>
      </w:r>
      <w:r>
        <w:rPr>
          <w:rFonts w:hint="eastAsia" w:ascii="宋体" w:hAnsi="宋体" w:cs="宋体"/>
          <w:bCs/>
          <w:color w:val="000000" w:themeColor="text1"/>
          <w:szCs w:val="21"/>
          <w:u w:val="single"/>
          <w:lang w:val="en-US" w:eastAsia="zh-CN"/>
          <w14:textFill>
            <w14:solidFill>
              <w14:schemeClr w14:val="tx1"/>
            </w14:solidFill>
          </w14:textFill>
        </w:rPr>
        <w:t>13773336869</w:t>
      </w:r>
    </w:p>
    <w:p w14:paraId="7A26C4F4">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代理公司</w:t>
      </w:r>
      <w:r>
        <w:rPr>
          <w:rFonts w:hint="eastAsia" w:ascii="宋体" w:hAnsi="宋体" w:cs="宋体"/>
          <w:color w:val="000000" w:themeColor="text1"/>
          <w:szCs w:val="21"/>
          <w14:textFill>
            <w14:solidFill>
              <w14:schemeClr w14:val="tx1"/>
            </w14:solidFill>
          </w14:textFill>
        </w:rPr>
        <w:t>项目联系人：</w:t>
      </w:r>
      <w:r>
        <w:rPr>
          <w:rFonts w:hint="eastAsia" w:ascii="宋体" w:hAnsi="宋体" w:cs="宋体"/>
          <w:color w:val="000000" w:themeColor="text1"/>
          <w:szCs w:val="21"/>
          <w:u w:val="single"/>
          <w:lang w:eastAsia="zh-CN"/>
          <w14:textFill>
            <w14:solidFill>
              <w14:schemeClr w14:val="tx1"/>
            </w14:solidFill>
          </w14:textFill>
        </w:rPr>
        <w:t>童兆飞</w:t>
      </w:r>
      <w:r>
        <w:rPr>
          <w:rFonts w:hint="eastAsia" w:ascii="宋体" w:hAnsi="宋体" w:cs="宋体"/>
          <w:color w:val="000000" w:themeColor="text1"/>
          <w:szCs w:val="21"/>
          <w14:textFill>
            <w14:solidFill>
              <w14:schemeClr w14:val="tx1"/>
            </w14:solidFill>
          </w14:textFill>
        </w:rPr>
        <w:t xml:space="preserve">              电　　 话：</w:t>
      </w:r>
      <w:r>
        <w:rPr>
          <w:rFonts w:hint="eastAsia" w:ascii="宋体" w:hAnsi="宋体" w:cs="宋体"/>
          <w:color w:val="000000" w:themeColor="text1"/>
          <w:szCs w:val="21"/>
          <w:u w:val="single"/>
          <w:lang w:val="en-US" w:eastAsia="zh-CN"/>
          <w14:textFill>
            <w14:solidFill>
              <w14:schemeClr w14:val="tx1"/>
            </w14:solidFill>
          </w14:textFill>
        </w:rPr>
        <w:t>13852510268</w:t>
      </w:r>
    </w:p>
    <w:p w14:paraId="2A57ECBD">
      <w:pPr>
        <w:spacing w:line="360" w:lineRule="auto"/>
        <w:ind w:firstLine="420"/>
        <w:rPr>
          <w:rFonts w:ascii="宋体" w:hAnsi="宋体" w:cs="宋体"/>
          <w:color w:val="000000" w:themeColor="text1"/>
          <w:szCs w:val="21"/>
          <w:u w:val="single"/>
          <w14:textFill>
            <w14:solidFill>
              <w14:schemeClr w14:val="tx1"/>
            </w14:solidFill>
          </w14:textFill>
        </w:rPr>
      </w:pPr>
    </w:p>
    <w:p w14:paraId="3F638664">
      <w:pPr>
        <w:spacing w:line="360" w:lineRule="auto"/>
        <w:ind w:firstLine="420"/>
        <w:rPr>
          <w:rFonts w:ascii="宋体" w:hAnsi="宋体" w:cs="宋体"/>
          <w:color w:val="000000" w:themeColor="text1"/>
          <w:szCs w:val="21"/>
          <w:u w:val="single"/>
          <w14:textFill>
            <w14:solidFill>
              <w14:schemeClr w14:val="tx1"/>
            </w14:solidFill>
          </w14:textFill>
        </w:rPr>
      </w:pPr>
    </w:p>
    <w:p w14:paraId="05F27187">
      <w:pPr>
        <w:spacing w:line="360" w:lineRule="auto"/>
        <w:ind w:firstLine="420"/>
        <w:rPr>
          <w:rFonts w:ascii="宋体" w:hAnsi="宋体" w:cs="宋体"/>
          <w:color w:val="000000" w:themeColor="text1"/>
          <w:szCs w:val="21"/>
          <w:u w:val="single"/>
          <w14:textFill>
            <w14:solidFill>
              <w14:schemeClr w14:val="tx1"/>
            </w14:solidFill>
          </w14:textFill>
        </w:rPr>
      </w:pPr>
    </w:p>
    <w:p w14:paraId="1C2CF9EC">
      <w:pPr>
        <w:spacing w:line="360" w:lineRule="auto"/>
        <w:ind w:firstLine="420"/>
        <w:rPr>
          <w:rFonts w:ascii="宋体" w:hAnsi="宋体" w:cs="宋体"/>
          <w:color w:val="000000" w:themeColor="text1"/>
          <w:szCs w:val="21"/>
          <w:u w:val="single"/>
          <w14:textFill>
            <w14:solidFill>
              <w14:schemeClr w14:val="tx1"/>
            </w14:solidFill>
          </w14:textFill>
        </w:rPr>
      </w:pPr>
    </w:p>
    <w:p w14:paraId="440B0DD2">
      <w:pPr>
        <w:spacing w:line="360" w:lineRule="auto"/>
        <w:ind w:firstLine="420"/>
        <w:rPr>
          <w:rFonts w:ascii="宋体" w:hAnsi="宋体" w:cs="宋体"/>
          <w:color w:val="000000" w:themeColor="text1"/>
          <w:szCs w:val="21"/>
          <w:u w:val="single"/>
          <w14:textFill>
            <w14:solidFill>
              <w14:schemeClr w14:val="tx1"/>
            </w14:solidFill>
          </w14:textFill>
        </w:rPr>
      </w:pPr>
    </w:p>
    <w:p w14:paraId="222DF637">
      <w:pPr>
        <w:spacing w:line="360" w:lineRule="auto"/>
        <w:ind w:firstLine="420"/>
        <w:rPr>
          <w:rFonts w:ascii="宋体" w:hAnsi="宋体" w:cs="宋体"/>
          <w:color w:val="000000" w:themeColor="text1"/>
          <w:szCs w:val="21"/>
          <w:u w:val="single"/>
          <w14:textFill>
            <w14:solidFill>
              <w14:schemeClr w14:val="tx1"/>
            </w14:solidFill>
          </w14:textFill>
        </w:rPr>
      </w:pPr>
    </w:p>
    <w:p w14:paraId="725D269D">
      <w:pPr>
        <w:spacing w:line="360" w:lineRule="auto"/>
        <w:ind w:firstLine="420"/>
        <w:rPr>
          <w:rFonts w:ascii="宋体" w:hAnsi="宋体" w:cs="宋体"/>
          <w:color w:val="000000" w:themeColor="text1"/>
          <w:szCs w:val="21"/>
          <w:u w:val="single"/>
          <w14:textFill>
            <w14:solidFill>
              <w14:schemeClr w14:val="tx1"/>
            </w14:solidFill>
          </w14:textFill>
        </w:rPr>
      </w:pPr>
    </w:p>
    <w:p w14:paraId="3BB73E32">
      <w:pPr>
        <w:spacing w:line="360" w:lineRule="auto"/>
        <w:ind w:firstLine="420"/>
        <w:rPr>
          <w:rFonts w:ascii="宋体" w:hAnsi="宋体" w:cs="宋体"/>
          <w:color w:val="000000" w:themeColor="text1"/>
          <w:szCs w:val="21"/>
          <w:u w:val="single"/>
          <w14:textFill>
            <w14:solidFill>
              <w14:schemeClr w14:val="tx1"/>
            </w14:solidFill>
          </w14:textFill>
        </w:rPr>
      </w:pPr>
    </w:p>
    <w:p w14:paraId="12B12DF6">
      <w:pPr>
        <w:spacing w:line="360" w:lineRule="auto"/>
        <w:ind w:firstLine="420"/>
        <w:rPr>
          <w:rFonts w:ascii="宋体" w:hAnsi="宋体" w:cs="宋体"/>
          <w:color w:val="000000" w:themeColor="text1"/>
          <w:szCs w:val="21"/>
          <w:u w:val="single"/>
          <w14:textFill>
            <w14:solidFill>
              <w14:schemeClr w14:val="tx1"/>
            </w14:solidFill>
          </w14:textFill>
        </w:rPr>
      </w:pPr>
    </w:p>
    <w:p w14:paraId="22927325">
      <w:pPr>
        <w:spacing w:line="360" w:lineRule="auto"/>
        <w:ind w:firstLine="420"/>
        <w:rPr>
          <w:rFonts w:ascii="宋体" w:hAnsi="宋体" w:cs="宋体"/>
          <w:color w:val="000000" w:themeColor="text1"/>
          <w:szCs w:val="21"/>
          <w:u w:val="single"/>
          <w14:textFill>
            <w14:solidFill>
              <w14:schemeClr w14:val="tx1"/>
            </w14:solidFill>
          </w14:textFill>
        </w:rPr>
      </w:pPr>
    </w:p>
    <w:p w14:paraId="4E9F153C">
      <w:pPr>
        <w:pStyle w:val="2"/>
        <w:spacing w:before="240" w:after="240"/>
        <w:jc w:val="center"/>
        <w:rPr>
          <w:rFonts w:hint="eastAsia" w:ascii="宋体" w:hAnsi="宋体"/>
          <w:color w:val="000000" w:themeColor="text1"/>
          <w:sz w:val="36"/>
          <w14:textFill>
            <w14:solidFill>
              <w14:schemeClr w14:val="tx1"/>
            </w14:solidFill>
          </w14:textFill>
        </w:rPr>
      </w:pPr>
    </w:p>
    <w:p w14:paraId="607DFDA3">
      <w:pPr>
        <w:pStyle w:val="2"/>
        <w:spacing w:before="240" w:after="240"/>
        <w:jc w:val="center"/>
        <w:rPr>
          <w:rFonts w:hint="eastAsia" w:ascii="宋体" w:hAnsi="宋体"/>
          <w:color w:val="000000" w:themeColor="text1"/>
          <w:sz w:val="36"/>
          <w14:textFill>
            <w14:solidFill>
              <w14:schemeClr w14:val="tx1"/>
            </w14:solidFill>
          </w14:textFill>
        </w:rPr>
      </w:pPr>
    </w:p>
    <w:p w14:paraId="19E46EF8">
      <w:pPr>
        <w:pStyle w:val="2"/>
        <w:spacing w:before="240" w:after="240"/>
        <w:jc w:val="center"/>
        <w:rPr>
          <w:rFonts w:hint="eastAsia" w:ascii="宋体" w:hAnsi="宋体"/>
          <w:color w:val="000000" w:themeColor="text1"/>
          <w:sz w:val="36"/>
          <w14:textFill>
            <w14:solidFill>
              <w14:schemeClr w14:val="tx1"/>
            </w14:solidFill>
          </w14:textFill>
        </w:rPr>
      </w:pPr>
    </w:p>
    <w:p w14:paraId="5DECC81E">
      <w:pPr>
        <w:pStyle w:val="2"/>
        <w:spacing w:before="240" w:after="240"/>
        <w:jc w:val="center"/>
        <w:rPr>
          <w:rFonts w:hint="eastAsia" w:ascii="宋体" w:hAnsi="宋体"/>
          <w:color w:val="000000" w:themeColor="text1"/>
          <w:sz w:val="36"/>
          <w14:textFill>
            <w14:solidFill>
              <w14:schemeClr w14:val="tx1"/>
            </w14:solidFill>
          </w14:textFill>
        </w:rPr>
      </w:pPr>
    </w:p>
    <w:p w14:paraId="503D53A3">
      <w:pPr>
        <w:pStyle w:val="2"/>
        <w:spacing w:before="240" w:after="240"/>
        <w:jc w:val="center"/>
        <w:rPr>
          <w:rFonts w:hint="eastAsia" w:ascii="宋体" w:hAnsi="宋体"/>
          <w:color w:val="000000" w:themeColor="text1"/>
          <w:sz w:val="36"/>
          <w14:textFill>
            <w14:solidFill>
              <w14:schemeClr w14:val="tx1"/>
            </w14:solidFill>
          </w14:textFill>
        </w:rPr>
      </w:pPr>
    </w:p>
    <w:p w14:paraId="6956978D">
      <w:pPr>
        <w:pStyle w:val="2"/>
        <w:spacing w:before="240" w:after="240"/>
        <w:jc w:val="center"/>
        <w:rPr>
          <w:rFonts w:hint="eastAsia" w:ascii="宋体" w:hAnsi="宋体"/>
          <w:color w:val="000000" w:themeColor="text1"/>
          <w:sz w:val="36"/>
          <w14:textFill>
            <w14:solidFill>
              <w14:schemeClr w14:val="tx1"/>
            </w14:solidFill>
          </w14:textFill>
        </w:rPr>
      </w:pPr>
    </w:p>
    <w:p w14:paraId="770A6E19">
      <w:pPr>
        <w:pStyle w:val="2"/>
        <w:spacing w:before="240" w:after="240"/>
        <w:jc w:val="center"/>
        <w:rPr>
          <w:rFonts w:hint="eastAsia" w:ascii="宋体" w:hAnsi="宋体"/>
          <w:color w:val="000000" w:themeColor="text1"/>
          <w:sz w:val="36"/>
          <w14:textFill>
            <w14:solidFill>
              <w14:schemeClr w14:val="tx1"/>
            </w14:solidFill>
          </w14:textFill>
        </w:rPr>
      </w:pPr>
    </w:p>
    <w:p w14:paraId="4C66FB0C">
      <w:pPr>
        <w:pStyle w:val="2"/>
        <w:spacing w:before="240" w:after="240"/>
        <w:jc w:val="center"/>
        <w:rPr>
          <w:rFonts w:hint="eastAsia" w:ascii="宋体" w:hAnsi="宋体"/>
          <w:color w:val="000000" w:themeColor="text1"/>
          <w:sz w:val="36"/>
          <w14:textFill>
            <w14:solidFill>
              <w14:schemeClr w14:val="tx1"/>
            </w14:solidFill>
          </w14:textFill>
        </w:rPr>
      </w:pPr>
    </w:p>
    <w:p w14:paraId="141ABBB2">
      <w:pPr>
        <w:pStyle w:val="2"/>
        <w:spacing w:before="240" w:after="240"/>
        <w:jc w:val="center"/>
        <w:rPr>
          <w:rFonts w:hint="eastAsia" w:ascii="宋体" w:hAnsi="宋体"/>
          <w:color w:val="000000" w:themeColor="text1"/>
          <w:sz w:val="36"/>
          <w14:textFill>
            <w14:solidFill>
              <w14:schemeClr w14:val="tx1"/>
            </w14:solidFill>
          </w14:textFill>
        </w:rPr>
      </w:pPr>
    </w:p>
    <w:p w14:paraId="1705FA2B">
      <w:pPr>
        <w:pStyle w:val="2"/>
        <w:spacing w:before="240" w:after="240"/>
        <w:jc w:val="center"/>
        <w:rPr>
          <w:rFonts w:hint="eastAsia" w:ascii="宋体" w:hAnsi="宋体"/>
          <w:color w:val="000000" w:themeColor="text1"/>
          <w:sz w:val="36"/>
          <w14:textFill>
            <w14:solidFill>
              <w14:schemeClr w14:val="tx1"/>
            </w14:solidFill>
          </w14:textFill>
        </w:rPr>
      </w:pPr>
    </w:p>
    <w:p w14:paraId="0D412329">
      <w:pPr>
        <w:pStyle w:val="2"/>
        <w:spacing w:before="240" w:after="240"/>
        <w:jc w:val="center"/>
        <w:rPr>
          <w:rFonts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t>第二章 投标人须知</w:t>
      </w:r>
      <w:bookmarkEnd w:id="1"/>
    </w:p>
    <w:p w14:paraId="17E61B1D">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43" w:name="_Toc458694821"/>
      <w:bookmarkStart w:id="44" w:name="_Toc513029204"/>
      <w:bookmarkStart w:id="45" w:name="_Toc16938520"/>
      <w:bookmarkStart w:id="46" w:name="_Toc20823276"/>
      <w:r>
        <w:rPr>
          <w:rFonts w:hint="eastAsia" w:ascii="宋体" w:hAnsi="宋体" w:eastAsia="宋体" w:cs="宋体"/>
          <w:bCs w:val="0"/>
          <w:color w:val="000000" w:themeColor="text1"/>
          <w:sz w:val="21"/>
          <w:szCs w:val="21"/>
          <w14:textFill>
            <w14:solidFill>
              <w14:schemeClr w14:val="tx1"/>
            </w14:solidFill>
          </w14:textFill>
        </w:rPr>
        <w:t>1</w:t>
      </w:r>
      <w:bookmarkEnd w:id="43"/>
      <w:r>
        <w:rPr>
          <w:rFonts w:hint="eastAsia" w:ascii="宋体" w:hAnsi="宋体" w:eastAsia="宋体" w:cs="宋体"/>
          <w:bCs w:val="0"/>
          <w:color w:val="000000" w:themeColor="text1"/>
          <w:sz w:val="21"/>
          <w:szCs w:val="21"/>
          <w14:textFill>
            <w14:solidFill>
              <w14:schemeClr w14:val="tx1"/>
            </w14:solidFill>
          </w14:textFill>
        </w:rPr>
        <w:t>、招标方式</w:t>
      </w:r>
      <w:bookmarkEnd w:id="44"/>
      <w:bookmarkEnd w:id="45"/>
      <w:bookmarkEnd w:id="46"/>
    </w:p>
    <w:p w14:paraId="0F48BB73">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 本次招标采取公开招标方式，本招标文件仅适用于</w:t>
      </w:r>
      <w:r>
        <w:rPr>
          <w:rFonts w:hint="eastAsia" w:ascii="宋体" w:hAnsi="宋体" w:cs="宋体"/>
          <w:color w:val="000000" w:themeColor="text1"/>
          <w:szCs w:val="21"/>
          <w:lang w:eastAsia="zh-CN"/>
          <w14:textFill>
            <w14:solidFill>
              <w14:schemeClr w14:val="tx1"/>
            </w14:solidFill>
          </w14:textFill>
        </w:rPr>
        <w:t>JSZC-321023-JTGC-G2026-0007</w:t>
      </w:r>
      <w:r>
        <w:rPr>
          <w:rFonts w:hint="eastAsia" w:ascii="宋体" w:hAnsi="宋体" w:cs="宋体"/>
          <w:color w:val="000000" w:themeColor="text1"/>
          <w:szCs w:val="21"/>
          <w14:textFill>
            <w14:solidFill>
              <w14:schemeClr w14:val="tx1"/>
            </w14:solidFill>
          </w14:textFill>
        </w:rPr>
        <w:t>号项目。</w:t>
      </w:r>
    </w:p>
    <w:p w14:paraId="1BC6C723">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47" w:name="_Toc20823277"/>
      <w:bookmarkStart w:id="48" w:name="_Toc16938521"/>
      <w:bookmarkStart w:id="49" w:name="_Toc513029205"/>
      <w:r>
        <w:rPr>
          <w:rFonts w:hint="eastAsia" w:ascii="宋体" w:hAnsi="宋体" w:eastAsia="宋体" w:cs="宋体"/>
          <w:bCs w:val="0"/>
          <w:color w:val="000000" w:themeColor="text1"/>
          <w:sz w:val="21"/>
          <w:szCs w:val="21"/>
          <w14:textFill>
            <w14:solidFill>
              <w14:schemeClr w14:val="tx1"/>
            </w14:solidFill>
          </w14:textFill>
        </w:rPr>
        <w:t>2、投标人</w:t>
      </w:r>
    </w:p>
    <w:p w14:paraId="1A993C0C">
      <w:pPr>
        <w:pStyle w:val="5"/>
        <w:spacing w:before="0" w:after="0" w:line="360" w:lineRule="auto"/>
        <w:ind w:firstLine="420"/>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2.1 本招标文件中“供应商”，即“投标人”，是指参加投标竞争，并符合招标文件规定资格条件的法人、其他组织或者自然人。</w:t>
      </w:r>
    </w:p>
    <w:p w14:paraId="23E9CDB8">
      <w:pPr>
        <w:pStyle w:val="5"/>
        <w:spacing w:before="0" w:after="0" w:line="360" w:lineRule="auto"/>
        <w:ind w:firstLine="420"/>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2.2合格的投标人</w:t>
      </w:r>
      <w:bookmarkEnd w:id="47"/>
      <w:bookmarkEnd w:id="48"/>
      <w:bookmarkEnd w:id="49"/>
    </w:p>
    <w:p w14:paraId="0CBAD109">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 满足投标邀请中供应商的资格条件要求的规定。</w:t>
      </w:r>
    </w:p>
    <w:p w14:paraId="213DCDF3">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 满足本文件实质性条款的规定。</w:t>
      </w:r>
    </w:p>
    <w:p w14:paraId="3C075FCC">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50" w:name="_Toc16938522"/>
      <w:bookmarkStart w:id="51" w:name="_Toc20823278"/>
      <w:bookmarkStart w:id="52" w:name="_Toc513029206"/>
      <w:r>
        <w:rPr>
          <w:rFonts w:hint="eastAsia" w:ascii="宋体" w:hAnsi="宋体" w:eastAsia="宋体" w:cs="宋体"/>
          <w:bCs w:val="0"/>
          <w:color w:val="000000" w:themeColor="text1"/>
          <w:sz w:val="21"/>
          <w:szCs w:val="21"/>
          <w14:textFill>
            <w14:solidFill>
              <w14:schemeClr w14:val="tx1"/>
            </w14:solidFill>
          </w14:textFill>
        </w:rPr>
        <w:t>3、适用法律</w:t>
      </w:r>
      <w:bookmarkEnd w:id="50"/>
      <w:bookmarkEnd w:id="51"/>
      <w:bookmarkEnd w:id="52"/>
    </w:p>
    <w:p w14:paraId="1366A0BC">
      <w:pPr>
        <w:pStyle w:val="5"/>
        <w:spacing w:before="0" w:after="0" w:line="360" w:lineRule="auto"/>
        <w:ind w:firstLine="420"/>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color w:val="000000" w:themeColor="text1"/>
          <w:sz w:val="21"/>
          <w:szCs w:val="21"/>
          <w14:textFill>
            <w14:solidFill>
              <w14:schemeClr w14:val="tx1"/>
            </w14:solidFill>
          </w14:textFill>
        </w:rPr>
        <w:t>3.1 本次招标及由此产生的合同受中华人民共和国有关的法律法规制约和保护。</w:t>
      </w:r>
    </w:p>
    <w:p w14:paraId="71C545D1">
      <w:pPr>
        <w:spacing w:line="360" w:lineRule="auto"/>
        <w:ind w:firstLine="422"/>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4、投标费用</w:t>
      </w:r>
    </w:p>
    <w:p w14:paraId="457B2E94">
      <w:pPr>
        <w:spacing w:line="360" w:lineRule="auto"/>
        <w:ind w:firstLine="420"/>
        <w:rPr>
          <w:rFonts w:ascii="宋体" w:cs="宋体"/>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4.1</w:t>
      </w:r>
      <w:r>
        <w:rPr>
          <w:rFonts w:hint="eastAsia" w:ascii="宋体" w:hAnsi="宋体" w:cs="宋体"/>
          <w:color w:val="000000" w:themeColor="text1"/>
          <w:szCs w:val="21"/>
          <w14:textFill>
            <w14:solidFill>
              <w14:schemeClr w14:val="tx1"/>
            </w14:solidFill>
          </w14:textFill>
        </w:rPr>
        <w:t>投标人应自行承担所有与参加投标有关的费用，无论投标过程中的做法和结果如何，采购人在任何情况下均无义务和责任承担这些费用。</w:t>
      </w:r>
    </w:p>
    <w:p w14:paraId="1D29416F">
      <w:pPr>
        <w:spacing w:line="360" w:lineRule="auto"/>
        <w:ind w:firstLine="420"/>
        <w:rPr>
          <w:rFonts w:ascii="宋体" w:hAnsi="宋体" w:cs="宋体"/>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4.2</w:t>
      </w:r>
      <w:r>
        <w:rPr>
          <w:rFonts w:hint="eastAsia" w:ascii="宋体" w:hAnsi="宋体" w:cs="宋体"/>
          <w:bCs/>
          <w:color w:val="000000" w:themeColor="text1"/>
          <w:szCs w:val="21"/>
          <w14:textFill>
            <w14:solidFill>
              <w14:schemeClr w14:val="tx1"/>
            </w14:solidFill>
          </w14:textFill>
        </w:rPr>
        <w:t>本次采购由中标单位在领取中标通知书前按照苏政采协【2024】20号文件的标准一次性支付给招标代理机构代理服务费。</w:t>
      </w:r>
    </w:p>
    <w:p w14:paraId="2A49B655">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（1）代理服务费以人民币支付；</w:t>
      </w:r>
    </w:p>
    <w:p w14:paraId="5E6C9C98">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（2）代理服务费一次性以电汇、转账等非现金形式支付； </w:t>
      </w:r>
    </w:p>
    <w:p w14:paraId="668DAB29">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（3）招标代理服务费不在报价中单列，包含在总价中，由中标单位支付给代理机构。 </w:t>
      </w:r>
    </w:p>
    <w:p w14:paraId="77B636E5">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账户名：江苏嘉泰工程项目管理有限公司宝应分公司； </w:t>
      </w:r>
    </w:p>
    <w:p w14:paraId="5C080F7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开户行：中国工商银行股份有限公司宝应金源支行；</w:t>
      </w:r>
    </w:p>
    <w:p w14:paraId="567E7C22">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账号：1108200709100175043；</w:t>
      </w:r>
    </w:p>
    <w:p w14:paraId="68DF75C4">
      <w:pPr>
        <w:spacing w:line="360" w:lineRule="auto"/>
        <w:ind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4.3在服务期间，如遇政策改变，规定必须增加的内容，中标方需增加相应服务内容，服务费用不变。</w:t>
      </w:r>
    </w:p>
    <w:p w14:paraId="1F72AD80">
      <w:pPr>
        <w:spacing w:line="360" w:lineRule="auto"/>
        <w:ind w:firstLine="420"/>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4.4本次采购专家评审费由采购人支付，</w:t>
      </w:r>
      <w:r>
        <w:rPr>
          <w:highlight w:val="none"/>
        </w:rPr>
        <w:t>专家评审费按</w:t>
      </w:r>
      <w:r>
        <w:rPr>
          <w:rFonts w:hint="eastAsia"/>
          <w:highlight w:val="none"/>
          <w:lang w:val="en-US" w:eastAsia="zh-CN"/>
        </w:rPr>
        <w:t>宝</w:t>
      </w:r>
      <w:r>
        <w:rPr>
          <w:highlight w:val="none"/>
        </w:rPr>
        <w:t>财购【2020】</w:t>
      </w:r>
      <w:r>
        <w:rPr>
          <w:rFonts w:hint="eastAsia"/>
          <w:highlight w:val="none"/>
          <w:lang w:val="en-US" w:eastAsia="zh-CN"/>
        </w:rPr>
        <w:t>14</w:t>
      </w:r>
      <w:r>
        <w:rPr>
          <w:highlight w:val="none"/>
        </w:rPr>
        <w:t>号文《关于</w:t>
      </w:r>
      <w:r>
        <w:rPr>
          <w:rFonts w:hint="eastAsia"/>
          <w:highlight w:val="none"/>
        </w:rPr>
        <w:t>进一步</w:t>
      </w:r>
      <w:r>
        <w:rPr>
          <w:highlight w:val="none"/>
        </w:rPr>
        <w:t>规范</w:t>
      </w:r>
      <w:r>
        <w:rPr>
          <w:rFonts w:hint="eastAsia"/>
          <w:highlight w:val="none"/>
          <w:lang w:val="en-US" w:eastAsia="zh-CN"/>
        </w:rPr>
        <w:t>宝应县</w:t>
      </w:r>
      <w:r>
        <w:rPr>
          <w:highlight w:val="none"/>
        </w:rPr>
        <w:t>政府采购专家评审费标准的通知》执行。</w:t>
      </w:r>
    </w:p>
    <w:p w14:paraId="15FDFDE3">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r>
        <w:rPr>
          <w:rFonts w:hint="eastAsia" w:ascii="宋体" w:hAnsi="宋体" w:eastAsia="宋体" w:cs="宋体"/>
          <w:bCs w:val="0"/>
          <w:color w:val="000000" w:themeColor="text1"/>
          <w:sz w:val="21"/>
          <w:szCs w:val="21"/>
          <w14:textFill>
            <w14:solidFill>
              <w14:schemeClr w14:val="tx1"/>
            </w14:solidFill>
          </w14:textFill>
        </w:rPr>
        <w:t>招标文件的约束力</w:t>
      </w:r>
    </w:p>
    <w:p w14:paraId="1BFB0B93">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5.1</w:t>
      </w:r>
      <w:r>
        <w:rPr>
          <w:rFonts w:hint="eastAsia" w:ascii="宋体" w:hAnsi="宋体" w:cs="宋体"/>
          <w:color w:val="000000" w:themeColor="text1"/>
          <w:szCs w:val="21"/>
          <w14:textFill>
            <w14:solidFill>
              <w14:schemeClr w14:val="tx1"/>
            </w14:solidFill>
          </w14:textFill>
        </w:rPr>
        <w:t xml:space="preserve"> 投标人一旦参加本项目采购活动，即被认为接受了本招标文件的规定和约束。</w:t>
      </w:r>
    </w:p>
    <w:p w14:paraId="41D8689A">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53" w:name="_Toc16938526"/>
      <w:bookmarkStart w:id="54" w:name="_Toc20823282"/>
      <w:bookmarkStart w:id="55" w:name="_Toc513029210"/>
      <w:r>
        <w:rPr>
          <w:rFonts w:hint="eastAsia" w:ascii="宋体" w:hAnsi="宋体" w:eastAsia="宋体" w:cs="宋体"/>
          <w:bCs w:val="0"/>
          <w:color w:val="000000" w:themeColor="text1"/>
          <w:sz w:val="21"/>
          <w:szCs w:val="21"/>
          <w14:textFill>
            <w14:solidFill>
              <w14:schemeClr w14:val="tx1"/>
            </w14:solidFill>
          </w14:textFill>
        </w:rPr>
        <w:t>6、招标文件构成</w:t>
      </w:r>
      <w:bookmarkEnd w:id="53"/>
      <w:bookmarkEnd w:id="54"/>
      <w:bookmarkEnd w:id="55"/>
    </w:p>
    <w:p w14:paraId="4930442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6.1</w:t>
      </w:r>
      <w:r>
        <w:rPr>
          <w:rFonts w:hint="eastAsia" w:ascii="宋体" w:hAnsi="宋体" w:cs="宋体"/>
          <w:color w:val="000000" w:themeColor="text1"/>
          <w:szCs w:val="21"/>
          <w14:textFill>
            <w14:solidFill>
              <w14:schemeClr w14:val="tx1"/>
            </w14:solidFill>
          </w14:textFill>
        </w:rPr>
        <w:t xml:space="preserve"> 招标文件有以下部分组成：</w:t>
      </w:r>
    </w:p>
    <w:p w14:paraId="6D32ECA9">
      <w:pPr>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（1）招标公告</w:t>
      </w:r>
    </w:p>
    <w:p w14:paraId="3C0B7A50">
      <w:pPr>
        <w:tabs>
          <w:tab w:val="left" w:pos="2580"/>
        </w:tabs>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（2）投标人须知</w:t>
      </w:r>
    </w:p>
    <w:p w14:paraId="319903C9">
      <w:pPr>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（3）合同条款及格式</w:t>
      </w:r>
    </w:p>
    <w:p w14:paraId="7BB540F4">
      <w:pPr>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（4）项目需求</w:t>
      </w:r>
    </w:p>
    <w:p w14:paraId="26778909">
      <w:pPr>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（5）评标方法与评标标准</w:t>
      </w:r>
    </w:p>
    <w:p w14:paraId="4FDD8A9A">
      <w:pPr>
        <w:spacing w:line="360" w:lineRule="auto"/>
        <w:ind w:firstLine="31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（6）投标文件格式</w:t>
      </w:r>
    </w:p>
    <w:p w14:paraId="16F20F60">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请仔细检查招标文件是否齐全，如有缺漏请立即与采购人联系解决。</w:t>
      </w:r>
    </w:p>
    <w:p w14:paraId="54F220FA">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6.2 招标的最小单位是包。招标服务数量及技术要求中未分包的，供应商对要求提供的服务不得部分投标；招标服务数量及技术要求中已经分包的，应当以包为单位投标。</w:t>
      </w:r>
    </w:p>
    <w:p w14:paraId="662B44C5">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6.3 招标文件如果要求供应商提交备选投标方案的，供应商可以提交备选方案；否则，备选方案将被拒绝。</w:t>
      </w:r>
    </w:p>
    <w:p w14:paraId="6E67EE8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6.4</w:t>
      </w:r>
      <w:r>
        <w:rPr>
          <w:rFonts w:hint="eastAsia" w:ascii="宋体" w:hAnsi="宋体" w:cs="宋体"/>
          <w:color w:val="000000" w:themeColor="text1"/>
          <w:szCs w:val="21"/>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E097EAD">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bookmarkStart w:id="56" w:name="_Toc462564070"/>
      <w:bookmarkStart w:id="57" w:name="_Toc20823283"/>
      <w:bookmarkStart w:id="58" w:name="_Toc513029211"/>
      <w:bookmarkStart w:id="59" w:name="_Toc16938527"/>
      <w:r>
        <w:rPr>
          <w:rFonts w:hint="eastAsia" w:ascii="宋体" w:hAnsi="宋体" w:eastAsia="宋体" w:cs="宋体"/>
          <w:bCs w:val="0"/>
          <w:color w:val="000000" w:themeColor="text1"/>
          <w:sz w:val="21"/>
          <w:szCs w:val="21"/>
          <w14:textFill>
            <w14:solidFill>
              <w14:schemeClr w14:val="tx1"/>
            </w14:solidFill>
          </w14:textFill>
        </w:rPr>
        <w:t>7</w:t>
      </w: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Cs w:val="0"/>
          <w:color w:val="000000" w:themeColor="text1"/>
          <w:sz w:val="21"/>
          <w:szCs w:val="21"/>
          <w14:textFill>
            <w14:solidFill>
              <w14:schemeClr w14:val="tx1"/>
            </w14:solidFill>
          </w14:textFill>
        </w:rPr>
        <w:t>招标文件的</w:t>
      </w:r>
      <w:bookmarkEnd w:id="56"/>
      <w:bookmarkEnd w:id="57"/>
      <w:bookmarkEnd w:id="58"/>
      <w:bookmarkEnd w:id="59"/>
      <w:r>
        <w:rPr>
          <w:rFonts w:hint="eastAsia" w:ascii="宋体" w:hAnsi="宋体" w:eastAsia="宋体" w:cs="宋体"/>
          <w:bCs w:val="0"/>
          <w:color w:val="000000" w:themeColor="text1"/>
          <w:sz w:val="21"/>
          <w:szCs w:val="21"/>
          <w14:textFill>
            <w14:solidFill>
              <w14:schemeClr w14:val="tx1"/>
            </w14:solidFill>
          </w14:textFill>
        </w:rPr>
        <w:t>澄清</w:t>
      </w:r>
    </w:p>
    <w:p w14:paraId="1A6624C1">
      <w:pPr>
        <w:spacing w:line="360" w:lineRule="auto"/>
        <w:ind w:firstLine="420"/>
        <w:rPr>
          <w:rFonts w:ascii="宋体" w:hAnsi="宋体"/>
          <w:color w:val="000000" w:themeColor="text1"/>
          <w:szCs w:val="21"/>
          <w14:textFill>
            <w14:solidFill>
              <w14:schemeClr w14:val="tx1"/>
            </w14:solidFill>
          </w14:textFill>
        </w:rPr>
      </w:pPr>
      <w:bookmarkStart w:id="60" w:name="_Toc513029212"/>
      <w:bookmarkStart w:id="61" w:name="_Toc16938528"/>
      <w:bookmarkStart w:id="62" w:name="_Toc20823284"/>
      <w:bookmarkStart w:id="63" w:name="_Toc462564071"/>
      <w:r>
        <w:rPr>
          <w:rFonts w:hint="eastAsia" w:ascii="宋体" w:hAnsi="宋体"/>
          <w:color w:val="000000" w:themeColor="text1"/>
          <w:szCs w:val="21"/>
          <w14:textFill>
            <w14:solidFill>
              <w14:schemeClr w14:val="tx1"/>
            </w14:solidFill>
          </w14:textFill>
        </w:rPr>
        <w:t>7.1</w:t>
      </w:r>
      <w:r>
        <w:rPr>
          <w:rFonts w:hint="eastAsia" w:ascii="宋体" w:hAnsi="宋体"/>
          <w:bCs/>
          <w:color w:val="000000" w:themeColor="text1"/>
          <w:szCs w:val="21"/>
          <w14:textFill>
            <w14:solidFill>
              <w14:schemeClr w14:val="tx1"/>
            </w14:solidFill>
          </w14:textFill>
        </w:rPr>
        <w:t>任何要求对招标文件进行澄清的投标人，应在投标截止日期的十日前按招标公告中的通讯地址，以书面形式通知代理机构。</w:t>
      </w:r>
    </w:p>
    <w:p w14:paraId="007956F8">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8</w:t>
      </w: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Cs w:val="0"/>
          <w:color w:val="000000" w:themeColor="text1"/>
          <w:sz w:val="21"/>
          <w:szCs w:val="21"/>
          <w14:textFill>
            <w14:solidFill>
              <w14:schemeClr w14:val="tx1"/>
            </w14:solidFill>
          </w14:textFill>
        </w:rPr>
        <w:t>招标文件的修改</w:t>
      </w:r>
      <w:bookmarkEnd w:id="60"/>
      <w:bookmarkEnd w:id="61"/>
      <w:bookmarkEnd w:id="62"/>
      <w:bookmarkEnd w:id="63"/>
    </w:p>
    <w:p w14:paraId="486E1732">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8.1</w:t>
      </w:r>
      <w:r>
        <w:rPr>
          <w:rFonts w:hint="eastAsia" w:ascii="宋体" w:hAnsi="宋体" w:cs="宋体"/>
          <w:color w:val="000000" w:themeColor="text1"/>
          <w:szCs w:val="21"/>
          <w14:textFill>
            <w14:solidFill>
              <w14:schemeClr w14:val="tx1"/>
            </w14:solidFill>
          </w14:textFill>
        </w:rPr>
        <w:t xml:space="preserve"> 在投标截止时间前，采购人可以对招标文件进行修改。</w:t>
      </w:r>
    </w:p>
    <w:p w14:paraId="6EB97AD6">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8.2采购人在招标文件要求提交投标文件截止时间前，有权决定延长投标截止时间和开标时间，并在原采购信息发布媒体上发布变更公告。</w:t>
      </w:r>
    </w:p>
    <w:p w14:paraId="35DDC48E">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8.3</w:t>
      </w:r>
      <w:r>
        <w:rPr>
          <w:rFonts w:hint="eastAsia" w:ascii="宋体" w:hAnsi="宋体" w:cs="宋体"/>
          <w:color w:val="000000" w:themeColor="text1"/>
          <w:szCs w:val="21"/>
          <w14:textFill>
            <w14:solidFill>
              <w14:schemeClr w14:val="tx1"/>
            </w14:solidFill>
          </w14:textFill>
        </w:rPr>
        <w:t>招标文件的修改将在“扬州市政府采购网”、“江苏省政府采购网”公布，补充文件将作为招标文件的组成部分，并对投标人具有约束力。</w:t>
      </w:r>
    </w:p>
    <w:p w14:paraId="70A3E9A3">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8.4投标人应在投标截止时间前关注采购信息发布媒体上有关本招标项目有无变更公告。</w:t>
      </w:r>
    </w:p>
    <w:p w14:paraId="20939A21">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64" w:name="_Toc513029214"/>
      <w:bookmarkStart w:id="65" w:name="_Toc462564073"/>
      <w:bookmarkStart w:id="66" w:name="_Toc20823286"/>
      <w:bookmarkStart w:id="67" w:name="_Toc16938530"/>
      <w:r>
        <w:rPr>
          <w:rFonts w:hint="eastAsia" w:ascii="宋体" w:hAnsi="宋体" w:eastAsia="宋体" w:cs="宋体"/>
          <w:bCs w:val="0"/>
          <w:color w:val="000000" w:themeColor="text1"/>
          <w:sz w:val="21"/>
          <w:szCs w:val="21"/>
          <w14:textFill>
            <w14:solidFill>
              <w14:schemeClr w14:val="tx1"/>
            </w14:solidFill>
          </w14:textFill>
        </w:rPr>
        <w:t>9、投标文件的语言、度量衡单位</w:t>
      </w:r>
      <w:bookmarkEnd w:id="64"/>
      <w:bookmarkEnd w:id="65"/>
      <w:bookmarkEnd w:id="66"/>
      <w:bookmarkEnd w:id="67"/>
      <w:r>
        <w:rPr>
          <w:rFonts w:hint="eastAsia" w:ascii="宋体" w:hAnsi="宋体" w:eastAsia="宋体" w:cs="宋体"/>
          <w:bCs w:val="0"/>
          <w:color w:val="000000" w:themeColor="text1"/>
          <w:sz w:val="21"/>
          <w:szCs w:val="21"/>
          <w14:textFill>
            <w14:solidFill>
              <w14:schemeClr w14:val="tx1"/>
            </w14:solidFill>
          </w14:textFill>
        </w:rPr>
        <w:t>、货币和编制</w:t>
      </w:r>
    </w:p>
    <w:p w14:paraId="466B75A9">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9.1</w:t>
      </w:r>
      <w:r>
        <w:rPr>
          <w:rFonts w:hint="eastAsia" w:ascii="宋体" w:hAnsi="宋体" w:cs="宋体"/>
          <w:color w:val="000000" w:themeColor="text1"/>
          <w:szCs w:val="21"/>
          <w14:textFill>
            <w14:solidFill>
              <w14:schemeClr w14:val="tx1"/>
            </w14:solidFill>
          </w14:textFill>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14:paraId="6D6BEEC6">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9.2</w:t>
      </w:r>
      <w:r>
        <w:rPr>
          <w:rFonts w:hint="eastAsia" w:ascii="宋体" w:hAnsi="宋体" w:cs="宋体"/>
          <w:color w:val="000000" w:themeColor="text1"/>
          <w:szCs w:val="21"/>
          <w14:textFill>
            <w14:solidFill>
              <w14:schemeClr w14:val="tx1"/>
            </w14:solidFill>
          </w14:textFill>
        </w:rPr>
        <w:t xml:space="preserve"> 除技术性能另有规定外，投标文件所使用的度量衡单位，均须采用国家法定计量单位。</w:t>
      </w:r>
    </w:p>
    <w:p w14:paraId="6717C903">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9.3投标人应使用人民币报价。</w:t>
      </w:r>
    </w:p>
    <w:p w14:paraId="3EA53B92">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9.4投标文件应字迹清楚、内容齐全、不得涂改。如有修改，修改处须有投标人加盖公章和法定代表人或其被授权代表签字。</w:t>
      </w:r>
    </w:p>
    <w:p w14:paraId="2DB99969">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68" w:name="_Toc462564074"/>
      <w:bookmarkStart w:id="69" w:name="_Toc20823287"/>
      <w:bookmarkStart w:id="70" w:name="_Toc513029215"/>
      <w:bookmarkStart w:id="71" w:name="_Toc16938531"/>
      <w:r>
        <w:rPr>
          <w:rFonts w:hint="eastAsia" w:ascii="宋体" w:hAnsi="宋体" w:eastAsia="宋体" w:cs="宋体"/>
          <w:bCs w:val="0"/>
          <w:color w:val="000000" w:themeColor="text1"/>
          <w:sz w:val="21"/>
          <w:szCs w:val="21"/>
          <w14:textFill>
            <w14:solidFill>
              <w14:schemeClr w14:val="tx1"/>
            </w14:solidFill>
          </w14:textFill>
        </w:rPr>
        <w:t>10、投标文件构成</w:t>
      </w:r>
      <w:bookmarkEnd w:id="68"/>
      <w:bookmarkEnd w:id="69"/>
      <w:bookmarkEnd w:id="70"/>
      <w:bookmarkEnd w:id="71"/>
    </w:p>
    <w:p w14:paraId="56827C62">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10.1</w:t>
      </w:r>
      <w:r>
        <w:rPr>
          <w:rFonts w:hint="eastAsia" w:ascii="宋体" w:hAnsi="宋体" w:cs="宋体"/>
          <w:color w:val="000000" w:themeColor="text1"/>
          <w:szCs w:val="21"/>
          <w14:textFill>
            <w14:solidFill>
              <w14:schemeClr w14:val="tx1"/>
            </w14:solidFill>
          </w14:textFill>
        </w:rPr>
        <w:t xml:space="preserve"> 投标人编写的投标文件应包括：</w:t>
      </w:r>
    </w:p>
    <w:p w14:paraId="3A3EB241">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（1）资格审查响应对照表</w:t>
      </w:r>
    </w:p>
    <w:p w14:paraId="49C2467D">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（2）符合性审查响应对照表</w:t>
      </w:r>
    </w:p>
    <w:p w14:paraId="0E8AB304">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（3）非实质性响应对照表</w:t>
      </w:r>
    </w:p>
    <w:p w14:paraId="6AA5CF36">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（4）开标一览表 </w:t>
      </w:r>
    </w:p>
    <w:p w14:paraId="6A563482">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（5）分项报价表 </w:t>
      </w:r>
    </w:p>
    <w:p w14:paraId="1E0E7B04">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（6）技术参数响应及偏离表 </w:t>
      </w:r>
    </w:p>
    <w:p w14:paraId="0D184CF6">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（7）商务条款响应及偏离表 </w:t>
      </w:r>
    </w:p>
    <w:p w14:paraId="5A926768">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（8）其他 （投标人认为有必要提供的声明和文件，如有自拟并自行添加）</w:t>
      </w:r>
    </w:p>
    <w:p w14:paraId="0048A06D">
      <w:pPr>
        <w:pStyle w:val="5"/>
        <w:spacing w:before="0" w:after="0" w:line="360" w:lineRule="auto"/>
        <w:ind w:firstLine="420"/>
        <w:rPr>
          <w:rFonts w:ascii="宋体" w:hAnsi="宋体" w:eastAsia="宋体" w:cs="宋体"/>
          <w:b w:val="0"/>
          <w:bCs w:val="0"/>
          <w:color w:val="000000" w:themeColor="text1"/>
          <w:sz w:val="21"/>
          <w:szCs w:val="21"/>
          <w14:textFill>
            <w14:solidFill>
              <w14:schemeClr w14:val="tx1"/>
            </w14:solidFill>
          </w14:textFill>
        </w:rPr>
      </w:pPr>
      <w:bookmarkStart w:id="72" w:name="_Toc49090509"/>
      <w:bookmarkStart w:id="73" w:name="_Toc14577357"/>
      <w:bookmarkStart w:id="74" w:name="_Toc513029219"/>
      <w:bookmarkStart w:id="75" w:name="_Toc513029216"/>
      <w:bookmarkStart w:id="76" w:name="_Toc14577354"/>
      <w:bookmarkStart w:id="77" w:name="_Toc49090507"/>
      <w:r>
        <w:rPr>
          <w:rFonts w:hint="eastAsia" w:ascii="宋体" w:hAnsi="宋体" w:eastAsia="宋体" w:cs="宋体"/>
          <w:b w:val="0"/>
          <w:bCs w:val="0"/>
          <w:color w:val="000000" w:themeColor="text1"/>
          <w:sz w:val="21"/>
          <w:szCs w:val="21"/>
          <w14:textFill>
            <w14:solidFill>
              <w14:schemeClr w14:val="tx1"/>
            </w14:solidFill>
          </w14:textFill>
        </w:rPr>
        <w:t>10.2 投标人应当根据招标文件要求编制投标文件，投标文件应对招标文件提出的要求和条件作出实质性响应，并在相应的投标文件中逐条标明满足与否。</w:t>
      </w:r>
    </w:p>
    <w:p w14:paraId="0225F84B">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11、证明投标人资格及符合招标文件规定的文件</w:t>
      </w:r>
      <w:bookmarkEnd w:id="72"/>
      <w:bookmarkEnd w:id="73"/>
      <w:bookmarkEnd w:id="74"/>
    </w:p>
    <w:p w14:paraId="784F0EFA">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11.1投标人应按要求提交资格证明文件及符合招标文件规定的文件。</w:t>
      </w:r>
    </w:p>
    <w:p w14:paraId="0257F501">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11.2投标人应提交证明其有资格参加投标和中标后有能力独立履行合同的文件。</w:t>
      </w:r>
    </w:p>
    <w:p w14:paraId="152D4D43">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11.3投标人除必须具有履行合同所需提供的货物以及服务的能力外，还必须具备相应的财务、技术方面的能力。</w:t>
      </w:r>
    </w:p>
    <w:p w14:paraId="2FAF6588">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11.4投标人应提交根据合同要求提供的证明服务（或产品）质量合格以及符合招标文件规定的证明文件。</w:t>
      </w:r>
    </w:p>
    <w:p w14:paraId="674A8D2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11.5证明投标人所提供服务（或产品）与招标文件的要求相一致的文件可以是手册、图纸、文字资料和数据</w:t>
      </w:r>
      <w:r>
        <w:rPr>
          <w:rFonts w:hint="eastAsia" w:ascii="宋体" w:hAnsi="宋体" w:cs="宋体"/>
          <w:bCs/>
          <w:color w:val="000000" w:themeColor="text1"/>
          <w:szCs w:val="21"/>
          <w14:textFill>
            <w14:solidFill>
              <w14:schemeClr w14:val="tx1"/>
            </w14:solidFill>
          </w14:textFill>
        </w:rPr>
        <w:t>。</w:t>
      </w:r>
      <w:bookmarkEnd w:id="75"/>
      <w:bookmarkEnd w:id="76"/>
      <w:bookmarkEnd w:id="77"/>
    </w:p>
    <w:p w14:paraId="1DE05419">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78" w:name="_Toc14577355"/>
      <w:bookmarkStart w:id="79" w:name="_Toc49090508"/>
      <w:r>
        <w:rPr>
          <w:rFonts w:hint="eastAsia" w:ascii="宋体" w:hAnsi="宋体" w:eastAsia="宋体" w:cs="宋体"/>
          <w:bCs w:val="0"/>
          <w:color w:val="000000" w:themeColor="text1"/>
          <w:sz w:val="21"/>
          <w:szCs w:val="21"/>
          <w14:textFill>
            <w14:solidFill>
              <w14:schemeClr w14:val="tx1"/>
            </w14:solidFill>
          </w14:textFill>
        </w:rPr>
        <w:t>12、供货一览表和投标配置与分项报价</w:t>
      </w:r>
      <w:bookmarkEnd w:id="78"/>
      <w:r>
        <w:rPr>
          <w:rFonts w:hint="eastAsia" w:ascii="宋体" w:hAnsi="宋体" w:eastAsia="宋体" w:cs="宋体"/>
          <w:bCs w:val="0"/>
          <w:color w:val="000000" w:themeColor="text1"/>
          <w:sz w:val="21"/>
          <w:szCs w:val="21"/>
          <w14:textFill>
            <w14:solidFill>
              <w14:schemeClr w14:val="tx1"/>
            </w14:solidFill>
          </w14:textFill>
        </w:rPr>
        <w:t>表</w:t>
      </w:r>
      <w:bookmarkEnd w:id="79"/>
    </w:p>
    <w:p w14:paraId="24D94187">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12.1</w:t>
      </w:r>
      <w:r>
        <w:rPr>
          <w:rFonts w:hint="eastAsia" w:ascii="宋体" w:hAnsi="宋体"/>
          <w:color w:val="000000" w:themeColor="text1"/>
          <w:szCs w:val="21"/>
          <w14:textFill>
            <w14:solidFill>
              <w14:schemeClr w14:val="tx1"/>
            </w14:solidFill>
          </w14:textFill>
        </w:rPr>
        <w:t>投标人应按照招标文件规定格式填报投标分项报价表，每项服务或设备只允许有一个报价，任何有选择的报价将不予接受</w:t>
      </w:r>
      <w:r>
        <w:rPr>
          <w:rFonts w:hint="eastAsia" w:ascii="宋体" w:hAnsi="宋体" w:cs="宋体"/>
          <w:color w:val="000000" w:themeColor="text1"/>
          <w:szCs w:val="21"/>
          <w14:textFill>
            <w14:solidFill>
              <w14:schemeClr w14:val="tx1"/>
            </w14:solidFill>
          </w14:textFill>
        </w:rPr>
        <w:t>。</w:t>
      </w:r>
    </w:p>
    <w:p w14:paraId="13D0BBC1">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12.2</w:t>
      </w:r>
      <w:r>
        <w:rPr>
          <w:rFonts w:hint="eastAsia" w:ascii="宋体" w:hAnsi="宋体" w:cs="宋体"/>
          <w:color w:val="000000" w:themeColor="text1"/>
          <w:szCs w:val="21"/>
          <w14:textFill>
            <w14:solidFill>
              <w14:schemeClr w14:val="tx1"/>
            </w14:solidFill>
          </w14:textFill>
        </w:rPr>
        <w:t xml:space="preserve"> 标的物</w:t>
      </w:r>
    </w:p>
    <w:p w14:paraId="5A46483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采购人需求的服务供应、安装，调试及有关技术服务等。</w:t>
      </w:r>
    </w:p>
    <w:p w14:paraId="13907878">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12.3</w:t>
      </w:r>
      <w:r>
        <w:rPr>
          <w:rFonts w:hint="eastAsia" w:ascii="宋体" w:hAnsi="宋体" w:cs="宋体"/>
          <w:bCs/>
          <w:color w:val="000000" w:themeColor="text1"/>
          <w:szCs w:val="21"/>
          <w14:textFill>
            <w14:solidFill>
              <w14:schemeClr w14:val="tx1"/>
            </w14:solidFill>
          </w14:textFill>
        </w:rPr>
        <w:t>有关费用处理</w:t>
      </w:r>
    </w:p>
    <w:p w14:paraId="651EBAE4">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招标文件未列明，而投标人认为必需的费用也需列入报价。</w:t>
      </w:r>
    </w:p>
    <w:p w14:paraId="7D614F36">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w:t>
      </w:r>
      <w:r>
        <w:rPr>
          <w:rFonts w:hint="eastAsia" w:ascii="宋体" w:hAnsi="宋体" w:cs="宋体"/>
          <w:bCs/>
          <w:color w:val="000000" w:themeColor="text1"/>
          <w:szCs w:val="21"/>
          <w14:textFill>
            <w14:solidFill>
              <w14:schemeClr w14:val="tx1"/>
            </w14:solidFill>
          </w14:textFill>
        </w:rPr>
        <w:t>投标货币</w:t>
      </w:r>
    </w:p>
    <w:p w14:paraId="5A648B3C">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投标文件中的服务（或货物）单价和总价无特殊规定的采用人民币报价，以元为单位标注。</w:t>
      </w:r>
      <w:r>
        <w:rPr>
          <w:rFonts w:hint="eastAsia" w:ascii="宋体" w:hAnsi="宋体" w:cs="宋体"/>
          <w:color w:val="000000" w:themeColor="text1"/>
          <w:szCs w:val="21"/>
          <w14:textFill>
            <w14:solidFill>
              <w14:schemeClr w14:val="tx1"/>
            </w14:solidFill>
          </w14:textFill>
        </w:rPr>
        <w:t>招标文件中另有规定的按规定执行。</w:t>
      </w:r>
    </w:p>
    <w:p w14:paraId="131529C5">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12.5</w:t>
      </w:r>
      <w:r>
        <w:rPr>
          <w:rFonts w:hint="eastAsia" w:ascii="宋体" w:hAnsi="宋体" w:cs="宋体"/>
          <w:bCs/>
          <w:color w:val="000000" w:themeColor="text1"/>
          <w:szCs w:val="21"/>
          <w14:textFill>
            <w14:solidFill>
              <w14:schemeClr w14:val="tx1"/>
            </w14:solidFill>
          </w14:textFill>
        </w:rPr>
        <w:t xml:space="preserve"> 投标配置与分项报价表上的价格应按下列方式分开填写</w:t>
      </w:r>
      <w:r>
        <w:rPr>
          <w:rFonts w:hint="eastAsia" w:ascii="宋体" w:hAnsi="宋体" w:cs="宋体"/>
          <w:color w:val="000000" w:themeColor="text1"/>
          <w:szCs w:val="21"/>
          <w14:textFill>
            <w14:solidFill>
              <w14:schemeClr w14:val="tx1"/>
            </w14:solidFill>
          </w14:textFill>
        </w:rPr>
        <w:t>：</w:t>
      </w:r>
    </w:p>
    <w:p w14:paraId="15101357">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12.5.1项目总价：包含但不限于以下全部费用，中标供应商不得再向采购人收取投标报价以外的任何费用。主要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14:paraId="5514C736">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12.5.2</w:t>
      </w:r>
      <w:r>
        <w:rPr>
          <w:rFonts w:hint="eastAsia" w:ascii="宋体" w:hAnsi="宋体" w:cs="宋体"/>
          <w:bCs/>
          <w:color w:val="000000" w:themeColor="text1"/>
          <w:szCs w:val="21"/>
          <w14:textFill>
            <w14:solidFill>
              <w14:schemeClr w14:val="tx1"/>
            </w14:solidFill>
          </w14:textFill>
        </w:rPr>
        <w:t>项目单价按投标配置及分项报价表中要求填报。</w:t>
      </w:r>
    </w:p>
    <w:p w14:paraId="7341B170">
      <w:pPr>
        <w:spacing w:line="360" w:lineRule="auto"/>
        <w:ind w:firstLine="422"/>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13、</w:t>
      </w:r>
      <w:r>
        <w:rPr>
          <w:rFonts w:hint="eastAsia" w:ascii="宋体" w:hAnsi="宋体" w:cs="宋体"/>
          <w:b/>
          <w:color w:val="000000" w:themeColor="text1"/>
          <w:szCs w:val="21"/>
          <w14:textFill>
            <w14:solidFill>
              <w14:schemeClr w14:val="tx1"/>
            </w14:solidFill>
          </w14:textFill>
        </w:rPr>
        <w:t>技术参数响应及偏离表、商务条款响应及偏离表及投标货物说明</w:t>
      </w:r>
    </w:p>
    <w:p w14:paraId="2D79DF3F">
      <w:pPr>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13.1</w:t>
      </w:r>
      <w:r>
        <w:rPr>
          <w:rFonts w:hint="eastAsia" w:ascii="宋体" w:hAnsi="宋体" w:cs="宋体"/>
          <w:color w:val="000000" w:themeColor="text1"/>
          <w:szCs w:val="21"/>
          <w:lang w:val="zh-CN"/>
          <w14:textFill>
            <w14:solidFill>
              <w14:schemeClr w14:val="tx1"/>
            </w14:solidFill>
          </w14:textFill>
        </w:rPr>
        <w:t xml:space="preserve"> 对招标文件中的技术与商务条款要求逐项作出响应或偏离，并说明原因；</w:t>
      </w:r>
    </w:p>
    <w:p w14:paraId="15C4B14B">
      <w:pPr>
        <w:tabs>
          <w:tab w:val="left" w:pos="1035"/>
        </w:tabs>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13.2 提供参加本项目类似案例简介；</w:t>
      </w:r>
    </w:p>
    <w:p w14:paraId="0DDCED8A">
      <w:pPr>
        <w:tabs>
          <w:tab w:val="left" w:pos="1035"/>
        </w:tabs>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13.3 </w:t>
      </w:r>
      <w:r>
        <w:rPr>
          <w:rFonts w:hint="eastAsia" w:ascii="宋体" w:hAnsi="宋体"/>
          <w:color w:val="000000" w:themeColor="text1"/>
          <w:szCs w:val="21"/>
          <w14:textFill>
            <w14:solidFill>
              <w14:schemeClr w14:val="tx1"/>
            </w14:solidFill>
          </w14:textFill>
        </w:rPr>
        <w:t>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14:textFill>
            <w14:solidFill>
              <w14:schemeClr w14:val="tx1"/>
            </w14:solidFill>
          </w14:textFill>
        </w:rPr>
        <w:t>。</w:t>
      </w:r>
    </w:p>
    <w:p w14:paraId="1BAF0916">
      <w:pPr>
        <w:tabs>
          <w:tab w:val="left" w:pos="1035"/>
        </w:tabs>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13.4 投标人认为需要的其他技术文件或说明。</w:t>
      </w:r>
    </w:p>
    <w:p w14:paraId="47D22FB2">
      <w:pPr>
        <w:spacing w:line="360" w:lineRule="auto"/>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14、服务承诺及售后服务机构、人员的情况介绍</w:t>
      </w:r>
    </w:p>
    <w:p w14:paraId="7CA5F578">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14.1</w:t>
      </w:r>
      <w:r>
        <w:rPr>
          <w:rFonts w:hint="eastAsia" w:ascii="宋体" w:hAnsi="宋体" w:cs="宋体"/>
          <w:color w:val="000000" w:themeColor="text1"/>
          <w:szCs w:val="21"/>
          <w14:textFill>
            <w14:solidFill>
              <w14:schemeClr w14:val="tx1"/>
            </w14:solidFill>
          </w14:textFill>
        </w:rPr>
        <w:t>投标人的服务承诺应按不低于招标文件中商务要求的标准。</w:t>
      </w:r>
    </w:p>
    <w:p w14:paraId="0843F80B">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14.2</w:t>
      </w:r>
      <w:r>
        <w:rPr>
          <w:rFonts w:hint="eastAsia" w:ascii="宋体" w:hAnsi="宋体" w:cs="宋体"/>
          <w:color w:val="000000" w:themeColor="text1"/>
          <w:szCs w:val="21"/>
          <w14:textFill>
            <w14:solidFill>
              <w14:schemeClr w14:val="tx1"/>
            </w14:solidFill>
          </w14:textFill>
        </w:rPr>
        <w:t>提供投标人有关售后服务的管理制度、售后服务机构的分布情况、售后服务人员的数量、素质、技术水平及售后服务的反应能力。</w:t>
      </w:r>
    </w:p>
    <w:p w14:paraId="090925BB">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bookmarkStart w:id="80" w:name="_Toc49090510"/>
      <w:bookmarkStart w:id="81" w:name="_Toc14577359"/>
      <w:r>
        <w:rPr>
          <w:rFonts w:hint="eastAsia" w:ascii="宋体" w:hAnsi="宋体" w:eastAsia="宋体" w:cs="宋体"/>
          <w:bCs w:val="0"/>
          <w:color w:val="000000" w:themeColor="text1"/>
          <w:sz w:val="21"/>
          <w:szCs w:val="21"/>
          <w14:textFill>
            <w14:solidFill>
              <w14:schemeClr w14:val="tx1"/>
            </w14:solidFill>
          </w14:textFill>
        </w:rPr>
        <w:t>15、投标函和开标一览表</w:t>
      </w:r>
    </w:p>
    <w:p w14:paraId="09FE2A3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15.1</w:t>
      </w:r>
      <w:r>
        <w:rPr>
          <w:rFonts w:hint="eastAsia" w:ascii="宋体" w:hAnsi="宋体" w:cs="宋体"/>
          <w:color w:val="000000" w:themeColor="text1"/>
          <w:szCs w:val="21"/>
          <w14:textFill>
            <w14:solidFill>
              <w14:schemeClr w14:val="tx1"/>
            </w14:solidFill>
          </w14:textFill>
        </w:rPr>
        <w:t xml:space="preserve"> 投标人应按照招标文件中提供的格式完整、正确填写投标函、开标一览表。</w:t>
      </w:r>
    </w:p>
    <w:p w14:paraId="281E95DE">
      <w:pPr>
        <w:spacing w:line="360" w:lineRule="auto"/>
        <w:ind w:firstLine="420"/>
        <w:rPr>
          <w:rFonts w:ascii="宋体" w:cs="宋体"/>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15.2</w:t>
      </w:r>
      <w:r>
        <w:rPr>
          <w:rFonts w:hint="eastAsia" w:ascii="宋体" w:hAnsi="宋体" w:cs="宋体"/>
          <w:bCs/>
          <w:color w:val="000000" w:themeColor="text1"/>
          <w:szCs w:val="21"/>
          <w14:textFill>
            <w14:solidFill>
              <w14:schemeClr w14:val="tx1"/>
            </w14:solidFill>
          </w14:textFill>
        </w:rPr>
        <w:t>开标一览表中的价格应与投标文件中投标配置与分项报价表中的价格一致，如不一致，</w:t>
      </w:r>
      <w:r>
        <w:rPr>
          <w:rFonts w:hint="eastAsia" w:ascii="宋体" w:hAnsi="宋体" w:cs="宋体"/>
          <w:color w:val="000000" w:themeColor="text1"/>
          <w:szCs w:val="21"/>
          <w14:textFill>
            <w14:solidFill>
              <w14:schemeClr w14:val="tx1"/>
            </w14:solidFill>
          </w14:textFill>
        </w:rPr>
        <w:t>不作为无效投标处理</w:t>
      </w:r>
      <w:r>
        <w:rPr>
          <w:rFonts w:hint="eastAsia" w:ascii="宋体" w:hAnsi="宋体" w:cs="宋体"/>
          <w:bCs/>
          <w:color w:val="000000" w:themeColor="text1"/>
          <w:szCs w:val="21"/>
          <w14:textFill>
            <w14:solidFill>
              <w14:schemeClr w14:val="tx1"/>
            </w14:solidFill>
          </w14:textFill>
        </w:rPr>
        <w:t>，但评标时按开标一览表中价格为准</w:t>
      </w:r>
      <w:r>
        <w:rPr>
          <w:rFonts w:hint="eastAsia" w:ascii="宋体" w:hAnsi="宋体" w:cs="宋体"/>
          <w:b/>
          <w:bCs/>
          <w:color w:val="000000" w:themeColor="text1"/>
          <w:szCs w:val="21"/>
          <w14:textFill>
            <w14:solidFill>
              <w14:schemeClr w14:val="tx1"/>
            </w14:solidFill>
          </w14:textFill>
        </w:rPr>
        <w:t>。</w:t>
      </w:r>
    </w:p>
    <w:p w14:paraId="0266719D">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16、投标保证金</w:t>
      </w:r>
      <w:bookmarkEnd w:id="80"/>
      <w:bookmarkEnd w:id="81"/>
    </w:p>
    <w:p w14:paraId="26C9B6D4">
      <w:pPr>
        <w:spacing w:line="360" w:lineRule="auto"/>
        <w:ind w:firstLine="420"/>
        <w:rPr>
          <w:rFonts w:ascii="宋体" w:hAnsi="宋体" w:cs="宋体"/>
          <w:bCs/>
          <w:color w:val="000000" w:themeColor="text1"/>
          <w:szCs w:val="21"/>
          <w14:textFill>
            <w14:solidFill>
              <w14:schemeClr w14:val="tx1"/>
            </w14:solidFill>
          </w14:textFill>
        </w:rPr>
      </w:pPr>
      <w:bookmarkStart w:id="82" w:name="_Toc14577360"/>
      <w:bookmarkStart w:id="83" w:name="_Toc49090511"/>
      <w:r>
        <w:rPr>
          <w:rFonts w:hint="eastAsia" w:ascii="宋体" w:hAnsi="宋体"/>
          <w:color w:val="000000" w:themeColor="text1"/>
          <w:szCs w:val="21"/>
          <w14:textFill>
            <w14:solidFill>
              <w14:schemeClr w14:val="tx1"/>
            </w14:solidFill>
          </w14:textFill>
        </w:rPr>
        <w:t>16.1</w:t>
      </w:r>
      <w:r>
        <w:rPr>
          <w:rFonts w:hint="eastAsia" w:ascii="宋体" w:hAnsi="宋体"/>
          <w:bCs/>
          <w:color w:val="000000" w:themeColor="text1"/>
          <w:szCs w:val="21"/>
          <w14:textFill>
            <w14:solidFill>
              <w14:schemeClr w14:val="tx1"/>
            </w14:solidFill>
          </w14:textFill>
        </w:rPr>
        <w:t>本项目免收投标人投标保证金。</w:t>
      </w:r>
    </w:p>
    <w:p w14:paraId="635A0FFD">
      <w:pPr>
        <w:pStyle w:val="5"/>
        <w:spacing w:before="0" w:after="0" w:line="520" w:lineRule="exact"/>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17、投标有效期</w:t>
      </w:r>
      <w:bookmarkEnd w:id="82"/>
      <w:bookmarkEnd w:id="83"/>
    </w:p>
    <w:p w14:paraId="7E8BBF27">
      <w:pPr>
        <w:spacing w:line="520" w:lineRule="exact"/>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w:t>
      </w:r>
      <w:r>
        <w:rPr>
          <w:rFonts w:hint="eastAsia" w:ascii="宋体" w:hAnsi="宋体"/>
          <w:bCs/>
          <w:color w:val="000000" w:themeColor="text1"/>
          <w:szCs w:val="21"/>
          <w14:textFill>
            <w14:solidFill>
              <w14:schemeClr w14:val="tx1"/>
            </w14:solidFill>
          </w14:textFill>
        </w:rPr>
        <w:t>投标有效期为采购人规定的开标之日起</w:t>
      </w:r>
      <w:r>
        <w:rPr>
          <w:rFonts w:hint="eastAsia" w:ascii="宋体" w:hAnsi="宋体"/>
          <w:b/>
          <w:color w:val="000000" w:themeColor="text1"/>
          <w:szCs w:val="21"/>
          <w:u w:val="single"/>
          <w14:textFill>
            <w14:solidFill>
              <w14:schemeClr w14:val="tx1"/>
            </w14:solidFill>
          </w14:textFill>
        </w:rPr>
        <w:t>六十（60）天</w:t>
      </w:r>
      <w:r>
        <w:rPr>
          <w:rFonts w:hint="eastAsia" w:ascii="宋体" w:hAnsi="宋体"/>
          <w:bCs/>
          <w:color w:val="000000" w:themeColor="text1"/>
          <w:szCs w:val="21"/>
          <w14:textFill>
            <w14:solidFill>
              <w14:schemeClr w14:val="tx1"/>
            </w14:solidFill>
          </w14:textFill>
        </w:rPr>
        <w:t>。投标有效期比规定短的将被视为非响应性投标而予以拒绝</w:t>
      </w:r>
      <w:r>
        <w:rPr>
          <w:rFonts w:hint="eastAsia" w:ascii="宋体" w:hAnsi="宋体" w:cs="宋体"/>
          <w:bCs/>
          <w:color w:val="000000" w:themeColor="text1"/>
          <w:szCs w:val="21"/>
          <w14:textFill>
            <w14:solidFill>
              <w14:schemeClr w14:val="tx1"/>
            </w14:solidFill>
          </w14:textFill>
        </w:rPr>
        <w:t>。</w:t>
      </w:r>
    </w:p>
    <w:p w14:paraId="3C5BEE0C">
      <w:pPr>
        <w:spacing w:line="520" w:lineRule="exact"/>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w:t>
      </w:r>
      <w:r>
        <w:rPr>
          <w:rFonts w:hint="eastAsia" w:ascii="宋体" w:hAnsi="宋体" w:cs="宋体"/>
          <w:bCs/>
          <w:color w:val="000000" w:themeColor="text1"/>
          <w:szCs w:val="21"/>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14:textFill>
            <w14:solidFill>
              <w14:schemeClr w14:val="tx1"/>
            </w14:solidFill>
          </w14:textFill>
        </w:rPr>
        <w:t>同意延长投标有效期的投标人既不能要求也不允许修改其投标文件。本招标文件受投标有效期约束的所有权利与义务均延长至新的有效期。</w:t>
      </w:r>
    </w:p>
    <w:p w14:paraId="2787E934">
      <w:pPr>
        <w:pStyle w:val="5"/>
        <w:spacing w:before="0" w:after="0" w:line="520" w:lineRule="exact"/>
        <w:ind w:firstLine="422"/>
        <w:rPr>
          <w:rFonts w:ascii="宋体" w:hAnsi="宋体" w:eastAsia="宋体" w:cs="宋体"/>
          <w:b w:val="0"/>
          <w:bCs w:val="0"/>
          <w:color w:val="000000" w:themeColor="text1"/>
          <w:sz w:val="21"/>
          <w:szCs w:val="21"/>
          <w14:textFill>
            <w14:solidFill>
              <w14:schemeClr w14:val="tx1"/>
            </w14:solidFill>
          </w14:textFill>
        </w:rPr>
      </w:pPr>
      <w:bookmarkStart w:id="84" w:name="_Toc14577361"/>
      <w:bookmarkStart w:id="85" w:name="_Toc49090512"/>
      <w:r>
        <w:rPr>
          <w:rFonts w:hint="eastAsia" w:ascii="宋体" w:hAnsi="宋体" w:eastAsia="宋体" w:cs="宋体"/>
          <w:bCs w:val="0"/>
          <w:color w:val="000000" w:themeColor="text1"/>
          <w:sz w:val="21"/>
          <w:szCs w:val="21"/>
          <w14:textFill>
            <w14:solidFill>
              <w14:schemeClr w14:val="tx1"/>
            </w14:solidFill>
          </w14:textFill>
        </w:rPr>
        <w:t>18、</w:t>
      </w:r>
      <w:bookmarkEnd w:id="84"/>
      <w:bookmarkEnd w:id="85"/>
      <w:r>
        <w:rPr>
          <w:rFonts w:hint="eastAsia" w:ascii="宋体" w:hAnsi="宋体" w:eastAsia="宋体" w:cs="宋体"/>
          <w:bCs w:val="0"/>
          <w:color w:val="000000" w:themeColor="text1"/>
          <w:sz w:val="21"/>
          <w:szCs w:val="21"/>
          <w14:textFill>
            <w14:solidFill>
              <w14:schemeClr w14:val="tx1"/>
            </w14:solidFill>
          </w14:textFill>
        </w:rPr>
        <w:t>投标文件的递交</w:t>
      </w:r>
    </w:p>
    <w:p w14:paraId="1EA48A16">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18.1 电子投标文件的递交投标人应当按照《操作手册》规定，在投标截止时间前制作并上传电子投标文件。</w:t>
      </w:r>
    </w:p>
    <w:p w14:paraId="4C9EE294">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18.2政府采购管理交易系统（苏采云）相关要求是本招标文件的组成部分。</w:t>
      </w:r>
    </w:p>
    <w:p w14:paraId="23B3AAC1">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18.3投标人应对 CA 证书妥善保管，如被他人盗用投标，因此带来的结果均由投标人自行承担。</w:t>
      </w:r>
    </w:p>
    <w:p w14:paraId="462C2834">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18.4投标人应当对招标文件提出的要求和条件作出实质性响应，并在电子投标系统逐条应答。</w:t>
      </w:r>
    </w:p>
    <w:p w14:paraId="29F07075">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18.5投标人应对要求提供的资格证明文件（如资质证书、资格证书）、技术资料（如白皮书、彩页、手册、检测报告等）扫描上传至投标系统。</w:t>
      </w:r>
    </w:p>
    <w:p w14:paraId="38F8305D">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18.6投标人应当在招标文件要求提交投标文件的截止时间前，将投标文件提交至“苏采云”系统，逾期提交的投标文件，“苏采云”系统将自动拒收。</w:t>
      </w:r>
    </w:p>
    <w:p w14:paraId="12FE3269">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18.7各投标人应在规定时间内凭CA证书进行网上解密。</w:t>
      </w:r>
    </w:p>
    <w:p w14:paraId="1363DB2E">
      <w:pPr>
        <w:pStyle w:val="5"/>
        <w:spacing w:before="0" w:after="0" w:line="520" w:lineRule="exact"/>
        <w:ind w:firstLine="422"/>
        <w:rPr>
          <w:rFonts w:ascii="宋体" w:hAnsi="宋体" w:eastAsia="宋体" w:cs="宋体"/>
          <w:b w:val="0"/>
          <w:bCs w:val="0"/>
          <w:color w:val="000000" w:themeColor="text1"/>
          <w:sz w:val="21"/>
          <w:szCs w:val="21"/>
          <w14:textFill>
            <w14:solidFill>
              <w14:schemeClr w14:val="tx1"/>
            </w14:solidFill>
          </w14:textFill>
        </w:rPr>
      </w:pPr>
      <w:bookmarkStart w:id="86" w:name="_Toc462564084"/>
      <w:bookmarkStart w:id="87" w:name="_Toc20823297"/>
      <w:bookmarkStart w:id="88" w:name="_Toc16938541"/>
      <w:bookmarkStart w:id="89" w:name="_Toc513029225"/>
      <w:r>
        <w:rPr>
          <w:rFonts w:hint="eastAsia" w:ascii="宋体" w:hAnsi="宋体" w:eastAsia="宋体" w:cs="宋体"/>
          <w:bCs w:val="0"/>
          <w:color w:val="000000" w:themeColor="text1"/>
          <w:sz w:val="21"/>
          <w:szCs w:val="21"/>
          <w14:textFill>
            <w14:solidFill>
              <w14:schemeClr w14:val="tx1"/>
            </w14:solidFill>
          </w14:textFill>
        </w:rPr>
        <w:t>19、</w:t>
      </w:r>
      <w:bookmarkEnd w:id="86"/>
      <w:bookmarkEnd w:id="87"/>
      <w:bookmarkEnd w:id="88"/>
      <w:bookmarkEnd w:id="89"/>
      <w:r>
        <w:rPr>
          <w:rFonts w:hint="eastAsia" w:ascii="宋体" w:hAnsi="宋体" w:eastAsia="宋体" w:cs="宋体"/>
          <w:bCs w:val="0"/>
          <w:color w:val="000000" w:themeColor="text1"/>
          <w:sz w:val="21"/>
          <w:szCs w:val="21"/>
          <w14:textFill>
            <w14:solidFill>
              <w14:schemeClr w14:val="tx1"/>
            </w14:solidFill>
          </w14:textFill>
        </w:rPr>
        <w:t>投标截止日期</w:t>
      </w:r>
    </w:p>
    <w:p w14:paraId="42460AAE">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19.1</w:t>
      </w:r>
      <w:r>
        <w:rPr>
          <w:rFonts w:hint="eastAsia" w:ascii="宋体" w:hAnsi="宋体"/>
          <w:bCs/>
          <w:i/>
          <w:iCs/>
          <w:color w:val="000000" w:themeColor="text1"/>
          <w:szCs w:val="21"/>
          <w:u w:val="single"/>
          <w14:textFill>
            <w14:solidFill>
              <w14:schemeClr w14:val="tx1"/>
            </w14:solidFill>
          </w14:textFill>
        </w:rPr>
        <w:t>投标人上传电子投标文件的时间不得迟于招标公告中规定的投标截止时间。</w:t>
      </w:r>
    </w:p>
    <w:p w14:paraId="595B396E">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投标人应充分考虑到网络环境、网络带宽等风险因素，如因投标人自身原因造成的电子投标文件上传不成功由投标人自行承担全部责任。</w:t>
      </w:r>
    </w:p>
    <w:p w14:paraId="001619AC">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w:t>
      </w:r>
      <w:r>
        <w:rPr>
          <w:rFonts w:hint="eastAsia" w:ascii="宋体" w:hAnsi="宋体" w:cs="宋体"/>
          <w:bCs/>
          <w:color w:val="000000" w:themeColor="text1"/>
          <w:szCs w:val="21"/>
          <w14:textFill>
            <w14:solidFill>
              <w14:schemeClr w14:val="tx1"/>
            </w14:solidFill>
          </w14:textFill>
        </w:rPr>
        <w:t xml:space="preserve"> 采购人可以通过修改招标文件酌情延长投标截止日期，在此情况下，投标人的所有权利和义务以及投标人受制的截止日期均应以延长后新的截止日期为准。</w:t>
      </w:r>
    </w:p>
    <w:p w14:paraId="225CB0C4">
      <w:pPr>
        <w:pStyle w:val="5"/>
        <w:spacing w:before="0" w:after="0" w:line="360" w:lineRule="auto"/>
        <w:ind w:firstLine="422"/>
        <w:rPr>
          <w:rFonts w:ascii="宋体" w:hAnsi="宋体" w:eastAsia="宋体" w:cs="宋体"/>
          <w:bCs w:val="0"/>
          <w:color w:val="000000" w:themeColor="text1"/>
          <w:sz w:val="21"/>
          <w:szCs w:val="21"/>
          <w14:textFill>
            <w14:solidFill>
              <w14:schemeClr w14:val="tx1"/>
            </w14:solidFill>
          </w14:textFill>
        </w:rPr>
      </w:pPr>
      <w:bookmarkStart w:id="90" w:name="_Toc20823299"/>
      <w:bookmarkStart w:id="91" w:name="_Toc513029227"/>
      <w:bookmarkStart w:id="92" w:name="_Toc16938543"/>
      <w:r>
        <w:rPr>
          <w:rFonts w:hint="eastAsia" w:ascii="宋体" w:hAnsi="宋体" w:eastAsia="宋体" w:cs="宋体"/>
          <w:bCs w:val="0"/>
          <w:color w:val="000000" w:themeColor="text1"/>
          <w:sz w:val="21"/>
          <w:szCs w:val="21"/>
          <w14:textFill>
            <w14:solidFill>
              <w14:schemeClr w14:val="tx1"/>
            </w14:solidFill>
          </w14:textFill>
        </w:rPr>
        <w:t>20、</w:t>
      </w:r>
      <w:bookmarkEnd w:id="90"/>
      <w:bookmarkEnd w:id="91"/>
      <w:bookmarkEnd w:id="92"/>
      <w:r>
        <w:rPr>
          <w:rFonts w:hint="eastAsia" w:ascii="宋体" w:hAnsi="宋体" w:eastAsia="宋体" w:cs="宋体"/>
          <w:bCs w:val="0"/>
          <w:color w:val="000000" w:themeColor="text1"/>
          <w:sz w:val="21"/>
          <w:szCs w:val="21"/>
          <w14:textFill>
            <w14:solidFill>
              <w14:schemeClr w14:val="tx1"/>
            </w14:solidFill>
          </w14:textFill>
        </w:rPr>
        <w:t>投标文件的拒收</w:t>
      </w:r>
    </w:p>
    <w:p w14:paraId="00D09334">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20.1</w:t>
      </w:r>
      <w:r>
        <w:rPr>
          <w:rFonts w:hint="eastAsia" w:ascii="宋体" w:hAnsi="宋体"/>
          <w:bCs/>
          <w:color w:val="000000" w:themeColor="text1"/>
          <w:szCs w:val="21"/>
          <w14:textFill>
            <w14:solidFill>
              <w14:schemeClr w14:val="tx1"/>
            </w14:solidFill>
          </w14:textFill>
        </w:rPr>
        <w:t>代理机构拒绝接收在其规定的投标截止时间后上传的任何投标文件</w:t>
      </w:r>
      <w:r>
        <w:rPr>
          <w:rFonts w:hint="eastAsia" w:ascii="宋体" w:hAnsi="宋体" w:cs="宋体"/>
          <w:bCs/>
          <w:color w:val="000000" w:themeColor="text1"/>
          <w:szCs w:val="21"/>
          <w14:textFill>
            <w14:solidFill>
              <w14:schemeClr w14:val="tx1"/>
            </w14:solidFill>
          </w14:textFill>
        </w:rPr>
        <w:t>。</w:t>
      </w:r>
    </w:p>
    <w:p w14:paraId="4F11E4A3">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bookmarkStart w:id="93" w:name="_Toc16938544"/>
      <w:bookmarkStart w:id="94" w:name="_Toc20823300"/>
      <w:bookmarkStart w:id="95" w:name="_Toc513029228"/>
      <w:r>
        <w:rPr>
          <w:rFonts w:hint="eastAsia" w:ascii="宋体" w:hAnsi="宋体" w:eastAsia="宋体" w:cs="宋体"/>
          <w:bCs w:val="0"/>
          <w:color w:val="000000" w:themeColor="text1"/>
          <w:sz w:val="21"/>
          <w:szCs w:val="21"/>
          <w14:textFill>
            <w14:solidFill>
              <w14:schemeClr w14:val="tx1"/>
            </w14:solidFill>
          </w14:textFill>
        </w:rPr>
        <w:t>21、投标文件的修改和撤回</w:t>
      </w:r>
      <w:bookmarkEnd w:id="93"/>
      <w:bookmarkEnd w:id="94"/>
      <w:bookmarkEnd w:id="95"/>
    </w:p>
    <w:p w14:paraId="4CD6E645">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21.1 投标文件的撤回</w:t>
      </w:r>
    </w:p>
    <w:p w14:paraId="34A7F4A9">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21.1.1 电子投标文件的撤回</w:t>
      </w:r>
    </w:p>
    <w:p w14:paraId="4F45DE99">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投标人可在投标截止时间前，撤回其电子投标文件，具体操作方法见《操作手册》。</w:t>
      </w:r>
    </w:p>
    <w:p w14:paraId="13250C07">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21.1.2 投标人撤回电子投标文件，则认为其不再参与本项目投标活动。</w:t>
      </w:r>
    </w:p>
    <w:p w14:paraId="3F0A1C87">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21.2 投标文件的修改</w:t>
      </w:r>
    </w:p>
    <w:p w14:paraId="65AAE1F0">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投标人可在投标截止时间前，对其电子投标文件进行修改，具体操作方法见《操作手册》。</w:t>
      </w:r>
    </w:p>
    <w:p w14:paraId="13203AA9">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21.3 在投标截止时间之后，投标人不得对其电子投标文件作任何修改。</w:t>
      </w:r>
    </w:p>
    <w:p w14:paraId="0924CA06">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21.4 在投标截止时间至招标文件中规定的投标有效期满之间的这段时间内，投标人不得撤回其投标。</w:t>
      </w:r>
    </w:p>
    <w:p w14:paraId="51B300BC">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bookmarkStart w:id="96" w:name="_Toc16938546"/>
      <w:bookmarkStart w:id="97" w:name="_Toc20823302"/>
      <w:bookmarkStart w:id="98" w:name="_Toc513029230"/>
      <w:r>
        <w:rPr>
          <w:rFonts w:hint="eastAsia" w:ascii="宋体" w:hAnsi="宋体" w:eastAsia="宋体" w:cs="宋体"/>
          <w:bCs w:val="0"/>
          <w:color w:val="000000" w:themeColor="text1"/>
          <w:sz w:val="21"/>
          <w:szCs w:val="21"/>
          <w14:textFill>
            <w14:solidFill>
              <w14:schemeClr w14:val="tx1"/>
            </w14:solidFill>
          </w14:textFill>
        </w:rPr>
        <w:t>22、开标</w:t>
      </w:r>
      <w:bookmarkEnd w:id="96"/>
      <w:bookmarkEnd w:id="97"/>
      <w:bookmarkEnd w:id="98"/>
    </w:p>
    <w:p w14:paraId="768651D7">
      <w:pPr>
        <w:spacing w:line="360" w:lineRule="auto"/>
        <w:ind w:firstLine="420"/>
        <w:rPr>
          <w:rFonts w:ascii="宋体" w:hAnsi="宋体"/>
          <w:color w:val="000000" w:themeColor="text1"/>
          <w:szCs w:val="21"/>
          <w14:textFill>
            <w14:solidFill>
              <w14:schemeClr w14:val="tx1"/>
            </w14:solidFill>
          </w14:textFill>
        </w:rPr>
      </w:pPr>
      <w:bookmarkStart w:id="99" w:name="_Toc16938547"/>
      <w:bookmarkStart w:id="100" w:name="_Toc513029231"/>
      <w:bookmarkStart w:id="101" w:name="_Toc20823303"/>
      <w:r>
        <w:rPr>
          <w:rFonts w:hint="eastAsia" w:ascii="宋体" w:hAnsi="宋体"/>
          <w:color w:val="000000" w:themeColor="text1"/>
          <w:szCs w:val="21"/>
          <w14:textFill>
            <w14:solidFill>
              <w14:schemeClr w14:val="tx1"/>
            </w14:solidFill>
          </w14:textFill>
        </w:rPr>
        <w:t>22.1</w:t>
      </w:r>
      <w:r>
        <w:rPr>
          <w:rFonts w:hint="eastAsia" w:ascii="宋体" w:hAnsi="宋体"/>
          <w:bCs/>
          <w:color w:val="000000" w:themeColor="text1"/>
          <w:szCs w:val="21"/>
          <w14:textFill>
            <w14:solidFill>
              <w14:schemeClr w14:val="tx1"/>
            </w14:solidFill>
          </w14:textFill>
        </w:rPr>
        <w:t xml:space="preserve"> 采购人将在招标公告中规定的时间和地点组织公开开标。投标人应当按照《操作手册》规定，参加开标活动。投标人未参加开标的，视同认可开标结果。</w:t>
      </w:r>
    </w:p>
    <w:p w14:paraId="17A59330">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22.2投标人不足3家的，不得开标。</w:t>
      </w:r>
    </w:p>
    <w:p w14:paraId="4E15E344">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22.3开标仪式由代理机构主持。“政府采购管理交易系统（苏采云）”将自动对项目进行开标，并宣读各投标人的《开标一览表》。</w:t>
      </w:r>
    </w:p>
    <w:p w14:paraId="3F94952B">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22.4投标人在开标过程中涉及到的投标文件解密、开标结果确认等工作，应按照《操作手册》规定执行。</w:t>
      </w:r>
    </w:p>
    <w:p w14:paraId="257E1F5C">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23、评标委员会</w:t>
      </w:r>
    </w:p>
    <w:p w14:paraId="5FD558C0">
      <w:pPr>
        <w:spacing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23.1开标后，采购人将立即组织评标委员会（以下简称评委会）进行评标。</w:t>
      </w:r>
    </w:p>
    <w:p w14:paraId="1DC48B12">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23.2 评委会由采购人代表和有关技术、经济等方面的专家组成，且人员构成符合政府采购有关规定。</w:t>
      </w:r>
    </w:p>
    <w:p w14:paraId="56AAB51C">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23.3评委会独立工作，负责评审所有投标文件并确定中标候选人。</w:t>
      </w:r>
    </w:p>
    <w:p w14:paraId="64F32C94">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24、评标过程的保密与公正</w:t>
      </w:r>
      <w:bookmarkEnd w:id="99"/>
      <w:bookmarkEnd w:id="100"/>
      <w:bookmarkEnd w:id="101"/>
    </w:p>
    <w:p w14:paraId="0B4FF4CA">
      <w:pPr>
        <w:spacing w:line="360" w:lineRule="auto"/>
        <w:ind w:firstLine="420"/>
        <w:rPr>
          <w:rFonts w:ascii="宋体" w:hAnsi="宋体"/>
          <w:bCs/>
          <w:color w:val="000000" w:themeColor="text1"/>
          <w:szCs w:val="21"/>
          <w14:textFill>
            <w14:solidFill>
              <w14:schemeClr w14:val="tx1"/>
            </w14:solidFill>
          </w14:textFill>
        </w:rPr>
      </w:pPr>
      <w:bookmarkStart w:id="102" w:name="_Toc513029232"/>
      <w:bookmarkStart w:id="103" w:name="_Toc20823304"/>
      <w:bookmarkStart w:id="104" w:name="_Toc16938548"/>
      <w:r>
        <w:rPr>
          <w:rFonts w:hint="eastAsia" w:ascii="宋体" w:hAnsi="宋体"/>
          <w:color w:val="000000" w:themeColor="text1"/>
          <w:szCs w:val="21"/>
          <w14:textFill>
            <w14:solidFill>
              <w14:schemeClr w14:val="tx1"/>
            </w14:solidFill>
          </w14:textFill>
        </w:rPr>
        <w:t>24.1</w:t>
      </w:r>
      <w:r>
        <w:rPr>
          <w:rFonts w:hint="eastAsia" w:ascii="宋体" w:hAnsi="宋体"/>
          <w:bCs/>
          <w:color w:val="000000" w:themeColor="text1"/>
          <w:szCs w:val="21"/>
          <w14:textFill>
            <w14:solidFill>
              <w14:schemeClr w14:val="tx1"/>
            </w14:solidFill>
          </w14:textFill>
        </w:rPr>
        <w:t>公开开标后，凡是与审查、澄清、评价和比较投标的有关资料以及授标建议等，采购人、评委、采购人工作人员均不得向投标人或与评标无关的其他人员透露。</w:t>
      </w:r>
    </w:p>
    <w:p w14:paraId="3128517F">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24.2在评标过程中，投标人不得以任何行为影响评标过程，否则其投标文件将被作为无效投标文件。</w:t>
      </w:r>
    </w:p>
    <w:p w14:paraId="5138400B">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24.3 在评标期间，采购人将设专门工作人员与投标人联系。</w:t>
      </w:r>
    </w:p>
    <w:p w14:paraId="6F4065E6">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24.4 代理机构和评委会不向未中标的投标人解释未中标原因，也不公布评标过程中的相关细节。</w:t>
      </w:r>
    </w:p>
    <w:p w14:paraId="74D1848D">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24.5 采用综合评分法的项目，未中标的投标人可于中标结果公告期限届满之日起通过“政府采购管理交易系统（苏采云）”查看自己的评审得分及排序情况。</w:t>
      </w:r>
    </w:p>
    <w:p w14:paraId="32B3510B">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25、投标的澄清</w:t>
      </w:r>
      <w:bookmarkEnd w:id="102"/>
      <w:bookmarkEnd w:id="103"/>
      <w:bookmarkEnd w:id="104"/>
    </w:p>
    <w:p w14:paraId="6A486AAB">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25.1评标期间，为有助于对投标文件的审查、评价和比较，评委会有权以</w:t>
      </w:r>
      <w:r>
        <w:rPr>
          <w:rFonts w:hint="eastAsia" w:ascii="宋体" w:hAnsi="宋体"/>
          <w:bCs/>
          <w:color w:val="000000" w:themeColor="text1"/>
          <w:szCs w:val="21"/>
          <w14:textFill>
            <w14:solidFill>
              <w14:schemeClr w14:val="tx1"/>
            </w14:solidFill>
          </w14:textFill>
        </w:rPr>
        <w:t>电子函件</w:t>
      </w:r>
      <w:r>
        <w:rPr>
          <w:rFonts w:hint="eastAsia" w:ascii="宋体" w:hAnsi="宋体" w:cs="宋体"/>
          <w:color w:val="000000" w:themeColor="text1"/>
          <w:szCs w:val="21"/>
          <w14:textFill>
            <w14:solidFill>
              <w14:schemeClr w14:val="tx1"/>
            </w14:solidFill>
          </w14:textFill>
        </w:rPr>
        <w:t>形式要求投标人对其投标文件进行澄清，但并非对每个投标人都作澄清要求。</w:t>
      </w:r>
    </w:p>
    <w:p w14:paraId="7D9393E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25.2</w:t>
      </w:r>
      <w:r>
        <w:rPr>
          <w:rFonts w:hint="eastAsia" w:ascii="宋体" w:hAnsi="宋体"/>
          <w:bCs/>
          <w:color w:val="000000" w:themeColor="text1"/>
          <w:szCs w:val="21"/>
          <w14:textFill>
            <w14:solidFill>
              <w14:schemeClr w14:val="tx1"/>
            </w14:solidFill>
          </w14:textFill>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454E8B8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25.3 接到评委会澄清要求的投标人如未按规定做出澄清，其风险由投标人自行承担。</w:t>
      </w:r>
    </w:p>
    <w:p w14:paraId="1B34A8FC">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bookmarkStart w:id="105" w:name="_Toc20823305"/>
      <w:bookmarkStart w:id="106" w:name="_Toc513029233"/>
      <w:bookmarkStart w:id="107" w:name="_Toc16938549"/>
      <w:r>
        <w:rPr>
          <w:rFonts w:hint="eastAsia" w:ascii="宋体" w:hAnsi="宋体" w:eastAsia="宋体" w:cs="宋体"/>
          <w:bCs w:val="0"/>
          <w:color w:val="000000" w:themeColor="text1"/>
          <w:sz w:val="21"/>
          <w:szCs w:val="21"/>
          <w14:textFill>
            <w14:solidFill>
              <w14:schemeClr w14:val="tx1"/>
            </w14:solidFill>
          </w14:textFill>
        </w:rPr>
        <w:t>26、对投标文件的初审</w:t>
      </w:r>
      <w:bookmarkEnd w:id="105"/>
      <w:bookmarkEnd w:id="106"/>
      <w:bookmarkEnd w:id="107"/>
    </w:p>
    <w:p w14:paraId="12BBC629">
      <w:pPr>
        <w:spacing w:line="360" w:lineRule="auto"/>
        <w:ind w:firstLine="420"/>
        <w:rPr>
          <w:rFonts w:ascii="宋体" w:hAnsi="宋体"/>
          <w:bCs/>
          <w:color w:val="000000" w:themeColor="text1"/>
          <w:szCs w:val="21"/>
          <w14:textFill>
            <w14:solidFill>
              <w14:schemeClr w14:val="tx1"/>
            </w14:solidFill>
          </w14:textFill>
        </w:rPr>
      </w:pPr>
      <w:bookmarkStart w:id="108" w:name="_Toc513029234"/>
      <w:bookmarkStart w:id="109" w:name="_Toc16938550"/>
      <w:bookmarkStart w:id="110" w:name="_Toc20823306"/>
      <w:r>
        <w:rPr>
          <w:rFonts w:hint="eastAsia" w:ascii="宋体" w:hAnsi="宋体"/>
          <w:color w:val="000000" w:themeColor="text1"/>
          <w:szCs w:val="21"/>
          <w14:textFill>
            <w14:solidFill>
              <w14:schemeClr w14:val="tx1"/>
            </w14:solidFill>
          </w14:textFill>
        </w:rPr>
        <w:t>26.1</w:t>
      </w:r>
      <w:r>
        <w:rPr>
          <w:rFonts w:hint="eastAsia" w:ascii="宋体" w:hAnsi="宋体"/>
          <w:bCs/>
          <w:color w:val="000000" w:themeColor="text1"/>
          <w:szCs w:val="21"/>
          <w14:textFill>
            <w14:solidFill>
              <w14:schemeClr w14:val="tx1"/>
            </w14:solidFill>
          </w14:textFill>
        </w:rPr>
        <w:t>投标文件初审分为资格检查和符合性检查。</w:t>
      </w:r>
    </w:p>
    <w:p w14:paraId="3D1FEFE7">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26.1.1</w:t>
      </w:r>
      <w:r>
        <w:rPr>
          <w:rFonts w:hint="eastAsia" w:ascii="宋体" w:hAnsi="宋体"/>
          <w:bCs/>
          <w:color w:val="000000" w:themeColor="text1"/>
          <w:szCs w:val="21"/>
          <w14:textFill>
            <w14:solidFill>
              <w14:schemeClr w14:val="tx1"/>
            </w14:solidFill>
          </w14:textFill>
        </w:rPr>
        <w:t>资格审查：依据法律法规和招标文件的规定，对投标文件中的资格证明文件进行审查。并将审查结论以书面形式向评委会反馈。</w:t>
      </w:r>
    </w:p>
    <w:p w14:paraId="04E01B5C">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若接受联合体投标的项目，两个及两个以上的自然人、法人或者其他组织组成一个联合体，以一个供应商的身份共同参加政府采购活动的,联合体成员必须同时满足本项目要求的资格条件。</w:t>
      </w:r>
    </w:p>
    <w:p w14:paraId="3E6D193C">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26.1.2</w:t>
      </w:r>
      <w:r>
        <w:rPr>
          <w:rFonts w:hint="eastAsia" w:ascii="宋体" w:hAnsi="宋体"/>
          <w:bCs/>
          <w:color w:val="000000" w:themeColor="text1"/>
          <w:szCs w:val="21"/>
          <w14:textFill>
            <w14:solidFill>
              <w14:schemeClr w14:val="tx1"/>
            </w14:solidFill>
          </w14:textFill>
        </w:rPr>
        <w:t>符合性检查：依据招标文件的规定，从投标文件的有效性、完整性和对招标文件的响应程度进行审查，以确定是否对招标文件的实质性要求作出响应。</w:t>
      </w:r>
    </w:p>
    <w:p w14:paraId="154A2037">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14:paraId="0C18D643">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0BD5B0CA">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所谓重大偏离或保留是指与招标文件规定的实质性要求存在负偏离，或者在实质上与招标文件不一致，而且限制了合同中</w:t>
      </w:r>
      <w:r>
        <w:rPr>
          <w:rFonts w:hint="eastAsia" w:ascii="宋体" w:hAnsi="宋体"/>
          <w:bCs/>
          <w:color w:val="000000" w:themeColor="text1"/>
          <w:szCs w:val="21"/>
          <w14:textFill>
            <w14:solidFill>
              <w14:schemeClr w14:val="tx1"/>
            </w14:solidFill>
          </w14:textFill>
        </w:rPr>
        <w:t>合同中买方（采购人）和见证方（代理机构）</w:t>
      </w:r>
      <w:r>
        <w:rPr>
          <w:rFonts w:hint="eastAsia" w:ascii="宋体" w:hAnsi="宋体"/>
          <w:color w:val="000000" w:themeColor="text1"/>
          <w:szCs w:val="21"/>
          <w14:textFill>
            <w14:solidFill>
              <w14:schemeClr w14:val="tx1"/>
            </w14:solidFill>
          </w14:textFill>
        </w:rPr>
        <w:t>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14:textFill>
            <w14:solidFill>
              <w14:schemeClr w14:val="tx1"/>
            </w14:solidFill>
          </w14:textFill>
        </w:rPr>
        <w:t>评委决定投标文件的响应性只根据投标文件本身的内容，而不寻求外部的证据。</w:t>
      </w:r>
    </w:p>
    <w:p w14:paraId="67E13141">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26.3</w:t>
      </w:r>
      <w:r>
        <w:rPr>
          <w:rFonts w:hint="eastAsia" w:ascii="宋体" w:hAnsi="宋体"/>
          <w:bCs/>
          <w:color w:val="000000" w:themeColor="text1"/>
          <w:szCs w:val="21"/>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4518EDCD">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26.4</w:t>
      </w:r>
      <w:r>
        <w:rPr>
          <w:rFonts w:hint="eastAsia" w:ascii="宋体" w:hAnsi="宋体"/>
          <w:bCs/>
          <w:color w:val="000000" w:themeColor="text1"/>
          <w:szCs w:val="21"/>
          <w14:textFill>
            <w14:solidFill>
              <w14:schemeClr w14:val="tx1"/>
            </w14:solidFill>
          </w14:textFill>
        </w:rPr>
        <w:t>评委会将对确定为实质性响应的投标进行进一步审核，看其是否有计算上或累加上的算术错误，对开标一览表内容修正错误的原则如下：</w:t>
      </w:r>
    </w:p>
    <w:p w14:paraId="2A829823">
      <w:pPr>
        <w:spacing w:line="360" w:lineRule="auto"/>
        <w:ind w:firstLine="420"/>
        <w:jc w:val="left"/>
        <w:rPr>
          <w:rFonts w:asci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ascii="宋体" w:hAnsi="宋体" w:cs="宋体"/>
          <w:bCs/>
          <w:color w:val="000000" w:themeColor="text1"/>
          <w:szCs w:val="21"/>
          <w14:textFill>
            <w14:solidFill>
              <w14:schemeClr w14:val="tx1"/>
            </w14:solidFill>
          </w14:textFill>
        </w:rPr>
        <w:t>1</w:t>
      </w:r>
      <w:r>
        <w:rPr>
          <w:rFonts w:hint="eastAsia" w:ascii="宋体" w:hAnsi="宋体" w:cs="宋体"/>
          <w:bCs/>
          <w:color w:val="000000" w:themeColor="text1"/>
          <w:szCs w:val="21"/>
          <w14:textFill>
            <w14:solidFill>
              <w14:schemeClr w14:val="tx1"/>
            </w14:solidFill>
          </w14:textFill>
        </w:rPr>
        <w:t>）投标文件中开标一览表内容与投标文件中相应内容不一致的，以开标一览表为准。</w:t>
      </w:r>
    </w:p>
    <w:p w14:paraId="1DE20685">
      <w:pPr>
        <w:spacing w:line="360" w:lineRule="auto"/>
        <w:ind w:firstLine="420"/>
        <w:jc w:val="left"/>
        <w:rPr>
          <w:rFonts w:asci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ascii="宋体" w:hAnsi="宋体" w:cs="宋体"/>
          <w:bCs/>
          <w:color w:val="000000" w:themeColor="text1"/>
          <w:szCs w:val="21"/>
          <w14:textFill>
            <w14:solidFill>
              <w14:schemeClr w14:val="tx1"/>
            </w14:solidFill>
          </w14:textFill>
        </w:rPr>
        <w:t>2</w:t>
      </w:r>
      <w:r>
        <w:rPr>
          <w:rFonts w:hint="eastAsia" w:ascii="宋体" w:hAnsi="宋体" w:cs="宋体"/>
          <w:bCs/>
          <w:color w:val="000000" w:themeColor="text1"/>
          <w:szCs w:val="21"/>
          <w14:textFill>
            <w14:solidFill>
              <w14:schemeClr w14:val="tx1"/>
            </w14:solidFill>
          </w14:textFill>
        </w:rPr>
        <w:t>）投标文件、“开标一览表”中报价的大写金额与小写金额不一致的，以大写金额为准。</w:t>
      </w:r>
    </w:p>
    <w:p w14:paraId="711789BC">
      <w:pPr>
        <w:spacing w:line="360" w:lineRule="auto"/>
        <w:ind w:firstLine="420"/>
        <w:jc w:val="left"/>
        <w:rPr>
          <w:rFonts w:asci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ascii="宋体" w:hAnsi="宋体" w:cs="宋体"/>
          <w:bCs/>
          <w:color w:val="000000" w:themeColor="text1"/>
          <w:szCs w:val="21"/>
          <w14:textFill>
            <w14:solidFill>
              <w14:schemeClr w14:val="tx1"/>
            </w14:solidFill>
          </w14:textFill>
        </w:rPr>
        <w:t>3</w:t>
      </w:r>
      <w:r>
        <w:rPr>
          <w:rFonts w:hint="eastAsia" w:ascii="宋体" w:hAnsi="宋体" w:cs="宋体"/>
          <w:bCs/>
          <w:color w:val="000000" w:themeColor="text1"/>
          <w:szCs w:val="21"/>
          <w14:textFill>
            <w14:solidFill>
              <w14:schemeClr w14:val="tx1"/>
            </w14:solidFill>
          </w14:textFill>
        </w:rPr>
        <w:t>）单价金额小数点或者百分比有明显错位的，以开标一览表的总价为准，并修改单价。</w:t>
      </w:r>
    </w:p>
    <w:p w14:paraId="393ABE85">
      <w:pPr>
        <w:spacing w:line="360" w:lineRule="auto"/>
        <w:ind w:firstLine="420"/>
        <w:jc w:val="left"/>
        <w:rPr>
          <w:rFonts w:asci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ascii="宋体" w:hAnsi="宋体" w:cs="宋体"/>
          <w:bCs/>
          <w:color w:val="000000" w:themeColor="text1"/>
          <w:szCs w:val="21"/>
          <w14:textFill>
            <w14:solidFill>
              <w14:schemeClr w14:val="tx1"/>
            </w14:solidFill>
          </w14:textFill>
        </w:rPr>
        <w:t>4</w:t>
      </w:r>
      <w:r>
        <w:rPr>
          <w:rFonts w:hint="eastAsia" w:ascii="宋体" w:hAnsi="宋体" w:cs="宋体"/>
          <w:bCs/>
          <w:color w:val="000000" w:themeColor="text1"/>
          <w:szCs w:val="21"/>
          <w14:textFill>
            <w14:solidFill>
              <w14:schemeClr w14:val="tx1"/>
            </w14:solidFill>
          </w14:textFill>
        </w:rPr>
        <w:t>）总价金额与按单价汇总金额不一致的，以单价金额计算结果为准。</w:t>
      </w:r>
    </w:p>
    <w:p w14:paraId="7CEB98BB">
      <w:pPr>
        <w:spacing w:line="360" w:lineRule="auto"/>
        <w:ind w:firstLine="420"/>
        <w:jc w:val="left"/>
        <w:rPr>
          <w:rFonts w:asci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同时出现两种以上错误的，按照前款规定的顺序修正。对不同文字文本投标文件的解释发生异议的，以中文文本为准。</w:t>
      </w:r>
    </w:p>
    <w:p w14:paraId="5E24FC23">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26.5</w:t>
      </w:r>
      <w:r>
        <w:rPr>
          <w:rFonts w:hint="eastAsia" w:ascii="宋体" w:hAnsi="宋体"/>
          <w:bCs/>
          <w:color w:val="000000" w:themeColor="text1"/>
          <w:szCs w:val="21"/>
          <w14:textFill>
            <w14:solidFill>
              <w14:schemeClr w14:val="tx1"/>
            </w14:solidFill>
          </w14:textFill>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C91B110">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26.6</w:t>
      </w:r>
      <w:r>
        <w:rPr>
          <w:rFonts w:hint="eastAsia" w:ascii="宋体" w:hAnsi="宋体"/>
          <w:bCs/>
          <w:color w:val="000000" w:themeColor="text1"/>
          <w:szCs w:val="21"/>
          <w14:textFill>
            <w14:solidFill>
              <w14:schemeClr w14:val="tx1"/>
            </w14:solidFill>
          </w14:textFill>
        </w:rPr>
        <w:t>评委会将允许修正投标文件中不构成重大偏离的、微小的、非正规的、不一致的或不规则的地方，但这些修改不能影响任何投标人相应的名次排列，否则不允许修正。</w:t>
      </w:r>
    </w:p>
    <w:p w14:paraId="533C7C2F">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26.7投标人在开、评标全过程中应保持通讯畅通，并安排专人与代理机构及评委会联系。</w:t>
      </w:r>
    </w:p>
    <w:p w14:paraId="1274114F">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 异常低价投标（响应）</w:t>
      </w:r>
    </w:p>
    <w:p w14:paraId="3F540845">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36E512D4">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0AADA44">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.3投标（响应）报价低于采购项目最高限价 45% 的，即投标（响应）报价&lt;采购项目最高限价×45% ；</w:t>
      </w:r>
    </w:p>
    <w:p w14:paraId="769DC2DC">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.4评审委员会认定的供应商报价过低、有可能影响产品质量或者不能诚信履约的其他情形。</w:t>
      </w:r>
    </w:p>
    <w:p w14:paraId="7579D92D">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lang w:val="en-US" w:eastAsia="zh-CN"/>
          <w14:textFill>
            <w14:solidFill>
              <w14:schemeClr w14:val="tx1"/>
            </w14:solidFill>
          </w14:textFill>
        </w:rPr>
        <w:t>8</w:t>
      </w:r>
      <w:r>
        <w:rPr>
          <w:rFonts w:ascii="宋体" w:hAnsi="宋体"/>
          <w:color w:val="000000" w:themeColor="text1"/>
          <w:szCs w:val="21"/>
          <w14:textFill>
            <w14:solidFill>
              <w14:schemeClr w14:val="tx1"/>
            </w14:solidFill>
          </w14:textFill>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D199FCD">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3154D51">
      <w:pPr>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3A453612">
      <w:pPr>
        <w:pStyle w:val="5"/>
        <w:spacing w:before="0" w:after="0" w:line="360" w:lineRule="auto"/>
        <w:ind w:firstLine="422"/>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t>27、</w:t>
      </w:r>
      <w:bookmarkEnd w:id="108"/>
      <w:bookmarkEnd w:id="109"/>
      <w:bookmarkEnd w:id="110"/>
      <w:r>
        <w:rPr>
          <w:rFonts w:hint="eastAsia" w:ascii="宋体" w:hAnsi="宋体" w:eastAsia="宋体" w:cs="宋体"/>
          <w:bCs w:val="0"/>
          <w:color w:val="000000" w:themeColor="text1"/>
          <w:sz w:val="21"/>
          <w:szCs w:val="21"/>
          <w14:textFill>
            <w14:solidFill>
              <w14:schemeClr w14:val="tx1"/>
            </w14:solidFill>
          </w14:textFill>
        </w:rPr>
        <w:t>无效投标、废标及投标人不足三家的处理</w:t>
      </w:r>
    </w:p>
    <w:p w14:paraId="003D9C08">
      <w:pPr>
        <w:spacing w:line="360" w:lineRule="auto"/>
        <w:ind w:firstLine="420"/>
        <w:jc w:val="left"/>
        <w:rPr>
          <w:rFonts w:ascii="宋体" w:hAnsi="宋体" w:cs="宋体"/>
          <w:bCs/>
          <w:color w:val="000000" w:themeColor="text1"/>
          <w:szCs w:val="21"/>
          <w14:textFill>
            <w14:solidFill>
              <w14:schemeClr w14:val="tx1"/>
            </w14:solidFill>
          </w14:textFill>
        </w:rPr>
      </w:pPr>
      <w:bookmarkStart w:id="111" w:name="_Toc16938551"/>
      <w:bookmarkStart w:id="112" w:name="_Toc513029235"/>
      <w:bookmarkStart w:id="113" w:name="_Toc20823307"/>
      <w:r>
        <w:rPr>
          <w:rFonts w:hint="eastAsia" w:ascii="宋体" w:hAnsi="宋体" w:cs="宋体"/>
          <w:bCs/>
          <w:color w:val="000000" w:themeColor="text1"/>
          <w:szCs w:val="21"/>
          <w14:textFill>
            <w14:solidFill>
              <w14:schemeClr w14:val="tx1"/>
            </w14:solidFill>
          </w14:textFill>
        </w:rPr>
        <w:t>27.1无效投标条款</w:t>
      </w:r>
    </w:p>
    <w:p w14:paraId="186153D5">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27.1.1 投标人未成功解密电子投标文件的。</w:t>
      </w:r>
    </w:p>
    <w:p w14:paraId="6FF46A61">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27.1.2 投标人未按照招标文件要求上传电子投标文件的。</w:t>
      </w:r>
    </w:p>
    <w:p w14:paraId="50167B7E">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27.1.3投标人在报价时采用选择性报价；</w:t>
      </w:r>
    </w:p>
    <w:p w14:paraId="4F9C3F96">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27.1.4投标人不具备招标文件中规定资格要求的；</w:t>
      </w:r>
    </w:p>
    <w:p w14:paraId="596768F2">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27.1.5投标人的报价超过了最高限价的；</w:t>
      </w:r>
    </w:p>
    <w:p w14:paraId="6679022B">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27.1.6未通过符合性检查的；</w:t>
      </w:r>
    </w:p>
    <w:p w14:paraId="0E1F3753">
      <w:pPr>
        <w:spacing w:line="360" w:lineRule="auto"/>
        <w:ind w:firstLine="315"/>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27.1.7不符合招标文件中规定的其他实质性要求和条件的（</w:t>
      </w:r>
      <w:r>
        <w:rPr>
          <w:rFonts w:hint="eastAsia" w:ascii="宋体" w:hAnsi="宋体" w:cs="宋体"/>
          <w:bCs/>
          <w:i/>
          <w:color w:val="000000" w:themeColor="text1"/>
          <w:szCs w:val="21"/>
          <w:u w:val="single"/>
          <w14:textFill>
            <w14:solidFill>
              <w14:schemeClr w14:val="tx1"/>
            </w14:solidFill>
          </w14:textFill>
        </w:rPr>
        <w:t>本招标文件中斜体且有下划线部分为实质性要求和条件，包括但不限于该范围）；</w:t>
      </w:r>
    </w:p>
    <w:p w14:paraId="00CBE9E3">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27.1.8投标文件含有采购人不能接受的附加条件的。</w:t>
      </w:r>
    </w:p>
    <w:p w14:paraId="40EE839A">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27.1.9评标委员会认为投标人的报价明显低于其他通过符合性审查投标人的报价，有可能影响产品质量或者不能诚信履约的，</w:t>
      </w:r>
      <w:r>
        <w:rPr>
          <w:rFonts w:hint="eastAsia" w:ascii="宋体" w:hAnsi="宋体"/>
          <w:bCs/>
          <w:color w:val="000000" w:themeColor="text1"/>
          <w:szCs w:val="21"/>
          <w14:textFill>
            <w14:solidFill>
              <w14:schemeClr w14:val="tx1"/>
            </w14:solidFill>
          </w14:textFill>
        </w:rPr>
        <w:t>将通过“政府采购管理交易系统（苏采云）”要求其在合理的时间内提供说明，必要时提交相关证明材料</w:t>
      </w:r>
      <w:r>
        <w:rPr>
          <w:rFonts w:hint="eastAsia" w:ascii="宋体" w:hAnsi="宋体" w:cs="宋体"/>
          <w:bCs/>
          <w:color w:val="000000" w:themeColor="text1"/>
          <w:szCs w:val="21"/>
          <w14:textFill>
            <w14:solidFill>
              <w14:schemeClr w14:val="tx1"/>
            </w14:solidFill>
          </w14:textFill>
        </w:rPr>
        <w:t>；投标人不能证明其报价合理性的，评标委员会应当将其作为无效投标处理。</w:t>
      </w:r>
    </w:p>
    <w:p w14:paraId="020E5423">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27.1.10投标文件未按照招标文件要求加盖电子签章。</w:t>
      </w:r>
    </w:p>
    <w:p w14:paraId="5B34F97A">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27.1.11</w:t>
      </w:r>
      <w:r>
        <w:rPr>
          <w:rFonts w:hint="eastAsia" w:ascii="宋体" w:hAnsi="宋体" w:cs="宋体"/>
          <w:bCs/>
          <w:color w:val="000000" w:themeColor="text1"/>
          <w:szCs w:val="21"/>
          <w14:textFill>
            <w14:solidFill>
              <w14:schemeClr w14:val="tx1"/>
            </w14:solidFill>
          </w14:textFill>
        </w:rPr>
        <w:t>投标人</w:t>
      </w:r>
      <w:r>
        <w:rPr>
          <w:rFonts w:hint="eastAsia" w:ascii="宋体" w:hAnsi="宋体"/>
          <w:color w:val="000000" w:themeColor="text1"/>
          <w:szCs w:val="21"/>
          <w14:textFill>
            <w14:solidFill>
              <w14:schemeClr w14:val="tx1"/>
            </w14:solidFill>
          </w14:textFill>
        </w:rPr>
        <w:t>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7094958">
      <w:pPr>
        <w:spacing w:line="360" w:lineRule="auto"/>
        <w:ind w:left="479"/>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27.1.12其他法律、法规及本招标文件规定的属无效投标的情形。</w:t>
      </w:r>
    </w:p>
    <w:p w14:paraId="17DDE9F9">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27.2废标条款：                                                                                                                                                                                                                                                                                                                                                                                                                                                                                                                                                                                                                                                                                                                                                                                                                                                                                                                                                                                                                                                                                                                                                                                                                                                                                                                                                                                                                                                                         </w:t>
      </w:r>
    </w:p>
    <w:p w14:paraId="3909F1E1">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27.2.1符合专业条件的供应商或者对招标文件作实质响应的供应商不足三家的；</w:t>
      </w:r>
    </w:p>
    <w:p w14:paraId="4529B5F9">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27.2.2投标人的报价均超过采购预算或最高限价；</w:t>
      </w:r>
    </w:p>
    <w:p w14:paraId="41AC23F7">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27.2.3出现影响采购公正的违法、违规行为的；</w:t>
      </w:r>
    </w:p>
    <w:p w14:paraId="5FB44C01">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27.2.4因重大变故，采购任务取消的；</w:t>
      </w:r>
    </w:p>
    <w:p w14:paraId="0F97BE59">
      <w:pPr>
        <w:spacing w:line="360" w:lineRule="auto"/>
        <w:ind w:left="479"/>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27.2.5评标委员会认定招标文件存在歧义、 重大缺陷导致评审工作无法进行的。</w:t>
      </w:r>
    </w:p>
    <w:p w14:paraId="2DE4508E">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27.3投标截止时间结束后参加投标的投标人不足三家或者通过资格审查或符合性审查的投标人不足三家的，除采购任务取消情形外，按照以下方式处理： </w:t>
      </w:r>
    </w:p>
    <w:p w14:paraId="63D70EE1">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27.3.1招标文件存在不合理条款或者招标程序不符合规定的，由采购人、采购人改正后依法重新招标；</w:t>
      </w:r>
    </w:p>
    <w:p w14:paraId="60D50692">
      <w:pPr>
        <w:spacing w:line="360" w:lineRule="auto"/>
        <w:ind w:firstLine="42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27.3.2 招标文件没有不合理条款、招标程序符合规定，需要采用其他采购方式采购的，采购人应当依法报财政部门批准。</w:t>
      </w:r>
      <w:bookmarkEnd w:id="111"/>
      <w:bookmarkEnd w:id="112"/>
      <w:bookmarkEnd w:id="113"/>
    </w:p>
    <w:p w14:paraId="691E0B57">
      <w:pPr>
        <w:pStyle w:val="5"/>
        <w:spacing w:before="0" w:after="0" w:line="360" w:lineRule="auto"/>
        <w:ind w:firstLine="422"/>
        <w:rPr>
          <w:rFonts w:ascii="宋体" w:hAnsi="宋体" w:eastAsia="宋体" w:cs="宋体"/>
          <w:b w:val="0"/>
          <w:color w:val="000000" w:themeColor="text1"/>
          <w:sz w:val="21"/>
          <w:szCs w:val="21"/>
          <w14:textFill>
            <w14:solidFill>
              <w14:schemeClr w14:val="tx1"/>
            </w14:solidFill>
          </w14:textFill>
        </w:rPr>
      </w:pPr>
      <w:bookmarkStart w:id="114" w:name="_Toc513029238"/>
      <w:bookmarkStart w:id="115" w:name="_Toc20823310"/>
      <w:bookmarkStart w:id="116" w:name="_Toc16938554"/>
      <w:r>
        <w:rPr>
          <w:rFonts w:hint="eastAsia" w:ascii="宋体" w:hAnsi="宋体" w:eastAsia="宋体" w:cs="宋体"/>
          <w:color w:val="000000" w:themeColor="text1"/>
          <w:sz w:val="21"/>
          <w:szCs w:val="21"/>
          <w14:textFill>
            <w14:solidFill>
              <w14:schemeClr w14:val="tx1"/>
            </w14:solidFill>
          </w14:textFill>
        </w:rPr>
        <w:t>28、</w:t>
      </w:r>
      <w:bookmarkEnd w:id="114"/>
      <w:r>
        <w:rPr>
          <w:rFonts w:hint="eastAsia" w:ascii="宋体" w:hAnsi="宋体" w:eastAsia="宋体" w:cs="宋体"/>
          <w:color w:val="000000" w:themeColor="text1"/>
          <w:sz w:val="21"/>
          <w:szCs w:val="21"/>
          <w14:textFill>
            <w14:solidFill>
              <w14:schemeClr w14:val="tx1"/>
            </w14:solidFill>
          </w14:textFill>
        </w:rPr>
        <w:t>确定</w:t>
      </w:r>
      <w:bookmarkEnd w:id="115"/>
      <w:bookmarkEnd w:id="116"/>
      <w:r>
        <w:rPr>
          <w:rFonts w:hint="eastAsia" w:ascii="宋体" w:hAnsi="宋体" w:eastAsia="宋体" w:cs="宋体"/>
          <w:color w:val="000000" w:themeColor="text1"/>
          <w:sz w:val="21"/>
          <w:szCs w:val="21"/>
          <w14:textFill>
            <w14:solidFill>
              <w14:schemeClr w14:val="tx1"/>
            </w14:solidFill>
          </w14:textFill>
        </w:rPr>
        <w:t>中标单位</w:t>
      </w:r>
    </w:p>
    <w:p w14:paraId="1E86BABF">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28.1评委会根据本招标文件规定评标方法与评标标准向采购人推荐出三名中标候选人。</w:t>
      </w:r>
    </w:p>
    <w:p w14:paraId="0BB387AF">
      <w:pPr>
        <w:spacing w:line="360" w:lineRule="auto"/>
        <w:ind w:firstLine="42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28.2 采购人应根据评委会推荐的中标候选人确定中标人。</w:t>
      </w:r>
    </w:p>
    <w:p w14:paraId="772D380C">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28.3</w:t>
      </w:r>
      <w:r>
        <w:rPr>
          <w:rFonts w:hint="eastAsia" w:ascii="宋体" w:hAnsi="宋体" w:cs="宋体"/>
          <w:color w:val="000000" w:themeColor="text1"/>
          <w:szCs w:val="21"/>
          <w14:textFill>
            <w14:solidFill>
              <w14:schemeClr w14:val="tx1"/>
            </w14:solidFill>
          </w14:textFill>
        </w:rPr>
        <w:t>采购人将在</w:t>
      </w:r>
      <w:r>
        <w:rPr>
          <w:rFonts w:hint="eastAsia" w:ascii="宋体" w:hAnsi="宋体"/>
          <w:color w:val="000000" w:themeColor="text1"/>
          <w14:textFill>
            <w14:solidFill>
              <w14:schemeClr w14:val="tx1"/>
            </w14:solidFill>
          </w14:textFill>
        </w:rPr>
        <w:t>“扬州市政府采购网”、</w:t>
      </w:r>
      <w:r>
        <w:rPr>
          <w:rFonts w:hint="eastAsia" w:ascii="宋体" w:hAnsi="宋体" w:cs="宋体"/>
          <w:color w:val="000000" w:themeColor="text1"/>
          <w:szCs w:val="21"/>
          <w14:textFill>
            <w14:solidFill>
              <w14:schemeClr w14:val="tx1"/>
            </w14:solidFill>
          </w14:textFill>
        </w:rPr>
        <w:t>“江苏省政府采购网”发布中标公告</w:t>
      </w:r>
      <w:r>
        <w:rPr>
          <w:rFonts w:hint="eastAsia" w:ascii="宋体" w:hAnsi="宋体"/>
          <w:bCs/>
          <w:color w:val="000000" w:themeColor="text1"/>
          <w:szCs w:val="21"/>
          <w14:textFill>
            <w14:solidFill>
              <w14:schemeClr w14:val="tx1"/>
            </w14:solidFill>
          </w14:textFill>
        </w:rPr>
        <w:t>，公告期限为1个工作日。</w:t>
      </w:r>
    </w:p>
    <w:p w14:paraId="1193C076">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28.4若有充分证据证明，中标人出现下列情况之一的，一经查实，将被取消中标资格：</w:t>
      </w:r>
    </w:p>
    <w:p w14:paraId="620DBF7A">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28.4.1提供虚假材料谋取中标的；</w:t>
      </w:r>
    </w:p>
    <w:p w14:paraId="529AED38">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28.4.2向采购人、代理机构人员行贿或者提供其他不正当利益的；</w:t>
      </w:r>
    </w:p>
    <w:p w14:paraId="4A24897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28.4.3恶意竞争，投标总报价明显低于其自身合理成本且又无法提供证明的；</w:t>
      </w:r>
    </w:p>
    <w:p w14:paraId="2FEF79EE">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28.4.4属于本文件规定的无效条件，但在评标过程中又未被评委会发现的；</w:t>
      </w:r>
    </w:p>
    <w:p w14:paraId="5FDFE8B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28.4.5与采购人或者其他投标人串通投标的；</w:t>
      </w:r>
    </w:p>
    <w:p w14:paraId="01BC9D6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28.4.6采取不正当手段诋毁、排挤其他供应商的；</w:t>
      </w:r>
    </w:p>
    <w:p w14:paraId="2AF75B19">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28.4.7不符合法律、法规的规定的。</w:t>
      </w:r>
      <w:bookmarkStart w:id="117" w:name="_Toc200451960"/>
    </w:p>
    <w:p w14:paraId="5168495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28.5.有下列情形之一的，视为投标人串通投标，投标无效：</w:t>
      </w:r>
    </w:p>
    <w:p w14:paraId="3A5AEF59">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28.5.1不同投标人的投标文件由同一单位或者个人编制。</w:t>
      </w:r>
    </w:p>
    <w:p w14:paraId="071395E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28.5.2不同投标人委托同一单位或者个人办理投标事宜。</w:t>
      </w:r>
    </w:p>
    <w:p w14:paraId="603C470B">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28.5.3 不同投标人的投标文件载明的项目管理成员或者联系人员为同一人。</w:t>
      </w:r>
    </w:p>
    <w:p w14:paraId="729C6029">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28.5.4不同投标人的投标文件异常一致或者投标报价呈规律性差异。</w:t>
      </w:r>
    </w:p>
    <w:p w14:paraId="1C4FACED">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28.5.5不同投标人的投标文件相互混装。</w:t>
      </w:r>
    </w:p>
    <w:p w14:paraId="251049AB">
      <w:pPr>
        <w:pStyle w:val="5"/>
        <w:spacing w:before="0" w:after="0" w:line="360" w:lineRule="auto"/>
        <w:ind w:firstLine="422"/>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29、质疑处理</w:t>
      </w:r>
      <w:bookmarkEnd w:id="117"/>
    </w:p>
    <w:p w14:paraId="51DD02D1">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29.1提出质疑的供应商应当是参与所质疑项目采购活动的供应商。潜在供应商依法获取其可质疑的采购文件的，可以对采购文件提出质疑。</w:t>
      </w:r>
    </w:p>
    <w:p w14:paraId="73FFC054">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对项目需求部分的质疑，潜在供应商应向采购人提出，由采购人负责答复。</w:t>
      </w:r>
    </w:p>
    <w:p w14:paraId="310CDD27">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29.2投标人认为采购文件、采购过程和中标或成交结果使自己的权益受到损害的，可以在知道或应知其权益受到损害之日起7个工作日内，以书面形式向采购人或代理机构提出质疑。</w:t>
      </w:r>
    </w:p>
    <w:p w14:paraId="0067139A">
      <w:pPr>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29.2.1对采购文件提出质疑的，应当在获取采购文件之日或者采购文件公告期限届满之日起7个工作日内提出。</w:t>
      </w:r>
      <w:r>
        <w:rPr>
          <w:rFonts w:hint="eastAsia" w:ascii="宋体" w:hAnsi="宋体"/>
          <w:bCs/>
          <w:color w:val="000000" w:themeColor="text1"/>
          <w:szCs w:val="21"/>
          <w14:textFill>
            <w14:solidFill>
              <w14:schemeClr w14:val="tx1"/>
            </w14:solidFill>
          </w14:textFill>
        </w:rPr>
        <w:br w:type="textWrapping"/>
      </w:r>
      <w:r>
        <w:rPr>
          <w:rFonts w:hint="eastAsia" w:ascii="宋体" w:hAnsi="宋体"/>
          <w:bCs/>
          <w:color w:val="000000" w:themeColor="text1"/>
          <w:szCs w:val="21"/>
          <w14:textFill>
            <w14:solidFill>
              <w14:schemeClr w14:val="tx1"/>
            </w14:solidFill>
          </w14:textFill>
        </w:rPr>
        <w:t xml:space="preserve">    29.2.2对采购过程提出质疑的，为各采购程序环节结束之日起7个工作日内提出。</w:t>
      </w:r>
      <w:r>
        <w:rPr>
          <w:rFonts w:hint="eastAsia" w:ascii="宋体" w:hAnsi="宋体"/>
          <w:bCs/>
          <w:color w:val="000000" w:themeColor="text1"/>
          <w:szCs w:val="21"/>
          <w14:textFill>
            <w14:solidFill>
              <w14:schemeClr w14:val="tx1"/>
            </w14:solidFill>
          </w14:textFill>
        </w:rPr>
        <w:br w:type="textWrapping"/>
      </w:r>
      <w:r>
        <w:rPr>
          <w:rFonts w:hint="eastAsia" w:ascii="宋体" w:hAnsi="宋体"/>
          <w:bCs/>
          <w:color w:val="000000" w:themeColor="text1"/>
          <w:szCs w:val="21"/>
          <w14:textFill>
            <w14:solidFill>
              <w14:schemeClr w14:val="tx1"/>
            </w14:solidFill>
          </w14:textFill>
        </w:rPr>
        <w:t xml:space="preserve">    29.2.3对中标结果提出质疑的，为中标结果公告期限届满之日起7个工作日内提出。</w:t>
      </w:r>
    </w:p>
    <w:p w14:paraId="76023B02">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414D91F9">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176F84FE">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29.5 代理机构及采购人只接收以纸质原件形式送达的质疑。</w:t>
      </w:r>
    </w:p>
    <w:p w14:paraId="4B273BE3">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采购人质疑接收人及联系方式见招标文件第一章。</w:t>
      </w:r>
    </w:p>
    <w:p w14:paraId="2848FE84">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29.6代理机构收到质疑申请后，将对质疑的形式和内容进行审查，如质疑内容、格式不符合规定，代理机构将告知质疑人进行补正。</w:t>
      </w:r>
    </w:p>
    <w:p w14:paraId="2F56F40A">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29.7质疑人应当在法定质疑期限内进行补正并重新提交质疑函。</w:t>
      </w:r>
    </w:p>
    <w:p w14:paraId="3E45A969">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 以下情形的质疑不予受理</w:t>
      </w:r>
    </w:p>
    <w:p w14:paraId="040C5C3D">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29.8.1 内容不符合《政府采购质疑和投诉办法》第十二条规定的质疑。</w:t>
      </w:r>
    </w:p>
    <w:p w14:paraId="6CEA2F9A">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29.8.2 超出政府采购法定期限的质疑。</w:t>
      </w:r>
    </w:p>
    <w:p w14:paraId="26FB0246">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29.8.3 以传真、电子邮件等方式递交的非原件形式的质疑。</w:t>
      </w:r>
    </w:p>
    <w:p w14:paraId="318F3EE8">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29.8.4 未参加投标活动的供应商或在投标活动中自身权益未受到损害的供应商所提出的质疑。</w:t>
      </w:r>
    </w:p>
    <w:p w14:paraId="61E7FFFF">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29.8.5供应商组成联合体参加投标，联合体中任何一方或多方未按要求签字、盖章、加盖公章的质疑。</w:t>
      </w:r>
    </w:p>
    <w:p w14:paraId="6F227861">
      <w:pPr>
        <w:spacing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74E8172">
      <w:pPr>
        <w:spacing w:line="360" w:lineRule="auto"/>
        <w:ind w:firstLine="409"/>
        <w:rPr>
          <w:rFonts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66D07205">
      <w:pPr>
        <w:pStyle w:val="5"/>
        <w:spacing w:before="0" w:after="0" w:line="360" w:lineRule="auto"/>
        <w:ind w:firstLine="527"/>
        <w:rPr>
          <w:rFonts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30、中标通知书</w:t>
      </w:r>
    </w:p>
    <w:p w14:paraId="0A7002BA">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30.l中标结果确定并公示期满后，采购人将向中标人发出中标通知书。</w:t>
      </w:r>
    </w:p>
    <w:p w14:paraId="52EF73D2">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30.2</w:t>
      </w:r>
      <w:r>
        <w:rPr>
          <w:rFonts w:hint="eastAsia" w:ascii="宋体" w:hAnsi="宋体"/>
          <w:bCs/>
          <w:color w:val="000000" w:themeColor="text1"/>
          <w:szCs w:val="21"/>
          <w14:textFill>
            <w14:solidFill>
              <w14:schemeClr w14:val="tx1"/>
            </w14:solidFill>
          </w14:textFill>
        </w:rPr>
        <w:t>中标人可在“政府采购管理交易系统（苏采云）”中标通知书下载模块中自行下载中标通知书。</w:t>
      </w:r>
    </w:p>
    <w:p w14:paraId="719E8B93">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30.3中标通知书将是合同的一个组成部分。对采购人和中标人均具有法律效力。中标通知书发出后，采购人改变中标结果的，或者中标人放弃中标项目的，应当依法承担法律责任。</w:t>
      </w:r>
    </w:p>
    <w:p w14:paraId="7ECDB1F1">
      <w:pPr>
        <w:pStyle w:val="5"/>
        <w:spacing w:before="0" w:after="0" w:line="360" w:lineRule="auto"/>
        <w:ind w:firstLine="527"/>
        <w:rPr>
          <w:rFonts w:ascii="宋体" w:hAnsi="宋体" w:eastAsia="宋体" w:cs="宋体"/>
          <w:color w:val="000000" w:themeColor="text1"/>
          <w:sz w:val="21"/>
          <w:szCs w:val="21"/>
          <w14:textFill>
            <w14:solidFill>
              <w14:schemeClr w14:val="tx1"/>
            </w14:solidFill>
          </w14:textFill>
        </w:rPr>
      </w:pPr>
      <w:bookmarkStart w:id="118" w:name="_Toc16938553"/>
      <w:bookmarkStart w:id="119" w:name="_Toc513029237"/>
      <w:bookmarkStart w:id="120" w:name="_Toc20823309"/>
      <w:r>
        <w:rPr>
          <w:rFonts w:hint="eastAsia" w:ascii="宋体" w:hAnsi="宋体" w:eastAsia="宋体" w:cs="宋体"/>
          <w:color w:val="000000" w:themeColor="text1"/>
          <w:sz w:val="21"/>
          <w:szCs w:val="21"/>
          <w14:textFill>
            <w14:solidFill>
              <w14:schemeClr w14:val="tx1"/>
            </w14:solidFill>
          </w14:textFill>
        </w:rPr>
        <w:t>31、签订合同</w:t>
      </w:r>
    </w:p>
    <w:p w14:paraId="6706CB2D">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w:t>
      </w:r>
      <w:r>
        <w:rPr>
          <w:rFonts w:hint="eastAsia" w:ascii="宋体" w:hAnsi="宋体" w:cs="宋体"/>
          <w:color w:val="000000" w:themeColor="text1"/>
          <w:szCs w:val="21"/>
          <w14:textFill>
            <w14:solidFill>
              <w14:schemeClr w14:val="tx1"/>
            </w14:solidFill>
          </w14:textFill>
        </w:rPr>
        <w:t>.l</w:t>
      </w:r>
      <w:r>
        <w:rPr>
          <w:rFonts w:hint="eastAsia" w:ascii="宋体" w:hAnsi="宋体"/>
          <w:bCs/>
          <w:color w:val="000000" w:themeColor="text1"/>
          <w:szCs w:val="21"/>
          <w14:textFill>
            <w14:solidFill>
              <w14:schemeClr w14:val="tx1"/>
            </w14:solidFill>
          </w14:textFill>
        </w:rPr>
        <w:t>中标人应在中标通知书发出之日起十五日内，按照招标文件确定的事项与采购人签订政府采购合同。</w:t>
      </w:r>
    </w:p>
    <w:p w14:paraId="1EE0A631">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31.2招标文件、中标人的投标文件及招标过程中有关澄清、承诺文件均应作为合同附件。</w:t>
      </w:r>
    </w:p>
    <w:p w14:paraId="389F2DAA">
      <w:pPr>
        <w:spacing w:line="360" w:lineRule="auto"/>
        <w:ind w:firstLine="5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31.3</w:t>
      </w:r>
      <w:r>
        <w:rPr>
          <w:rFonts w:hint="eastAsia" w:ascii="宋体" w:hAnsi="宋体"/>
          <w:bCs/>
          <w:color w:val="000000" w:themeColor="text1"/>
          <w:szCs w:val="21"/>
          <w14:textFill>
            <w14:solidFill>
              <w14:schemeClr w14:val="tx1"/>
            </w14:solidFill>
          </w14:textFill>
        </w:rPr>
        <w:t>合同在“政府采购管理交易系统（苏采云）”中签订，</w:t>
      </w:r>
      <w:r>
        <w:rPr>
          <w:rFonts w:hint="eastAsia" w:ascii="宋体" w:hAnsi="宋体" w:cs="宋体"/>
          <w:color w:val="000000" w:themeColor="text1"/>
          <w:szCs w:val="21"/>
          <w14:textFill>
            <w14:solidFill>
              <w14:schemeClr w14:val="tx1"/>
            </w14:solidFill>
          </w14:textFill>
        </w:rPr>
        <w:t>签订合同后，</w:t>
      </w:r>
      <w:r>
        <w:rPr>
          <w:rFonts w:hint="eastAsia" w:ascii="宋体" w:hAnsi="宋体" w:cs="宋体"/>
          <w:i/>
          <w:color w:val="000000" w:themeColor="text1"/>
          <w:szCs w:val="21"/>
          <w:u w:val="single"/>
          <w14:textFill>
            <w14:solidFill>
              <w14:schemeClr w14:val="tx1"/>
            </w14:solidFill>
          </w14:textFill>
        </w:rPr>
        <w:t>中标人不得将货物及其他相关服务进行转包</w:t>
      </w:r>
      <w:r>
        <w:rPr>
          <w:rFonts w:hint="eastAsia" w:ascii="宋体" w:hAnsi="宋体" w:cs="宋体"/>
          <w:color w:val="000000" w:themeColor="text1"/>
          <w:szCs w:val="21"/>
          <w14:textFill>
            <w14:solidFill>
              <w14:schemeClr w14:val="tx1"/>
            </w14:solidFill>
          </w14:textFill>
        </w:rPr>
        <w:t>。未经采购人同意，中标人也不得采用分包的形式履行合同，否则采购人有权终止合同，中标人的履约保证金将不予退还。转包或分包造成采购人损失或致使合同履行中发生违约现象的，中标人应承担赔偿责任。</w:t>
      </w:r>
    </w:p>
    <w:p w14:paraId="0C5BF951">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31.4采购人不得向中标人提出任何不合理的要求作为签订合同的条件，不得与中标人私下订立背离合同实质性内容的协议。所签订的合同不得对招标文件确定事项和中标人投标文件作实质性修改。</w:t>
      </w:r>
    </w:p>
    <w:p w14:paraId="207ABFAF">
      <w:pPr>
        <w:pStyle w:val="5"/>
        <w:spacing w:before="0" w:after="0" w:line="360" w:lineRule="auto"/>
        <w:ind w:firstLine="422"/>
        <w:rPr>
          <w:rFonts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32、货物和服务的追加、减少和添购</w:t>
      </w:r>
    </w:p>
    <w:p w14:paraId="12FD5CF7">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32.1政府采购合同履行中，采购人需追加与合同标的相同的货物和服务的，在不改变合同其他条款的前提下，可以与中标人协商签订补充合同，但所有补充合同的采购金额不超过原合同金额10%。</w:t>
      </w:r>
    </w:p>
    <w:p w14:paraId="3F026922">
      <w:pPr>
        <w:spacing w:line="360" w:lineRule="auto"/>
        <w:ind w:firstLine="42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32.2采购结束后，采购人若由于各种客观原因，必须对采购项目所牵涉的货物和服务进行适当的减少时，在双方协商一致的前提下，可以按照招标采购时的价格水平做相应的调减，并据此签订补充合同。</w:t>
      </w:r>
      <w:bookmarkEnd w:id="118"/>
      <w:bookmarkEnd w:id="119"/>
      <w:bookmarkEnd w:id="120"/>
    </w:p>
    <w:p w14:paraId="7AB106A2">
      <w:pPr>
        <w:rPr>
          <w:rFonts w:ascii="宋体" w:hAnsi="宋体" w:cs="宋体"/>
          <w:color w:val="000000" w:themeColor="text1"/>
          <w:szCs w:val="21"/>
          <w14:textFill>
            <w14:solidFill>
              <w14:schemeClr w14:val="tx1"/>
            </w14:solidFill>
          </w14:textFill>
        </w:rPr>
        <w:sectPr>
          <w:pgSz w:w="11906" w:h="16838"/>
          <w:pgMar w:top="1440" w:right="1800" w:bottom="1440" w:left="1800" w:header="851" w:footer="992" w:gutter="0"/>
          <w:cols w:space="720" w:num="1"/>
          <w:docGrid w:linePitch="360" w:charSpace="0"/>
        </w:sectPr>
      </w:pPr>
    </w:p>
    <w:p w14:paraId="0E442225">
      <w:pPr>
        <w:pStyle w:val="2"/>
        <w:jc w:val="center"/>
        <w:rPr>
          <w:rFonts w:ascii="宋体" w:hAnsi="宋体"/>
          <w:color w:val="000000" w:themeColor="text1"/>
          <w:sz w:val="36"/>
          <w14:textFill>
            <w14:solidFill>
              <w14:schemeClr w14:val="tx1"/>
            </w14:solidFill>
          </w14:textFill>
        </w:rPr>
      </w:pPr>
      <w:bookmarkStart w:id="121" w:name="_Toc500859146"/>
      <w:r>
        <w:rPr>
          <w:rFonts w:hint="eastAsia" w:ascii="宋体" w:hAnsi="宋体"/>
          <w:color w:val="000000" w:themeColor="text1"/>
          <w:sz w:val="36"/>
          <w14:textFill>
            <w14:solidFill>
              <w14:schemeClr w14:val="tx1"/>
            </w14:solidFill>
          </w14:textFill>
        </w:rPr>
        <w:t>第三章 合同条款及格式</w:t>
      </w:r>
      <w:bookmarkEnd w:id="121"/>
    </w:p>
    <w:p w14:paraId="0995B54A">
      <w:pPr>
        <w:pStyle w:val="22"/>
        <w:spacing w:line="360" w:lineRule="auto"/>
        <w:ind w:firstLine="420"/>
        <w:rPr>
          <w:rFonts w:hAnsi="宋体"/>
          <w:color w:val="000000" w:themeColor="text1"/>
          <w:sz w:val="21"/>
          <w14:textFill>
            <w14:solidFill>
              <w14:schemeClr w14:val="tx1"/>
            </w14:solidFill>
          </w14:textFill>
        </w:rPr>
      </w:pPr>
      <w:bookmarkStart w:id="122" w:name="_Hlt16619369"/>
      <w:bookmarkEnd w:id="122"/>
      <w:r>
        <w:rPr>
          <w:rFonts w:hint="eastAsia" w:hAnsi="宋体"/>
          <w:color w:val="000000" w:themeColor="text1"/>
          <w:sz w:val="21"/>
          <w14:textFill>
            <w14:solidFill>
              <w14:schemeClr w14:val="tx1"/>
            </w14:solidFill>
          </w14:textFill>
        </w:rPr>
        <w:t>以下为中标后签定本项目合同的通用条款，中标人不得提出实质性的修改。关于专用条款将由采购人与中标人结合本项目具体情况协商后补充，但补充内容对招标文件和投标文件以及通用条款，不得作实质性修改。</w:t>
      </w:r>
    </w:p>
    <w:p w14:paraId="6EE3F088">
      <w:pPr>
        <w:jc w:val="center"/>
        <w:outlineLvl w:val="0"/>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政府采购合同（服务）</w:t>
      </w:r>
    </w:p>
    <w:p w14:paraId="27D5AFBF">
      <w:pPr>
        <w:pStyle w:val="22"/>
        <w:spacing w:before="120" w:after="120" w:line="360" w:lineRule="auto"/>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项目名称：       </w:t>
      </w:r>
    </w:p>
    <w:p w14:paraId="60F5AA91">
      <w:pPr>
        <w:pStyle w:val="22"/>
        <w:spacing w:before="120" w:after="120" w:line="360" w:lineRule="auto"/>
        <w:rPr>
          <w:rFonts w:hint="eastAsia" w:eastAsia="宋体" w:asciiTheme="minorEastAsia" w:hAnsiTheme="minorEastAsia"/>
          <w:color w:val="000000" w:themeColor="text1"/>
          <w:sz w:val="21"/>
          <w:lang w:eastAsia="zh-CN"/>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编号：</w:t>
      </w:r>
      <w:r>
        <w:rPr>
          <w:rFonts w:hint="eastAsia" w:asciiTheme="minorEastAsia" w:hAnsiTheme="minorEastAsia"/>
          <w:color w:val="000000" w:themeColor="text1"/>
          <w:sz w:val="21"/>
          <w:u w:val="single"/>
          <w:lang w:eastAsia="zh-CN"/>
          <w14:textFill>
            <w14:solidFill>
              <w14:schemeClr w14:val="tx1"/>
            </w14:solidFill>
          </w14:textFill>
        </w:rPr>
        <w:t>JSZC-321023-JTGC-G2026-0007</w:t>
      </w:r>
    </w:p>
    <w:p w14:paraId="709AE2D5">
      <w:pPr>
        <w:pStyle w:val="22"/>
        <w:spacing w:before="120" w:after="120" w:line="360" w:lineRule="auto"/>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甲方（采购人/采购人）：</w:t>
      </w:r>
    </w:p>
    <w:p w14:paraId="3C230C1F">
      <w:pPr>
        <w:pStyle w:val="22"/>
        <w:spacing w:before="120" w:after="120" w:line="360" w:lineRule="auto"/>
        <w:rPr>
          <w:rFonts w:asciiTheme="minorEastAsia" w:hAnsiTheme="minorEastAsia" w:eastAsiaTheme="minorEastAsia"/>
          <w:color w:val="000000" w:themeColor="text1"/>
          <w:sz w:val="21"/>
          <w:u w:val="single"/>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乙方（供应商/卖方）：</w:t>
      </w:r>
    </w:p>
    <w:p w14:paraId="341C92D5">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bookmarkStart w:id="123" w:name="_Toc500859147"/>
      <w:r>
        <w:rPr>
          <w:rFonts w:hint="eastAsia" w:cs="宋体" w:asciiTheme="minorEastAsia" w:hAnsiTheme="minorEastAsia" w:eastAsiaTheme="minorEastAsia"/>
          <w:color w:val="000000" w:themeColor="text1"/>
          <w:sz w:val="21"/>
          <w14:textFill>
            <w14:solidFill>
              <w14:schemeClr w14:val="tx1"/>
            </w14:solidFill>
          </w14:textFill>
        </w:rPr>
        <w:t>根据《中华人民共和国政府采购法》、《民法典》等法律法规的规定，甲乙双方按本项目招标结果签订本合同。</w:t>
      </w:r>
    </w:p>
    <w:p w14:paraId="2338AF25">
      <w:pPr>
        <w:pStyle w:val="22"/>
        <w:spacing w:before="120" w:after="120" w:line="360" w:lineRule="auto"/>
        <w:ind w:firstLine="422"/>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1、合同标的</w:t>
      </w:r>
    </w:p>
    <w:p w14:paraId="46747559">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乙方根据甲方需求，提供下列服务：。</w:t>
      </w:r>
    </w:p>
    <w:p w14:paraId="47C8C50C">
      <w:pPr>
        <w:pStyle w:val="22"/>
        <w:spacing w:before="120" w:after="120" w:line="360" w:lineRule="auto"/>
        <w:ind w:firstLine="420"/>
        <w:rPr>
          <w:rFonts w:cs="宋体" w:asciiTheme="minorEastAsia" w:hAnsiTheme="minorEastAsia" w:eastAsiaTheme="minorEastAsia"/>
          <w:b/>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服务内容等要求详见招投标文件。</w:t>
      </w:r>
    </w:p>
    <w:p w14:paraId="42AB4B39">
      <w:pPr>
        <w:pStyle w:val="22"/>
        <w:spacing w:before="120" w:after="120" w:line="360" w:lineRule="auto"/>
        <w:ind w:firstLine="422"/>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2、合同总金额、期限</w:t>
      </w:r>
    </w:p>
    <w:p w14:paraId="3671DEF1">
      <w:pPr>
        <w:pStyle w:val="22"/>
        <w:spacing w:before="120" w:after="120" w:line="360" w:lineRule="auto"/>
        <w:ind w:left="315" w:firstLine="105"/>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2.1 本合同金额为（大写）：_______________________________元人民币（¥_____元）。</w:t>
      </w:r>
      <w:bookmarkStart w:id="124" w:name="OLE_LINK15"/>
      <w:bookmarkEnd w:id="124"/>
    </w:p>
    <w:p w14:paraId="298849EE">
      <w:pPr>
        <w:pStyle w:val="22"/>
        <w:spacing w:before="120" w:after="120" w:line="360" w:lineRule="auto"/>
        <w:ind w:firstLine="422"/>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3、组成本合同的有关文件</w:t>
      </w:r>
    </w:p>
    <w:p w14:paraId="2854A0DE">
      <w:pPr>
        <w:pStyle w:val="22"/>
        <w:spacing w:before="120" w:after="120" w:line="360" w:lineRule="auto"/>
        <w:ind w:left="315" w:firstLine="105"/>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3.1乙方应按招标文件规定的时间向甲方提供服务的有关技术资料。</w:t>
      </w:r>
    </w:p>
    <w:p w14:paraId="2F3C507A">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3.2 没有甲方事先书面同意，乙方不得将由甲方提供的有关合同或任何合同条文或资料提供给任何其他人。即使向履行本合同有关的人员提供，也应注意保密并限于履行合同的必需范围。</w:t>
      </w:r>
    </w:p>
    <w:p w14:paraId="206F035D">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3.3 关于本项目政府采购的招投标文件或与本次采购活动方式相适应的文件及有关附件是本合同不可分割的组成部分，这些文件包括但不限于：</w:t>
      </w:r>
    </w:p>
    <w:p w14:paraId="0F0715AD">
      <w:pPr>
        <w:pStyle w:val="22"/>
        <w:spacing w:before="120" w:after="120" w:line="360" w:lineRule="auto"/>
        <w:ind w:left="359" w:hanging="359"/>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 xml:space="preserve">   （1）投标响应文件；               （2）投标报价文件；</w:t>
      </w:r>
    </w:p>
    <w:p w14:paraId="5811D5A6">
      <w:pPr>
        <w:pStyle w:val="22"/>
        <w:spacing w:before="120" w:after="120" w:line="360" w:lineRule="auto"/>
        <w:ind w:left="359" w:hanging="359"/>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 xml:space="preserve">   （3）项目组人员表                 （4）技术参数、商务条款响应及偏离表；</w:t>
      </w:r>
    </w:p>
    <w:p w14:paraId="0F0067A9">
      <w:pPr>
        <w:pStyle w:val="22"/>
        <w:spacing w:before="120" w:after="120" w:line="360" w:lineRule="auto"/>
        <w:ind w:left="359" w:hanging="359"/>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 xml:space="preserve">   （5）服务承诺；                   （6）中标通知书；</w:t>
      </w:r>
    </w:p>
    <w:p w14:paraId="6E20DF80">
      <w:pPr>
        <w:pStyle w:val="22"/>
        <w:spacing w:before="120" w:after="120" w:line="360" w:lineRule="auto"/>
        <w:ind w:left="359" w:hanging="359"/>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 xml:space="preserve">   （7）甲乙双方补充协议；           （8）乙方投标时提供的响应文件。</w:t>
      </w:r>
    </w:p>
    <w:p w14:paraId="1BA045EC">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4、知识产权保证</w:t>
      </w:r>
    </w:p>
    <w:p w14:paraId="1F7E71A7">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乙方保证甲方在使用、接受本合同服务或其任何一部分时，不受第三方提出侵犯其专利权、版权、商标权和工业设计权等知识产权的起诉。一旦出现侵权，由乙方负全部责任。</w:t>
      </w:r>
    </w:p>
    <w:p w14:paraId="3CFB0CAA">
      <w:pPr>
        <w:pStyle w:val="22"/>
        <w:spacing w:before="120" w:after="120" w:line="360" w:lineRule="auto"/>
        <w:ind w:firstLine="422"/>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5、产权保证</w:t>
      </w:r>
    </w:p>
    <w:p w14:paraId="45520A77">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乙方保证所交付的服务和服务所涉及的物品所有权无任何抵押、查封等权利瑕疵。</w:t>
      </w:r>
    </w:p>
    <w:p w14:paraId="551330B2">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6、履约保证金</w:t>
      </w:r>
    </w:p>
    <w:p w14:paraId="1A17667D">
      <w:pPr>
        <w:pStyle w:val="22"/>
        <w:spacing w:before="120" w:after="120" w:line="360" w:lineRule="auto"/>
        <w:ind w:firstLine="420"/>
        <w:rPr>
          <w:rFonts w:hAnsi="宋体" w:cs="宋体"/>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6.1 乙方交纳人民币__零__元作为本合同的履约保证金。</w:t>
      </w:r>
    </w:p>
    <w:p w14:paraId="6D9E676E">
      <w:pPr>
        <w:pStyle w:val="22"/>
        <w:spacing w:before="120" w:after="120" w:line="360" w:lineRule="auto"/>
        <w:ind w:firstLine="420"/>
        <w:rPr>
          <w:rFonts w:hAnsi="宋体" w:cs="宋体"/>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6.2合同履行结束后，甲方应及时退还交纳的履约保证金。</w:t>
      </w:r>
    </w:p>
    <w:p w14:paraId="164EBE50">
      <w:pPr>
        <w:pStyle w:val="22"/>
        <w:spacing w:before="120" w:after="120" w:line="360" w:lineRule="auto"/>
        <w:ind w:firstLine="420"/>
        <w:rPr>
          <w:rFonts w:hAnsi="宋体" w:cs="宋体"/>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6.2.1履约保证金退还方式：无</w:t>
      </w:r>
      <w:r>
        <w:rPr>
          <w:rFonts w:hint="eastAsia" w:hAnsi="宋体" w:cs="宋体"/>
          <w:color w:val="000000" w:themeColor="text1"/>
          <w:sz w:val="21"/>
          <w14:textFill>
            <w14:solidFill>
              <w14:schemeClr w14:val="tx1"/>
            </w14:solidFill>
          </w14:textFill>
        </w:rPr>
        <w:t>。</w:t>
      </w:r>
    </w:p>
    <w:p w14:paraId="76A999F6">
      <w:pPr>
        <w:pStyle w:val="22"/>
        <w:spacing w:before="120" w:after="120" w:line="360" w:lineRule="auto"/>
        <w:ind w:firstLine="420"/>
        <w:rPr>
          <w:rFonts w:hAnsi="宋体" w:cs="宋体"/>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6.2.2履约保证金退还时间：无</w:t>
      </w:r>
      <w:r>
        <w:rPr>
          <w:rFonts w:hint="eastAsia" w:hAnsi="宋体" w:cs="宋体"/>
          <w:color w:val="000000" w:themeColor="text1"/>
          <w:sz w:val="21"/>
          <w14:textFill>
            <w14:solidFill>
              <w14:schemeClr w14:val="tx1"/>
            </w14:solidFill>
          </w14:textFill>
        </w:rPr>
        <w:t>。</w:t>
      </w:r>
    </w:p>
    <w:p w14:paraId="109E1653">
      <w:pPr>
        <w:pStyle w:val="22"/>
        <w:spacing w:before="120" w:after="120" w:line="360" w:lineRule="auto"/>
        <w:ind w:firstLine="420"/>
        <w:rPr>
          <w:rFonts w:hAnsi="宋体" w:cs="宋体"/>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6.2.3履约保证金退还条件：无</w:t>
      </w:r>
      <w:r>
        <w:rPr>
          <w:rFonts w:hint="eastAsia" w:hAnsi="宋体" w:cs="宋体"/>
          <w:color w:val="000000" w:themeColor="text1"/>
          <w:sz w:val="21"/>
          <w14:textFill>
            <w14:solidFill>
              <w14:schemeClr w14:val="tx1"/>
            </w14:solidFill>
          </w14:textFill>
        </w:rPr>
        <w:t>。</w:t>
      </w:r>
    </w:p>
    <w:p w14:paraId="115AC3E1">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Ansi="宋体" w:cs="宋体"/>
          <w:color w:val="000000" w:themeColor="text1"/>
          <w:sz w:val="21"/>
          <w14:textFill>
            <w14:solidFill>
              <w14:schemeClr w14:val="tx1"/>
            </w14:solidFill>
          </w14:textFill>
        </w:rPr>
        <w:t>6.2.4履约保证金不予退还的情形：无</w:t>
      </w:r>
      <w:r>
        <w:rPr>
          <w:rFonts w:hint="eastAsia" w:hAnsi="宋体" w:cs="宋体"/>
          <w:color w:val="000000" w:themeColor="text1"/>
          <w:sz w:val="21"/>
          <w14:textFill>
            <w14:solidFill>
              <w14:schemeClr w14:val="tx1"/>
            </w14:solidFill>
          </w14:textFill>
        </w:rPr>
        <w:t>。</w:t>
      </w:r>
    </w:p>
    <w:p w14:paraId="25A35EDA">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7、转包或分包</w:t>
      </w:r>
    </w:p>
    <w:p w14:paraId="55720D00">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7.1 本合同禁止转包，本合同范围的服务，应由乙方直接提供，不得转让他人提供。</w:t>
      </w:r>
    </w:p>
    <w:p w14:paraId="13935B52">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7.2 经甲方同意，乙方可以依法采取分包方式履行合同，但是分包方式履行的，乙方应就采购项目向甲方负全责。</w:t>
      </w:r>
    </w:p>
    <w:p w14:paraId="7C6C662E">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8、服务期</w:t>
      </w:r>
    </w:p>
    <w:p w14:paraId="13B39A91">
      <w:pPr>
        <w:pStyle w:val="22"/>
        <w:spacing w:before="120" w:after="120" w:line="360" w:lineRule="auto"/>
        <w:ind w:left="315" w:firstLine="105"/>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合同签订之日起</w:t>
      </w:r>
      <w:r>
        <w:rPr>
          <w:rFonts w:hint="eastAsia" w:cs="宋体" w:asciiTheme="minorEastAsia" w:hAnsiTheme="minorEastAsia"/>
          <w:color w:val="000000" w:themeColor="text1"/>
          <w:sz w:val="21"/>
          <w:lang w:eastAsia="zh-CN"/>
          <w14:textFill>
            <w14:solidFill>
              <w14:schemeClr w14:val="tx1"/>
            </w14:solidFill>
          </w14:textFill>
        </w:rPr>
        <w:t>壹</w:t>
      </w:r>
      <w:r>
        <w:rPr>
          <w:rFonts w:hint="eastAsia" w:cs="宋体" w:asciiTheme="minorEastAsia" w:hAnsiTheme="minorEastAsia" w:eastAsiaTheme="minorEastAsia"/>
          <w:color w:val="000000" w:themeColor="text1"/>
          <w:sz w:val="21"/>
          <w14:textFill>
            <w14:solidFill>
              <w14:schemeClr w14:val="tx1"/>
            </w14:solidFill>
          </w14:textFill>
        </w:rPr>
        <w:t>年。</w:t>
      </w:r>
    </w:p>
    <w:p w14:paraId="146F3A49">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9、交付期、交付方式及交付地点</w:t>
      </w:r>
    </w:p>
    <w:p w14:paraId="2C455071">
      <w:pPr>
        <w:pStyle w:val="22"/>
        <w:spacing w:before="120" w:after="120" w:line="360" w:lineRule="auto"/>
        <w:ind w:firstLine="420"/>
        <w:rPr>
          <w:rFonts w:cs="宋体" w:asciiTheme="minorEastAsia" w:hAnsiTheme="minorEastAsia" w:eastAsiaTheme="minorEastAsia"/>
          <w:bCs/>
          <w:color w:val="000000" w:themeColor="text1"/>
          <w:sz w:val="21"/>
          <w:u w:val="single"/>
          <w14:textFill>
            <w14:solidFill>
              <w14:schemeClr w14:val="tx1"/>
            </w14:solidFill>
          </w14:textFill>
        </w:rPr>
      </w:pPr>
      <w:r>
        <w:rPr>
          <w:rFonts w:hint="eastAsia" w:cs="宋体" w:asciiTheme="minorEastAsia" w:hAnsiTheme="minorEastAsia" w:eastAsiaTheme="minorEastAsia"/>
          <w:bCs/>
          <w:color w:val="000000" w:themeColor="text1"/>
          <w:sz w:val="21"/>
          <w14:textFill>
            <w14:solidFill>
              <w14:schemeClr w14:val="tx1"/>
            </w14:solidFill>
          </w14:textFill>
        </w:rPr>
        <w:t>9.1 交付期：</w:t>
      </w:r>
      <w:r>
        <w:rPr>
          <w:rFonts w:hint="eastAsia" w:cs="宋体" w:asciiTheme="minorEastAsia" w:hAnsiTheme="minorEastAsia" w:eastAsiaTheme="minorEastAsia"/>
          <w:color w:val="000000" w:themeColor="text1"/>
          <w:sz w:val="21"/>
          <w:u w:val="single"/>
          <w14:textFill>
            <w14:solidFill>
              <w14:schemeClr w14:val="tx1"/>
            </w14:solidFill>
          </w14:textFill>
        </w:rPr>
        <w:t>合同签订之日起</w:t>
      </w:r>
      <w:r>
        <w:rPr>
          <w:rFonts w:hint="eastAsia" w:cs="宋体" w:asciiTheme="minorEastAsia" w:hAnsiTheme="minorEastAsia"/>
          <w:color w:val="000000" w:themeColor="text1"/>
          <w:sz w:val="21"/>
          <w:u w:val="single"/>
          <w:lang w:eastAsia="zh-CN"/>
          <w14:textFill>
            <w14:solidFill>
              <w14:schemeClr w14:val="tx1"/>
            </w14:solidFill>
          </w14:textFill>
        </w:rPr>
        <w:t>壹</w:t>
      </w:r>
      <w:r>
        <w:rPr>
          <w:rFonts w:hint="eastAsia" w:cs="宋体" w:asciiTheme="minorEastAsia" w:hAnsiTheme="minorEastAsia" w:eastAsiaTheme="minorEastAsia"/>
          <w:color w:val="000000" w:themeColor="text1"/>
          <w:sz w:val="21"/>
          <w:u w:val="single"/>
          <w14:textFill>
            <w14:solidFill>
              <w14:schemeClr w14:val="tx1"/>
            </w14:solidFill>
          </w14:textFill>
        </w:rPr>
        <w:t>年。</w:t>
      </w:r>
    </w:p>
    <w:p w14:paraId="61C49FD7">
      <w:pPr>
        <w:pStyle w:val="22"/>
        <w:spacing w:before="120" w:after="120" w:line="360" w:lineRule="auto"/>
        <w:ind w:firstLine="420"/>
        <w:rPr>
          <w:rFonts w:cs="宋体" w:asciiTheme="minorEastAsia" w:hAnsiTheme="minorEastAsia" w:eastAsiaTheme="minorEastAsia"/>
          <w:bCs/>
          <w:color w:val="000000" w:themeColor="text1"/>
          <w:sz w:val="21"/>
          <w:u w:val="single"/>
          <w14:textFill>
            <w14:solidFill>
              <w14:schemeClr w14:val="tx1"/>
            </w14:solidFill>
          </w14:textFill>
        </w:rPr>
      </w:pPr>
      <w:r>
        <w:rPr>
          <w:rFonts w:hint="eastAsia" w:cs="宋体" w:asciiTheme="minorEastAsia" w:hAnsiTheme="minorEastAsia" w:eastAsiaTheme="minorEastAsia"/>
          <w:bCs/>
          <w:color w:val="000000" w:themeColor="text1"/>
          <w:sz w:val="21"/>
          <w14:textFill>
            <w14:solidFill>
              <w14:schemeClr w14:val="tx1"/>
            </w14:solidFill>
          </w14:textFill>
        </w:rPr>
        <w:t>9.2 交付方式：</w:t>
      </w:r>
      <w:r>
        <w:rPr>
          <w:rFonts w:hint="eastAsia" w:cs="宋体" w:asciiTheme="minorEastAsia" w:hAnsiTheme="minorEastAsia" w:eastAsiaTheme="minorEastAsia"/>
          <w:color w:val="000000" w:themeColor="text1"/>
          <w:sz w:val="21"/>
          <w:u w:val="single"/>
          <w14:textFill>
            <w14:solidFill>
              <w14:schemeClr w14:val="tx1"/>
            </w14:solidFill>
          </w14:textFill>
        </w:rPr>
        <w:t>/</w:t>
      </w:r>
    </w:p>
    <w:p w14:paraId="580CC3CC">
      <w:pPr>
        <w:pStyle w:val="22"/>
        <w:spacing w:before="120" w:after="120" w:line="360" w:lineRule="auto"/>
        <w:ind w:firstLine="420"/>
        <w:rPr>
          <w:rFonts w:cs="宋体" w:asciiTheme="minorEastAsia" w:hAnsiTheme="minorEastAsia" w:eastAsiaTheme="minorEastAsia"/>
          <w:color w:val="000000" w:themeColor="text1"/>
          <w:sz w:val="21"/>
          <w:u w:val="single"/>
          <w14:textFill>
            <w14:solidFill>
              <w14:schemeClr w14:val="tx1"/>
            </w14:solidFill>
          </w14:textFill>
        </w:rPr>
      </w:pPr>
      <w:r>
        <w:rPr>
          <w:rFonts w:hint="eastAsia" w:cs="宋体" w:asciiTheme="minorEastAsia" w:hAnsiTheme="minorEastAsia" w:eastAsiaTheme="minorEastAsia"/>
          <w:bCs/>
          <w:color w:val="000000" w:themeColor="text1"/>
          <w:sz w:val="21"/>
          <w14:textFill>
            <w14:solidFill>
              <w14:schemeClr w14:val="tx1"/>
            </w14:solidFill>
          </w14:textFill>
        </w:rPr>
        <w:t>9.3 交付地点：</w:t>
      </w:r>
      <w:r>
        <w:rPr>
          <w:rFonts w:hint="eastAsia" w:cs="宋体" w:asciiTheme="minorEastAsia" w:hAnsiTheme="minorEastAsia" w:eastAsiaTheme="minorEastAsia"/>
          <w:color w:val="000000" w:themeColor="text1"/>
          <w:sz w:val="21"/>
          <w:u w:val="single"/>
          <w14:textFill>
            <w14:solidFill>
              <w14:schemeClr w14:val="tx1"/>
            </w14:solidFill>
          </w14:textFill>
        </w:rPr>
        <w:t>采购人指定地点</w:t>
      </w:r>
    </w:p>
    <w:p w14:paraId="089DC399">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10、货款支付</w:t>
      </w:r>
    </w:p>
    <w:p w14:paraId="7719801A">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10.1 本合同项下所有款项均以人民币支付。 </w:t>
      </w:r>
    </w:p>
    <w:p w14:paraId="3806EE62">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10.2 本合同项下的采购资金由甲方支付，付款前乙方向甲方开具发票。</w:t>
      </w:r>
    </w:p>
    <w:p w14:paraId="7A792E7B">
      <w:pPr>
        <w:pStyle w:val="22"/>
        <w:spacing w:before="120" w:after="120" w:line="360" w:lineRule="auto"/>
        <w:ind w:left="315" w:firstLine="105"/>
        <w:rPr>
          <w:rFonts w:hint="eastAsia"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color w:val="000000" w:themeColor="text1"/>
          <w:sz w:val="21"/>
          <w:lang w:val="en-US" w:eastAsia="zh-CN"/>
          <w14:textFill>
            <w14:solidFill>
              <w14:schemeClr w14:val="tx1"/>
            </w14:solidFill>
          </w14:textFill>
        </w:rPr>
        <w:t>10.3</w:t>
      </w:r>
      <w:r>
        <w:rPr>
          <w:rFonts w:hint="eastAsia" w:cs="宋体" w:asciiTheme="minorEastAsia" w:hAnsiTheme="minorEastAsia" w:eastAsiaTheme="minorEastAsia"/>
          <w:color w:val="000000" w:themeColor="text1"/>
          <w:sz w:val="21"/>
          <w14:textFill>
            <w14:solidFill>
              <w14:schemeClr w14:val="tx1"/>
            </w14:solidFill>
          </w14:textFill>
        </w:rPr>
        <w:t>合同款项的支付方式及进度安排</w:t>
      </w:r>
    </w:p>
    <w:p w14:paraId="7C42FC7C">
      <w:pPr>
        <w:pStyle w:val="22"/>
        <w:spacing w:before="120" w:after="120" w:line="360" w:lineRule="auto"/>
        <w:ind w:left="315" w:firstLine="105"/>
        <w:rPr>
          <w:rFonts w:hint="eastAsia"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color w:val="000000" w:themeColor="text1"/>
          <w:sz w:val="21"/>
          <w:lang w:val="en-US" w:eastAsia="zh-CN"/>
          <w14:textFill>
            <w14:solidFill>
              <w14:schemeClr w14:val="tx1"/>
            </w14:solidFill>
          </w14:textFill>
        </w:rPr>
        <w:t>10.3.1</w:t>
      </w:r>
      <w:r>
        <w:rPr>
          <w:rFonts w:hint="eastAsia" w:cs="宋体" w:asciiTheme="minorEastAsia" w:hAnsiTheme="minorEastAsia" w:eastAsiaTheme="minorEastAsia"/>
          <w:color w:val="000000" w:themeColor="text1"/>
          <w:sz w:val="21"/>
          <w14:textFill>
            <w14:solidFill>
              <w14:schemeClr w14:val="tx1"/>
            </w14:solidFill>
          </w14:textFill>
        </w:rPr>
        <w:t>、合同签订后，乙方向甲方开具发票，甲方自收到发票后10个工作日内支付乙方合同总价的30%预付款。</w:t>
      </w:r>
    </w:p>
    <w:p w14:paraId="210481A1">
      <w:pPr>
        <w:pStyle w:val="22"/>
        <w:spacing w:before="120" w:after="120" w:line="360" w:lineRule="auto"/>
        <w:ind w:left="315" w:firstLine="105"/>
        <w:rPr>
          <w:rFonts w:hint="eastAsia"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color w:val="000000" w:themeColor="text1"/>
          <w:sz w:val="21"/>
          <w:lang w:val="en-US" w:eastAsia="zh-CN"/>
          <w14:textFill>
            <w14:solidFill>
              <w14:schemeClr w14:val="tx1"/>
            </w14:solidFill>
          </w14:textFill>
        </w:rPr>
        <w:t>10.3.2</w:t>
      </w:r>
      <w:r>
        <w:rPr>
          <w:rFonts w:hint="eastAsia" w:cs="宋体" w:asciiTheme="minorEastAsia" w:hAnsiTheme="minorEastAsia" w:eastAsiaTheme="minorEastAsia"/>
          <w:color w:val="000000" w:themeColor="text1"/>
          <w:sz w:val="21"/>
          <w14:textFill>
            <w14:solidFill>
              <w14:schemeClr w14:val="tx1"/>
            </w14:solidFill>
          </w14:textFill>
        </w:rPr>
        <w:t>、采购人以合同总价按月平均支付（从第一个月末开始付款时，进行预付款抵扣），具体为服务满一个月后，乙方向甲方开具发票，甲方自收到发票后的10个工作日内由采购人支付上个月的合同款。</w:t>
      </w:r>
    </w:p>
    <w:p w14:paraId="414FC011">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11、税费</w:t>
      </w:r>
    </w:p>
    <w:p w14:paraId="3EEBF4DE">
      <w:pPr>
        <w:pStyle w:val="22"/>
        <w:spacing w:before="120" w:after="120" w:line="360" w:lineRule="auto"/>
        <w:ind w:firstLine="420"/>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本合同执行中相关的一切税费均由乙方负担。</w:t>
      </w:r>
    </w:p>
    <w:p w14:paraId="6B179AF3">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12、质量保证及售后服务</w:t>
      </w:r>
    </w:p>
    <w:p w14:paraId="02625A5F">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12.1 乙方应按招标文件规定及响应文件承诺的技术性能、技术要求、质量标准向甲方提供服务；若无特殊说明，则按国家有关部门最新颁布的标准及规范为准。</w:t>
      </w:r>
    </w:p>
    <w:p w14:paraId="2A647CCA">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12.2乙方应保证其提供的服务是全面和规范的，并完全符合招投标文件。如因乙方提供的服务有瑕疵造成甲方损失的，所需费用由乙方承担。</w:t>
      </w:r>
    </w:p>
    <w:p w14:paraId="499A3396">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12.3 如在使用过程中发生质量问题，乙方在接到甲方通知后在__小时内到达甲方现场。</w:t>
      </w:r>
    </w:p>
    <w:p w14:paraId="30B75564">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12.4 服务期内，乙方应对所提供服务出现的质量及安全问题负责处理解决并承担一切费用。</w:t>
      </w:r>
    </w:p>
    <w:p w14:paraId="5905FCFF">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13、交付和验收</w:t>
      </w:r>
    </w:p>
    <w:p w14:paraId="77FE9C9C">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13.1 乙方应当在合同签订后</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天内完成服务事项，招标文件有约定的，从其约定。</w:t>
      </w:r>
    </w:p>
    <w:p w14:paraId="1D7C6547">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在交付前，乙方应作出全面检查和对验收文件进行整理，并列出清单，作为甲方初验收和使用的技术条件依据，检验的结果交甲方。</w:t>
      </w:r>
    </w:p>
    <w:p w14:paraId="75538D37">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13.2 验收标准：按乙方投标文件的承诺，并不低于国家相关标准。</w:t>
      </w:r>
    </w:p>
    <w:p w14:paraId="0BF993AB">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对于乙方要交付的服务，甲乙双方须在</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工作日内初验收，甲方对乙方提交的服务依据招标文件上的技术要求和国家有关质量标准进行现场初步验收，符合招标文件技术要求的，给予签收，初步验收不合格的不予签收。</w:t>
      </w:r>
    </w:p>
    <w:p w14:paraId="13955B3C">
      <w:pPr>
        <w:spacing w:line="360" w:lineRule="auto"/>
        <w:ind w:firstLine="420"/>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13.3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14:paraId="639DB874">
      <w:pPr>
        <w:spacing w:line="360" w:lineRule="auto"/>
        <w:ind w:firstLine="420"/>
        <w:rPr>
          <w:rFonts w:cs="宋体" w:asciiTheme="minorEastAsia" w:hAnsiTheme="minorEastAsia" w:eastAsiaTheme="minorEastAsia"/>
          <w:color w:val="000000" w:themeColor="text1"/>
          <w:szCs w:val="21"/>
          <w:u w:val="single"/>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13.4 甲乙双方关于调试和验收的其他约定：/。</w:t>
      </w:r>
    </w:p>
    <w:p w14:paraId="7D457488">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14、违约责任</w:t>
      </w:r>
    </w:p>
    <w:p w14:paraId="4582505F">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14.1 甲方无正当理由拒绝初验收和终验收服务项目的，甲方应按未付服务项目款金额每日万分之五向乙方支付违约金。</w:t>
      </w:r>
    </w:p>
    <w:p w14:paraId="477F2F57">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14.2 甲方无故逾期验收和无故逾期办理款项支付手续的,甲方应按逾期付款金额每日万分之五向乙方支付违约金。</w:t>
      </w:r>
    </w:p>
    <w:p w14:paraId="73A11CA1">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14.3乙方违约，在消除违约情形前，应按本合同项目总额每日万分之五向甲方支付违约金，甲方可以从待付款项中扣除。</w:t>
      </w:r>
    </w:p>
    <w:p w14:paraId="4B87872A">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14.4乙方因逾期交付服务项目或因其他违约行为，导致甲方解除合同的，乙方应向甲方支付合同总值5%的违约金，如造成甲方损失超过违约金的，超出部分由乙方继续承担赔偿责任。</w:t>
      </w:r>
    </w:p>
    <w:p w14:paraId="6F4404A9">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p>
    <w:p w14:paraId="703819A1">
      <w:pPr>
        <w:pStyle w:val="22"/>
        <w:spacing w:before="120" w:after="120" w:line="360" w:lineRule="auto"/>
        <w:ind w:firstLine="420"/>
        <w:rPr>
          <w:rFonts w:cs="宋体" w:asciiTheme="minorEastAsia" w:hAnsiTheme="minorEastAsia" w:eastAsiaTheme="minorEastAsia"/>
          <w:color w:val="000000" w:themeColor="text1"/>
          <w:sz w:val="21"/>
          <w:shd w:val="pct10" w:color="auto" w:fill="FFFFFF"/>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14.6合同生效后，发现乙方投标属虚假承诺，或经权威部门监测提供的服务不能满足招标文件要求，造成合同无法继续履行的，乙方应向甲方支付不少于合同总价</w:t>
      </w:r>
      <w:r>
        <w:rPr>
          <w:rFonts w:hint="eastAsia" w:cs="宋体" w:asciiTheme="minorEastAsia" w:hAnsiTheme="minorEastAsia" w:eastAsiaTheme="minorEastAsia"/>
          <w:color w:val="000000" w:themeColor="text1"/>
          <w:sz w:val="21"/>
          <w:u w:val="single"/>
          <w14:textFill>
            <w14:solidFill>
              <w14:schemeClr w14:val="tx1"/>
            </w14:solidFill>
          </w14:textFill>
        </w:rPr>
        <w:t xml:space="preserve"> 5 </w:t>
      </w:r>
      <w:r>
        <w:rPr>
          <w:rFonts w:hint="eastAsia" w:cs="宋体" w:asciiTheme="minorEastAsia" w:hAnsiTheme="minorEastAsia" w:eastAsiaTheme="minorEastAsia"/>
          <w:color w:val="000000" w:themeColor="text1"/>
          <w:sz w:val="21"/>
          <w14:textFill>
            <w14:solidFill>
              <w14:schemeClr w14:val="tx1"/>
            </w14:solidFill>
          </w14:textFill>
        </w:rPr>
        <w:t>%赔偿金。</w:t>
      </w:r>
    </w:p>
    <w:p w14:paraId="1FCA6EB2">
      <w:pPr>
        <w:pStyle w:val="22"/>
        <w:spacing w:before="120" w:after="120" w:line="360" w:lineRule="auto"/>
        <w:ind w:firstLine="422"/>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15、不可抗力事件处理</w:t>
      </w:r>
    </w:p>
    <w:p w14:paraId="4AE21BCF">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1AA7E1CE">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B34408F">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16、争议解决</w:t>
      </w:r>
    </w:p>
    <w:p w14:paraId="4C63E5B1">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16.1 因服务的品质质量问题发生争议的，可在国家认可的质量检测机构对服务内容质量进行鉴定。服务符合标准的，鉴定费由甲方承担；服务项目不符合质量标准的，鉴定费由乙方承担。</w:t>
      </w:r>
    </w:p>
    <w:p w14:paraId="7970AD80">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16.2 因履行本合同引起的或与本合同有关的争议，甲、乙双方应首先通过友好协商解决；如果协商不能解决争议，甲乙双方同意采取下列两种方式的第</w:t>
      </w:r>
      <w:r>
        <w:rPr>
          <w:rFonts w:hint="eastAsia" w:cs="宋体" w:asciiTheme="minorEastAsia" w:hAnsiTheme="minorEastAsia" w:eastAsiaTheme="minorEastAsia"/>
          <w:color w:val="000000" w:themeColor="text1"/>
          <w:sz w:val="21"/>
          <w:u w:val="single"/>
          <w14:textFill>
            <w14:solidFill>
              <w14:schemeClr w14:val="tx1"/>
            </w14:solidFill>
          </w14:textFill>
        </w:rPr>
        <w:t>（1）</w:t>
      </w:r>
      <w:r>
        <w:rPr>
          <w:rFonts w:hint="eastAsia" w:cs="宋体" w:asciiTheme="minorEastAsia" w:hAnsiTheme="minorEastAsia" w:eastAsiaTheme="minorEastAsia"/>
          <w:color w:val="000000" w:themeColor="text1"/>
          <w:sz w:val="21"/>
          <w14:textFill>
            <w14:solidFill>
              <w14:schemeClr w14:val="tx1"/>
            </w14:solidFill>
          </w14:textFill>
        </w:rPr>
        <w:t>种方式解决争议：</w:t>
      </w:r>
    </w:p>
    <w:p w14:paraId="56C6C46B">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（1）向甲方所在地有管辖权的人民法院提起诉讼，适用中华人民共和国法律；</w:t>
      </w:r>
    </w:p>
    <w:p w14:paraId="1E37DDCF">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（2）向宝应仲裁委员会按其仲裁规则申请仲裁。</w:t>
      </w:r>
    </w:p>
    <w:p w14:paraId="4F167280">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16.3 若甲乙双方任何一方都没有选择解除合同的，为避免扩大损失，在诉讼或仲裁期间，双方应继续履行。</w:t>
      </w:r>
    </w:p>
    <w:p w14:paraId="58D4AD91">
      <w:pPr>
        <w:pStyle w:val="22"/>
        <w:spacing w:before="120" w:after="120" w:line="360" w:lineRule="auto"/>
        <w:ind w:left="315" w:firstLine="105"/>
        <w:rPr>
          <w:rFonts w:cs="宋体" w:asciiTheme="minorEastAsia" w:hAnsiTheme="minorEastAsia" w:eastAsiaTheme="minorEastAsia"/>
          <w:b/>
          <w:bCs/>
          <w:color w:val="000000" w:themeColor="text1"/>
          <w:sz w:val="21"/>
          <w14:textFill>
            <w14:solidFill>
              <w14:schemeClr w14:val="tx1"/>
            </w14:solidFill>
          </w14:textFill>
        </w:rPr>
      </w:pPr>
      <w:r>
        <w:rPr>
          <w:rFonts w:hint="eastAsia" w:cs="宋体" w:asciiTheme="minorEastAsia" w:hAnsiTheme="minorEastAsia" w:eastAsiaTheme="minorEastAsia"/>
          <w:b/>
          <w:bCs/>
          <w:color w:val="000000" w:themeColor="text1"/>
          <w:sz w:val="21"/>
          <w14:textFill>
            <w14:solidFill>
              <w14:schemeClr w14:val="tx1"/>
            </w14:solidFill>
          </w14:textFill>
        </w:rPr>
        <w:t>17、合同其它</w:t>
      </w:r>
    </w:p>
    <w:p w14:paraId="54F684C4">
      <w:pPr>
        <w:pStyle w:val="22"/>
        <w:spacing w:before="120" w:after="120" w:line="360" w:lineRule="auto"/>
        <w:ind w:firstLine="420"/>
        <w:rPr>
          <w:rFonts w:cs="宋体"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17.1 乙方应诚实信用，严格按照招标文件要求和投标承诺履行合同，不向甲方进行商业贿赂或者提供不正当利益。</w:t>
      </w:r>
    </w:p>
    <w:p w14:paraId="3D715F6F">
      <w:pPr>
        <w:pStyle w:val="22"/>
        <w:spacing w:before="120" w:after="120" w:line="360" w:lineRule="auto"/>
        <w:ind w:firstLine="420"/>
        <w:rPr>
          <w:rFonts w:cs="宋体" w:asciiTheme="minorEastAsia" w:hAnsiTheme="minorEastAsia" w:eastAsiaTheme="minorEastAsia"/>
          <w:color w:val="000000" w:themeColor="text1"/>
          <w:sz w:val="21"/>
          <w:u w:val="single"/>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17.2合同经双方法定代表人或授权代表签章并加盖单位公章，并经</w:t>
      </w:r>
      <w:r>
        <w:rPr>
          <w:rFonts w:hint="eastAsia" w:cs="宋体" w:asciiTheme="minorEastAsia" w:hAnsiTheme="minorEastAsia"/>
          <w:color w:val="000000" w:themeColor="text1"/>
          <w:sz w:val="21"/>
          <w:lang w:eastAsia="zh-CN"/>
          <w14:textFill>
            <w14:solidFill>
              <w14:schemeClr w14:val="tx1"/>
            </w14:solidFill>
          </w14:textFill>
        </w:rPr>
        <w:t>江苏嘉泰工程项目管理有限公司</w:t>
      </w:r>
      <w:r>
        <w:rPr>
          <w:rFonts w:hint="eastAsia" w:cs="宋体" w:asciiTheme="minorEastAsia" w:hAnsiTheme="minorEastAsia" w:eastAsiaTheme="minorEastAsia"/>
          <w:color w:val="000000" w:themeColor="text1"/>
          <w:sz w:val="21"/>
          <w14:textFill>
            <w14:solidFill>
              <w14:schemeClr w14:val="tx1"/>
            </w14:solidFill>
          </w14:textFill>
        </w:rPr>
        <w:t>见证盖章后生效。</w:t>
      </w:r>
    </w:p>
    <w:p w14:paraId="5F0CBC96">
      <w:pPr>
        <w:pStyle w:val="22"/>
        <w:spacing w:before="120" w:after="120" w:line="360" w:lineRule="auto"/>
        <w:ind w:firstLine="420"/>
        <w:rPr>
          <w:rFonts w:cs="宋体" w:asciiTheme="minorEastAsia" w:hAnsiTheme="minorEastAsia" w:eastAsiaTheme="minorEastAsia"/>
          <w:color w:val="000000" w:themeColor="text1"/>
          <w:sz w:val="21"/>
          <w:u w:val="single"/>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17.3本合同未尽事宜，遵照《民法典》有关条文执行。</w:t>
      </w:r>
    </w:p>
    <w:p w14:paraId="6B52BA27">
      <w:pPr>
        <w:pStyle w:val="22"/>
        <w:spacing w:before="120" w:after="120" w:line="360" w:lineRule="auto"/>
        <w:ind w:firstLine="420"/>
        <w:rPr>
          <w:rFonts w:asciiTheme="minorEastAsia" w:hAnsiTheme="minorEastAsia" w:eastAsiaTheme="minorEastAsia"/>
          <w:color w:val="000000" w:themeColor="text1"/>
          <w:sz w:val="21"/>
          <w14:textFill>
            <w14:solidFill>
              <w14:schemeClr w14:val="tx1"/>
            </w14:solidFill>
          </w14:textFill>
        </w:rPr>
      </w:pPr>
      <w:r>
        <w:rPr>
          <w:rFonts w:hint="eastAsia" w:cs="宋体" w:asciiTheme="minorEastAsia" w:hAnsiTheme="minorEastAsia" w:eastAsiaTheme="minorEastAsia"/>
          <w:color w:val="000000" w:themeColor="text1"/>
          <w:sz w:val="21"/>
          <w14:textFill>
            <w14:solidFill>
              <w14:schemeClr w14:val="tx1"/>
            </w14:solidFill>
          </w14:textFill>
        </w:rPr>
        <w:t>17</w:t>
      </w:r>
      <w:r>
        <w:rPr>
          <w:rFonts w:hint="eastAsia" w:asciiTheme="minorEastAsia" w:hAnsiTheme="minorEastAsia" w:eastAsiaTheme="minorEastAsia"/>
          <w:color w:val="000000" w:themeColor="text1"/>
          <w:sz w:val="21"/>
          <w14:textFill>
            <w14:solidFill>
              <w14:schemeClr w14:val="tx1"/>
            </w14:solidFill>
          </w14:textFill>
        </w:rPr>
        <w:t>.4本合同正本一式陆份，具有同等法律效力，甲方、乙方、见证方各执贰份。</w:t>
      </w:r>
    </w:p>
    <w:p w14:paraId="1BAFA67E">
      <w:pPr>
        <w:pStyle w:val="22"/>
        <w:spacing w:before="120" w:after="120" w:line="360" w:lineRule="auto"/>
        <w:ind w:left="420" w:hanging="420"/>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w:t>
      </w:r>
    </w:p>
    <w:p w14:paraId="5CF931D3">
      <w:pPr>
        <w:pStyle w:val="22"/>
        <w:spacing w:before="120" w:after="120" w:line="360" w:lineRule="auto"/>
        <w:ind w:left="420" w:hanging="210"/>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甲方：　　　　　　　</w:t>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 xml:space="preserve">  　　 乙方： </w:t>
      </w:r>
    </w:p>
    <w:p w14:paraId="4636A0E9">
      <w:pPr>
        <w:pStyle w:val="22"/>
        <w:spacing w:before="120" w:after="120" w:line="360" w:lineRule="auto"/>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  地址：</w:t>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ab/>
      </w:r>
      <w:r>
        <w:rPr>
          <w:rFonts w:hint="eastAsia" w:asciiTheme="minorEastAsia" w:hAnsiTheme="minorEastAsia" w:eastAsiaTheme="minorEastAsia"/>
          <w:color w:val="000000" w:themeColor="text1"/>
          <w:sz w:val="21"/>
          <w14:textFill>
            <w14:solidFill>
              <w14:schemeClr w14:val="tx1"/>
            </w14:solidFill>
          </w14:textFill>
        </w:rPr>
        <w:t xml:space="preserve">                   地址： </w:t>
      </w:r>
    </w:p>
    <w:p w14:paraId="32D9E2D9">
      <w:pPr>
        <w:pStyle w:val="22"/>
        <w:spacing w:before="120" w:after="120" w:line="360" w:lineRule="auto"/>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  法定代表人</w:t>
      </w:r>
      <w:r>
        <w:rPr>
          <w:rFonts w:hint="eastAsia" w:cs="宋体" w:asciiTheme="minorEastAsia" w:hAnsiTheme="minorEastAsia" w:eastAsiaTheme="minorEastAsia"/>
          <w:color w:val="000000" w:themeColor="text1"/>
          <w:sz w:val="21"/>
          <w14:textFill>
            <w14:solidFill>
              <w14:schemeClr w14:val="tx1"/>
            </w14:solidFill>
          </w14:textFill>
        </w:rPr>
        <w:t>或授权代表</w:t>
      </w:r>
      <w:r>
        <w:rPr>
          <w:rFonts w:hint="eastAsia" w:asciiTheme="minorEastAsia" w:hAnsiTheme="minorEastAsia" w:eastAsiaTheme="minorEastAsia"/>
          <w:color w:val="000000" w:themeColor="text1"/>
          <w:sz w:val="21"/>
          <w14:textFill>
            <w14:solidFill>
              <w14:schemeClr w14:val="tx1"/>
            </w14:solidFill>
          </w14:textFill>
        </w:rPr>
        <w:t>：                   法定代表人</w:t>
      </w:r>
      <w:r>
        <w:rPr>
          <w:rFonts w:hint="eastAsia" w:cs="宋体" w:asciiTheme="minorEastAsia" w:hAnsiTheme="minorEastAsia" w:eastAsiaTheme="minorEastAsia"/>
          <w:color w:val="000000" w:themeColor="text1"/>
          <w:sz w:val="21"/>
          <w14:textFill>
            <w14:solidFill>
              <w14:schemeClr w14:val="tx1"/>
            </w14:solidFill>
          </w14:textFill>
        </w:rPr>
        <w:t>或授权代表</w:t>
      </w:r>
      <w:r>
        <w:rPr>
          <w:rFonts w:hint="eastAsia" w:asciiTheme="minorEastAsia" w:hAnsiTheme="minorEastAsia" w:eastAsiaTheme="minorEastAsia"/>
          <w:color w:val="000000" w:themeColor="text1"/>
          <w:sz w:val="21"/>
          <w14:textFill>
            <w14:solidFill>
              <w14:schemeClr w14:val="tx1"/>
            </w14:solidFill>
          </w14:textFill>
        </w:rPr>
        <w:t>：</w:t>
      </w:r>
    </w:p>
    <w:p w14:paraId="2EFA060E">
      <w:pPr>
        <w:pStyle w:val="22"/>
        <w:spacing w:before="120" w:after="120" w:line="360" w:lineRule="auto"/>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  联系电话：                               联系电话：</w:t>
      </w:r>
    </w:p>
    <w:p w14:paraId="655D03E7">
      <w:pPr>
        <w:pStyle w:val="22"/>
        <w:spacing w:before="120" w:after="120" w:line="360" w:lineRule="auto"/>
        <w:ind w:firstLine="210"/>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日期：      年    月    日               日期：      年    月    日</w:t>
      </w:r>
    </w:p>
    <w:p w14:paraId="36B6F3D2">
      <w:pPr>
        <w:pStyle w:val="22"/>
        <w:spacing w:before="120" w:after="120" w:line="360" w:lineRule="auto"/>
        <w:ind w:firstLine="210"/>
        <w:rPr>
          <w:rFonts w:asciiTheme="minorEastAsia" w:hAnsiTheme="minorEastAsia" w:eastAsiaTheme="minorEastAsia"/>
          <w:color w:val="000000" w:themeColor="text1"/>
          <w:sz w:val="21"/>
          <w14:textFill>
            <w14:solidFill>
              <w14:schemeClr w14:val="tx1"/>
            </w14:solidFill>
          </w14:textFill>
        </w:rPr>
      </w:pPr>
    </w:p>
    <w:p w14:paraId="6F5EA018">
      <w:pPr>
        <w:pStyle w:val="22"/>
        <w:spacing w:before="120" w:after="120" w:line="360" w:lineRule="auto"/>
        <w:ind w:firstLine="210"/>
        <w:rPr>
          <w:rFonts w:hint="eastAsia" w:eastAsia="宋体" w:asciiTheme="minorEastAsia" w:hAnsiTheme="minorEastAsia"/>
          <w:color w:val="000000" w:themeColor="text1"/>
          <w:sz w:val="21"/>
          <w:lang w:eastAsia="zh-CN"/>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见证方：</w:t>
      </w:r>
      <w:r>
        <w:rPr>
          <w:rFonts w:hint="eastAsia" w:asciiTheme="minorEastAsia" w:hAnsiTheme="minorEastAsia"/>
          <w:color w:val="000000" w:themeColor="text1"/>
          <w:sz w:val="21"/>
          <w:lang w:eastAsia="zh-CN"/>
          <w14:textFill>
            <w14:solidFill>
              <w14:schemeClr w14:val="tx1"/>
            </w14:solidFill>
          </w14:textFill>
        </w:rPr>
        <w:t>江苏嘉泰工程项目管理有限公司</w:t>
      </w:r>
    </w:p>
    <w:p w14:paraId="41AC4884">
      <w:pPr>
        <w:pStyle w:val="22"/>
        <w:spacing w:before="120" w:after="120" w:line="360" w:lineRule="auto"/>
        <w:ind w:firstLine="210"/>
        <w:rPr>
          <w:rFonts w:hint="eastAsia" w:eastAsia="宋体" w:asciiTheme="minorEastAsia" w:hAnsiTheme="minorEastAsia"/>
          <w:color w:val="000000" w:themeColor="text1"/>
          <w:sz w:val="21"/>
          <w:lang w:eastAsia="zh-CN"/>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项目经办人：</w:t>
      </w:r>
      <w:r>
        <w:rPr>
          <w:rFonts w:hint="eastAsia" w:asciiTheme="minorEastAsia" w:hAnsiTheme="minorEastAsia"/>
          <w:color w:val="000000" w:themeColor="text1"/>
          <w:sz w:val="21"/>
          <w:lang w:eastAsia="zh-CN"/>
          <w14:textFill>
            <w14:solidFill>
              <w14:schemeClr w14:val="tx1"/>
            </w14:solidFill>
          </w14:textFill>
        </w:rPr>
        <w:t>童兆飞</w:t>
      </w:r>
    </w:p>
    <w:p w14:paraId="41DEEA98">
      <w:pPr>
        <w:pStyle w:val="22"/>
        <w:spacing w:before="120" w:after="120" w:line="360" w:lineRule="auto"/>
        <w:ind w:firstLine="210"/>
        <w:rPr>
          <w:rFonts w:asciiTheme="minorEastAsia" w:hAnsiTheme="minorEastAsia" w:eastAsiaTheme="minorEastAsia"/>
          <w:color w:val="000000" w:themeColor="text1"/>
          <w:sz w:val="21"/>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Theme="minorEastAsia" w:hAnsiTheme="minorEastAsia" w:eastAsiaTheme="minorEastAsia"/>
          <w:color w:val="000000" w:themeColor="text1"/>
          <w:sz w:val="21"/>
          <w14:textFill>
            <w14:solidFill>
              <w14:schemeClr w14:val="tx1"/>
            </w14:solidFill>
          </w14:textFill>
        </w:rPr>
        <w:t>日期：     年   月   日</w:t>
      </w:r>
      <w:bookmarkEnd w:id="123"/>
    </w:p>
    <w:p w14:paraId="15E14B77">
      <w:pPr>
        <w:pStyle w:val="391"/>
        <w:spacing w:before="0" w:after="0" w:line="360" w:lineRule="auto"/>
        <w:outlineLvl w:val="0"/>
        <w:rPr>
          <w:rFonts w:ascii="宋体" w:hAnsi="宋体" w:cs="宋体"/>
          <w:sz w:val="30"/>
          <w:szCs w:val="30"/>
        </w:rPr>
      </w:pPr>
      <w:bookmarkStart w:id="125" w:name="_Toc500859148"/>
      <w:r>
        <w:rPr>
          <w:rFonts w:hint="eastAsia" w:ascii="宋体" w:hAnsi="宋体" w:cs="宋体"/>
          <w:sz w:val="30"/>
          <w:szCs w:val="30"/>
        </w:rPr>
        <w:t xml:space="preserve"> </w:t>
      </w:r>
      <w:bookmarkStart w:id="126" w:name="_Toc4036"/>
      <w:r>
        <w:rPr>
          <w:rFonts w:hint="eastAsia" w:ascii="宋体" w:hAnsi="宋体" w:cs="宋体"/>
          <w:sz w:val="30"/>
          <w:szCs w:val="30"/>
        </w:rPr>
        <w:t>第四章 项目需求</w:t>
      </w:r>
      <w:bookmarkEnd w:id="126"/>
    </w:p>
    <w:p w14:paraId="5DD4212A">
      <w:pPr>
        <w:spacing w:line="360" w:lineRule="auto"/>
        <w:rPr>
          <w:rFonts w:hint="eastAsia" w:ascii="宋体" w:hAnsi="宋体" w:eastAsia="宋体" w:cs="宋体"/>
          <w:bCs/>
          <w:sz w:val="24"/>
          <w:szCs w:val="24"/>
        </w:rPr>
      </w:pPr>
      <w:r>
        <w:rPr>
          <w:rFonts w:hint="eastAsia" w:ascii="宋体" w:hAnsi="宋体" w:eastAsia="宋体" w:cs="宋体"/>
          <w:sz w:val="24"/>
          <w:szCs w:val="24"/>
        </w:rPr>
        <w:t>项目属性:服务类项目。</w:t>
      </w:r>
    </w:p>
    <w:p w14:paraId="294FB1A3">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其他要求</w:t>
      </w:r>
    </w:p>
    <w:p w14:paraId="4EA1224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iCs/>
          <w:sz w:val="24"/>
          <w:szCs w:val="24"/>
          <w:u w:val="single"/>
        </w:rPr>
        <w:t>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eastAsia="宋体" w:cs="宋体"/>
          <w:sz w:val="24"/>
          <w:szCs w:val="24"/>
        </w:rPr>
        <w:t>。其他条件相同情况下，应当优先采购节能产品、环境标志产品。</w:t>
      </w:r>
    </w:p>
    <w:p w14:paraId="5B278A60">
      <w:pPr>
        <w:spacing w:line="360" w:lineRule="auto"/>
        <w:ind w:firstLine="482"/>
        <w:rPr>
          <w:rFonts w:hint="eastAsia" w:ascii="宋体" w:hAnsi="宋体" w:eastAsia="宋体" w:cs="宋体"/>
          <w:sz w:val="24"/>
          <w:szCs w:val="24"/>
        </w:rPr>
      </w:pPr>
      <w:r>
        <w:rPr>
          <w:rFonts w:hint="eastAsia" w:ascii="宋体" w:hAnsi="宋体" w:eastAsia="宋体" w:cs="宋体"/>
          <w:sz w:val="24"/>
          <w:szCs w:val="24"/>
        </w:rPr>
        <w:t>供应商对于投标产品的包装应按照“财办库〔2020〕123号《关于印发《商品包装政府采购需求标准（试行）》、《快递包装政府采购需求标准（试行）》的通知》”执行。</w:t>
      </w:r>
    </w:p>
    <w:p w14:paraId="25E90175">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采购标的对应的中小企业划分标准所属行业一览表</w:t>
      </w:r>
    </w:p>
    <w:tbl>
      <w:tblPr>
        <w:tblStyle w:val="49"/>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4825"/>
        <w:gridCol w:w="2492"/>
      </w:tblGrid>
      <w:tr w14:paraId="4F7F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028" w:type="dxa"/>
            <w:noWrap w:val="0"/>
            <w:vAlign w:val="center"/>
          </w:tcPr>
          <w:p w14:paraId="3F9858B8">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序号</w:t>
            </w:r>
          </w:p>
        </w:tc>
        <w:tc>
          <w:tcPr>
            <w:tcW w:w="4825" w:type="dxa"/>
            <w:noWrap w:val="0"/>
            <w:vAlign w:val="center"/>
          </w:tcPr>
          <w:p w14:paraId="60556CB9">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2492" w:type="dxa"/>
            <w:noWrap w:val="0"/>
            <w:vAlign w:val="center"/>
          </w:tcPr>
          <w:p w14:paraId="0C577D9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对应中小企业划分标准所属行业</w:t>
            </w:r>
          </w:p>
        </w:tc>
      </w:tr>
      <w:tr w14:paraId="6144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 w:hRule="atLeast"/>
          <w:jc w:val="center"/>
        </w:trPr>
        <w:tc>
          <w:tcPr>
            <w:tcW w:w="1028" w:type="dxa"/>
            <w:noWrap w:val="0"/>
            <w:vAlign w:val="center"/>
          </w:tcPr>
          <w:p w14:paraId="6B442C14">
            <w:pPr>
              <w:spacing w:line="0" w:lineRule="atLeast"/>
              <w:jc w:val="center"/>
              <w:rPr>
                <w:rFonts w:hint="eastAsia" w:ascii="宋体" w:hAnsi="宋体" w:eastAsia="宋体" w:cs="宋体"/>
                <w:szCs w:val="21"/>
                <w:lang w:val="en-US" w:eastAsia="zh-CN"/>
              </w:rPr>
            </w:pPr>
            <w:r>
              <w:rPr>
                <w:rFonts w:hint="eastAsia" w:ascii="宋体" w:hAnsi="宋体" w:eastAsia="宋体" w:cs="宋体"/>
                <w:szCs w:val="21"/>
                <w:lang w:val="en-US" w:eastAsia="zh-CN"/>
              </w:rPr>
              <w:t>1</w:t>
            </w:r>
          </w:p>
        </w:tc>
        <w:tc>
          <w:tcPr>
            <w:tcW w:w="4825" w:type="dxa"/>
            <w:noWrap w:val="0"/>
            <w:vAlign w:val="center"/>
          </w:tcPr>
          <w:p w14:paraId="24996B89">
            <w:pPr>
              <w:jc w:val="center"/>
              <w:rPr>
                <w:rFonts w:hint="eastAsia" w:ascii="宋体" w:hAnsi="宋体" w:eastAsia="宋体" w:cs="宋体"/>
              </w:rPr>
            </w:pPr>
            <w:r>
              <w:rPr>
                <w:rFonts w:hint="eastAsia" w:ascii="宋体" w:hAnsi="宋体" w:eastAsia="宋体" w:cs="宋体"/>
                <w:lang w:eastAsia="zh-CN"/>
              </w:rPr>
              <w:t>宝应县安宜实验学校及沿河校区2026-2027</w:t>
            </w:r>
            <w:r>
              <w:rPr>
                <w:rFonts w:hint="eastAsia" w:ascii="宋体" w:hAnsi="宋体" w:eastAsia="宋体" w:cs="宋体"/>
              </w:rPr>
              <w:t>学年学生军事化管理项目</w:t>
            </w:r>
          </w:p>
        </w:tc>
        <w:tc>
          <w:tcPr>
            <w:tcW w:w="2492" w:type="dxa"/>
            <w:noWrap w:val="0"/>
            <w:vAlign w:val="center"/>
          </w:tcPr>
          <w:p w14:paraId="33BF96B4">
            <w:pPr>
              <w:spacing w:line="0" w:lineRule="atLeast"/>
              <w:jc w:val="center"/>
              <w:rPr>
                <w:rFonts w:hint="eastAsia" w:ascii="宋体" w:hAnsi="宋体" w:eastAsia="宋体" w:cs="宋体"/>
              </w:rPr>
            </w:pPr>
            <w:r>
              <w:rPr>
                <w:rFonts w:hint="eastAsia" w:ascii="宋体" w:hAnsi="宋体" w:eastAsia="宋体" w:cs="宋体"/>
              </w:rPr>
              <w:t>其他未列明行业</w:t>
            </w:r>
          </w:p>
        </w:tc>
      </w:tr>
    </w:tbl>
    <w:p w14:paraId="3C25752F">
      <w:pPr>
        <w:spacing w:line="336" w:lineRule="auto"/>
        <w:rPr>
          <w:rFonts w:hint="eastAsia" w:ascii="宋体" w:hAnsi="宋体" w:eastAsia="宋体" w:cs="宋体"/>
          <w:b/>
        </w:rPr>
      </w:pPr>
    </w:p>
    <w:p w14:paraId="0F25EEE7">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一、项目背景</w:t>
      </w:r>
    </w:p>
    <w:p w14:paraId="6CB52126">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1、</w:t>
      </w:r>
      <w:r>
        <w:rPr>
          <w:rFonts w:hint="eastAsia" w:ascii="宋体" w:hAnsi="宋体" w:eastAsia="宋体" w:cs="宋体"/>
          <w:bCs/>
          <w:iCs/>
          <w:sz w:val="24"/>
          <w:szCs w:val="24"/>
          <w:lang w:eastAsia="zh-CN"/>
        </w:rPr>
        <w:t>宝应县安宜实验学校</w:t>
      </w:r>
      <w:r>
        <w:rPr>
          <w:rFonts w:hint="eastAsia" w:ascii="宋体" w:hAnsi="宋体" w:eastAsia="宋体" w:cs="宋体"/>
          <w:bCs/>
          <w:iCs/>
          <w:sz w:val="24"/>
          <w:szCs w:val="24"/>
        </w:rPr>
        <w:t>初二年级共10个班级、450名学生，</w:t>
      </w:r>
      <w:r>
        <w:rPr>
          <w:rFonts w:hint="eastAsia" w:ascii="宋体" w:hAnsi="宋体" w:eastAsia="宋体" w:cs="宋体"/>
          <w:bCs/>
          <w:iCs/>
          <w:sz w:val="24"/>
          <w:szCs w:val="24"/>
          <w:lang w:eastAsia="zh-CN"/>
        </w:rPr>
        <w:t>均为走读生。</w:t>
      </w:r>
      <w:r>
        <w:rPr>
          <w:rFonts w:hint="eastAsia" w:ascii="宋体" w:hAnsi="宋体" w:eastAsia="宋体" w:cs="宋体"/>
          <w:bCs/>
          <w:iCs/>
          <w:sz w:val="24"/>
          <w:szCs w:val="24"/>
        </w:rPr>
        <w:t>受疫情、“双减”双重影响，学生规则意识薄弱、敬畏之心不足，日常管理难度较大。为加强安全管理、上放学时段校园周边治安管理、全校学生文明礼仪教育及管理，进一步提升良好校风和学风的建设，推动学校落实立德树人的教育任务，加强国防和爱国主义教育，促进学生的全面发展</w:t>
      </w:r>
      <w:r>
        <w:rPr>
          <w:rFonts w:hint="eastAsia" w:ascii="宋体" w:hAnsi="宋体" w:eastAsia="宋体" w:cs="宋体"/>
          <w:bCs/>
          <w:iCs/>
          <w:color w:val="auto"/>
          <w:sz w:val="24"/>
          <w:szCs w:val="24"/>
        </w:rPr>
        <w:t>，学校拟5名政治信念坚定、使命感责任感强、时间纪律观念强的退役军人参与学校管理，将军队的管理模式、军人过硬的作风素养和雷厉风行的品质合理运用到学校日常教育教学中。以礼仪教学、常态化军训、日常纪律管控为核心，</w:t>
      </w:r>
      <w:r>
        <w:rPr>
          <w:rFonts w:hint="eastAsia" w:ascii="宋体" w:hAnsi="宋体" w:eastAsia="宋体" w:cs="宋体"/>
          <w:bCs/>
          <w:iCs/>
          <w:color w:val="auto"/>
          <w:sz w:val="24"/>
          <w:szCs w:val="24"/>
          <w:lang w:val="en-US" w:eastAsia="zh-CN"/>
        </w:rPr>
        <w:t>并作</w:t>
      </w:r>
      <w:r>
        <w:rPr>
          <w:rFonts w:hint="eastAsia" w:ascii="宋体" w:hAnsi="宋体" w:eastAsia="宋体" w:cs="宋体"/>
          <w:bCs/>
          <w:iCs/>
          <w:color w:val="auto"/>
          <w:sz w:val="24"/>
          <w:szCs w:val="24"/>
        </w:rPr>
        <w:t>初一、初三年</w:t>
      </w:r>
      <w:r>
        <w:rPr>
          <w:rFonts w:hint="eastAsia" w:ascii="宋体" w:hAnsi="宋体" w:eastAsia="宋体" w:cs="宋体"/>
          <w:bCs/>
          <w:iCs/>
          <w:sz w:val="24"/>
          <w:szCs w:val="24"/>
        </w:rPr>
        <w:t>级秩序协助，全面规范学生言行，涵养优良校风学风。</w:t>
      </w:r>
    </w:p>
    <w:p w14:paraId="42C0C5EE">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2、</w:t>
      </w:r>
      <w:r>
        <w:rPr>
          <w:rFonts w:hint="eastAsia" w:ascii="宋体" w:hAnsi="宋体" w:eastAsia="宋体" w:cs="宋体"/>
          <w:bCs/>
          <w:iCs/>
          <w:sz w:val="24"/>
          <w:szCs w:val="24"/>
        </w:rPr>
        <w:t>沿河校区在校生30人左右，均为住宿生。为加强住宿生安全及内务管理、上放学时段校园周边治安管理、全校学生文明礼仪教育及管理，进一步提升良好校风和学风的建设，推动学校落实立德树人的教育任务，加强国防和爱国主义教育，促进学生的全面发展，学校拟聘用一批政治信念坚定、使命感责任感强、时间纪律观念强的退役军人参与学校管理，将军队的管理模式、军人过硬的作风素养和雷厉风行的品质合理运用到学校日常教育教学中。</w:t>
      </w:r>
    </w:p>
    <w:p w14:paraId="21E98CFC">
      <w:pPr>
        <w:widowControl w:val="0"/>
        <w:spacing w:line="360" w:lineRule="auto"/>
        <w:ind w:firstLine="482"/>
        <w:rPr>
          <w:rFonts w:hint="eastAsia" w:ascii="宋体" w:hAnsi="宋体" w:eastAsia="宋体" w:cs="宋体"/>
          <w:bCs/>
          <w:iCs/>
          <w:sz w:val="24"/>
          <w:szCs w:val="24"/>
        </w:rPr>
      </w:pPr>
      <w:r>
        <w:rPr>
          <w:rFonts w:hint="eastAsia" w:ascii="宋体" w:hAnsi="宋体" w:eastAsia="宋体" w:cs="宋体"/>
          <w:bCs/>
          <w:iCs/>
          <w:sz w:val="24"/>
          <w:szCs w:val="24"/>
        </w:rPr>
        <w:t>二、项目资金和监管</w:t>
      </w:r>
    </w:p>
    <w:p w14:paraId="0A27A7BE">
      <w:pPr>
        <w:widowControl w:val="0"/>
        <w:spacing w:line="360" w:lineRule="auto"/>
        <w:ind w:firstLine="482"/>
        <w:rPr>
          <w:rFonts w:hint="eastAsia" w:ascii="宋体" w:hAnsi="宋体" w:eastAsia="宋体" w:cs="宋体"/>
          <w:bCs/>
          <w:iCs/>
          <w:sz w:val="24"/>
          <w:szCs w:val="24"/>
        </w:rPr>
      </w:pPr>
      <w:r>
        <w:rPr>
          <w:rFonts w:hint="eastAsia" w:ascii="宋体" w:hAnsi="宋体" w:eastAsia="宋体" w:cs="宋体"/>
          <w:bCs/>
          <w:iCs/>
          <w:sz w:val="24"/>
          <w:szCs w:val="24"/>
        </w:rPr>
        <w:t>（一）人员配备</w:t>
      </w:r>
    </w:p>
    <w:p w14:paraId="1D52E194">
      <w:pPr>
        <w:spacing w:line="360" w:lineRule="auto"/>
        <w:ind w:firstLine="480"/>
        <w:rPr>
          <w:rFonts w:hint="eastAsia" w:ascii="宋体" w:hAnsi="宋体" w:eastAsia="宋体" w:cs="宋体"/>
          <w:bCs/>
          <w:iCs/>
          <w:color w:val="auto"/>
          <w:sz w:val="24"/>
          <w:szCs w:val="24"/>
        </w:rPr>
      </w:pPr>
      <w:r>
        <w:rPr>
          <w:rFonts w:hint="eastAsia" w:ascii="宋体" w:hAnsi="宋体" w:eastAsia="宋体" w:cs="宋体"/>
          <w:bCs/>
          <w:iCs/>
          <w:color w:val="auto"/>
          <w:sz w:val="24"/>
          <w:szCs w:val="24"/>
          <w:lang w:val="en-US" w:eastAsia="zh-CN"/>
        </w:rPr>
        <w:t>1、</w:t>
      </w:r>
      <w:r>
        <w:rPr>
          <w:rFonts w:hint="eastAsia" w:ascii="宋体" w:hAnsi="宋体" w:eastAsia="宋体" w:cs="宋体"/>
          <w:bCs/>
          <w:iCs/>
          <w:color w:val="auto"/>
          <w:sz w:val="24"/>
          <w:szCs w:val="24"/>
          <w:lang w:eastAsia="zh-CN"/>
        </w:rPr>
        <w:t>宝应县安宜实验学校</w:t>
      </w:r>
      <w:r>
        <w:rPr>
          <w:rFonts w:hint="eastAsia" w:ascii="宋体" w:hAnsi="宋体" w:eastAsia="宋体" w:cs="宋体"/>
          <w:bCs/>
          <w:iCs/>
          <w:color w:val="auto"/>
          <w:sz w:val="24"/>
          <w:szCs w:val="24"/>
        </w:rPr>
        <w:t>需投入</w:t>
      </w:r>
      <w:r>
        <w:rPr>
          <w:rFonts w:hint="eastAsia" w:ascii="宋体" w:hAnsi="宋体" w:eastAsia="宋体" w:cs="宋体"/>
          <w:bCs/>
          <w:iCs/>
          <w:color w:val="auto"/>
          <w:sz w:val="24"/>
          <w:szCs w:val="24"/>
          <w:lang w:val="en-US" w:eastAsia="zh-CN"/>
        </w:rPr>
        <w:t>5</w:t>
      </w:r>
      <w:r>
        <w:rPr>
          <w:rFonts w:hint="eastAsia" w:ascii="宋体" w:hAnsi="宋体" w:eastAsia="宋体" w:cs="宋体"/>
          <w:bCs/>
          <w:iCs/>
          <w:color w:val="auto"/>
          <w:sz w:val="24"/>
          <w:szCs w:val="24"/>
        </w:rPr>
        <w:t>名工作人员在本项目中(含队长、副队长各1名，至少含两名女性)，出生年限在197</w:t>
      </w:r>
      <w:r>
        <w:rPr>
          <w:rFonts w:hint="eastAsia" w:ascii="宋体" w:hAnsi="宋体" w:eastAsia="宋体" w:cs="宋体"/>
          <w:bCs/>
          <w:iCs/>
          <w:color w:val="auto"/>
          <w:sz w:val="24"/>
          <w:szCs w:val="24"/>
          <w:lang w:val="en-US" w:eastAsia="zh-CN"/>
        </w:rPr>
        <w:t>6</w:t>
      </w:r>
      <w:r>
        <w:rPr>
          <w:rFonts w:hint="eastAsia" w:ascii="宋体" w:hAnsi="宋体" w:eastAsia="宋体" w:cs="宋体"/>
          <w:bCs/>
          <w:iCs/>
          <w:color w:val="auto"/>
          <w:sz w:val="24"/>
          <w:szCs w:val="24"/>
        </w:rPr>
        <w:t>年1月-200</w:t>
      </w:r>
      <w:r>
        <w:rPr>
          <w:rFonts w:hint="eastAsia" w:ascii="宋体" w:hAnsi="宋体" w:eastAsia="宋体" w:cs="宋体"/>
          <w:bCs/>
          <w:iCs/>
          <w:color w:val="auto"/>
          <w:sz w:val="24"/>
          <w:szCs w:val="24"/>
          <w:lang w:val="en-US" w:eastAsia="zh-CN"/>
        </w:rPr>
        <w:t>0</w:t>
      </w:r>
      <w:r>
        <w:rPr>
          <w:rFonts w:hint="eastAsia" w:ascii="宋体" w:hAnsi="宋体" w:eastAsia="宋体" w:cs="宋体"/>
          <w:bCs/>
          <w:iCs/>
          <w:color w:val="auto"/>
          <w:sz w:val="24"/>
          <w:szCs w:val="24"/>
        </w:rPr>
        <w:t>年12月之间。成交单位配备的上岗人员应为参与公司的正式员工且需经招标方面试，面试通过后履行相关签约手续方可上岗。</w:t>
      </w:r>
    </w:p>
    <w:p w14:paraId="02590956">
      <w:pPr>
        <w:spacing w:line="360" w:lineRule="auto"/>
        <w:ind w:firstLine="480"/>
        <w:rPr>
          <w:rFonts w:hint="eastAsia" w:ascii="宋体" w:hAnsi="宋体" w:eastAsia="宋体" w:cs="宋体"/>
          <w:bCs/>
          <w:iCs/>
          <w:color w:val="auto"/>
          <w:sz w:val="24"/>
          <w:szCs w:val="24"/>
        </w:rPr>
      </w:pPr>
      <w:r>
        <w:rPr>
          <w:rFonts w:hint="eastAsia" w:ascii="宋体" w:hAnsi="宋体" w:eastAsia="宋体" w:cs="宋体"/>
          <w:bCs/>
          <w:iCs/>
          <w:color w:val="auto"/>
          <w:sz w:val="24"/>
          <w:szCs w:val="24"/>
          <w:lang w:val="en-US" w:eastAsia="zh-CN"/>
        </w:rPr>
        <w:t>2、</w:t>
      </w:r>
      <w:r>
        <w:rPr>
          <w:rFonts w:hint="eastAsia" w:ascii="宋体" w:hAnsi="宋体" w:eastAsia="宋体" w:cs="宋体"/>
          <w:bCs/>
          <w:iCs/>
          <w:color w:val="auto"/>
          <w:sz w:val="24"/>
          <w:szCs w:val="24"/>
        </w:rPr>
        <w:t>沿河校区需投入6名工作人员在本项目中(含队长、副队长各1名，至少含两名女性)，出生年限在197</w:t>
      </w:r>
      <w:r>
        <w:rPr>
          <w:rFonts w:hint="eastAsia" w:ascii="宋体" w:hAnsi="宋体" w:eastAsia="宋体" w:cs="宋体"/>
          <w:bCs/>
          <w:iCs/>
          <w:color w:val="auto"/>
          <w:sz w:val="24"/>
          <w:szCs w:val="24"/>
          <w:lang w:val="en-US" w:eastAsia="zh-CN"/>
        </w:rPr>
        <w:t>6</w:t>
      </w:r>
      <w:r>
        <w:rPr>
          <w:rFonts w:hint="eastAsia" w:ascii="宋体" w:hAnsi="宋体" w:eastAsia="宋体" w:cs="宋体"/>
          <w:bCs/>
          <w:iCs/>
          <w:color w:val="auto"/>
          <w:sz w:val="24"/>
          <w:szCs w:val="24"/>
        </w:rPr>
        <w:t>年1月-200</w:t>
      </w:r>
      <w:r>
        <w:rPr>
          <w:rFonts w:hint="eastAsia" w:ascii="宋体" w:hAnsi="宋体" w:eastAsia="宋体" w:cs="宋体"/>
          <w:bCs/>
          <w:iCs/>
          <w:color w:val="auto"/>
          <w:sz w:val="24"/>
          <w:szCs w:val="24"/>
          <w:lang w:val="en-US" w:eastAsia="zh-CN"/>
        </w:rPr>
        <w:t>0</w:t>
      </w:r>
      <w:r>
        <w:rPr>
          <w:rFonts w:hint="eastAsia" w:ascii="宋体" w:hAnsi="宋体" w:eastAsia="宋体" w:cs="宋体"/>
          <w:bCs/>
          <w:iCs/>
          <w:color w:val="auto"/>
          <w:sz w:val="24"/>
          <w:szCs w:val="24"/>
        </w:rPr>
        <w:t>年12月之间。成交单位配备的上岗人员应为参与公司的正式员工且需经招标方面试，面试通过后履行相关签约手续方可上岗。</w:t>
      </w:r>
    </w:p>
    <w:p w14:paraId="413A5E4E">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（二）费用预算</w:t>
      </w:r>
    </w:p>
    <w:p w14:paraId="0E5EA9EB">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1、</w:t>
      </w:r>
      <w:r>
        <w:rPr>
          <w:rFonts w:hint="eastAsia" w:ascii="宋体" w:hAnsi="宋体" w:eastAsia="宋体" w:cs="宋体"/>
          <w:bCs/>
          <w:iCs/>
          <w:sz w:val="24"/>
          <w:szCs w:val="24"/>
          <w:lang w:eastAsia="zh-CN"/>
        </w:rPr>
        <w:t>宝应县安宜实验学校</w:t>
      </w:r>
      <w:r>
        <w:rPr>
          <w:rFonts w:hint="eastAsia" w:ascii="宋体" w:hAnsi="宋体" w:eastAsia="宋体" w:cs="宋体"/>
          <w:bCs/>
          <w:iCs/>
          <w:sz w:val="24"/>
          <w:szCs w:val="24"/>
        </w:rPr>
        <w:t>为保证成交单位参与学校军事化管理人员的年轻化、高素养、稳定性及日平均工作时长为1</w:t>
      </w:r>
      <w:r>
        <w:rPr>
          <w:rFonts w:hint="eastAsia" w:ascii="宋体" w:hAnsi="宋体" w:eastAsia="宋体" w:cs="宋体"/>
          <w:bCs/>
          <w:iCs/>
          <w:sz w:val="24"/>
          <w:szCs w:val="24"/>
          <w:lang w:val="en-US" w:eastAsia="zh-CN"/>
        </w:rPr>
        <w:t>4</w:t>
      </w:r>
      <w:r>
        <w:rPr>
          <w:rFonts w:hint="eastAsia" w:ascii="宋体" w:hAnsi="宋体" w:eastAsia="宋体" w:cs="宋体"/>
          <w:bCs/>
          <w:iCs/>
          <w:sz w:val="24"/>
          <w:szCs w:val="24"/>
        </w:rPr>
        <w:t>个小时左右等特点，特规范预算费用使用办法。费用构成包含人员工资和成交单位管理费</w:t>
      </w:r>
    </w:p>
    <w:p w14:paraId="2028864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2、沿河校区为保证成交单位参与学校军事化管理人员的年轻化、高素养、稳定性及日平均工作时长为16个小时左右等特点，特规范预算费用使用办法。费用构成包含人员工资和成交单位管理费</w:t>
      </w:r>
    </w:p>
    <w:p w14:paraId="7897CE81">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三</w:t>
      </w:r>
      <w:r>
        <w:rPr>
          <w:rFonts w:hint="eastAsia" w:ascii="宋体" w:hAnsi="宋体" w:eastAsia="宋体" w:cs="宋体"/>
          <w:bCs/>
          <w:iCs/>
          <w:sz w:val="24"/>
          <w:szCs w:val="24"/>
        </w:rPr>
        <w:t>、</w:t>
      </w:r>
      <w:r>
        <w:rPr>
          <w:rFonts w:hint="eastAsia" w:ascii="宋体" w:hAnsi="宋体" w:eastAsia="宋体" w:cs="宋体"/>
          <w:bCs/>
          <w:iCs/>
          <w:sz w:val="24"/>
          <w:szCs w:val="24"/>
          <w:lang w:eastAsia="zh-CN"/>
        </w:rPr>
        <w:t>宝应县安宜实验学校</w:t>
      </w:r>
      <w:r>
        <w:rPr>
          <w:rFonts w:hint="eastAsia" w:ascii="宋体" w:hAnsi="宋体" w:eastAsia="宋体" w:cs="宋体"/>
          <w:bCs/>
          <w:iCs/>
          <w:sz w:val="24"/>
          <w:szCs w:val="24"/>
        </w:rPr>
        <w:t>项目内容</w:t>
      </w:r>
    </w:p>
    <w:p w14:paraId="24A73A87">
      <w:pPr>
        <w:keepNext w:val="0"/>
        <w:keepLines w:val="0"/>
        <w:pageBreakBefore w:val="0"/>
        <w:widowControl w:val="0"/>
        <w:spacing w:line="4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阶段目标</w:t>
      </w:r>
    </w:p>
    <w:p w14:paraId="3AF1ECB0">
      <w:pPr>
        <w:keepNext w:val="0"/>
        <w:keepLines w:val="0"/>
        <w:pageBreakBefore w:val="0"/>
        <w:widowControl w:val="0"/>
        <w:spacing w:line="400" w:lineRule="exact"/>
        <w:ind w:firstLine="480"/>
        <w:jc w:val="both"/>
        <w:rPr>
          <w:rFonts w:hint="eastAsia" w:ascii="宋体" w:hAnsi="宋体" w:eastAsia="宋体" w:cs="宋体"/>
          <w:sz w:val="24"/>
          <w:szCs w:val="24"/>
        </w:rPr>
      </w:pPr>
      <w:r>
        <w:rPr>
          <w:rFonts w:hint="eastAsia" w:ascii="宋体" w:hAnsi="宋体" w:eastAsia="宋体" w:cs="宋体"/>
          <w:sz w:val="24"/>
          <w:szCs w:val="24"/>
        </w:rPr>
        <w:t>短期（1-3个月）：纠正学生打闹、</w:t>
      </w:r>
      <w:r>
        <w:rPr>
          <w:rFonts w:hint="eastAsia" w:ascii="宋体" w:hAnsi="宋体" w:eastAsia="宋体" w:cs="宋体"/>
          <w:sz w:val="24"/>
          <w:szCs w:val="24"/>
          <w:lang w:val="en-US" w:eastAsia="zh-CN"/>
        </w:rPr>
        <w:t>欺凌、</w:t>
      </w:r>
      <w:r>
        <w:rPr>
          <w:rFonts w:hint="eastAsia" w:ascii="宋体" w:hAnsi="宋体" w:eastAsia="宋体" w:cs="宋体"/>
          <w:sz w:val="24"/>
          <w:szCs w:val="24"/>
        </w:rPr>
        <w:t>散漫、无视校规等陋习，仪容仪表、课间秩序明显改观；礼仪课程正常开展，建立教官、班主任、任课教师联动管理机制。</w:t>
      </w:r>
    </w:p>
    <w:p w14:paraId="0C724942">
      <w:pPr>
        <w:keepNext w:val="0"/>
        <w:keepLines w:val="0"/>
        <w:pageBreakBefore w:val="0"/>
        <w:widowControl w:val="0"/>
        <w:spacing w:line="400" w:lineRule="exact"/>
        <w:ind w:firstLine="480"/>
        <w:jc w:val="both"/>
        <w:rPr>
          <w:rFonts w:hint="eastAsia" w:ascii="宋体" w:hAnsi="宋体" w:eastAsia="宋体" w:cs="宋体"/>
          <w:sz w:val="24"/>
          <w:szCs w:val="24"/>
        </w:rPr>
      </w:pPr>
      <w:r>
        <w:rPr>
          <w:rFonts w:hint="eastAsia" w:ascii="宋体" w:hAnsi="宋体" w:eastAsia="宋体" w:cs="宋体"/>
          <w:sz w:val="24"/>
          <w:szCs w:val="24"/>
        </w:rPr>
        <w:t>中期（4-8个月）：学生纪律、礼仪素养显著提升，集会、两操、就餐秩序规范，集体荣誉感增强；常态化军训体系成型，年级班风、学风整体向好。</w:t>
      </w:r>
    </w:p>
    <w:p w14:paraId="23BBE40B">
      <w:pPr>
        <w:keepNext w:val="0"/>
        <w:keepLines w:val="0"/>
        <w:pageBreakBefore w:val="0"/>
        <w:widowControl w:val="0"/>
        <w:spacing w:line="400" w:lineRule="exact"/>
        <w:ind w:firstLine="480"/>
        <w:jc w:val="both"/>
        <w:rPr>
          <w:rFonts w:hint="eastAsia" w:ascii="宋体" w:hAnsi="宋体" w:eastAsia="宋体" w:cs="宋体"/>
          <w:sz w:val="24"/>
          <w:szCs w:val="24"/>
        </w:rPr>
      </w:pPr>
      <w:r>
        <w:rPr>
          <w:rFonts w:hint="eastAsia" w:ascii="宋体" w:hAnsi="宋体" w:eastAsia="宋体" w:cs="宋体"/>
          <w:sz w:val="24"/>
          <w:szCs w:val="24"/>
        </w:rPr>
        <w:t>长期（一学年）：形成可复制的军事化管理特色模式；在完成初二年级本职工作基础上，协助初一、初三年级开展秩序维护、队列训练等工作，辐射带动全校管理水平提升。</w:t>
      </w:r>
    </w:p>
    <w:p w14:paraId="30A8CD10">
      <w:pPr>
        <w:keepNext w:val="0"/>
        <w:keepLines w:val="0"/>
        <w:pageBreakBefore w:val="0"/>
        <w:widowControl w:val="0"/>
        <w:spacing w:line="4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核心工作内容</w:t>
      </w:r>
    </w:p>
    <w:p w14:paraId="3A10458D">
      <w:pPr>
        <w:keepNext w:val="0"/>
        <w:keepLines w:val="0"/>
        <w:pageBreakBefore w:val="0"/>
        <w:widowControl w:val="0"/>
        <w:numPr>
          <w:ilvl w:val="0"/>
          <w:numId w:val="0"/>
        </w:num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（一）校园礼仪教学</w:t>
      </w:r>
    </w:p>
    <w:p w14:paraId="6F773133">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面向初二年级全体学生开设常态化礼仪课程，每周每班固定课时，内容涵盖仪容仪表、课堂礼仪、师生交往、集会就餐、课间言行等校园通用礼仪。采用理论讲解+示范实操+现场纠错模式，摒弃生硬说教，结合学生日常问题</w:t>
      </w:r>
      <w:r>
        <w:rPr>
          <w:rFonts w:hint="eastAsia" w:ascii="宋体" w:hAnsi="宋体" w:eastAsia="宋体" w:cs="宋体"/>
          <w:sz w:val="24"/>
          <w:szCs w:val="24"/>
          <w:lang w:val="en-US" w:eastAsia="zh-CN"/>
        </w:rPr>
        <w:t>作</w:t>
      </w:r>
      <w:r>
        <w:rPr>
          <w:rFonts w:hint="eastAsia" w:ascii="宋体" w:hAnsi="宋体" w:eastAsia="宋体" w:cs="宋体"/>
          <w:sz w:val="24"/>
          <w:szCs w:val="24"/>
        </w:rPr>
        <w:t>针对性教学。课程表现、礼仪规范落实情况纳入学生综合素质评价。</w:t>
      </w:r>
    </w:p>
    <w:p w14:paraId="114668AA">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（二）日常班级与校园管理</w:t>
      </w:r>
    </w:p>
    <w:p w14:paraId="1391FAA5">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5名教官分片对接各班，配合班主任实现全时段管理：晨间检查到校情况、仪容仪表，组织列队集合；课间分区巡查，制止追逐打闹、大声喧哗等危险违纪行为；维护课堂、两操、升旗仪式、年级集会秩序，做到队伍快、静、齐；全程管控食堂就餐、午休、放学时段秩序，杜绝喧哗、浪费、校外聚集等问题，全方位压实常规管理。</w:t>
      </w:r>
    </w:p>
    <w:p w14:paraId="2C883A43">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（三）常态化军事训练</w:t>
      </w:r>
    </w:p>
    <w:p w14:paraId="2B4C3AB4">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利用早读前、大课间、课后延时等课余时间开展训练，不占用文化课。</w:t>
      </w:r>
      <w:r>
        <w:rPr>
          <w:rFonts w:hint="eastAsia" w:ascii="宋体" w:hAnsi="宋体" w:eastAsia="宋体" w:cs="宋体"/>
          <w:sz w:val="24"/>
          <w:szCs w:val="24"/>
          <w:lang w:val="en-US" w:eastAsia="zh-CN"/>
        </w:rPr>
        <w:t>常态</w:t>
      </w:r>
      <w:r>
        <w:rPr>
          <w:rFonts w:hint="eastAsia" w:ascii="宋体" w:hAnsi="宋体" w:eastAsia="宋体" w:cs="宋体"/>
          <w:sz w:val="24"/>
          <w:szCs w:val="24"/>
        </w:rPr>
        <w:t>开展基础队列训练，内容包括立正、稍息、转体、敬礼、齐步、跑步等，锤炼纪律性；每周安排2次集中体能训练，强化学生身体素质与意志品质；每月组织队列小会操，每学期开展军训成果展示，以赛促练，巩固训练成效。</w:t>
      </w:r>
    </w:p>
    <w:p w14:paraId="08997726">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（四）分层协助管理与思想引导</w:t>
      </w:r>
    </w:p>
    <w:p w14:paraId="0A5F4849">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在本职工作完成、时间充裕时，协助初一、初三年级开展集会、文体活动秩序维护、纪律巡查及短期礼仪、队列培训。针对叛逆、纪律松散的学生，教官结合自身军旅经历，联合班主任开展一对一谈心疏导，正向引导学生树立正确价值观。</w:t>
      </w:r>
    </w:p>
    <w:p w14:paraId="4ECC7424">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（五）</w:t>
      </w:r>
      <w:r>
        <w:rPr>
          <w:rFonts w:hint="eastAsia" w:ascii="宋体" w:hAnsi="宋体" w:eastAsia="宋体" w:cs="宋体"/>
          <w:sz w:val="24"/>
          <w:szCs w:val="24"/>
        </w:rPr>
        <w:t>安全管理与应急处置</w:t>
      </w:r>
    </w:p>
    <w:p w14:paraId="35BDF69E">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训练前充分热身，根据学生体能调整强度，重点关照体弱、伤病学生，严防运动损伤。课间、楼道、校门口等重点区域加强巡查，排查踩踏、斗殴等安全隐患。同时完善应急预案，针对意外伤害、突发疾病、火灾、恶劣天气等事件，明确处置流程：第一时间控制现场、救助人员、上报校领导，配合校医、公安等部门开展处置工作，筑牢校园安全防线。</w:t>
      </w:r>
    </w:p>
    <w:p w14:paraId="2C62D8BC">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排班与课程安排</w:t>
      </w:r>
    </w:p>
    <w:p w14:paraId="53A1EB3A">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实行分组轮岗、全员在岗制度。工作日早时段全员到岗，负责晨间列队、早操与仪容检查；日间分两组，一组开展礼仪授课、班级定点管理，一组全域巡查；课后及晚间组织军训、管控放学与晚自习纪律。周末根据学校活动、集训需求弹性到岗。礼仪课每班每周1课时，军训每日短时训练+每周集中训练相结合，时间安排兼顾教学与休息。</w:t>
      </w:r>
    </w:p>
    <w:p w14:paraId="774B868F">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四、沿河校区项目内容</w:t>
      </w:r>
    </w:p>
    <w:p w14:paraId="7808DC4E">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1.上课</w:t>
      </w:r>
    </w:p>
    <w:p w14:paraId="41591713">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主要内容：</w:t>
      </w:r>
    </w:p>
    <w:p w14:paraId="7260F6F6">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 xml:space="preserve"> (一)军事体育</w:t>
      </w:r>
    </w:p>
    <w:p w14:paraId="04C6D5A7">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(二)国防教育</w:t>
      </w:r>
    </w:p>
    <w:p w14:paraId="5DD9F160">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(三)早晚自习</w:t>
      </w:r>
    </w:p>
    <w:p w14:paraId="1D478ED9">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2.班级管理</w:t>
      </w:r>
    </w:p>
    <w:p w14:paraId="2BBC64F3">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(一)早中晚跑操</w:t>
      </w:r>
    </w:p>
    <w:p w14:paraId="419528BE">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(二)组织开饭</w:t>
      </w:r>
    </w:p>
    <w:p w14:paraId="065DFFF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(三)班级日常工作的安排与管理</w:t>
      </w:r>
    </w:p>
    <w:p w14:paraId="7459C40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(四)完成学校的各项工作任务和活动安排</w:t>
      </w:r>
    </w:p>
    <w:p w14:paraId="1C16FE1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(五)配合班级课任老师做好教学进程安排</w:t>
      </w:r>
    </w:p>
    <w:p w14:paraId="32C319B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(六)组织学习及丰富学生的课外活动</w:t>
      </w:r>
    </w:p>
    <w:p w14:paraId="79C72066">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(七)卫生打扫</w:t>
      </w:r>
    </w:p>
    <w:p w14:paraId="16886EDC">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(八)对每个学生的情况做到“一口清”</w:t>
      </w:r>
    </w:p>
    <w:p w14:paraId="7B3D7967">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(九)班级学生安全隐患排查</w:t>
      </w:r>
    </w:p>
    <w:p w14:paraId="665019D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(十)与学生开展谈心谈话，关心学生生活、学习，有问题及时向指导中心及时反映</w:t>
      </w:r>
    </w:p>
    <w:p w14:paraId="2DDFDD46">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3.学生的日常管理</w:t>
      </w:r>
    </w:p>
    <w:p w14:paraId="2C7BC50E">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(一)准军事化训练</w:t>
      </w:r>
    </w:p>
    <w:p w14:paraId="3D6B80C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(二)学生日常行为习惯培养</w:t>
      </w:r>
    </w:p>
    <w:p w14:paraId="4C3E1519">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(三)日常自由活动时间学生的管理</w:t>
      </w:r>
    </w:p>
    <w:p w14:paraId="6320D0F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(四) 国防教育、劳动教育</w:t>
      </w:r>
    </w:p>
    <w:p w14:paraId="66740DD7">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(五) 预防校园欺凌</w:t>
      </w:r>
    </w:p>
    <w:p w14:paraId="317772C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4.宿舍内务整理查及管理</w:t>
      </w:r>
    </w:p>
    <w:p w14:paraId="06A5F032">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(一)宿舍卫生、内务整理指导</w:t>
      </w:r>
    </w:p>
    <w:p w14:paraId="2F93487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(二)宿舍安全隐患排查</w:t>
      </w:r>
    </w:p>
    <w:p w14:paraId="67E295C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(三)每天宿舍内务卫生检查及公布</w:t>
      </w:r>
    </w:p>
    <w:p w14:paraId="3F1EB9AB">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5.宿舍晚间查寝</w:t>
      </w:r>
    </w:p>
    <w:p w14:paraId="48D92B5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(一)熄灯前宿舍人员清点</w:t>
      </w:r>
    </w:p>
    <w:p w14:paraId="7B333E58">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(二)熄灯后宿舍就寝管理，检查学生是否违规使用手机及是否按时就寝。</w:t>
      </w:r>
    </w:p>
    <w:p w14:paraId="375CE856">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(三)夜间宿舍突发情况的处理</w:t>
      </w:r>
    </w:p>
    <w:p w14:paraId="4028CF2B">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6.值班巡查机制</w:t>
      </w:r>
    </w:p>
    <w:p w14:paraId="29BB2FE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(一)日常巡查任务：</w:t>
      </w:r>
    </w:p>
    <w:p w14:paraId="76FA9373">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清晨巡查学生起床情况，督促学生按时起床整理内务</w:t>
      </w:r>
    </w:p>
    <w:p w14:paraId="0AD84660">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早读课期间监督卫生打扫</w:t>
      </w:r>
    </w:p>
    <w:p w14:paraId="19F51B17">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晚间熄灯时检查学生遵守熄灯规定情况</w:t>
      </w:r>
    </w:p>
    <w:p w14:paraId="25A5D975">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夜间值班巡逻</w:t>
      </w:r>
    </w:p>
    <w:p w14:paraId="1B2A85BC">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晚自习时段巡查</w:t>
      </w:r>
    </w:p>
    <w:p w14:paraId="30AA4AA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 xml:space="preserve"> (二)课间纪律管控：</w:t>
      </w:r>
    </w:p>
    <w:p w14:paraId="178A1D39">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检查学生仪容仪表与着装是否符合规范</w:t>
      </w:r>
    </w:p>
    <w:p w14:paraId="76E84E44">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巡查课间校园纪律，纠正学生不良行为</w:t>
      </w:r>
    </w:p>
    <w:p w14:paraId="2BC28C8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检查学生吸烟和手机使用情况</w:t>
      </w:r>
    </w:p>
    <w:p w14:paraId="1B8B553B">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对课间及上课时段进行全面巡查，处理突发事件</w:t>
      </w:r>
    </w:p>
    <w:p w14:paraId="5A2CC54A">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7.工作时间节点与人员安排</w:t>
      </w:r>
    </w:p>
    <w:p w14:paraId="4158D471">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（一）教学时段</w:t>
      </w:r>
    </w:p>
    <w:p w14:paraId="529EE473">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每节课时长 40 分钟。</w:t>
      </w:r>
    </w:p>
    <w:p w14:paraId="32D82632">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（二）日常巡查安排</w:t>
      </w:r>
    </w:p>
    <w:p w14:paraId="161CB00E">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①课间巡查：每课间每层楼不少于2名教官巡查，分区负责各楼层课间秩序维护，保障课间 10 分钟安全有序。</w:t>
      </w:r>
    </w:p>
    <w:p w14:paraId="6DEBEDA6">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②社团活动巡查：每次 2 名教官，巡查时长 1 小时，维护社团活动秩序。</w:t>
      </w:r>
    </w:p>
    <w:p w14:paraId="3424416D">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③中午午休巡查：每次1名教官，巡查时间 2 小时，确保学生午休纪律。</w:t>
      </w:r>
    </w:p>
    <w:p w14:paraId="7451C840">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④晚间巡查：每次2名教官，每次巡查2个小时，确保学生晚间自习及课间秩序。</w:t>
      </w:r>
    </w:p>
    <w:p w14:paraId="1CE59B49">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⑤ 晚就寝值班巡查：每次1名教官，每次巡查1个小时左右。</w:t>
      </w:r>
    </w:p>
    <w:p w14:paraId="29F379A4">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⑥早上宿舍检查：每次1名教官，耗时 50 分钟，检查宿舍内务与安全。</w:t>
      </w:r>
    </w:p>
    <w:p w14:paraId="605BB977">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⑦宿舍违禁物品检查：每周一学生入校前，安排2名教官参与学生违禁物品检查，检查时间1.5个小时，杜绝违禁物品进入实践基地，每个月不定期安排2名教官检查学生宿舍和教室，检查时间 1 小时，排查违禁物品。</w:t>
      </w:r>
    </w:p>
    <w:p w14:paraId="5939A79C">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（三）特殊时段安排</w:t>
      </w:r>
    </w:p>
    <w:p w14:paraId="7C9AE998">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①晚上留校值班：全体教官均需留校参与夜间值班，保障夜间安全。</w:t>
      </w:r>
    </w:p>
    <w:p w14:paraId="34F76CD0">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② 早中晚出操：每次2名教官带领学生出操，时长 40分钟。</w:t>
      </w:r>
    </w:p>
    <w:p w14:paraId="07ABDC0C">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③随时进行学生人数清点核对。</w:t>
      </w:r>
    </w:p>
    <w:p w14:paraId="389166DB">
      <w:pPr>
        <w:spacing w:line="360" w:lineRule="auto"/>
        <w:ind w:firstLine="480"/>
        <w:rPr>
          <w:rFonts w:hint="eastAsia" w:ascii="宋体" w:hAnsi="宋体" w:eastAsia="宋体" w:cs="宋体"/>
          <w:bCs/>
          <w:iCs/>
          <w:sz w:val="24"/>
          <w:szCs w:val="24"/>
          <w:lang w:val="en-US" w:eastAsia="zh-CN"/>
        </w:rPr>
      </w:pPr>
      <w:r>
        <w:rPr>
          <w:rFonts w:hint="eastAsia" w:ascii="宋体" w:hAnsi="宋体" w:eastAsia="宋体" w:cs="宋体"/>
          <w:bCs/>
          <w:iCs/>
          <w:sz w:val="24"/>
          <w:szCs w:val="24"/>
          <w:lang w:val="en-US" w:eastAsia="zh-CN"/>
        </w:rPr>
        <w:t>（四）就餐时段监管</w:t>
      </w:r>
    </w:p>
    <w:p w14:paraId="6BA8CA4D">
      <w:pPr>
        <w:spacing w:line="360" w:lineRule="auto"/>
        <w:ind w:firstLine="480"/>
        <w:rPr>
          <w:rFonts w:hint="eastAsia" w:ascii="宋体" w:hAnsi="宋体" w:eastAsia="宋体" w:cs="宋体"/>
          <w:sz w:val="24"/>
          <w:szCs w:val="24"/>
        </w:rPr>
      </w:pPr>
      <w:r>
        <w:rPr>
          <w:rFonts w:hint="eastAsia" w:ascii="宋体" w:hAnsi="宋体" w:eastAsia="宋体" w:cs="宋体"/>
          <w:bCs/>
          <w:iCs/>
          <w:sz w:val="24"/>
          <w:szCs w:val="24"/>
          <w:lang w:val="en-US" w:eastAsia="zh-CN"/>
        </w:rPr>
        <w:t>开饭前、开饭时及开饭后均安排教官全程跟随学生，维护就餐秩序与学生安全。</w:t>
      </w:r>
    </w:p>
    <w:p w14:paraId="4418964F">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五</w:t>
      </w:r>
      <w:r>
        <w:rPr>
          <w:rFonts w:hint="eastAsia" w:ascii="宋体" w:hAnsi="宋体" w:eastAsia="宋体" w:cs="宋体"/>
          <w:bCs/>
          <w:iCs/>
          <w:sz w:val="24"/>
          <w:szCs w:val="24"/>
        </w:rPr>
        <w:t>、招标要求：</w:t>
      </w:r>
    </w:p>
    <w:p w14:paraId="4E3FC444">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1</w:t>
      </w:r>
      <w:r>
        <w:rPr>
          <w:rFonts w:hint="eastAsia" w:ascii="宋体" w:hAnsi="宋体" w:eastAsia="宋体" w:cs="宋体"/>
          <w:bCs/>
          <w:iCs/>
          <w:sz w:val="24"/>
          <w:szCs w:val="24"/>
          <w:lang w:val="en-US" w:eastAsia="zh-CN"/>
        </w:rPr>
        <w:t>.</w:t>
      </w:r>
      <w:r>
        <w:rPr>
          <w:rFonts w:hint="eastAsia" w:ascii="宋体" w:hAnsi="宋体" w:eastAsia="宋体" w:cs="宋体"/>
          <w:bCs/>
          <w:iCs/>
          <w:sz w:val="24"/>
          <w:szCs w:val="24"/>
        </w:rPr>
        <w:t>项目组人员不得随意更换，如有特殊需要，向采购人申请，待采购人同意后更换不低于原项目人员同等资质和能力的人员。</w:t>
      </w:r>
    </w:p>
    <w:p w14:paraId="5AE8E2C7">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2</w:t>
      </w:r>
      <w:r>
        <w:rPr>
          <w:rFonts w:hint="eastAsia" w:ascii="宋体" w:hAnsi="宋体" w:eastAsia="宋体" w:cs="宋体"/>
          <w:bCs/>
          <w:iCs/>
          <w:sz w:val="24"/>
          <w:szCs w:val="24"/>
          <w:lang w:val="en-US" w:eastAsia="zh-CN"/>
        </w:rPr>
        <w:t>.</w:t>
      </w:r>
      <w:r>
        <w:rPr>
          <w:rFonts w:hint="eastAsia" w:ascii="宋体" w:hAnsi="宋体" w:eastAsia="宋体" w:cs="宋体"/>
          <w:bCs/>
          <w:iCs/>
          <w:sz w:val="24"/>
          <w:szCs w:val="24"/>
        </w:rPr>
        <w:t>成交后采购人须对项目组人员进行考核，对考核不合格人员，有权要求成交单位更换项目人员。</w:t>
      </w:r>
    </w:p>
    <w:p w14:paraId="265F4E3F">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3</w:t>
      </w:r>
      <w:r>
        <w:rPr>
          <w:rFonts w:hint="eastAsia" w:ascii="宋体" w:hAnsi="宋体" w:eastAsia="宋体" w:cs="宋体"/>
          <w:bCs/>
          <w:iCs/>
          <w:sz w:val="24"/>
          <w:szCs w:val="24"/>
          <w:lang w:val="en-US" w:eastAsia="zh-CN"/>
        </w:rPr>
        <w:t>.</w:t>
      </w:r>
      <w:r>
        <w:rPr>
          <w:rFonts w:hint="eastAsia" w:ascii="宋体" w:hAnsi="宋体" w:eastAsia="宋体" w:cs="宋体"/>
          <w:bCs/>
          <w:iCs/>
          <w:sz w:val="24"/>
          <w:szCs w:val="24"/>
        </w:rPr>
        <w:t>学校日常工作日采取全封闭式管理，值班项目人员不得外出，校方提供食宿，非项目人员不提供食宿。</w:t>
      </w:r>
    </w:p>
    <w:p w14:paraId="0420159E">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4</w:t>
      </w:r>
      <w:r>
        <w:rPr>
          <w:rFonts w:hint="eastAsia" w:ascii="宋体" w:hAnsi="宋体" w:eastAsia="宋体" w:cs="宋体"/>
          <w:bCs/>
          <w:iCs/>
          <w:sz w:val="24"/>
          <w:szCs w:val="24"/>
          <w:lang w:val="en-US" w:eastAsia="zh-CN"/>
        </w:rPr>
        <w:t>.</w:t>
      </w:r>
      <w:r>
        <w:rPr>
          <w:rFonts w:hint="eastAsia" w:ascii="宋体" w:hAnsi="宋体" w:eastAsia="宋体" w:cs="宋体"/>
          <w:bCs/>
          <w:iCs/>
          <w:sz w:val="24"/>
          <w:szCs w:val="24"/>
        </w:rPr>
        <w:t>成交人需对项目组人员提供统一着装（军人制式服装）。</w:t>
      </w:r>
    </w:p>
    <w:p w14:paraId="07DC082F">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六</w:t>
      </w:r>
      <w:r>
        <w:rPr>
          <w:rFonts w:hint="eastAsia" w:ascii="宋体" w:hAnsi="宋体" w:eastAsia="宋体" w:cs="宋体"/>
          <w:bCs/>
          <w:iCs/>
          <w:sz w:val="24"/>
          <w:szCs w:val="24"/>
        </w:rPr>
        <w:t>、考核方案</w:t>
      </w:r>
    </w:p>
    <w:p w14:paraId="06A82866">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rPr>
        <w:t>为进一步强化退役军人管理，加强班风、校风建设，调动退役军人工作积极性和主动性，激励创造性地开展各类管理工作，从而提高管理工作水平，特制定本考核方案。</w:t>
      </w:r>
    </w:p>
    <w:p w14:paraId="7A100000">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1.</w:t>
      </w:r>
      <w:r>
        <w:rPr>
          <w:rFonts w:hint="eastAsia" w:ascii="宋体" w:hAnsi="宋体" w:eastAsia="宋体" w:cs="宋体"/>
          <w:bCs/>
          <w:iCs/>
          <w:sz w:val="24"/>
          <w:szCs w:val="24"/>
        </w:rPr>
        <w:t>日常管理：教官严格遵守学校考勤制度，着装规范、言行得体，树立军人良好形象，服从各项工作安排。</w:t>
      </w:r>
    </w:p>
    <w:p w14:paraId="0B338C7D">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2.</w:t>
      </w:r>
      <w:r>
        <w:rPr>
          <w:rFonts w:hint="eastAsia" w:ascii="宋体" w:hAnsi="宋体" w:eastAsia="宋体" w:cs="宋体"/>
          <w:bCs/>
          <w:iCs/>
          <w:sz w:val="24"/>
          <w:szCs w:val="24"/>
        </w:rPr>
        <w:t>考核体系：实行月度+年度综合考核，月度考核包含岗位职责完成度（40分）、工作作风与考勤（30分）、师生评价（30分）；年度结合月度成绩、专项工作表现综合评定，分为优秀、合格、不合格。考核优秀者优先续聘，不合格者按规定解除聘用。</w:t>
      </w:r>
    </w:p>
    <w:p w14:paraId="0BE6186C">
      <w:pPr>
        <w:keepNext w:val="0"/>
        <w:keepLines w:val="0"/>
        <w:pageBreakBefore w:val="0"/>
        <w:widowControl w:val="0"/>
        <w:spacing w:line="400" w:lineRule="exact"/>
        <w:ind w:firstLine="480"/>
        <w:rPr>
          <w:rFonts w:hint="eastAsia" w:ascii="宋体" w:hAnsi="宋体" w:eastAsia="宋体" w:cs="宋体"/>
          <w:bCs/>
          <w:iCs/>
          <w:sz w:val="24"/>
          <w:szCs w:val="24"/>
        </w:rPr>
      </w:pPr>
      <w:r>
        <w:rPr>
          <w:rFonts w:hint="eastAsia" w:ascii="宋体" w:hAnsi="宋体" w:eastAsia="宋体" w:cs="宋体"/>
          <w:bCs/>
          <w:iCs/>
          <w:sz w:val="24"/>
          <w:szCs w:val="24"/>
          <w:lang w:val="en-US" w:eastAsia="zh-CN"/>
        </w:rPr>
        <w:t>3.</w:t>
      </w:r>
      <w:r>
        <w:rPr>
          <w:rFonts w:hint="eastAsia" w:ascii="宋体" w:hAnsi="宋体" w:eastAsia="宋体" w:cs="宋体"/>
          <w:bCs/>
          <w:iCs/>
          <w:sz w:val="24"/>
          <w:szCs w:val="24"/>
        </w:rPr>
        <w:t>奖惩机制：设立月度、年度优秀教官奖励，对失职、违规人员依规处理。</w:t>
      </w:r>
    </w:p>
    <w:p w14:paraId="05143A68">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七</w:t>
      </w:r>
      <w:r>
        <w:rPr>
          <w:rFonts w:hint="eastAsia" w:ascii="宋体" w:hAnsi="宋体" w:eastAsia="宋体" w:cs="宋体"/>
          <w:bCs/>
          <w:iCs/>
          <w:sz w:val="24"/>
          <w:szCs w:val="24"/>
        </w:rPr>
        <w:t>、服务期限：一年</w:t>
      </w:r>
    </w:p>
    <w:p w14:paraId="20AC5327">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八</w:t>
      </w:r>
      <w:r>
        <w:rPr>
          <w:rFonts w:hint="eastAsia" w:ascii="宋体" w:hAnsi="宋体" w:eastAsia="宋体" w:cs="宋体"/>
          <w:bCs/>
          <w:iCs/>
          <w:sz w:val="24"/>
          <w:szCs w:val="24"/>
        </w:rPr>
        <w:t>、付款方式：</w:t>
      </w:r>
    </w:p>
    <w:p w14:paraId="18C36124">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合同签订后，乙方向甲方开具发票，甲方自收到发票后10个工作日内支付乙方合同总价的30%预付款。采购人以合同总价按月平均支付（从第一个月末开始付款时，进行预付款抵扣），具体为服务满一个月后，乙方向甲方开具发票，甲方自收到发票后的10个工作日内由采购人支付上个月的合同款。</w:t>
      </w:r>
    </w:p>
    <w:p w14:paraId="0F7016B2">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lang w:eastAsia="zh-CN"/>
        </w:rPr>
        <w:t>九</w:t>
      </w:r>
      <w:r>
        <w:rPr>
          <w:rFonts w:hint="eastAsia" w:ascii="宋体" w:hAnsi="宋体" w:eastAsia="宋体" w:cs="宋体"/>
          <w:bCs/>
          <w:iCs/>
          <w:sz w:val="24"/>
          <w:szCs w:val="24"/>
        </w:rPr>
        <w:t>、安全责任：</w:t>
      </w:r>
    </w:p>
    <w:p w14:paraId="40AD3FF0">
      <w:pPr>
        <w:spacing w:line="360" w:lineRule="auto"/>
        <w:ind w:firstLine="480"/>
        <w:rPr>
          <w:rFonts w:hint="eastAsia" w:ascii="宋体" w:hAnsi="宋体" w:eastAsia="宋体" w:cs="宋体"/>
          <w:bCs/>
          <w:iCs/>
          <w:sz w:val="24"/>
          <w:szCs w:val="24"/>
        </w:rPr>
      </w:pPr>
      <w:r>
        <w:rPr>
          <w:rFonts w:hint="eastAsia" w:ascii="宋体" w:hAnsi="宋体" w:eastAsia="宋体" w:cs="宋体"/>
          <w:bCs/>
          <w:iCs/>
          <w:sz w:val="24"/>
          <w:szCs w:val="24"/>
        </w:rPr>
        <w:t>成交人在合同执行期间实施本项目的一切安全责任由成交人自行负责和承担。</w:t>
      </w:r>
    </w:p>
    <w:p w14:paraId="79612EE2">
      <w:pPr>
        <w:spacing w:line="360" w:lineRule="auto"/>
        <w:ind w:firstLine="400"/>
        <w:jc w:val="both"/>
        <w:rPr>
          <w:rFonts w:hint="eastAsia" w:ascii="宋体" w:hAnsi="宋体" w:eastAsia="宋体" w:cs="宋体"/>
          <w:color w:val="FF0000"/>
        </w:rPr>
      </w:pPr>
    </w:p>
    <w:p w14:paraId="3D7E7DD9">
      <w:pPr>
        <w:spacing w:line="360" w:lineRule="auto"/>
        <w:ind w:firstLine="400"/>
        <w:jc w:val="both"/>
        <w:rPr>
          <w:rFonts w:ascii="宋体" w:hAnsi="宋体" w:cs="宋体"/>
        </w:rPr>
      </w:pPr>
    </w:p>
    <w:p w14:paraId="5004FE38">
      <w:pPr>
        <w:spacing w:line="360" w:lineRule="auto"/>
        <w:jc w:val="both"/>
      </w:pPr>
    </w:p>
    <w:p w14:paraId="60A12320">
      <w:pPr>
        <w:pStyle w:val="2"/>
        <w:jc w:val="center"/>
        <w:rPr>
          <w:rFonts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t>第五章 评标方法及评标标准</w:t>
      </w:r>
      <w:bookmarkEnd w:id="125"/>
    </w:p>
    <w:p w14:paraId="3CEE88A0">
      <w:pPr>
        <w:pStyle w:val="224"/>
        <w:ind w:firstLine="422"/>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一、评标方法</w:t>
      </w:r>
    </w:p>
    <w:p w14:paraId="12F1E82D">
      <w:pPr>
        <w:pStyle w:val="224"/>
        <w:ind w:firstLine="420"/>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F3403A3">
      <w:pPr>
        <w:spacing w:line="360" w:lineRule="auto"/>
        <w:ind w:firstLine="422"/>
        <w:rPr>
          <w:rFonts w:ascii="宋体" w:hAnsi="宋体"/>
          <w:b/>
          <w:color w:val="000000" w:themeColor="text1"/>
          <w:szCs w:val="21"/>
          <w14:textFill>
            <w14:solidFill>
              <w14:schemeClr w14:val="tx1"/>
            </w14:solidFill>
          </w14:textFill>
        </w:rPr>
      </w:pPr>
      <w:bookmarkStart w:id="127" w:name="_Toc449017024"/>
      <w:bookmarkStart w:id="128" w:name="_Toc449016388"/>
      <w:r>
        <w:rPr>
          <w:rFonts w:ascii="宋体" w:hAnsi="宋体"/>
          <w:b/>
          <w:color w:val="000000" w:themeColor="text1"/>
          <w:szCs w:val="21"/>
          <w14:textFill>
            <w14:solidFill>
              <w14:schemeClr w14:val="tx1"/>
            </w14:solidFill>
          </w14:textFill>
        </w:rPr>
        <w:t>二、</w:t>
      </w:r>
      <w:bookmarkEnd w:id="127"/>
      <w:bookmarkEnd w:id="128"/>
      <w:r>
        <w:rPr>
          <w:rFonts w:hint="eastAsia" w:ascii="宋体" w:hAnsi="宋体"/>
          <w:b/>
          <w:color w:val="000000" w:themeColor="text1"/>
          <w:szCs w:val="21"/>
          <w14:textFill>
            <w14:solidFill>
              <w14:schemeClr w14:val="tx1"/>
            </w14:solidFill>
          </w14:textFill>
        </w:rPr>
        <w:t>政府采购政策功能落实</w:t>
      </w:r>
    </w:p>
    <w:p w14:paraId="1B47E33B">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51C65945">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1、本项目专门面向中小企业采购</w:t>
      </w:r>
    </w:p>
    <w:p w14:paraId="61ECF854">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（1）供应商需按照采购文件的要求提供相应的《中小企业声明函》，《中小企业声明函》不符合要求或未提供的，投标文件无效。</w:t>
      </w:r>
    </w:p>
    <w:p w14:paraId="48BD6CF5">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（2）企业标准请参照《关于印发中小企业划型标准规定的通知》（工信部联企业[2011]300号）文件规定自行填写。</w:t>
      </w:r>
    </w:p>
    <w:p w14:paraId="102014CD">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2、残疾人福利单位价格扣除</w:t>
      </w:r>
    </w:p>
    <w:p w14:paraId="67E6FE80">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（1）残疾人福利性单位视同小型、微型企业。</w:t>
      </w:r>
    </w:p>
    <w:p w14:paraId="1F3D386C">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（2）残疾人福利单位需按照采购文件的要求提供《残疾人福利性单位声明函》。</w:t>
      </w:r>
    </w:p>
    <w:p w14:paraId="2A40F7E5">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（3）残疾人福利单位标准请参照《关于促进残疾人就业政府采购政策的通知》（财库〔2017〕141 号）。</w:t>
      </w:r>
    </w:p>
    <w:p w14:paraId="424C6796">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3、监狱和戒毒企业价格扣除</w:t>
      </w:r>
    </w:p>
    <w:p w14:paraId="082846B6">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（1）监狱和戒毒企业（简称监狱企业）视同小型、微型企业。</w:t>
      </w:r>
    </w:p>
    <w:p w14:paraId="108F3FA7">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5E47F2BA">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（3）监狱企业标准请参照《关于政府采购支持监狱企业发展有关问题的通知》（财库[2014]68 号）。</w:t>
      </w:r>
    </w:p>
    <w:p w14:paraId="6B587CA2">
      <w:pPr>
        <w:pStyle w:val="224"/>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4、残疾人福利单位、监狱企业属于小型、微型企业的，不重复享受政策。</w:t>
      </w:r>
    </w:p>
    <w:p w14:paraId="16698C55">
      <w:pPr>
        <w:pStyle w:val="2"/>
        <w:keepNext/>
        <w:keepLines/>
        <w:pageBreakBefore/>
        <w:widowControl w:val="0"/>
        <w:spacing w:line="579" w:lineRule="auto"/>
        <w:jc w:val="center"/>
        <w:rPr>
          <w:rFonts w:ascii="宋体" w:hAnsi="宋体"/>
          <w:color w:val="000000" w:themeColor="text1"/>
          <w:sz w:val="36"/>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三、评标标准</w:t>
      </w:r>
    </w:p>
    <w:tbl>
      <w:tblPr>
        <w:tblStyle w:val="49"/>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86"/>
        <w:gridCol w:w="7491"/>
        <w:gridCol w:w="572"/>
      </w:tblGrid>
      <w:tr w14:paraId="75D0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C5D3C5A">
            <w:pPr>
              <w:jc w:val="both"/>
              <w:rPr>
                <w:rFonts w:hint="eastAsia"/>
                <w:sz w:val="21"/>
                <w:szCs w:val="21"/>
              </w:rPr>
            </w:pPr>
            <w:bookmarkStart w:id="129" w:name="gpc_score_horizontal_1"/>
            <w:r>
              <w:rPr>
                <w:rFonts w:hint="eastAsia"/>
                <w:sz w:val="21"/>
                <w:szCs w:val="21"/>
              </w:rPr>
              <w:t>评审类 别</w:t>
            </w:r>
          </w:p>
        </w:tc>
        <w:tc>
          <w:tcPr>
            <w:tcW w:w="1486" w:type="dxa"/>
            <w:noWrap w:val="0"/>
            <w:vAlign w:val="center"/>
          </w:tcPr>
          <w:p w14:paraId="750263AC">
            <w:pPr>
              <w:jc w:val="both"/>
              <w:rPr>
                <w:rFonts w:hint="eastAsia"/>
                <w:sz w:val="21"/>
                <w:szCs w:val="21"/>
              </w:rPr>
            </w:pPr>
            <w:r>
              <w:rPr>
                <w:rFonts w:hint="eastAsia"/>
                <w:sz w:val="21"/>
                <w:szCs w:val="21"/>
              </w:rPr>
              <w:t>评审项</w:t>
            </w:r>
          </w:p>
        </w:tc>
        <w:tc>
          <w:tcPr>
            <w:tcW w:w="7491" w:type="dxa"/>
            <w:noWrap w:val="0"/>
            <w:vAlign w:val="center"/>
          </w:tcPr>
          <w:p w14:paraId="239700B7">
            <w:pPr>
              <w:jc w:val="both"/>
              <w:rPr>
                <w:rFonts w:hint="eastAsia"/>
                <w:sz w:val="21"/>
                <w:szCs w:val="21"/>
              </w:rPr>
            </w:pPr>
            <w:r>
              <w:rPr>
                <w:rFonts w:hint="eastAsia"/>
                <w:sz w:val="21"/>
                <w:szCs w:val="21"/>
              </w:rPr>
              <w:t>评审规则</w:t>
            </w:r>
          </w:p>
        </w:tc>
        <w:tc>
          <w:tcPr>
            <w:tcW w:w="572" w:type="dxa"/>
            <w:noWrap w:val="0"/>
            <w:vAlign w:val="center"/>
          </w:tcPr>
          <w:p w14:paraId="33E52389">
            <w:pPr>
              <w:jc w:val="both"/>
              <w:rPr>
                <w:rFonts w:hint="eastAsia"/>
                <w:sz w:val="21"/>
                <w:szCs w:val="21"/>
              </w:rPr>
            </w:pPr>
            <w:r>
              <w:rPr>
                <w:rFonts w:hint="eastAsia"/>
                <w:sz w:val="21"/>
                <w:szCs w:val="21"/>
              </w:rPr>
              <w:t>分值</w:t>
            </w:r>
          </w:p>
        </w:tc>
      </w:tr>
      <w:tr w14:paraId="34A6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687" w:type="dxa"/>
            <w:noWrap w:val="0"/>
            <w:vAlign w:val="center"/>
          </w:tcPr>
          <w:p w14:paraId="294AF0F8">
            <w:pPr>
              <w:jc w:val="both"/>
              <w:rPr>
                <w:rFonts w:hint="eastAsia"/>
                <w:sz w:val="21"/>
                <w:szCs w:val="21"/>
              </w:rPr>
            </w:pPr>
          </w:p>
          <w:p w14:paraId="244FDB69">
            <w:pPr>
              <w:jc w:val="both"/>
              <w:rPr>
                <w:rFonts w:hint="eastAsia"/>
                <w:sz w:val="21"/>
                <w:szCs w:val="21"/>
              </w:rPr>
            </w:pPr>
          </w:p>
          <w:p w14:paraId="1919B393">
            <w:pPr>
              <w:jc w:val="both"/>
              <w:rPr>
                <w:rFonts w:hint="eastAsia"/>
                <w:sz w:val="21"/>
                <w:szCs w:val="21"/>
              </w:rPr>
            </w:pPr>
            <w:r>
              <w:rPr>
                <w:rFonts w:hint="eastAsia"/>
                <w:sz w:val="21"/>
                <w:szCs w:val="21"/>
              </w:rPr>
              <w:t>价格</w:t>
            </w:r>
          </w:p>
          <w:p w14:paraId="6AA283B9">
            <w:pPr>
              <w:jc w:val="both"/>
              <w:rPr>
                <w:rFonts w:hint="eastAsia"/>
                <w:sz w:val="21"/>
                <w:szCs w:val="21"/>
              </w:rPr>
            </w:pPr>
            <w:r>
              <w:rPr>
                <w:rFonts w:hint="eastAsia"/>
                <w:sz w:val="21"/>
                <w:szCs w:val="21"/>
              </w:rPr>
              <w:t>部分</w:t>
            </w:r>
          </w:p>
          <w:p w14:paraId="0F557C2B">
            <w:pPr>
              <w:jc w:val="both"/>
              <w:rPr>
                <w:rFonts w:hint="default" w:eastAsia="宋体"/>
                <w:sz w:val="21"/>
                <w:szCs w:val="21"/>
                <w:lang w:val="en-US" w:eastAsia="zh-CN"/>
              </w:rPr>
            </w:pPr>
            <w:r>
              <w:rPr>
                <w:rFonts w:hint="eastAsia"/>
                <w:sz w:val="21"/>
                <w:szCs w:val="21"/>
                <w:lang w:val="en-US" w:eastAsia="zh-CN"/>
              </w:rPr>
              <w:t>(20分）</w:t>
            </w:r>
          </w:p>
        </w:tc>
        <w:tc>
          <w:tcPr>
            <w:tcW w:w="1486" w:type="dxa"/>
            <w:noWrap w:val="0"/>
            <w:vAlign w:val="center"/>
          </w:tcPr>
          <w:p w14:paraId="398E9584">
            <w:pPr>
              <w:jc w:val="both"/>
              <w:rPr>
                <w:rFonts w:hint="eastAsia"/>
                <w:sz w:val="21"/>
                <w:szCs w:val="21"/>
              </w:rPr>
            </w:pPr>
          </w:p>
          <w:p w14:paraId="0529019A">
            <w:pPr>
              <w:jc w:val="both"/>
              <w:rPr>
                <w:rFonts w:hint="eastAsia"/>
                <w:sz w:val="21"/>
                <w:szCs w:val="21"/>
              </w:rPr>
            </w:pPr>
            <w:r>
              <w:rPr>
                <w:rFonts w:hint="eastAsia"/>
                <w:sz w:val="21"/>
                <w:szCs w:val="21"/>
              </w:rPr>
              <w:t>价格评审指标</w:t>
            </w:r>
          </w:p>
        </w:tc>
        <w:tc>
          <w:tcPr>
            <w:tcW w:w="7491" w:type="dxa"/>
            <w:noWrap w:val="0"/>
            <w:vAlign w:val="center"/>
          </w:tcPr>
          <w:p w14:paraId="598A5428">
            <w:pPr>
              <w:jc w:val="both"/>
              <w:rPr>
                <w:rFonts w:hint="eastAsia"/>
                <w:sz w:val="21"/>
                <w:szCs w:val="21"/>
              </w:rPr>
            </w:pPr>
            <w:r>
              <w:rPr>
                <w:rFonts w:hint="eastAsia"/>
                <w:sz w:val="21"/>
                <w:szCs w:val="21"/>
              </w:rPr>
              <w:t>1、有效投标报价：是指通过“响应文件初审”的投标人的经商务性评审后的评标总价；</w:t>
            </w:r>
          </w:p>
          <w:p w14:paraId="37A0C573">
            <w:pPr>
              <w:jc w:val="both"/>
              <w:rPr>
                <w:rFonts w:hint="eastAsia"/>
                <w:sz w:val="21"/>
                <w:szCs w:val="21"/>
              </w:rPr>
            </w:pPr>
            <w:r>
              <w:rPr>
                <w:rFonts w:hint="eastAsia"/>
                <w:sz w:val="21"/>
                <w:szCs w:val="21"/>
              </w:rPr>
              <w:t>2、评标基准价=有效投标报价中的最低投标报价；</w:t>
            </w:r>
          </w:p>
          <w:p w14:paraId="5DF3079D">
            <w:pPr>
              <w:jc w:val="both"/>
              <w:rPr>
                <w:rFonts w:hint="eastAsia"/>
                <w:sz w:val="21"/>
                <w:szCs w:val="21"/>
              </w:rPr>
            </w:pPr>
            <w:r>
              <w:rPr>
                <w:rFonts w:hint="eastAsia"/>
                <w:sz w:val="21"/>
                <w:szCs w:val="21"/>
              </w:rPr>
              <w:t>3、当投标人的评标总价等于评标基准价的得2</w:t>
            </w:r>
            <w:r>
              <w:rPr>
                <w:rFonts w:hint="eastAsia"/>
                <w:sz w:val="21"/>
                <w:szCs w:val="21"/>
                <w:lang w:val="en-US" w:eastAsia="zh-CN"/>
              </w:rPr>
              <w:t>0</w:t>
            </w:r>
            <w:r>
              <w:rPr>
                <w:rFonts w:hint="eastAsia"/>
                <w:sz w:val="21"/>
                <w:szCs w:val="21"/>
              </w:rPr>
              <w:t>分；</w:t>
            </w:r>
          </w:p>
          <w:p w14:paraId="21596060">
            <w:pPr>
              <w:jc w:val="both"/>
              <w:rPr>
                <w:rFonts w:hint="eastAsia"/>
                <w:sz w:val="21"/>
                <w:szCs w:val="21"/>
              </w:rPr>
            </w:pPr>
            <w:r>
              <w:rPr>
                <w:rFonts w:hint="eastAsia"/>
                <w:sz w:val="21"/>
                <w:szCs w:val="21"/>
              </w:rPr>
              <w:t>4、其他投标人的价格分按照下列公式计算：评标总价得分=（评标基准价/评标总价）×2</w:t>
            </w:r>
            <w:r>
              <w:rPr>
                <w:rFonts w:hint="eastAsia"/>
                <w:sz w:val="21"/>
                <w:szCs w:val="21"/>
                <w:lang w:val="en-US" w:eastAsia="zh-CN"/>
              </w:rPr>
              <w:t>0</w:t>
            </w:r>
            <w:r>
              <w:rPr>
                <w:rFonts w:hint="eastAsia"/>
                <w:sz w:val="21"/>
                <w:szCs w:val="21"/>
              </w:rPr>
              <w:t>分</w:t>
            </w:r>
          </w:p>
          <w:p w14:paraId="77208393">
            <w:pPr>
              <w:jc w:val="both"/>
              <w:rPr>
                <w:rFonts w:hint="eastAsia"/>
                <w:sz w:val="21"/>
                <w:szCs w:val="21"/>
              </w:rPr>
            </w:pPr>
            <w:r>
              <w:rPr>
                <w:rFonts w:hint="eastAsia"/>
                <w:sz w:val="21"/>
                <w:szCs w:val="21"/>
              </w:rPr>
              <w:t>（计算结果保留2位小数，第三位四舍五入）。</w:t>
            </w:r>
          </w:p>
        </w:tc>
        <w:tc>
          <w:tcPr>
            <w:tcW w:w="572" w:type="dxa"/>
            <w:noWrap w:val="0"/>
            <w:vAlign w:val="center"/>
          </w:tcPr>
          <w:p w14:paraId="1C0983E2">
            <w:pPr>
              <w:jc w:val="both"/>
              <w:rPr>
                <w:rFonts w:hint="eastAsia"/>
                <w:sz w:val="21"/>
                <w:szCs w:val="21"/>
              </w:rPr>
            </w:pPr>
            <w:r>
              <w:rPr>
                <w:rFonts w:hint="eastAsia"/>
                <w:sz w:val="21"/>
                <w:szCs w:val="21"/>
              </w:rPr>
              <w:t>2</w:t>
            </w:r>
            <w:r>
              <w:rPr>
                <w:rFonts w:hint="eastAsia"/>
                <w:sz w:val="21"/>
                <w:szCs w:val="21"/>
                <w:lang w:val="en-US" w:eastAsia="zh-CN"/>
              </w:rPr>
              <w:t>0</w:t>
            </w:r>
            <w:r>
              <w:rPr>
                <w:rFonts w:hint="eastAsia"/>
                <w:sz w:val="21"/>
                <w:szCs w:val="21"/>
              </w:rPr>
              <w:t>分</w:t>
            </w:r>
          </w:p>
        </w:tc>
      </w:tr>
      <w:tr w14:paraId="5015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vMerge w:val="restart"/>
            <w:noWrap w:val="0"/>
            <w:vAlign w:val="center"/>
          </w:tcPr>
          <w:p w14:paraId="04DEE653">
            <w:pPr>
              <w:jc w:val="both"/>
              <w:rPr>
                <w:rFonts w:hint="eastAsia"/>
                <w:sz w:val="21"/>
                <w:szCs w:val="21"/>
              </w:rPr>
            </w:pPr>
          </w:p>
          <w:p w14:paraId="428D394D">
            <w:pPr>
              <w:jc w:val="both"/>
              <w:rPr>
                <w:rFonts w:hint="eastAsia"/>
                <w:sz w:val="21"/>
                <w:szCs w:val="21"/>
              </w:rPr>
            </w:pPr>
          </w:p>
          <w:p w14:paraId="52C619F8">
            <w:pPr>
              <w:jc w:val="both"/>
              <w:rPr>
                <w:rFonts w:hint="eastAsia"/>
                <w:sz w:val="21"/>
                <w:szCs w:val="21"/>
              </w:rPr>
            </w:pPr>
          </w:p>
          <w:p w14:paraId="0AAACA5B">
            <w:pPr>
              <w:jc w:val="both"/>
              <w:rPr>
                <w:rFonts w:hint="eastAsia"/>
                <w:sz w:val="21"/>
                <w:szCs w:val="21"/>
              </w:rPr>
            </w:pPr>
          </w:p>
          <w:p w14:paraId="3AA3A39E">
            <w:pPr>
              <w:jc w:val="both"/>
              <w:rPr>
                <w:rFonts w:hint="eastAsia"/>
                <w:sz w:val="21"/>
                <w:szCs w:val="21"/>
              </w:rPr>
            </w:pPr>
          </w:p>
          <w:p w14:paraId="546AD3B5">
            <w:pPr>
              <w:jc w:val="both"/>
              <w:rPr>
                <w:rFonts w:hint="eastAsia"/>
                <w:sz w:val="21"/>
                <w:szCs w:val="21"/>
              </w:rPr>
            </w:pPr>
          </w:p>
          <w:p w14:paraId="45A5D6B6">
            <w:pPr>
              <w:jc w:val="both"/>
              <w:rPr>
                <w:rFonts w:hint="eastAsia"/>
                <w:sz w:val="21"/>
                <w:szCs w:val="21"/>
              </w:rPr>
            </w:pPr>
          </w:p>
          <w:p w14:paraId="4164F357">
            <w:pPr>
              <w:jc w:val="both"/>
              <w:rPr>
                <w:rFonts w:hint="eastAsia"/>
                <w:sz w:val="21"/>
                <w:szCs w:val="21"/>
              </w:rPr>
            </w:pPr>
          </w:p>
          <w:p w14:paraId="0E340B76">
            <w:pPr>
              <w:jc w:val="both"/>
              <w:rPr>
                <w:rFonts w:hint="eastAsia"/>
                <w:sz w:val="21"/>
                <w:szCs w:val="21"/>
              </w:rPr>
            </w:pPr>
            <w:r>
              <w:rPr>
                <w:rFonts w:hint="eastAsia" w:ascii="宋体" w:hAnsi="宋体"/>
                <w:sz w:val="18"/>
                <w:szCs w:val="18"/>
              </w:rPr>
              <w:t>项目实施方案</w:t>
            </w:r>
          </w:p>
          <w:p w14:paraId="2687AB35">
            <w:pPr>
              <w:jc w:val="both"/>
              <w:rPr>
                <w:rFonts w:hint="eastAsia" w:eastAsia="宋体"/>
                <w:sz w:val="21"/>
                <w:szCs w:val="21"/>
                <w:lang w:eastAsia="zh-CN"/>
              </w:rPr>
            </w:pPr>
            <w:r>
              <w:rPr>
                <w:rFonts w:hint="eastAsia"/>
                <w:sz w:val="21"/>
                <w:szCs w:val="21"/>
                <w:lang w:eastAsia="zh-CN"/>
              </w:rPr>
              <w:t>（</w:t>
            </w:r>
            <w:r>
              <w:rPr>
                <w:rFonts w:hint="eastAsia"/>
                <w:sz w:val="21"/>
                <w:szCs w:val="21"/>
                <w:lang w:val="en-US" w:eastAsia="zh-CN"/>
              </w:rPr>
              <w:t>58</w:t>
            </w:r>
            <w:bookmarkStart w:id="139" w:name="_GoBack"/>
            <w:bookmarkEnd w:id="139"/>
            <w:r>
              <w:rPr>
                <w:rFonts w:hint="eastAsia"/>
                <w:sz w:val="21"/>
                <w:szCs w:val="21"/>
                <w:lang w:val="en-US" w:eastAsia="zh-CN"/>
              </w:rPr>
              <w:t>分</w:t>
            </w:r>
            <w:r>
              <w:rPr>
                <w:rFonts w:hint="eastAsia"/>
                <w:sz w:val="21"/>
                <w:szCs w:val="21"/>
                <w:lang w:eastAsia="zh-CN"/>
              </w:rPr>
              <w:t>）</w:t>
            </w:r>
          </w:p>
        </w:tc>
        <w:tc>
          <w:tcPr>
            <w:tcW w:w="1486" w:type="dxa"/>
            <w:noWrap w:val="0"/>
            <w:vAlign w:val="center"/>
          </w:tcPr>
          <w:p w14:paraId="2FFEA986">
            <w:pPr>
              <w:jc w:val="both"/>
              <w:rPr>
                <w:rFonts w:hint="eastAsia"/>
                <w:sz w:val="21"/>
                <w:szCs w:val="21"/>
              </w:rPr>
            </w:pPr>
          </w:p>
          <w:p w14:paraId="08079A95">
            <w:pPr>
              <w:jc w:val="both"/>
              <w:rPr>
                <w:rFonts w:hint="eastAsia"/>
                <w:sz w:val="21"/>
                <w:szCs w:val="21"/>
              </w:rPr>
            </w:pPr>
            <w:r>
              <w:rPr>
                <w:rFonts w:hint="eastAsia"/>
                <w:sz w:val="21"/>
                <w:szCs w:val="21"/>
              </w:rPr>
              <w:t>1、调研分析情况比较</w:t>
            </w:r>
          </w:p>
        </w:tc>
        <w:tc>
          <w:tcPr>
            <w:tcW w:w="7491" w:type="dxa"/>
            <w:shd w:val="clear" w:color="auto" w:fill="auto"/>
            <w:noWrap w:val="0"/>
            <w:vAlign w:val="center"/>
          </w:tcPr>
          <w:p w14:paraId="2D6D64B0">
            <w:pPr>
              <w:spacing w:line="300" w:lineRule="exact"/>
              <w:jc w:val="both"/>
              <w:rPr>
                <w:rFonts w:ascii="宋体" w:hAnsi="宋体"/>
                <w:sz w:val="21"/>
                <w:szCs w:val="21"/>
                <w:lang w:val="zh-CN"/>
              </w:rPr>
            </w:pPr>
            <w:r>
              <w:rPr>
                <w:rFonts w:hint="eastAsia" w:ascii="宋体" w:hAnsi="宋体"/>
                <w:sz w:val="21"/>
                <w:szCs w:val="21"/>
                <w:lang w:val="zh-CN"/>
              </w:rPr>
              <w:t>1、调研分析情况比较：学校军事化管理项目所做的前期调查分析，提供调研报告等相关证明材料。（</w:t>
            </w:r>
            <w:r>
              <w:rPr>
                <w:rFonts w:hint="eastAsia" w:ascii="宋体" w:hAnsi="宋体"/>
                <w:sz w:val="21"/>
                <w:szCs w:val="21"/>
                <w:lang w:val="en-US" w:eastAsia="zh-CN"/>
              </w:rPr>
              <w:t>8</w:t>
            </w:r>
            <w:r>
              <w:rPr>
                <w:rFonts w:hint="eastAsia" w:ascii="宋体" w:hAnsi="宋体"/>
                <w:sz w:val="21"/>
                <w:szCs w:val="21"/>
                <w:lang w:val="zh-CN"/>
              </w:rPr>
              <w:t>分）</w:t>
            </w:r>
          </w:p>
          <w:p w14:paraId="244B6E2A">
            <w:pPr>
              <w:spacing w:line="300" w:lineRule="exact"/>
              <w:jc w:val="both"/>
              <w:rPr>
                <w:rFonts w:ascii="宋体" w:hAnsi="宋体"/>
                <w:sz w:val="21"/>
                <w:szCs w:val="21"/>
                <w:lang w:val="zh-CN"/>
              </w:rPr>
            </w:pPr>
            <w:r>
              <w:rPr>
                <w:rFonts w:hint="eastAsia" w:ascii="宋体" w:hAnsi="宋体"/>
                <w:sz w:val="21"/>
                <w:szCs w:val="21"/>
                <w:lang w:val="zh-CN"/>
              </w:rPr>
              <w:t>以上方案内容全面、合理，完全响应需求的得</w:t>
            </w:r>
            <w:r>
              <w:rPr>
                <w:rFonts w:hint="eastAsia" w:ascii="宋体" w:hAnsi="宋体"/>
                <w:sz w:val="21"/>
                <w:szCs w:val="21"/>
                <w:lang w:val="en-US" w:eastAsia="zh-CN"/>
              </w:rPr>
              <w:t>8</w:t>
            </w:r>
            <w:r>
              <w:rPr>
                <w:rFonts w:hint="eastAsia" w:ascii="宋体" w:hAnsi="宋体"/>
                <w:sz w:val="21"/>
                <w:szCs w:val="21"/>
                <w:lang w:val="zh-CN"/>
              </w:rPr>
              <w:t>分；</w:t>
            </w:r>
          </w:p>
          <w:p w14:paraId="5A6F16F0">
            <w:pPr>
              <w:spacing w:line="300" w:lineRule="exact"/>
              <w:jc w:val="both"/>
              <w:rPr>
                <w:rFonts w:ascii="宋体" w:hAnsi="宋体"/>
                <w:sz w:val="21"/>
                <w:szCs w:val="21"/>
                <w:lang w:val="zh-CN"/>
              </w:rPr>
            </w:pPr>
            <w:r>
              <w:rPr>
                <w:rFonts w:hint="eastAsia" w:ascii="宋体" w:hAnsi="宋体"/>
                <w:sz w:val="21"/>
                <w:szCs w:val="21"/>
                <w:lang w:val="zh-CN"/>
              </w:rPr>
              <w:t>以上内容较全面，基本响应需求的得</w:t>
            </w:r>
            <w:r>
              <w:rPr>
                <w:rFonts w:hint="eastAsia" w:ascii="宋体" w:hAnsi="宋体"/>
                <w:sz w:val="21"/>
                <w:szCs w:val="21"/>
                <w:lang w:val="en-US" w:eastAsia="zh-CN"/>
              </w:rPr>
              <w:t>5</w:t>
            </w:r>
            <w:r>
              <w:rPr>
                <w:rFonts w:hint="eastAsia" w:ascii="宋体" w:hAnsi="宋体"/>
                <w:sz w:val="21"/>
                <w:szCs w:val="21"/>
                <w:lang w:val="zh-CN"/>
              </w:rPr>
              <w:t>分；</w:t>
            </w:r>
          </w:p>
          <w:p w14:paraId="65FB14DD">
            <w:pPr>
              <w:spacing w:line="300" w:lineRule="exact"/>
              <w:jc w:val="both"/>
              <w:rPr>
                <w:rFonts w:ascii="宋体" w:hAnsi="宋体"/>
                <w:sz w:val="21"/>
                <w:szCs w:val="21"/>
                <w:lang w:val="zh-CN"/>
              </w:rPr>
            </w:pPr>
            <w:r>
              <w:rPr>
                <w:rFonts w:hint="eastAsia" w:ascii="宋体" w:hAnsi="宋体"/>
                <w:sz w:val="21"/>
                <w:szCs w:val="21"/>
                <w:lang w:val="zh-CN"/>
              </w:rPr>
              <w:t>以上不完整，响应度低的得</w:t>
            </w:r>
            <w:r>
              <w:rPr>
                <w:rFonts w:hint="eastAsia" w:ascii="宋体" w:hAnsi="宋体"/>
                <w:sz w:val="21"/>
                <w:szCs w:val="21"/>
                <w:lang w:val="en-US" w:eastAsia="zh-CN"/>
              </w:rPr>
              <w:t>2</w:t>
            </w:r>
            <w:r>
              <w:rPr>
                <w:rFonts w:hint="eastAsia" w:ascii="宋体" w:hAnsi="宋体"/>
                <w:sz w:val="21"/>
                <w:szCs w:val="21"/>
                <w:lang w:val="zh-CN"/>
              </w:rPr>
              <w:t>分；</w:t>
            </w:r>
          </w:p>
          <w:p w14:paraId="342B52D0">
            <w:pPr>
              <w:spacing w:line="300" w:lineRule="exact"/>
              <w:jc w:val="both"/>
              <w:rPr>
                <w:rFonts w:hint="eastAsia" w:ascii="宋体" w:hAnsi="宋体" w:eastAsia="宋体" w:cs="Times New Roman"/>
                <w:sz w:val="21"/>
                <w:szCs w:val="21"/>
                <w:lang w:val="zh-CN" w:eastAsia="zh-CN" w:bidi="ar-SA"/>
              </w:rPr>
            </w:pPr>
            <w:r>
              <w:rPr>
                <w:rFonts w:hint="eastAsia" w:ascii="宋体" w:hAnsi="宋体"/>
                <w:sz w:val="21"/>
                <w:szCs w:val="21"/>
                <w:lang w:val="zh-CN"/>
              </w:rPr>
              <w:t>以上内容没有响应或未提供方案的不得分。</w:t>
            </w:r>
          </w:p>
        </w:tc>
        <w:tc>
          <w:tcPr>
            <w:tcW w:w="572" w:type="dxa"/>
            <w:noWrap w:val="0"/>
            <w:vAlign w:val="center"/>
          </w:tcPr>
          <w:p w14:paraId="11820E9D">
            <w:pPr>
              <w:jc w:val="both"/>
              <w:rPr>
                <w:rFonts w:hint="eastAsia"/>
                <w:sz w:val="21"/>
                <w:szCs w:val="21"/>
              </w:rPr>
            </w:pPr>
            <w:r>
              <w:rPr>
                <w:rFonts w:hint="eastAsia"/>
                <w:sz w:val="21"/>
                <w:szCs w:val="21"/>
                <w:lang w:val="en-US" w:eastAsia="zh-CN"/>
              </w:rPr>
              <w:t>8</w:t>
            </w:r>
            <w:r>
              <w:rPr>
                <w:rFonts w:hint="eastAsia"/>
                <w:sz w:val="21"/>
                <w:szCs w:val="21"/>
              </w:rPr>
              <w:t>分</w:t>
            </w:r>
          </w:p>
        </w:tc>
      </w:tr>
      <w:tr w14:paraId="2FD1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vMerge w:val="continue"/>
            <w:noWrap w:val="0"/>
            <w:vAlign w:val="center"/>
          </w:tcPr>
          <w:p w14:paraId="3C840232">
            <w:pPr>
              <w:jc w:val="both"/>
              <w:rPr>
                <w:rFonts w:hint="eastAsia"/>
                <w:sz w:val="21"/>
                <w:szCs w:val="21"/>
              </w:rPr>
            </w:pPr>
          </w:p>
        </w:tc>
        <w:tc>
          <w:tcPr>
            <w:tcW w:w="1486" w:type="dxa"/>
            <w:noWrap w:val="0"/>
            <w:vAlign w:val="center"/>
          </w:tcPr>
          <w:p w14:paraId="55CE1C1B">
            <w:pPr>
              <w:jc w:val="both"/>
              <w:rPr>
                <w:rFonts w:hint="eastAsia"/>
                <w:sz w:val="21"/>
                <w:szCs w:val="21"/>
              </w:rPr>
            </w:pPr>
          </w:p>
          <w:p w14:paraId="47390522">
            <w:pPr>
              <w:jc w:val="both"/>
              <w:rPr>
                <w:rFonts w:hint="eastAsia"/>
                <w:sz w:val="21"/>
                <w:szCs w:val="21"/>
              </w:rPr>
            </w:pPr>
            <w:r>
              <w:rPr>
                <w:rFonts w:hint="eastAsia"/>
                <w:sz w:val="21"/>
                <w:szCs w:val="21"/>
              </w:rPr>
              <w:t>2、安全管理</w:t>
            </w:r>
          </w:p>
        </w:tc>
        <w:tc>
          <w:tcPr>
            <w:tcW w:w="7491" w:type="dxa"/>
            <w:shd w:val="clear" w:color="auto" w:fill="auto"/>
            <w:noWrap w:val="0"/>
            <w:vAlign w:val="center"/>
          </w:tcPr>
          <w:p w14:paraId="717E64D7">
            <w:pPr>
              <w:spacing w:line="300" w:lineRule="exact"/>
              <w:jc w:val="both"/>
              <w:rPr>
                <w:rFonts w:ascii="宋体" w:hAnsi="宋体"/>
                <w:sz w:val="21"/>
                <w:szCs w:val="21"/>
                <w:lang w:val="zh-CN"/>
              </w:rPr>
            </w:pPr>
            <w:r>
              <w:rPr>
                <w:rFonts w:hint="eastAsia" w:ascii="宋体" w:hAnsi="宋体"/>
                <w:sz w:val="21"/>
                <w:szCs w:val="21"/>
                <w:lang w:val="zh-CN"/>
              </w:rPr>
              <w:t>2、安全管理：针对学生安全管理（安全教育、安全意识、安全预案），服务方案合理、可行，能体现专业能力、关键技术（</w:t>
            </w:r>
            <w:r>
              <w:rPr>
                <w:rFonts w:hint="eastAsia" w:ascii="宋体" w:hAnsi="宋体"/>
                <w:sz w:val="21"/>
                <w:szCs w:val="21"/>
                <w:lang w:val="en-US" w:eastAsia="zh-CN"/>
              </w:rPr>
              <w:t>8</w:t>
            </w:r>
            <w:r>
              <w:rPr>
                <w:rFonts w:hint="eastAsia" w:ascii="宋体" w:hAnsi="宋体"/>
                <w:sz w:val="21"/>
                <w:szCs w:val="21"/>
                <w:lang w:val="zh-CN"/>
              </w:rPr>
              <w:t>分）</w:t>
            </w:r>
          </w:p>
          <w:p w14:paraId="77525218">
            <w:pPr>
              <w:spacing w:line="300" w:lineRule="exact"/>
              <w:jc w:val="both"/>
              <w:rPr>
                <w:rFonts w:ascii="宋体" w:hAnsi="宋体"/>
                <w:sz w:val="21"/>
                <w:szCs w:val="21"/>
                <w:lang w:val="zh-CN"/>
              </w:rPr>
            </w:pPr>
            <w:r>
              <w:rPr>
                <w:rFonts w:hint="eastAsia" w:ascii="宋体" w:hAnsi="宋体"/>
                <w:sz w:val="21"/>
                <w:szCs w:val="21"/>
                <w:lang w:val="zh-CN"/>
              </w:rPr>
              <w:t>以上方案内容全面、合理，完全响应需求的得</w:t>
            </w:r>
            <w:r>
              <w:rPr>
                <w:rFonts w:hint="eastAsia" w:ascii="宋体" w:hAnsi="宋体"/>
                <w:sz w:val="21"/>
                <w:szCs w:val="21"/>
                <w:lang w:val="en-US" w:eastAsia="zh-CN"/>
              </w:rPr>
              <w:t>8</w:t>
            </w:r>
            <w:r>
              <w:rPr>
                <w:rFonts w:hint="eastAsia" w:ascii="宋体" w:hAnsi="宋体"/>
                <w:sz w:val="21"/>
                <w:szCs w:val="21"/>
                <w:lang w:val="zh-CN"/>
              </w:rPr>
              <w:t>分；</w:t>
            </w:r>
          </w:p>
          <w:p w14:paraId="43D31C06">
            <w:pPr>
              <w:spacing w:line="300" w:lineRule="exact"/>
              <w:jc w:val="both"/>
              <w:rPr>
                <w:rFonts w:ascii="宋体" w:hAnsi="宋体"/>
                <w:sz w:val="21"/>
                <w:szCs w:val="21"/>
                <w:lang w:val="zh-CN"/>
              </w:rPr>
            </w:pPr>
            <w:r>
              <w:rPr>
                <w:rFonts w:hint="eastAsia" w:ascii="宋体" w:hAnsi="宋体"/>
                <w:sz w:val="21"/>
                <w:szCs w:val="21"/>
                <w:lang w:val="zh-CN"/>
              </w:rPr>
              <w:t>以上内容较全面，基本响应需求的得</w:t>
            </w:r>
            <w:r>
              <w:rPr>
                <w:rFonts w:hint="eastAsia" w:ascii="宋体" w:hAnsi="宋体"/>
                <w:sz w:val="21"/>
                <w:szCs w:val="21"/>
                <w:lang w:val="en-US" w:eastAsia="zh-CN"/>
              </w:rPr>
              <w:t>5</w:t>
            </w:r>
            <w:r>
              <w:rPr>
                <w:rFonts w:hint="eastAsia" w:ascii="宋体" w:hAnsi="宋体"/>
                <w:sz w:val="21"/>
                <w:szCs w:val="21"/>
                <w:lang w:val="zh-CN"/>
              </w:rPr>
              <w:t>分；</w:t>
            </w:r>
          </w:p>
          <w:p w14:paraId="5AE41F58">
            <w:pPr>
              <w:spacing w:line="300" w:lineRule="exact"/>
              <w:jc w:val="both"/>
              <w:rPr>
                <w:rFonts w:ascii="宋体" w:hAnsi="宋体"/>
                <w:sz w:val="21"/>
                <w:szCs w:val="21"/>
                <w:lang w:val="zh-CN"/>
              </w:rPr>
            </w:pPr>
            <w:r>
              <w:rPr>
                <w:rFonts w:hint="eastAsia" w:ascii="宋体" w:hAnsi="宋体"/>
                <w:sz w:val="21"/>
                <w:szCs w:val="21"/>
                <w:lang w:val="zh-CN"/>
              </w:rPr>
              <w:t>以上不完整，响应度低的得</w:t>
            </w:r>
            <w:r>
              <w:rPr>
                <w:rFonts w:hint="eastAsia" w:ascii="宋体" w:hAnsi="宋体"/>
                <w:sz w:val="21"/>
                <w:szCs w:val="21"/>
                <w:lang w:val="en-US" w:eastAsia="zh-CN"/>
              </w:rPr>
              <w:t>2</w:t>
            </w:r>
            <w:r>
              <w:rPr>
                <w:rFonts w:hint="eastAsia" w:ascii="宋体" w:hAnsi="宋体"/>
                <w:sz w:val="21"/>
                <w:szCs w:val="21"/>
                <w:lang w:val="zh-CN"/>
              </w:rPr>
              <w:t>分；</w:t>
            </w:r>
          </w:p>
          <w:p w14:paraId="3ADE4863">
            <w:pPr>
              <w:spacing w:line="300" w:lineRule="exact"/>
              <w:jc w:val="both"/>
              <w:rPr>
                <w:rFonts w:hint="eastAsia" w:ascii="宋体" w:hAnsi="宋体" w:eastAsia="宋体" w:cs="Times New Roman"/>
                <w:sz w:val="21"/>
                <w:szCs w:val="21"/>
                <w:lang w:val="zh-CN" w:eastAsia="zh-CN" w:bidi="ar-SA"/>
              </w:rPr>
            </w:pPr>
            <w:r>
              <w:rPr>
                <w:rFonts w:hint="eastAsia" w:ascii="宋体" w:hAnsi="宋体"/>
                <w:sz w:val="21"/>
                <w:szCs w:val="21"/>
                <w:lang w:val="zh-CN"/>
              </w:rPr>
              <w:t>以上内容没有响应或未提供方案的不得分。</w:t>
            </w:r>
          </w:p>
        </w:tc>
        <w:tc>
          <w:tcPr>
            <w:tcW w:w="572" w:type="dxa"/>
            <w:noWrap w:val="0"/>
            <w:vAlign w:val="center"/>
          </w:tcPr>
          <w:p w14:paraId="4B96ED65">
            <w:pPr>
              <w:jc w:val="both"/>
              <w:rPr>
                <w:rFonts w:hint="eastAsia"/>
                <w:sz w:val="21"/>
                <w:szCs w:val="21"/>
              </w:rPr>
            </w:pPr>
            <w:r>
              <w:rPr>
                <w:rFonts w:hint="eastAsia"/>
                <w:sz w:val="21"/>
                <w:szCs w:val="21"/>
                <w:lang w:val="en-US" w:eastAsia="zh-CN"/>
              </w:rPr>
              <w:t>8</w:t>
            </w:r>
            <w:r>
              <w:rPr>
                <w:rFonts w:hint="eastAsia"/>
                <w:sz w:val="21"/>
                <w:szCs w:val="21"/>
              </w:rPr>
              <w:t>分</w:t>
            </w:r>
          </w:p>
        </w:tc>
      </w:tr>
      <w:tr w14:paraId="73CB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vMerge w:val="continue"/>
            <w:noWrap w:val="0"/>
            <w:vAlign w:val="center"/>
          </w:tcPr>
          <w:p w14:paraId="6866F8A9">
            <w:pPr>
              <w:jc w:val="both"/>
              <w:rPr>
                <w:rFonts w:hint="eastAsia"/>
                <w:sz w:val="21"/>
                <w:szCs w:val="21"/>
              </w:rPr>
            </w:pPr>
          </w:p>
        </w:tc>
        <w:tc>
          <w:tcPr>
            <w:tcW w:w="1486" w:type="dxa"/>
            <w:noWrap w:val="0"/>
            <w:vAlign w:val="center"/>
          </w:tcPr>
          <w:p w14:paraId="0B268948">
            <w:pPr>
              <w:jc w:val="both"/>
              <w:rPr>
                <w:rFonts w:hint="eastAsia"/>
                <w:sz w:val="21"/>
                <w:szCs w:val="21"/>
              </w:rPr>
            </w:pPr>
          </w:p>
          <w:p w14:paraId="18BB62BA">
            <w:pPr>
              <w:jc w:val="both"/>
              <w:rPr>
                <w:rFonts w:hint="eastAsia"/>
                <w:sz w:val="21"/>
                <w:szCs w:val="21"/>
              </w:rPr>
            </w:pPr>
            <w:r>
              <w:rPr>
                <w:rFonts w:hint="eastAsia"/>
                <w:sz w:val="21"/>
                <w:szCs w:val="21"/>
              </w:rPr>
              <w:t>3、宿舍管理</w:t>
            </w:r>
          </w:p>
        </w:tc>
        <w:tc>
          <w:tcPr>
            <w:tcW w:w="7491" w:type="dxa"/>
            <w:shd w:val="clear" w:color="auto" w:fill="auto"/>
            <w:noWrap w:val="0"/>
            <w:vAlign w:val="center"/>
          </w:tcPr>
          <w:p w14:paraId="2D515320">
            <w:pPr>
              <w:spacing w:line="300" w:lineRule="exact"/>
              <w:jc w:val="both"/>
              <w:rPr>
                <w:rFonts w:ascii="宋体" w:hAnsi="宋体"/>
                <w:sz w:val="21"/>
                <w:szCs w:val="21"/>
                <w:lang w:val="zh-CN"/>
              </w:rPr>
            </w:pPr>
            <w:r>
              <w:rPr>
                <w:rFonts w:hint="eastAsia" w:ascii="宋体" w:hAnsi="宋体"/>
                <w:sz w:val="21"/>
                <w:szCs w:val="21"/>
                <w:lang w:val="zh-CN"/>
              </w:rPr>
              <w:t>3、内务条例：针对学生宿舍管理、纪律管理，内务管理，方案既要结合学生特点，又要体现军事化管理的合理性、方案的可行性、专业性（</w:t>
            </w:r>
            <w:r>
              <w:rPr>
                <w:rFonts w:hint="eastAsia" w:ascii="宋体" w:hAnsi="宋体"/>
                <w:sz w:val="21"/>
                <w:szCs w:val="21"/>
                <w:lang w:val="en-US" w:eastAsia="zh-CN"/>
              </w:rPr>
              <w:t>8</w:t>
            </w:r>
            <w:r>
              <w:rPr>
                <w:rFonts w:hint="eastAsia" w:ascii="宋体" w:hAnsi="宋体"/>
                <w:sz w:val="21"/>
                <w:szCs w:val="21"/>
                <w:lang w:val="zh-CN"/>
              </w:rPr>
              <w:t>分）</w:t>
            </w:r>
          </w:p>
          <w:p w14:paraId="017EA875">
            <w:pPr>
              <w:spacing w:line="300" w:lineRule="exact"/>
              <w:jc w:val="both"/>
              <w:rPr>
                <w:rFonts w:ascii="宋体" w:hAnsi="宋体"/>
                <w:sz w:val="21"/>
                <w:szCs w:val="21"/>
                <w:lang w:val="zh-CN"/>
              </w:rPr>
            </w:pPr>
            <w:r>
              <w:rPr>
                <w:rFonts w:hint="eastAsia" w:ascii="宋体" w:hAnsi="宋体"/>
                <w:sz w:val="21"/>
                <w:szCs w:val="21"/>
                <w:lang w:val="zh-CN"/>
              </w:rPr>
              <w:t>条例完整详细、科学合理、内容全面不漏项、实用性强，符合实际，完全满足要求的得</w:t>
            </w:r>
            <w:r>
              <w:rPr>
                <w:rFonts w:hint="eastAsia" w:ascii="宋体" w:hAnsi="宋体"/>
                <w:sz w:val="21"/>
                <w:szCs w:val="21"/>
                <w:lang w:val="en-US" w:eastAsia="zh-CN"/>
              </w:rPr>
              <w:t>8</w:t>
            </w:r>
            <w:r>
              <w:rPr>
                <w:rFonts w:hint="eastAsia" w:ascii="宋体" w:hAnsi="宋体"/>
                <w:sz w:val="21"/>
                <w:szCs w:val="21"/>
                <w:lang w:val="zh-CN"/>
              </w:rPr>
              <w:t>分；</w:t>
            </w:r>
          </w:p>
          <w:p w14:paraId="08A35A95">
            <w:pPr>
              <w:spacing w:line="300" w:lineRule="exact"/>
              <w:jc w:val="both"/>
              <w:rPr>
                <w:rFonts w:ascii="宋体" w:hAnsi="宋体"/>
                <w:sz w:val="21"/>
                <w:szCs w:val="21"/>
                <w:lang w:val="zh-CN"/>
              </w:rPr>
            </w:pPr>
            <w:r>
              <w:rPr>
                <w:rFonts w:hint="eastAsia" w:ascii="宋体" w:hAnsi="宋体"/>
                <w:sz w:val="21"/>
                <w:szCs w:val="21"/>
                <w:lang w:val="zh-CN"/>
              </w:rPr>
              <w:t>条例较完整、有漏缺1项的，但不影响项目实施或内容合理片面、实用性一般，可实施性一般得</w:t>
            </w:r>
            <w:r>
              <w:rPr>
                <w:rFonts w:hint="eastAsia" w:ascii="宋体" w:hAnsi="宋体"/>
                <w:sz w:val="21"/>
                <w:szCs w:val="21"/>
                <w:lang w:val="en-US" w:eastAsia="zh-CN"/>
              </w:rPr>
              <w:t>5</w:t>
            </w:r>
            <w:r>
              <w:rPr>
                <w:rFonts w:hint="eastAsia" w:ascii="宋体" w:hAnsi="宋体"/>
                <w:sz w:val="21"/>
                <w:szCs w:val="21"/>
                <w:lang w:val="zh-CN"/>
              </w:rPr>
              <w:t>分；</w:t>
            </w:r>
          </w:p>
          <w:p w14:paraId="1124B659">
            <w:pPr>
              <w:spacing w:line="300" w:lineRule="exact"/>
              <w:jc w:val="both"/>
              <w:rPr>
                <w:rFonts w:ascii="宋体" w:hAnsi="宋体"/>
                <w:sz w:val="21"/>
                <w:szCs w:val="21"/>
                <w:lang w:val="zh-CN"/>
              </w:rPr>
            </w:pPr>
            <w:r>
              <w:rPr>
                <w:rFonts w:hint="eastAsia" w:ascii="宋体" w:hAnsi="宋体"/>
                <w:sz w:val="21"/>
                <w:szCs w:val="21"/>
                <w:lang w:val="zh-CN"/>
              </w:rPr>
              <w:t>条例不完整，有漏缺2-3项的或没有针对性解释说明，存在实施难度的得</w:t>
            </w:r>
            <w:r>
              <w:rPr>
                <w:rFonts w:hint="eastAsia" w:ascii="宋体" w:hAnsi="宋体"/>
                <w:sz w:val="21"/>
                <w:szCs w:val="21"/>
                <w:lang w:val="en-US" w:eastAsia="zh-CN"/>
              </w:rPr>
              <w:t>2</w:t>
            </w:r>
            <w:r>
              <w:rPr>
                <w:rFonts w:hint="eastAsia" w:ascii="宋体" w:hAnsi="宋体"/>
                <w:sz w:val="21"/>
                <w:szCs w:val="21"/>
                <w:lang w:val="zh-CN"/>
              </w:rPr>
              <w:t>分；</w:t>
            </w:r>
          </w:p>
          <w:p w14:paraId="4F6F5F98">
            <w:pPr>
              <w:spacing w:line="300" w:lineRule="exact"/>
              <w:jc w:val="both"/>
              <w:rPr>
                <w:rFonts w:hint="eastAsia" w:ascii="宋体" w:hAnsi="宋体" w:eastAsia="宋体" w:cs="Times New Roman"/>
                <w:sz w:val="21"/>
                <w:szCs w:val="21"/>
                <w:lang w:val="zh-CN" w:eastAsia="zh-CN" w:bidi="ar-SA"/>
              </w:rPr>
            </w:pPr>
            <w:r>
              <w:rPr>
                <w:rFonts w:hint="eastAsia" w:ascii="宋体" w:hAnsi="宋体"/>
                <w:sz w:val="21"/>
                <w:szCs w:val="21"/>
                <w:lang w:val="zh-CN"/>
              </w:rPr>
              <w:t>以上内容没有响应或未提供方案的不得分。</w:t>
            </w:r>
          </w:p>
        </w:tc>
        <w:tc>
          <w:tcPr>
            <w:tcW w:w="572" w:type="dxa"/>
            <w:noWrap w:val="0"/>
            <w:vAlign w:val="center"/>
          </w:tcPr>
          <w:p w14:paraId="4CA9D165">
            <w:pPr>
              <w:jc w:val="both"/>
              <w:rPr>
                <w:rFonts w:hint="eastAsia"/>
                <w:sz w:val="21"/>
                <w:szCs w:val="21"/>
              </w:rPr>
            </w:pPr>
            <w:r>
              <w:rPr>
                <w:rFonts w:hint="eastAsia"/>
                <w:sz w:val="21"/>
                <w:szCs w:val="21"/>
                <w:lang w:val="en-US" w:eastAsia="zh-CN"/>
              </w:rPr>
              <w:t>8</w:t>
            </w:r>
            <w:r>
              <w:rPr>
                <w:rFonts w:hint="eastAsia"/>
                <w:sz w:val="21"/>
                <w:szCs w:val="21"/>
              </w:rPr>
              <w:t>分</w:t>
            </w:r>
          </w:p>
        </w:tc>
      </w:tr>
      <w:tr w14:paraId="7E673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687" w:type="dxa"/>
            <w:vMerge w:val="continue"/>
            <w:noWrap w:val="0"/>
            <w:vAlign w:val="center"/>
          </w:tcPr>
          <w:p w14:paraId="2C87579C">
            <w:pPr>
              <w:jc w:val="both"/>
              <w:rPr>
                <w:rFonts w:hint="eastAsia"/>
                <w:sz w:val="21"/>
                <w:szCs w:val="21"/>
              </w:rPr>
            </w:pPr>
          </w:p>
        </w:tc>
        <w:tc>
          <w:tcPr>
            <w:tcW w:w="1486" w:type="dxa"/>
            <w:shd w:val="clear" w:color="auto" w:fill="auto"/>
            <w:noWrap w:val="0"/>
            <w:vAlign w:val="center"/>
          </w:tcPr>
          <w:p w14:paraId="2DD2CD8C">
            <w:pPr>
              <w:jc w:val="both"/>
              <w:rPr>
                <w:rFonts w:hint="eastAsia"/>
                <w:sz w:val="21"/>
                <w:szCs w:val="21"/>
                <w:highlight w:val="none"/>
              </w:rPr>
            </w:pPr>
            <w:r>
              <w:rPr>
                <w:rFonts w:hint="eastAsia"/>
                <w:sz w:val="21"/>
                <w:szCs w:val="21"/>
                <w:highlight w:val="none"/>
              </w:rPr>
              <w:t>4、国防教育及委培方案</w:t>
            </w:r>
          </w:p>
        </w:tc>
        <w:tc>
          <w:tcPr>
            <w:tcW w:w="7491" w:type="dxa"/>
            <w:shd w:val="clear" w:color="auto" w:fill="auto"/>
            <w:noWrap w:val="0"/>
            <w:vAlign w:val="center"/>
          </w:tcPr>
          <w:p w14:paraId="09E6832B">
            <w:pPr>
              <w:numPr>
                <w:ilvl w:val="0"/>
                <w:numId w:val="4"/>
              </w:numPr>
              <w:spacing w:line="300" w:lineRule="exact"/>
              <w:jc w:val="both"/>
              <w:rPr>
                <w:rFonts w:hint="eastAsia" w:ascii="宋体" w:hAnsi="宋体"/>
                <w:sz w:val="21"/>
                <w:szCs w:val="21"/>
                <w:highlight w:val="none"/>
                <w:lang w:val="zh-CN"/>
              </w:rPr>
            </w:pPr>
            <w:r>
              <w:rPr>
                <w:rFonts w:hint="eastAsia" w:ascii="宋体" w:hAnsi="宋体"/>
                <w:sz w:val="21"/>
                <w:szCs w:val="21"/>
                <w:highlight w:val="none"/>
                <w:lang w:val="zh-CN"/>
              </w:rPr>
              <w:t>国防教育及委培方案：国防教育与军事化活动的开发与实施，开发适合学生教育基地的军事化活动，活动方案要体现通过军事化活动，帮助提高学生的各种能力。（</w:t>
            </w:r>
            <w:r>
              <w:rPr>
                <w:rFonts w:hint="eastAsia" w:ascii="宋体" w:hAnsi="宋体"/>
                <w:sz w:val="21"/>
                <w:szCs w:val="21"/>
                <w:highlight w:val="none"/>
                <w:lang w:val="en-US" w:eastAsia="zh-CN"/>
              </w:rPr>
              <w:t>8</w:t>
            </w:r>
            <w:r>
              <w:rPr>
                <w:rFonts w:hint="eastAsia" w:ascii="宋体" w:hAnsi="宋体"/>
                <w:sz w:val="21"/>
                <w:szCs w:val="21"/>
                <w:highlight w:val="none"/>
                <w:lang w:val="zh-CN"/>
              </w:rPr>
              <w:t>分）</w:t>
            </w:r>
          </w:p>
          <w:p w14:paraId="4CF13885">
            <w:pPr>
              <w:numPr>
                <w:ilvl w:val="0"/>
                <w:numId w:val="0"/>
              </w:numPr>
              <w:spacing w:line="300" w:lineRule="exact"/>
              <w:jc w:val="both"/>
              <w:rPr>
                <w:rFonts w:hint="eastAsia" w:ascii="宋体" w:hAnsi="宋体"/>
                <w:sz w:val="21"/>
                <w:szCs w:val="21"/>
                <w:highlight w:val="none"/>
                <w:lang w:val="zh-CN"/>
              </w:rPr>
            </w:pPr>
            <w:r>
              <w:rPr>
                <w:rFonts w:hint="eastAsia" w:ascii="宋体" w:hAnsi="宋体"/>
                <w:sz w:val="21"/>
                <w:szCs w:val="21"/>
                <w:highlight w:val="none"/>
                <w:lang w:val="zh-CN"/>
              </w:rPr>
              <w:t>以上方案内容全面、合理，完全响应需求的得</w:t>
            </w:r>
            <w:r>
              <w:rPr>
                <w:rFonts w:hint="eastAsia" w:ascii="宋体" w:hAnsi="宋体"/>
                <w:sz w:val="21"/>
                <w:szCs w:val="21"/>
                <w:highlight w:val="none"/>
                <w:lang w:val="en-US" w:eastAsia="zh-CN"/>
              </w:rPr>
              <w:t>8</w:t>
            </w:r>
            <w:r>
              <w:rPr>
                <w:rFonts w:hint="eastAsia" w:ascii="宋体" w:hAnsi="宋体"/>
                <w:sz w:val="21"/>
                <w:szCs w:val="21"/>
                <w:highlight w:val="none"/>
                <w:lang w:val="zh-CN"/>
              </w:rPr>
              <w:t>分；</w:t>
            </w:r>
          </w:p>
          <w:p w14:paraId="0F502AE9">
            <w:pPr>
              <w:spacing w:line="300" w:lineRule="exact"/>
              <w:jc w:val="both"/>
              <w:rPr>
                <w:rFonts w:hint="eastAsia" w:ascii="宋体" w:hAnsi="宋体"/>
                <w:sz w:val="21"/>
                <w:szCs w:val="21"/>
                <w:highlight w:val="none"/>
                <w:lang w:val="zh-CN"/>
              </w:rPr>
            </w:pPr>
            <w:r>
              <w:rPr>
                <w:rFonts w:hint="eastAsia" w:ascii="宋体" w:hAnsi="宋体"/>
                <w:sz w:val="21"/>
                <w:szCs w:val="21"/>
                <w:highlight w:val="none"/>
                <w:lang w:val="zh-CN"/>
              </w:rPr>
              <w:t>以上内容较全面，基本响应需求的得</w:t>
            </w:r>
            <w:r>
              <w:rPr>
                <w:rFonts w:hint="eastAsia" w:ascii="宋体" w:hAnsi="宋体"/>
                <w:sz w:val="21"/>
                <w:szCs w:val="21"/>
                <w:highlight w:val="none"/>
                <w:lang w:val="en-US" w:eastAsia="zh-CN"/>
              </w:rPr>
              <w:t>5</w:t>
            </w:r>
            <w:r>
              <w:rPr>
                <w:rFonts w:hint="eastAsia" w:ascii="宋体" w:hAnsi="宋体"/>
                <w:sz w:val="21"/>
                <w:szCs w:val="21"/>
                <w:highlight w:val="none"/>
                <w:lang w:val="zh-CN"/>
              </w:rPr>
              <w:t>分；</w:t>
            </w:r>
          </w:p>
          <w:p w14:paraId="318E6356">
            <w:pPr>
              <w:spacing w:line="300" w:lineRule="exact"/>
              <w:jc w:val="both"/>
              <w:rPr>
                <w:rFonts w:hint="eastAsia" w:ascii="宋体" w:hAnsi="宋体"/>
                <w:sz w:val="21"/>
                <w:szCs w:val="21"/>
                <w:highlight w:val="none"/>
                <w:lang w:val="zh-CN"/>
              </w:rPr>
            </w:pPr>
            <w:r>
              <w:rPr>
                <w:rFonts w:hint="eastAsia" w:ascii="宋体" w:hAnsi="宋体"/>
                <w:sz w:val="21"/>
                <w:szCs w:val="21"/>
                <w:highlight w:val="none"/>
                <w:lang w:val="zh-CN"/>
              </w:rPr>
              <w:t>以上不完整，响应度低的得</w:t>
            </w:r>
            <w:r>
              <w:rPr>
                <w:rFonts w:hint="eastAsia" w:ascii="宋体" w:hAnsi="宋体"/>
                <w:sz w:val="21"/>
                <w:szCs w:val="21"/>
                <w:highlight w:val="none"/>
                <w:lang w:val="en-US" w:eastAsia="zh-CN"/>
              </w:rPr>
              <w:t>2</w:t>
            </w:r>
            <w:r>
              <w:rPr>
                <w:rFonts w:hint="eastAsia" w:ascii="宋体" w:hAnsi="宋体"/>
                <w:sz w:val="21"/>
                <w:szCs w:val="21"/>
                <w:highlight w:val="none"/>
                <w:lang w:val="zh-CN"/>
              </w:rPr>
              <w:t>分；</w:t>
            </w:r>
          </w:p>
          <w:p w14:paraId="62E40A9D">
            <w:pPr>
              <w:spacing w:line="300" w:lineRule="exact"/>
              <w:jc w:val="both"/>
              <w:rPr>
                <w:rFonts w:hint="eastAsia" w:ascii="宋体" w:hAnsi="宋体" w:eastAsia="宋体" w:cs="Times New Roman"/>
                <w:sz w:val="21"/>
                <w:szCs w:val="21"/>
                <w:highlight w:val="none"/>
                <w:lang w:val="zh-CN" w:eastAsia="zh-CN" w:bidi="ar-SA"/>
              </w:rPr>
            </w:pPr>
            <w:r>
              <w:rPr>
                <w:rFonts w:hint="eastAsia" w:ascii="宋体" w:hAnsi="宋体"/>
                <w:sz w:val="21"/>
                <w:szCs w:val="21"/>
                <w:highlight w:val="none"/>
                <w:lang w:val="zh-CN"/>
              </w:rPr>
              <w:t>以上内容没有响应或未提供方案的不得分。</w:t>
            </w:r>
          </w:p>
        </w:tc>
        <w:tc>
          <w:tcPr>
            <w:tcW w:w="572" w:type="dxa"/>
            <w:noWrap w:val="0"/>
            <w:vAlign w:val="center"/>
          </w:tcPr>
          <w:p w14:paraId="0D999625">
            <w:pPr>
              <w:jc w:val="both"/>
              <w:rPr>
                <w:rFonts w:hint="eastAsia"/>
                <w:sz w:val="21"/>
                <w:szCs w:val="21"/>
              </w:rPr>
            </w:pPr>
            <w:r>
              <w:rPr>
                <w:rFonts w:hint="eastAsia"/>
                <w:sz w:val="21"/>
                <w:szCs w:val="21"/>
                <w:lang w:val="en-US" w:eastAsia="zh-CN"/>
              </w:rPr>
              <w:t>8</w:t>
            </w:r>
            <w:r>
              <w:rPr>
                <w:rFonts w:hint="eastAsia"/>
                <w:sz w:val="21"/>
                <w:szCs w:val="21"/>
              </w:rPr>
              <w:t>分</w:t>
            </w:r>
          </w:p>
        </w:tc>
      </w:tr>
      <w:tr w14:paraId="42EC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vMerge w:val="continue"/>
            <w:noWrap w:val="0"/>
            <w:vAlign w:val="center"/>
          </w:tcPr>
          <w:p w14:paraId="334304BB">
            <w:pPr>
              <w:jc w:val="both"/>
              <w:rPr>
                <w:rFonts w:hint="eastAsia"/>
                <w:sz w:val="21"/>
                <w:szCs w:val="21"/>
              </w:rPr>
            </w:pPr>
          </w:p>
        </w:tc>
        <w:tc>
          <w:tcPr>
            <w:tcW w:w="1486" w:type="dxa"/>
            <w:noWrap w:val="0"/>
            <w:vAlign w:val="center"/>
          </w:tcPr>
          <w:p w14:paraId="258F7CF3">
            <w:pPr>
              <w:jc w:val="both"/>
              <w:rPr>
                <w:rFonts w:hint="eastAsia"/>
                <w:sz w:val="21"/>
                <w:szCs w:val="21"/>
              </w:rPr>
            </w:pPr>
            <w:r>
              <w:rPr>
                <w:rFonts w:hint="eastAsia"/>
                <w:sz w:val="21"/>
                <w:szCs w:val="21"/>
              </w:rPr>
              <w:t>5、服务方案系统性</w:t>
            </w:r>
          </w:p>
        </w:tc>
        <w:tc>
          <w:tcPr>
            <w:tcW w:w="7491" w:type="dxa"/>
            <w:shd w:val="clear" w:color="auto" w:fill="auto"/>
            <w:noWrap w:val="0"/>
            <w:vAlign w:val="center"/>
          </w:tcPr>
          <w:p w14:paraId="2E0E7CC7">
            <w:pPr>
              <w:spacing w:line="300" w:lineRule="exact"/>
              <w:jc w:val="both"/>
              <w:rPr>
                <w:rFonts w:ascii="宋体" w:hAnsi="宋体"/>
                <w:sz w:val="21"/>
                <w:szCs w:val="21"/>
                <w:lang w:val="zh-CN"/>
              </w:rPr>
            </w:pPr>
            <w:r>
              <w:rPr>
                <w:rFonts w:hint="eastAsia" w:ascii="宋体" w:hAnsi="宋体"/>
                <w:sz w:val="21"/>
                <w:szCs w:val="21"/>
                <w:lang w:val="zh-CN"/>
              </w:rPr>
              <w:t>5、服务方案系统性：各子服务方案回应所有项目服务需求，无缺漏。各子服务方案既相对独立又相辅相成，须体现整体的系统性设计。（</w:t>
            </w:r>
            <w:r>
              <w:rPr>
                <w:rFonts w:hint="eastAsia" w:ascii="宋体" w:hAnsi="宋体"/>
                <w:sz w:val="21"/>
                <w:szCs w:val="21"/>
                <w:lang w:val="en-US" w:eastAsia="zh-CN"/>
              </w:rPr>
              <w:t>8</w:t>
            </w:r>
            <w:r>
              <w:rPr>
                <w:rFonts w:hint="eastAsia" w:ascii="宋体" w:hAnsi="宋体"/>
                <w:sz w:val="21"/>
                <w:szCs w:val="21"/>
                <w:lang w:val="zh-CN"/>
              </w:rPr>
              <w:t>分）</w:t>
            </w:r>
          </w:p>
          <w:p w14:paraId="7B35D42F">
            <w:pPr>
              <w:spacing w:line="300" w:lineRule="exact"/>
              <w:jc w:val="both"/>
              <w:rPr>
                <w:rFonts w:ascii="宋体" w:hAnsi="宋体"/>
                <w:sz w:val="21"/>
                <w:szCs w:val="21"/>
                <w:lang w:val="zh-CN"/>
              </w:rPr>
            </w:pPr>
            <w:r>
              <w:rPr>
                <w:rFonts w:hint="eastAsia" w:ascii="宋体" w:hAnsi="宋体"/>
                <w:sz w:val="21"/>
                <w:szCs w:val="21"/>
                <w:lang w:val="zh-CN"/>
              </w:rPr>
              <w:t>以上方案内容全面、合理，完全响应需求的得</w:t>
            </w:r>
            <w:r>
              <w:rPr>
                <w:rFonts w:hint="eastAsia" w:ascii="宋体" w:hAnsi="宋体"/>
                <w:sz w:val="21"/>
                <w:szCs w:val="21"/>
                <w:lang w:val="en-US" w:eastAsia="zh-CN"/>
              </w:rPr>
              <w:t>8</w:t>
            </w:r>
            <w:r>
              <w:rPr>
                <w:rFonts w:hint="eastAsia" w:ascii="宋体" w:hAnsi="宋体"/>
                <w:sz w:val="21"/>
                <w:szCs w:val="21"/>
                <w:lang w:val="zh-CN"/>
              </w:rPr>
              <w:t>分；</w:t>
            </w:r>
          </w:p>
          <w:p w14:paraId="5A165E15">
            <w:pPr>
              <w:spacing w:line="300" w:lineRule="exact"/>
              <w:jc w:val="both"/>
              <w:rPr>
                <w:rFonts w:ascii="宋体" w:hAnsi="宋体"/>
                <w:sz w:val="21"/>
                <w:szCs w:val="21"/>
                <w:lang w:val="zh-CN"/>
              </w:rPr>
            </w:pPr>
            <w:r>
              <w:rPr>
                <w:rFonts w:hint="eastAsia" w:ascii="宋体" w:hAnsi="宋体"/>
                <w:sz w:val="21"/>
                <w:szCs w:val="21"/>
                <w:lang w:val="zh-CN"/>
              </w:rPr>
              <w:t>以上内容较全面，基本响应需求的得</w:t>
            </w:r>
            <w:r>
              <w:rPr>
                <w:rFonts w:hint="eastAsia" w:ascii="宋体" w:hAnsi="宋体"/>
                <w:sz w:val="21"/>
                <w:szCs w:val="21"/>
                <w:lang w:val="en-US" w:eastAsia="zh-CN"/>
              </w:rPr>
              <w:t>5</w:t>
            </w:r>
            <w:r>
              <w:rPr>
                <w:rFonts w:hint="eastAsia" w:ascii="宋体" w:hAnsi="宋体"/>
                <w:sz w:val="21"/>
                <w:szCs w:val="21"/>
                <w:lang w:val="zh-CN"/>
              </w:rPr>
              <w:t>分；</w:t>
            </w:r>
          </w:p>
          <w:p w14:paraId="0D2F80CE">
            <w:pPr>
              <w:spacing w:line="300" w:lineRule="exact"/>
              <w:jc w:val="both"/>
              <w:rPr>
                <w:rFonts w:ascii="宋体" w:hAnsi="宋体"/>
                <w:sz w:val="21"/>
                <w:szCs w:val="21"/>
                <w:lang w:val="zh-CN"/>
              </w:rPr>
            </w:pPr>
            <w:r>
              <w:rPr>
                <w:rFonts w:hint="eastAsia" w:ascii="宋体" w:hAnsi="宋体"/>
                <w:sz w:val="21"/>
                <w:szCs w:val="21"/>
                <w:lang w:val="zh-CN"/>
              </w:rPr>
              <w:t>以上不完整，响应度低的得</w:t>
            </w:r>
            <w:r>
              <w:rPr>
                <w:rFonts w:hint="eastAsia" w:ascii="宋体" w:hAnsi="宋体"/>
                <w:sz w:val="21"/>
                <w:szCs w:val="21"/>
                <w:lang w:val="en-US" w:eastAsia="zh-CN"/>
              </w:rPr>
              <w:t>2</w:t>
            </w:r>
            <w:r>
              <w:rPr>
                <w:rFonts w:hint="eastAsia" w:ascii="宋体" w:hAnsi="宋体"/>
                <w:sz w:val="21"/>
                <w:szCs w:val="21"/>
                <w:lang w:val="zh-CN"/>
              </w:rPr>
              <w:t>分；</w:t>
            </w:r>
          </w:p>
          <w:p w14:paraId="10F4756D">
            <w:pPr>
              <w:spacing w:line="300" w:lineRule="exact"/>
              <w:jc w:val="both"/>
              <w:rPr>
                <w:rFonts w:hint="eastAsia" w:ascii="宋体" w:hAnsi="宋体" w:eastAsia="宋体" w:cs="Times New Roman"/>
                <w:sz w:val="21"/>
                <w:szCs w:val="21"/>
                <w:lang w:val="zh-CN" w:eastAsia="zh-CN" w:bidi="ar-SA"/>
              </w:rPr>
            </w:pPr>
            <w:r>
              <w:rPr>
                <w:rFonts w:hint="eastAsia" w:ascii="宋体" w:hAnsi="宋体"/>
                <w:sz w:val="21"/>
                <w:szCs w:val="21"/>
                <w:lang w:val="zh-CN"/>
              </w:rPr>
              <w:t>以上内容没有响应或未提供方案的不得分。</w:t>
            </w:r>
          </w:p>
        </w:tc>
        <w:tc>
          <w:tcPr>
            <w:tcW w:w="572" w:type="dxa"/>
            <w:noWrap w:val="0"/>
            <w:vAlign w:val="center"/>
          </w:tcPr>
          <w:p w14:paraId="1E0A3770">
            <w:pPr>
              <w:jc w:val="both"/>
              <w:rPr>
                <w:rFonts w:hint="eastAsia"/>
                <w:sz w:val="21"/>
                <w:szCs w:val="21"/>
              </w:rPr>
            </w:pPr>
            <w:r>
              <w:rPr>
                <w:rFonts w:hint="eastAsia"/>
                <w:sz w:val="21"/>
                <w:szCs w:val="21"/>
                <w:lang w:val="en-US" w:eastAsia="zh-CN"/>
              </w:rPr>
              <w:t>8</w:t>
            </w:r>
            <w:r>
              <w:rPr>
                <w:rFonts w:hint="eastAsia"/>
                <w:sz w:val="21"/>
                <w:szCs w:val="21"/>
              </w:rPr>
              <w:t>分</w:t>
            </w:r>
          </w:p>
        </w:tc>
      </w:tr>
      <w:tr w14:paraId="5928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jc w:val="center"/>
        </w:trPr>
        <w:tc>
          <w:tcPr>
            <w:tcW w:w="687" w:type="dxa"/>
            <w:noWrap w:val="0"/>
            <w:vAlign w:val="center"/>
          </w:tcPr>
          <w:p w14:paraId="6C662B21">
            <w:pPr>
              <w:jc w:val="both"/>
              <w:rPr>
                <w:rFonts w:hint="eastAsia"/>
                <w:sz w:val="21"/>
                <w:szCs w:val="21"/>
              </w:rPr>
            </w:pPr>
          </w:p>
        </w:tc>
        <w:tc>
          <w:tcPr>
            <w:tcW w:w="1486" w:type="dxa"/>
            <w:noWrap w:val="0"/>
            <w:vAlign w:val="center"/>
          </w:tcPr>
          <w:p w14:paraId="2CFAFE7F">
            <w:pPr>
              <w:jc w:val="both"/>
              <w:rPr>
                <w:rFonts w:hint="eastAsia"/>
                <w:sz w:val="21"/>
                <w:szCs w:val="21"/>
              </w:rPr>
            </w:pPr>
            <w:r>
              <w:rPr>
                <w:rFonts w:hint="eastAsia"/>
                <w:sz w:val="21"/>
                <w:szCs w:val="21"/>
                <w:lang w:val="en-US" w:eastAsia="zh-CN"/>
              </w:rPr>
              <w:t>6</w:t>
            </w:r>
            <w:r>
              <w:rPr>
                <w:rFonts w:hint="eastAsia"/>
                <w:sz w:val="21"/>
                <w:szCs w:val="21"/>
              </w:rPr>
              <w:t>、绩效制度</w:t>
            </w:r>
          </w:p>
        </w:tc>
        <w:tc>
          <w:tcPr>
            <w:tcW w:w="7491" w:type="dxa"/>
            <w:shd w:val="clear" w:color="auto" w:fill="auto"/>
            <w:noWrap w:val="0"/>
            <w:vAlign w:val="center"/>
          </w:tcPr>
          <w:p w14:paraId="495966E5">
            <w:pPr>
              <w:spacing w:line="380" w:lineRule="exact"/>
              <w:jc w:val="both"/>
              <w:rPr>
                <w:rFonts w:ascii="宋体" w:hAnsi="宋体"/>
                <w:sz w:val="21"/>
                <w:szCs w:val="21"/>
                <w:lang w:val="zh-CN"/>
              </w:rPr>
            </w:pPr>
            <w:r>
              <w:rPr>
                <w:rFonts w:hint="eastAsia" w:ascii="宋体" w:hAnsi="宋体"/>
                <w:sz w:val="21"/>
                <w:szCs w:val="21"/>
                <w:lang w:val="en-US" w:eastAsia="zh-CN"/>
              </w:rPr>
              <w:t>6、</w:t>
            </w:r>
            <w:r>
              <w:rPr>
                <w:rFonts w:hint="eastAsia" w:ascii="宋体" w:hAnsi="宋体"/>
                <w:sz w:val="21"/>
                <w:szCs w:val="21"/>
                <w:lang w:val="zh-CN"/>
              </w:rPr>
              <w:t>绩效制度：</w:t>
            </w:r>
          </w:p>
          <w:p w14:paraId="1333F949">
            <w:pPr>
              <w:spacing w:line="380" w:lineRule="exact"/>
              <w:jc w:val="both"/>
              <w:rPr>
                <w:rFonts w:ascii="宋体" w:hAnsi="宋体"/>
                <w:sz w:val="21"/>
                <w:szCs w:val="21"/>
                <w:lang w:val="zh-CN"/>
              </w:rPr>
            </w:pPr>
            <w:r>
              <w:rPr>
                <w:rFonts w:hint="eastAsia" w:ascii="宋体" w:hAnsi="宋体"/>
                <w:sz w:val="21"/>
                <w:szCs w:val="21"/>
                <w:lang w:val="zh-CN"/>
              </w:rPr>
              <w:t>绩效制度针对本项目有合理的自查、绩效考核与管理制度、完全响应需求的得6分；</w:t>
            </w:r>
          </w:p>
          <w:p w14:paraId="514FD79A">
            <w:pPr>
              <w:spacing w:line="380" w:lineRule="exact"/>
              <w:jc w:val="both"/>
              <w:rPr>
                <w:rFonts w:ascii="宋体" w:hAnsi="宋体"/>
                <w:sz w:val="21"/>
                <w:szCs w:val="21"/>
                <w:lang w:val="zh-CN"/>
              </w:rPr>
            </w:pPr>
            <w:r>
              <w:rPr>
                <w:rFonts w:hint="eastAsia" w:ascii="宋体" w:hAnsi="宋体"/>
                <w:sz w:val="21"/>
                <w:szCs w:val="21"/>
                <w:lang w:val="zh-CN"/>
              </w:rPr>
              <w:t>绩效制度针对本项目有较为合理的自查、绩效考核与管理制度、基本响应需求的得3分；</w:t>
            </w:r>
          </w:p>
          <w:p w14:paraId="4F9EDAA4">
            <w:pPr>
              <w:spacing w:line="380" w:lineRule="exact"/>
              <w:jc w:val="both"/>
              <w:rPr>
                <w:rFonts w:ascii="宋体" w:hAnsi="宋体"/>
                <w:sz w:val="21"/>
                <w:szCs w:val="21"/>
                <w:lang w:val="zh-CN"/>
              </w:rPr>
            </w:pPr>
            <w:r>
              <w:rPr>
                <w:rFonts w:hint="eastAsia" w:ascii="宋体" w:hAnsi="宋体"/>
                <w:sz w:val="21"/>
                <w:szCs w:val="21"/>
                <w:lang w:val="zh-CN"/>
              </w:rPr>
              <w:t>绩效制度针对本项目有自查、绩效考核与管理制度，响应度低的得1分；</w:t>
            </w:r>
          </w:p>
          <w:p w14:paraId="677F91FF">
            <w:pPr>
              <w:spacing w:line="300" w:lineRule="exact"/>
              <w:jc w:val="both"/>
              <w:rPr>
                <w:rFonts w:hint="eastAsia" w:ascii="宋体" w:hAnsi="宋体"/>
                <w:sz w:val="21"/>
                <w:szCs w:val="21"/>
                <w:lang w:val="zh-CN"/>
              </w:rPr>
            </w:pPr>
            <w:r>
              <w:rPr>
                <w:rFonts w:hint="eastAsia" w:ascii="宋体" w:hAnsi="宋体"/>
                <w:sz w:val="21"/>
                <w:szCs w:val="21"/>
                <w:lang w:val="zh-CN"/>
              </w:rPr>
              <w:t>未提供不得分。</w:t>
            </w:r>
          </w:p>
        </w:tc>
        <w:tc>
          <w:tcPr>
            <w:tcW w:w="572" w:type="dxa"/>
            <w:noWrap w:val="0"/>
            <w:vAlign w:val="center"/>
          </w:tcPr>
          <w:p w14:paraId="25733E17">
            <w:pPr>
              <w:jc w:val="both"/>
              <w:rPr>
                <w:rFonts w:hint="eastAsia"/>
                <w:sz w:val="21"/>
                <w:szCs w:val="21"/>
                <w:lang w:val="en-US" w:eastAsia="zh-CN"/>
              </w:rPr>
            </w:pPr>
            <w:r>
              <w:rPr>
                <w:rFonts w:hint="eastAsia"/>
                <w:sz w:val="21"/>
                <w:szCs w:val="21"/>
                <w:lang w:val="en-US" w:eastAsia="zh-CN"/>
              </w:rPr>
              <w:t>6</w:t>
            </w:r>
            <w:r>
              <w:rPr>
                <w:rFonts w:hint="eastAsia"/>
                <w:sz w:val="21"/>
                <w:szCs w:val="21"/>
              </w:rPr>
              <w:t>分</w:t>
            </w:r>
          </w:p>
        </w:tc>
      </w:tr>
      <w:tr w14:paraId="7CDD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jc w:val="center"/>
        </w:trPr>
        <w:tc>
          <w:tcPr>
            <w:tcW w:w="687" w:type="dxa"/>
            <w:noWrap w:val="0"/>
            <w:vAlign w:val="center"/>
          </w:tcPr>
          <w:p w14:paraId="7BE72BD1">
            <w:pPr>
              <w:jc w:val="both"/>
              <w:rPr>
                <w:rFonts w:hint="eastAsia"/>
                <w:sz w:val="21"/>
                <w:szCs w:val="21"/>
              </w:rPr>
            </w:pPr>
          </w:p>
        </w:tc>
        <w:tc>
          <w:tcPr>
            <w:tcW w:w="1486" w:type="dxa"/>
            <w:noWrap w:val="0"/>
            <w:vAlign w:val="center"/>
          </w:tcPr>
          <w:p w14:paraId="2E037BF1">
            <w:pPr>
              <w:jc w:val="both"/>
              <w:rPr>
                <w:rFonts w:hint="eastAsia"/>
                <w:sz w:val="21"/>
                <w:szCs w:val="21"/>
                <w:lang w:val="en-US" w:eastAsia="zh-CN"/>
              </w:rPr>
            </w:pPr>
            <w:r>
              <w:rPr>
                <w:rFonts w:hint="eastAsia"/>
                <w:sz w:val="21"/>
                <w:szCs w:val="21"/>
                <w:lang w:val="en-US" w:eastAsia="zh-CN"/>
              </w:rPr>
              <w:t>7</w:t>
            </w:r>
            <w:r>
              <w:rPr>
                <w:rFonts w:hint="eastAsia"/>
                <w:sz w:val="21"/>
                <w:szCs w:val="21"/>
              </w:rPr>
              <w:t>、风险预测方案</w:t>
            </w:r>
          </w:p>
        </w:tc>
        <w:tc>
          <w:tcPr>
            <w:tcW w:w="7491" w:type="dxa"/>
            <w:shd w:val="clear" w:color="auto" w:fill="auto"/>
            <w:noWrap w:val="0"/>
            <w:vAlign w:val="center"/>
          </w:tcPr>
          <w:p w14:paraId="47782AB4">
            <w:pPr>
              <w:spacing w:line="380" w:lineRule="exact"/>
              <w:jc w:val="both"/>
              <w:rPr>
                <w:rFonts w:hint="eastAsia" w:ascii="宋体" w:hAnsi="宋体" w:eastAsia="宋体"/>
                <w:sz w:val="21"/>
                <w:szCs w:val="21"/>
                <w:lang w:eastAsia="zh-CN"/>
              </w:rPr>
            </w:pPr>
            <w:r>
              <w:rPr>
                <w:rFonts w:hint="eastAsia" w:ascii="宋体" w:hAnsi="宋体"/>
                <w:sz w:val="21"/>
                <w:szCs w:val="21"/>
                <w:lang w:val="en-US" w:eastAsia="zh-CN"/>
              </w:rPr>
              <w:t>7</w:t>
            </w:r>
            <w:r>
              <w:rPr>
                <w:rFonts w:hint="eastAsia" w:ascii="宋体" w:hAnsi="宋体"/>
                <w:sz w:val="21"/>
                <w:szCs w:val="21"/>
              </w:rPr>
              <w:t>、风险预测方案</w:t>
            </w:r>
            <w:r>
              <w:rPr>
                <w:rFonts w:hint="eastAsia" w:ascii="宋体" w:hAnsi="宋体"/>
                <w:sz w:val="21"/>
                <w:szCs w:val="21"/>
                <w:lang w:eastAsia="zh-CN"/>
              </w:rPr>
              <w:t>：</w:t>
            </w:r>
          </w:p>
          <w:p w14:paraId="67BD7801">
            <w:pPr>
              <w:spacing w:line="380" w:lineRule="exact"/>
              <w:jc w:val="both"/>
              <w:rPr>
                <w:rFonts w:ascii="宋体" w:hAnsi="宋体"/>
                <w:sz w:val="21"/>
                <w:szCs w:val="21"/>
              </w:rPr>
            </w:pPr>
            <w:r>
              <w:rPr>
                <w:rFonts w:hint="eastAsia" w:ascii="宋体" w:hAnsi="宋体"/>
                <w:sz w:val="21"/>
                <w:szCs w:val="21"/>
              </w:rPr>
              <w:t>风险预测方案细致全面、完全响应需求的得</w:t>
            </w:r>
            <w:r>
              <w:rPr>
                <w:rFonts w:hint="eastAsia" w:ascii="宋体" w:hAnsi="宋体"/>
                <w:sz w:val="21"/>
                <w:szCs w:val="21"/>
                <w:lang w:val="en-US" w:eastAsia="zh-CN"/>
              </w:rPr>
              <w:t>6</w:t>
            </w:r>
            <w:r>
              <w:rPr>
                <w:rFonts w:hint="eastAsia" w:ascii="宋体" w:hAnsi="宋体"/>
                <w:sz w:val="21"/>
                <w:szCs w:val="21"/>
              </w:rPr>
              <w:t>分；</w:t>
            </w:r>
          </w:p>
          <w:p w14:paraId="7F8E6AEE">
            <w:pPr>
              <w:spacing w:line="380" w:lineRule="exact"/>
              <w:jc w:val="both"/>
              <w:rPr>
                <w:rFonts w:ascii="宋体" w:hAnsi="宋体"/>
                <w:sz w:val="21"/>
                <w:szCs w:val="21"/>
              </w:rPr>
            </w:pPr>
            <w:r>
              <w:rPr>
                <w:rFonts w:hint="eastAsia" w:ascii="宋体" w:hAnsi="宋体"/>
                <w:sz w:val="21"/>
                <w:szCs w:val="21"/>
              </w:rPr>
              <w:t>风险预测方案较为完整、基本响应需求的得3分；</w:t>
            </w:r>
          </w:p>
          <w:p w14:paraId="78AA1605">
            <w:pPr>
              <w:spacing w:line="380" w:lineRule="exact"/>
              <w:jc w:val="both"/>
              <w:rPr>
                <w:rFonts w:ascii="宋体" w:hAnsi="宋体"/>
                <w:sz w:val="21"/>
                <w:szCs w:val="21"/>
              </w:rPr>
            </w:pPr>
            <w:r>
              <w:rPr>
                <w:rFonts w:hint="eastAsia" w:ascii="宋体" w:hAnsi="宋体"/>
                <w:sz w:val="21"/>
                <w:szCs w:val="21"/>
              </w:rPr>
              <w:t>风险预测方案不完整，响应度低的得1分；</w:t>
            </w:r>
          </w:p>
          <w:p w14:paraId="57FD6FA8">
            <w:pPr>
              <w:spacing w:line="300" w:lineRule="exact"/>
              <w:jc w:val="both"/>
              <w:rPr>
                <w:rFonts w:hint="eastAsia" w:ascii="宋体" w:hAnsi="宋体"/>
                <w:sz w:val="21"/>
                <w:szCs w:val="21"/>
                <w:lang w:val="zh-CN"/>
              </w:rPr>
            </w:pPr>
            <w:r>
              <w:rPr>
                <w:rFonts w:hint="eastAsia" w:ascii="宋体" w:hAnsi="宋体"/>
                <w:sz w:val="21"/>
                <w:szCs w:val="21"/>
              </w:rPr>
              <w:t>未提供不得分。</w:t>
            </w:r>
          </w:p>
        </w:tc>
        <w:tc>
          <w:tcPr>
            <w:tcW w:w="572" w:type="dxa"/>
            <w:noWrap w:val="0"/>
            <w:vAlign w:val="center"/>
          </w:tcPr>
          <w:p w14:paraId="42043050">
            <w:pPr>
              <w:jc w:val="both"/>
              <w:rPr>
                <w:rFonts w:hint="eastAsia"/>
                <w:sz w:val="21"/>
                <w:szCs w:val="21"/>
                <w:lang w:val="en-US" w:eastAsia="zh-CN"/>
              </w:rPr>
            </w:pPr>
            <w:r>
              <w:rPr>
                <w:rFonts w:hint="eastAsia"/>
                <w:sz w:val="21"/>
                <w:szCs w:val="21"/>
                <w:lang w:val="en-US" w:eastAsia="zh-CN"/>
              </w:rPr>
              <w:t>6</w:t>
            </w:r>
            <w:r>
              <w:rPr>
                <w:rFonts w:hint="eastAsia"/>
                <w:sz w:val="21"/>
                <w:szCs w:val="21"/>
              </w:rPr>
              <w:t>分</w:t>
            </w:r>
          </w:p>
        </w:tc>
      </w:tr>
      <w:tr w14:paraId="7720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jc w:val="center"/>
        </w:trPr>
        <w:tc>
          <w:tcPr>
            <w:tcW w:w="687" w:type="dxa"/>
            <w:noWrap w:val="0"/>
            <w:vAlign w:val="center"/>
          </w:tcPr>
          <w:p w14:paraId="254474D8">
            <w:pPr>
              <w:jc w:val="both"/>
              <w:rPr>
                <w:rFonts w:hint="eastAsia"/>
                <w:sz w:val="21"/>
                <w:szCs w:val="21"/>
              </w:rPr>
            </w:pPr>
          </w:p>
        </w:tc>
        <w:tc>
          <w:tcPr>
            <w:tcW w:w="1486" w:type="dxa"/>
            <w:noWrap w:val="0"/>
            <w:vAlign w:val="center"/>
          </w:tcPr>
          <w:p w14:paraId="6D925D42">
            <w:pPr>
              <w:jc w:val="both"/>
              <w:rPr>
                <w:rFonts w:hint="eastAsia"/>
                <w:sz w:val="21"/>
                <w:szCs w:val="21"/>
              </w:rPr>
            </w:pPr>
            <w:r>
              <w:rPr>
                <w:rFonts w:hint="eastAsia"/>
                <w:sz w:val="21"/>
                <w:szCs w:val="21"/>
                <w:lang w:val="en-US" w:eastAsia="zh-CN"/>
              </w:rPr>
              <w:t>8</w:t>
            </w:r>
            <w:r>
              <w:rPr>
                <w:rFonts w:hint="eastAsia"/>
                <w:sz w:val="21"/>
                <w:szCs w:val="21"/>
              </w:rPr>
              <w:t>、应急方案</w:t>
            </w:r>
          </w:p>
        </w:tc>
        <w:tc>
          <w:tcPr>
            <w:tcW w:w="7491" w:type="dxa"/>
            <w:shd w:val="clear" w:color="auto" w:fill="auto"/>
            <w:noWrap w:val="0"/>
            <w:vAlign w:val="center"/>
          </w:tcPr>
          <w:p w14:paraId="5DA3AB2D">
            <w:pPr>
              <w:spacing w:line="380" w:lineRule="exact"/>
              <w:jc w:val="both"/>
              <w:rPr>
                <w:rFonts w:hint="eastAsia" w:ascii="宋体" w:hAnsi="宋体" w:eastAsia="宋体"/>
                <w:sz w:val="21"/>
                <w:szCs w:val="21"/>
                <w:lang w:eastAsia="zh-CN"/>
              </w:rPr>
            </w:pPr>
            <w:r>
              <w:rPr>
                <w:rFonts w:hint="eastAsia" w:ascii="宋体" w:hAnsi="宋体"/>
                <w:sz w:val="21"/>
                <w:szCs w:val="21"/>
                <w:lang w:val="en-US" w:eastAsia="zh-CN"/>
              </w:rPr>
              <w:t>8</w:t>
            </w:r>
            <w:r>
              <w:rPr>
                <w:rFonts w:hint="eastAsia" w:ascii="宋体" w:hAnsi="宋体"/>
                <w:sz w:val="21"/>
                <w:szCs w:val="21"/>
              </w:rPr>
              <w:t>、应急方案</w:t>
            </w:r>
            <w:r>
              <w:rPr>
                <w:rFonts w:hint="eastAsia" w:ascii="宋体" w:hAnsi="宋体"/>
                <w:sz w:val="21"/>
                <w:szCs w:val="21"/>
                <w:lang w:eastAsia="zh-CN"/>
              </w:rPr>
              <w:t>：</w:t>
            </w:r>
          </w:p>
          <w:p w14:paraId="4697B6F9">
            <w:pPr>
              <w:spacing w:line="380" w:lineRule="exact"/>
              <w:jc w:val="both"/>
              <w:rPr>
                <w:rFonts w:ascii="宋体" w:hAnsi="宋体"/>
                <w:sz w:val="21"/>
                <w:szCs w:val="21"/>
              </w:rPr>
            </w:pPr>
            <w:r>
              <w:rPr>
                <w:rFonts w:hint="eastAsia" w:ascii="宋体" w:hAnsi="宋体"/>
                <w:sz w:val="21"/>
                <w:szCs w:val="21"/>
              </w:rPr>
              <w:t>应急方案细致全面、合理处理措施可信度高、完全响应需求的得</w:t>
            </w:r>
            <w:r>
              <w:rPr>
                <w:rFonts w:hint="eastAsia" w:ascii="宋体" w:hAnsi="宋体"/>
                <w:sz w:val="21"/>
                <w:szCs w:val="21"/>
                <w:lang w:val="en-US" w:eastAsia="zh-CN"/>
              </w:rPr>
              <w:t>6</w:t>
            </w:r>
            <w:r>
              <w:rPr>
                <w:rFonts w:hint="eastAsia" w:ascii="宋体" w:hAnsi="宋体"/>
                <w:sz w:val="21"/>
                <w:szCs w:val="21"/>
              </w:rPr>
              <w:t>分；</w:t>
            </w:r>
          </w:p>
          <w:p w14:paraId="44331A7D">
            <w:pPr>
              <w:spacing w:line="380" w:lineRule="exact"/>
              <w:jc w:val="both"/>
              <w:rPr>
                <w:rFonts w:ascii="宋体" w:hAnsi="宋体"/>
                <w:sz w:val="21"/>
                <w:szCs w:val="21"/>
              </w:rPr>
            </w:pPr>
            <w:r>
              <w:rPr>
                <w:rFonts w:hint="eastAsia" w:ascii="宋体" w:hAnsi="宋体"/>
                <w:sz w:val="21"/>
                <w:szCs w:val="21"/>
              </w:rPr>
              <w:t>应急方案较为完整、基本响应需求的得3分；</w:t>
            </w:r>
          </w:p>
          <w:p w14:paraId="47005B90">
            <w:pPr>
              <w:spacing w:line="380" w:lineRule="exact"/>
              <w:jc w:val="both"/>
              <w:rPr>
                <w:rFonts w:ascii="宋体" w:hAnsi="宋体"/>
                <w:sz w:val="21"/>
                <w:szCs w:val="21"/>
              </w:rPr>
            </w:pPr>
            <w:r>
              <w:rPr>
                <w:rFonts w:hint="eastAsia" w:ascii="宋体" w:hAnsi="宋体"/>
                <w:sz w:val="21"/>
                <w:szCs w:val="21"/>
              </w:rPr>
              <w:t>应急方案不完整，响应度低的得1分；</w:t>
            </w:r>
          </w:p>
          <w:p w14:paraId="52BAA5DC">
            <w:pPr>
              <w:spacing w:line="300" w:lineRule="exact"/>
              <w:jc w:val="both"/>
              <w:rPr>
                <w:rFonts w:hint="eastAsia" w:ascii="宋体" w:hAnsi="宋体"/>
                <w:sz w:val="21"/>
                <w:szCs w:val="21"/>
              </w:rPr>
            </w:pPr>
            <w:r>
              <w:rPr>
                <w:rFonts w:hint="eastAsia" w:ascii="宋体" w:hAnsi="宋体"/>
                <w:sz w:val="21"/>
                <w:szCs w:val="21"/>
              </w:rPr>
              <w:t>未提供不得分。</w:t>
            </w:r>
          </w:p>
        </w:tc>
        <w:tc>
          <w:tcPr>
            <w:tcW w:w="572" w:type="dxa"/>
            <w:noWrap w:val="0"/>
            <w:vAlign w:val="center"/>
          </w:tcPr>
          <w:p w14:paraId="61F238DE">
            <w:pPr>
              <w:jc w:val="both"/>
              <w:rPr>
                <w:rFonts w:hint="eastAsia"/>
                <w:sz w:val="21"/>
                <w:szCs w:val="21"/>
                <w:lang w:val="en-US" w:eastAsia="zh-CN"/>
              </w:rPr>
            </w:pPr>
            <w:r>
              <w:rPr>
                <w:rFonts w:hint="eastAsia"/>
                <w:sz w:val="21"/>
                <w:szCs w:val="21"/>
                <w:lang w:val="en-US" w:eastAsia="zh-CN"/>
              </w:rPr>
              <w:t>6</w:t>
            </w:r>
            <w:r>
              <w:rPr>
                <w:rFonts w:hint="eastAsia"/>
                <w:sz w:val="21"/>
                <w:szCs w:val="21"/>
              </w:rPr>
              <w:t>分</w:t>
            </w:r>
          </w:p>
        </w:tc>
      </w:tr>
      <w:tr w14:paraId="133FC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vMerge w:val="restart"/>
            <w:noWrap w:val="0"/>
            <w:vAlign w:val="center"/>
          </w:tcPr>
          <w:p w14:paraId="1D5DBB20">
            <w:pPr>
              <w:jc w:val="both"/>
              <w:rPr>
                <w:rFonts w:hint="eastAsia" w:eastAsia="宋体"/>
                <w:sz w:val="21"/>
                <w:szCs w:val="21"/>
                <w:lang w:eastAsia="zh-CN"/>
              </w:rPr>
            </w:pPr>
            <w:r>
              <w:rPr>
                <w:rFonts w:hint="eastAsia" w:ascii="宋体" w:hAnsi="宋体"/>
                <w:sz w:val="18"/>
                <w:szCs w:val="18"/>
              </w:rPr>
              <w:t>项目岗位</w:t>
            </w:r>
            <w:r>
              <w:rPr>
                <w:rFonts w:hint="eastAsia" w:ascii="宋体" w:hAnsi="宋体"/>
                <w:sz w:val="18"/>
                <w:szCs w:val="18"/>
                <w:lang w:eastAsia="zh-CN"/>
              </w:rPr>
              <w:t>人员</w:t>
            </w:r>
            <w:r>
              <w:rPr>
                <w:rFonts w:hint="eastAsia" w:ascii="宋体" w:hAnsi="宋体"/>
                <w:sz w:val="18"/>
                <w:szCs w:val="18"/>
              </w:rPr>
              <w:t>与</w:t>
            </w:r>
            <w:r>
              <w:rPr>
                <w:rFonts w:hint="eastAsia" w:ascii="宋体" w:hAnsi="宋体"/>
                <w:sz w:val="18"/>
                <w:szCs w:val="18"/>
                <w:lang w:eastAsia="zh-CN"/>
              </w:rPr>
              <w:t>业绩</w:t>
            </w:r>
            <w:r>
              <w:rPr>
                <w:rFonts w:hint="eastAsia"/>
                <w:sz w:val="21"/>
                <w:szCs w:val="21"/>
                <w:lang w:eastAsia="zh-CN"/>
              </w:rPr>
              <w:t>（</w:t>
            </w:r>
            <w:r>
              <w:rPr>
                <w:rFonts w:hint="eastAsia"/>
                <w:sz w:val="21"/>
                <w:szCs w:val="21"/>
                <w:lang w:val="en-US" w:eastAsia="zh-CN"/>
              </w:rPr>
              <w:t>22分</w:t>
            </w:r>
            <w:r>
              <w:rPr>
                <w:rFonts w:hint="eastAsia"/>
                <w:sz w:val="21"/>
                <w:szCs w:val="21"/>
                <w:lang w:eastAsia="zh-CN"/>
              </w:rPr>
              <w:t>）</w:t>
            </w:r>
          </w:p>
        </w:tc>
        <w:tc>
          <w:tcPr>
            <w:tcW w:w="1486" w:type="dxa"/>
            <w:noWrap w:val="0"/>
            <w:vAlign w:val="center"/>
          </w:tcPr>
          <w:p w14:paraId="2560FEA6">
            <w:pPr>
              <w:jc w:val="both"/>
              <w:rPr>
                <w:rFonts w:hint="eastAsia"/>
                <w:sz w:val="21"/>
                <w:szCs w:val="21"/>
              </w:rPr>
            </w:pPr>
            <w:r>
              <w:rPr>
                <w:rFonts w:hint="eastAsia"/>
                <w:sz w:val="21"/>
                <w:szCs w:val="21"/>
              </w:rPr>
              <w:t>1、类似业绩</w:t>
            </w:r>
          </w:p>
        </w:tc>
        <w:tc>
          <w:tcPr>
            <w:tcW w:w="7491" w:type="dxa"/>
            <w:noWrap w:val="0"/>
            <w:vAlign w:val="center"/>
          </w:tcPr>
          <w:p w14:paraId="07C6413F">
            <w:pPr>
              <w:jc w:val="both"/>
              <w:rPr>
                <w:rFonts w:hint="eastAsia"/>
                <w:sz w:val="21"/>
                <w:szCs w:val="21"/>
              </w:rPr>
            </w:pPr>
            <w:r>
              <w:rPr>
                <w:rFonts w:hint="eastAsia"/>
                <w:color w:val="auto"/>
                <w:sz w:val="21"/>
                <w:szCs w:val="21"/>
              </w:rPr>
              <w:t>投标供应商</w:t>
            </w:r>
            <w:r>
              <w:rPr>
                <w:rFonts w:hint="eastAsia"/>
                <w:color w:val="auto"/>
                <w:sz w:val="21"/>
                <w:szCs w:val="21"/>
                <w:lang w:val="en-US" w:eastAsia="zh-CN"/>
              </w:rPr>
              <w:t>提供</w:t>
            </w:r>
            <w:r>
              <w:rPr>
                <w:rFonts w:hint="eastAsia"/>
                <w:color w:val="auto"/>
                <w:sz w:val="21"/>
                <w:szCs w:val="21"/>
              </w:rPr>
              <w:t>自202</w:t>
            </w:r>
            <w:r>
              <w:rPr>
                <w:rFonts w:hint="eastAsia"/>
                <w:color w:val="auto"/>
                <w:sz w:val="21"/>
                <w:szCs w:val="21"/>
                <w:lang w:val="en-US" w:eastAsia="zh-CN"/>
              </w:rPr>
              <w:t>2</w:t>
            </w:r>
            <w:r>
              <w:rPr>
                <w:rFonts w:hint="eastAsia"/>
                <w:color w:val="auto"/>
                <w:sz w:val="21"/>
                <w:szCs w:val="21"/>
              </w:rPr>
              <w:t>年1月1日</w:t>
            </w:r>
            <w:r>
              <w:rPr>
                <w:rFonts w:hint="eastAsia"/>
                <w:color w:val="auto"/>
                <w:sz w:val="21"/>
                <w:szCs w:val="21"/>
                <w:lang w:eastAsia="zh-CN"/>
              </w:rPr>
              <w:t>（</w:t>
            </w:r>
            <w:r>
              <w:rPr>
                <w:rFonts w:hint="eastAsia"/>
                <w:color w:val="auto"/>
                <w:sz w:val="21"/>
                <w:szCs w:val="21"/>
                <w:lang w:val="en-US" w:eastAsia="zh-CN"/>
              </w:rPr>
              <w:t>以签订合同时间为准</w:t>
            </w:r>
            <w:r>
              <w:rPr>
                <w:rFonts w:hint="eastAsia"/>
                <w:color w:val="auto"/>
                <w:sz w:val="21"/>
                <w:szCs w:val="21"/>
                <w:lang w:eastAsia="zh-CN"/>
              </w:rPr>
              <w:t>）</w:t>
            </w:r>
            <w:r>
              <w:rPr>
                <w:rFonts w:hint="eastAsia"/>
                <w:color w:val="auto"/>
                <w:sz w:val="21"/>
                <w:szCs w:val="21"/>
              </w:rPr>
              <w:t>以来承担过类似学校军事化管理项目或军事训练项目业绩的，每提供一项得</w:t>
            </w:r>
            <w:r>
              <w:rPr>
                <w:rFonts w:hint="eastAsia"/>
                <w:color w:val="auto"/>
                <w:sz w:val="21"/>
                <w:szCs w:val="21"/>
                <w:lang w:val="en-US" w:eastAsia="zh-CN"/>
              </w:rPr>
              <w:t>2</w:t>
            </w:r>
            <w:r>
              <w:rPr>
                <w:rFonts w:hint="eastAsia"/>
                <w:color w:val="auto"/>
                <w:sz w:val="21"/>
                <w:szCs w:val="21"/>
              </w:rPr>
              <w:t>分，最高得</w:t>
            </w:r>
            <w:r>
              <w:rPr>
                <w:rFonts w:hint="eastAsia"/>
                <w:color w:val="auto"/>
                <w:sz w:val="21"/>
                <w:szCs w:val="21"/>
                <w:lang w:val="en-US" w:eastAsia="zh-CN"/>
              </w:rPr>
              <w:t>8</w:t>
            </w:r>
            <w:r>
              <w:rPr>
                <w:rFonts w:hint="eastAsia"/>
                <w:color w:val="auto"/>
                <w:sz w:val="21"/>
                <w:szCs w:val="21"/>
              </w:rPr>
              <w:t>分。（投标时提供合同和结算发票扫描件，不提供或提供不全的不得分）。</w:t>
            </w:r>
          </w:p>
        </w:tc>
        <w:tc>
          <w:tcPr>
            <w:tcW w:w="572" w:type="dxa"/>
            <w:noWrap w:val="0"/>
            <w:vAlign w:val="center"/>
          </w:tcPr>
          <w:p w14:paraId="070A0B0F">
            <w:pPr>
              <w:jc w:val="both"/>
              <w:rPr>
                <w:rFonts w:hint="eastAsia"/>
                <w:sz w:val="21"/>
                <w:szCs w:val="21"/>
              </w:rPr>
            </w:pPr>
            <w:r>
              <w:rPr>
                <w:rFonts w:hint="eastAsia"/>
                <w:sz w:val="21"/>
                <w:szCs w:val="21"/>
                <w:lang w:val="en-US" w:eastAsia="zh-CN"/>
              </w:rPr>
              <w:t>8</w:t>
            </w:r>
            <w:r>
              <w:rPr>
                <w:rFonts w:hint="eastAsia"/>
                <w:sz w:val="21"/>
                <w:szCs w:val="21"/>
              </w:rPr>
              <w:t>分</w:t>
            </w:r>
          </w:p>
        </w:tc>
      </w:tr>
      <w:tr w14:paraId="7B0E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687" w:type="dxa"/>
            <w:vMerge w:val="continue"/>
            <w:noWrap w:val="0"/>
            <w:vAlign w:val="center"/>
          </w:tcPr>
          <w:p w14:paraId="62EA963E">
            <w:pPr>
              <w:jc w:val="both"/>
              <w:rPr>
                <w:rFonts w:hint="eastAsia"/>
                <w:sz w:val="21"/>
                <w:szCs w:val="21"/>
              </w:rPr>
            </w:pPr>
          </w:p>
        </w:tc>
        <w:tc>
          <w:tcPr>
            <w:tcW w:w="1486" w:type="dxa"/>
            <w:noWrap w:val="0"/>
            <w:vAlign w:val="center"/>
          </w:tcPr>
          <w:p w14:paraId="7781518E">
            <w:pPr>
              <w:jc w:val="both"/>
              <w:rPr>
                <w:rFonts w:hint="eastAsia"/>
                <w:sz w:val="21"/>
                <w:szCs w:val="21"/>
              </w:rPr>
            </w:pPr>
            <w:r>
              <w:rPr>
                <w:rFonts w:hint="eastAsia"/>
                <w:sz w:val="21"/>
                <w:szCs w:val="21"/>
                <w:lang w:val="en-US" w:eastAsia="zh-CN"/>
              </w:rPr>
              <w:t>2</w:t>
            </w:r>
            <w:r>
              <w:rPr>
                <w:rFonts w:hint="eastAsia"/>
                <w:sz w:val="21"/>
                <w:szCs w:val="21"/>
              </w:rPr>
              <w:t>、</w:t>
            </w:r>
            <w:r>
              <w:rPr>
                <w:rFonts w:hint="eastAsia"/>
                <w:sz w:val="21"/>
                <w:szCs w:val="21"/>
                <w:lang w:val="en-US" w:eastAsia="zh-CN"/>
              </w:rPr>
              <w:t>项目</w:t>
            </w:r>
            <w:r>
              <w:rPr>
                <w:rFonts w:hint="eastAsia"/>
                <w:sz w:val="21"/>
                <w:szCs w:val="21"/>
              </w:rPr>
              <w:t>人员</w:t>
            </w:r>
          </w:p>
        </w:tc>
        <w:tc>
          <w:tcPr>
            <w:tcW w:w="7491" w:type="dxa"/>
            <w:noWrap w:val="0"/>
            <w:vAlign w:val="center"/>
          </w:tcPr>
          <w:p w14:paraId="4A657CED">
            <w:pPr>
              <w:jc w:val="both"/>
              <w:rPr>
                <w:rFonts w:hint="eastAsia"/>
                <w:sz w:val="21"/>
                <w:szCs w:val="21"/>
              </w:rPr>
            </w:pPr>
            <w:r>
              <w:rPr>
                <w:rFonts w:hint="eastAsia"/>
                <w:sz w:val="21"/>
                <w:szCs w:val="21"/>
              </w:rPr>
              <w:t>（1）投入本项目的工作人员，其中满3人是退伍军人的得5分，多一人是退伍军人得1分，本项最高分8分。（提供投入本项目的工作人员在202</w:t>
            </w:r>
            <w:r>
              <w:rPr>
                <w:rFonts w:hint="eastAsia"/>
                <w:sz w:val="21"/>
                <w:szCs w:val="21"/>
                <w:lang w:val="en-US" w:eastAsia="zh-CN"/>
              </w:rPr>
              <w:t>6</w:t>
            </w:r>
            <w:r>
              <w:rPr>
                <w:rFonts w:hint="eastAsia"/>
                <w:sz w:val="21"/>
                <w:szCs w:val="21"/>
              </w:rPr>
              <w:t>年</w:t>
            </w:r>
            <w:r>
              <w:rPr>
                <w:rFonts w:hint="eastAsia"/>
                <w:sz w:val="21"/>
                <w:szCs w:val="21"/>
                <w:lang w:val="en-US" w:eastAsia="zh-CN"/>
              </w:rPr>
              <w:t>4</w:t>
            </w:r>
            <w:r>
              <w:rPr>
                <w:rFonts w:hint="eastAsia"/>
                <w:sz w:val="21"/>
                <w:szCs w:val="21"/>
              </w:rPr>
              <w:t>月-202</w:t>
            </w:r>
            <w:r>
              <w:rPr>
                <w:rFonts w:hint="eastAsia"/>
                <w:sz w:val="21"/>
                <w:szCs w:val="21"/>
                <w:lang w:val="en-US" w:eastAsia="zh-CN"/>
              </w:rPr>
              <w:t>6</w:t>
            </w:r>
            <w:r>
              <w:rPr>
                <w:rFonts w:hint="eastAsia"/>
                <w:sz w:val="21"/>
                <w:szCs w:val="21"/>
              </w:rPr>
              <w:t>年</w:t>
            </w:r>
            <w:r>
              <w:rPr>
                <w:rFonts w:hint="eastAsia"/>
                <w:sz w:val="21"/>
                <w:szCs w:val="21"/>
                <w:lang w:val="en-US" w:eastAsia="zh-CN"/>
              </w:rPr>
              <w:t>6</w:t>
            </w:r>
            <w:r>
              <w:rPr>
                <w:rFonts w:hint="eastAsia"/>
                <w:sz w:val="21"/>
                <w:szCs w:val="21"/>
              </w:rPr>
              <w:t>月任意1个月缴纳的养老保险证明和202</w:t>
            </w:r>
            <w:r>
              <w:rPr>
                <w:rFonts w:hint="eastAsia"/>
                <w:sz w:val="21"/>
                <w:szCs w:val="21"/>
                <w:lang w:val="en-US" w:eastAsia="zh-CN"/>
              </w:rPr>
              <w:t>6</w:t>
            </w:r>
            <w:r>
              <w:rPr>
                <w:rFonts w:hint="eastAsia"/>
                <w:sz w:val="21"/>
                <w:szCs w:val="21"/>
              </w:rPr>
              <w:t>年</w:t>
            </w:r>
            <w:r>
              <w:rPr>
                <w:rFonts w:hint="eastAsia"/>
                <w:sz w:val="21"/>
                <w:szCs w:val="21"/>
                <w:lang w:val="en-US" w:eastAsia="zh-CN"/>
              </w:rPr>
              <w:t>4</w:t>
            </w:r>
            <w:r>
              <w:rPr>
                <w:rFonts w:hint="eastAsia"/>
                <w:sz w:val="21"/>
                <w:szCs w:val="21"/>
              </w:rPr>
              <w:t>月-202</w:t>
            </w:r>
            <w:r>
              <w:rPr>
                <w:rFonts w:hint="eastAsia"/>
                <w:sz w:val="21"/>
                <w:szCs w:val="21"/>
                <w:lang w:val="en-US" w:eastAsia="zh-CN"/>
              </w:rPr>
              <w:t>6</w:t>
            </w:r>
            <w:r>
              <w:rPr>
                <w:rFonts w:hint="eastAsia"/>
                <w:sz w:val="21"/>
                <w:szCs w:val="21"/>
              </w:rPr>
              <w:t>年</w:t>
            </w:r>
            <w:r>
              <w:rPr>
                <w:rFonts w:hint="eastAsia"/>
                <w:sz w:val="21"/>
                <w:szCs w:val="21"/>
                <w:lang w:val="en-US" w:eastAsia="zh-CN"/>
              </w:rPr>
              <w:t>6</w:t>
            </w:r>
            <w:r>
              <w:rPr>
                <w:rFonts w:hint="eastAsia"/>
                <w:sz w:val="21"/>
                <w:szCs w:val="21"/>
              </w:rPr>
              <w:t>月任意1个月的银行工资流水扫描件，退伍证书原件扫描件，未提供不得分）</w:t>
            </w:r>
          </w:p>
          <w:p w14:paraId="0193F020">
            <w:pPr>
              <w:jc w:val="both"/>
              <w:rPr>
                <w:rFonts w:hint="eastAsia"/>
                <w:sz w:val="21"/>
                <w:szCs w:val="21"/>
              </w:rPr>
            </w:pPr>
            <w:r>
              <w:rPr>
                <w:rFonts w:hint="eastAsia"/>
                <w:sz w:val="21"/>
                <w:szCs w:val="21"/>
              </w:rPr>
              <w:t>（2）投入本项目的工作人员中参加过类似工作经验的，有一个得1分，本项最高得6分。（投标时提供采购人盖章证明材料原件扫描件，不提供不得分）</w:t>
            </w:r>
          </w:p>
        </w:tc>
        <w:tc>
          <w:tcPr>
            <w:tcW w:w="572" w:type="dxa"/>
            <w:noWrap w:val="0"/>
            <w:vAlign w:val="center"/>
          </w:tcPr>
          <w:p w14:paraId="6D0613FD">
            <w:pPr>
              <w:jc w:val="both"/>
              <w:rPr>
                <w:rFonts w:hint="eastAsia"/>
                <w:sz w:val="21"/>
                <w:szCs w:val="21"/>
              </w:rPr>
            </w:pPr>
            <w:r>
              <w:rPr>
                <w:rFonts w:hint="eastAsia"/>
                <w:sz w:val="21"/>
                <w:szCs w:val="21"/>
                <w:lang w:val="en-US" w:eastAsia="zh-CN"/>
              </w:rPr>
              <w:t>14</w:t>
            </w:r>
            <w:r>
              <w:rPr>
                <w:rFonts w:hint="eastAsia"/>
                <w:sz w:val="21"/>
                <w:szCs w:val="21"/>
              </w:rPr>
              <w:t>分</w:t>
            </w:r>
          </w:p>
        </w:tc>
      </w:tr>
      <w:bookmarkEnd w:id="129"/>
    </w:tbl>
    <w:p w14:paraId="649CF50A">
      <w:pPr>
        <w:pStyle w:val="2"/>
        <w:jc w:val="center"/>
        <w:rPr>
          <w:rFonts w:hint="eastAsia" w:ascii="宋体" w:hAnsi="宋体"/>
          <w:color w:val="000000" w:themeColor="text1"/>
          <w:sz w:val="36"/>
          <w14:textFill>
            <w14:solidFill>
              <w14:schemeClr w14:val="tx1"/>
            </w14:solidFill>
          </w14:textFill>
        </w:rPr>
      </w:pPr>
    </w:p>
    <w:p w14:paraId="39BE670C">
      <w:pPr>
        <w:pStyle w:val="2"/>
        <w:jc w:val="both"/>
        <w:rPr>
          <w:rFonts w:hint="eastAsia" w:ascii="宋体" w:hAnsi="宋体"/>
          <w:color w:val="000000" w:themeColor="text1"/>
          <w:sz w:val="36"/>
          <w14:textFill>
            <w14:solidFill>
              <w14:schemeClr w14:val="tx1"/>
            </w14:solidFill>
          </w14:textFill>
        </w:rPr>
      </w:pPr>
    </w:p>
    <w:p w14:paraId="2A4A1302">
      <w:pPr>
        <w:pStyle w:val="2"/>
        <w:keepNext/>
        <w:keepLines/>
        <w:pageBreakBefore/>
        <w:widowControl w:val="0"/>
        <w:kinsoku/>
        <w:wordWrap/>
        <w:overflowPunct/>
        <w:topLinePunct w:val="0"/>
        <w:autoSpaceDE/>
        <w:autoSpaceDN/>
        <w:bidi w:val="0"/>
        <w:adjustRightInd/>
        <w:snapToGrid/>
        <w:spacing w:line="579" w:lineRule="auto"/>
        <w:jc w:val="center"/>
        <w:textAlignment w:val="auto"/>
        <w:rPr>
          <w:rFonts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t>第六章 投标文件格式</w:t>
      </w:r>
    </w:p>
    <w:p w14:paraId="31DEFDEB">
      <w:pPr>
        <w:jc w:val="center"/>
        <w:rPr>
          <w:rFonts w:ascii="宋体" w:hAnsi="宋体"/>
          <w:b/>
          <w:color w:val="000000" w:themeColor="text1"/>
          <w:sz w:val="36"/>
          <w14:textFill>
            <w14:solidFill>
              <w14:schemeClr w14:val="tx1"/>
            </w14:solidFill>
          </w14:textFill>
        </w:rPr>
      </w:pPr>
    </w:p>
    <w:p w14:paraId="2987C68D">
      <w:pPr>
        <w:jc w:val="center"/>
        <w:rPr>
          <w:rFonts w:ascii="宋体" w:hAnsi="宋体"/>
          <w:b/>
          <w:color w:val="000000" w:themeColor="text1"/>
          <w:szCs w:val="21"/>
          <w14:textFill>
            <w14:solidFill>
              <w14:schemeClr w14:val="tx1"/>
            </w14:solidFill>
          </w14:textFill>
        </w:rPr>
      </w:pPr>
    </w:p>
    <w:p w14:paraId="2898A046">
      <w:pPr>
        <w:jc w:val="center"/>
        <w:rPr>
          <w:rFonts w:ascii="宋体" w:hAnsi="宋体"/>
          <w:b/>
          <w:color w:val="000000" w:themeColor="text1"/>
          <w:sz w:val="22"/>
          <w:szCs w:val="21"/>
          <w14:textFill>
            <w14:solidFill>
              <w14:schemeClr w14:val="tx1"/>
            </w14:solidFill>
          </w14:textFill>
        </w:rPr>
      </w:pPr>
    </w:p>
    <w:p w14:paraId="50884E66">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投  标  文  件</w:t>
      </w:r>
    </w:p>
    <w:p w14:paraId="7581E655">
      <w:pPr>
        <w:jc w:val="center"/>
        <w:rPr>
          <w:rFonts w:ascii="宋体" w:hAnsi="宋体"/>
          <w:b/>
          <w:color w:val="000000" w:themeColor="text1"/>
          <w:sz w:val="72"/>
          <w14:textFill>
            <w14:solidFill>
              <w14:schemeClr w14:val="tx1"/>
            </w14:solidFill>
          </w14:textFill>
        </w:rPr>
      </w:pPr>
    </w:p>
    <w:p w14:paraId="09B3B938">
      <w:pPr>
        <w:jc w:val="center"/>
        <w:rPr>
          <w:rFonts w:ascii="宋体" w:hAnsi="宋体"/>
          <w:b/>
          <w:color w:val="000000" w:themeColor="text1"/>
          <w:sz w:val="72"/>
          <w14:textFill>
            <w14:solidFill>
              <w14:schemeClr w14:val="tx1"/>
            </w14:solidFill>
          </w14:textFill>
        </w:rPr>
      </w:pPr>
    </w:p>
    <w:p w14:paraId="6EB46F6D">
      <w:pPr>
        <w:jc w:val="center"/>
        <w:rPr>
          <w:rFonts w:ascii="宋体" w:hAnsi="宋体"/>
          <w:b/>
          <w:color w:val="000000" w:themeColor="text1"/>
          <w:sz w:val="36"/>
          <w14:textFill>
            <w14:solidFill>
              <w14:schemeClr w14:val="tx1"/>
            </w14:solidFill>
          </w14:textFill>
        </w:rPr>
      </w:pPr>
    </w:p>
    <w:p w14:paraId="548011D0">
      <w:pPr>
        <w:jc w:val="center"/>
        <w:rPr>
          <w:rFonts w:ascii="宋体" w:hAnsi="宋体"/>
          <w:b/>
          <w:color w:val="000000" w:themeColor="text1"/>
          <w:sz w:val="36"/>
          <w14:textFill>
            <w14:solidFill>
              <w14:schemeClr w14:val="tx1"/>
            </w14:solidFill>
          </w14:textFill>
        </w:rPr>
      </w:pPr>
    </w:p>
    <w:p w14:paraId="1E31F7E6">
      <w:pPr>
        <w:jc w:val="center"/>
        <w:rPr>
          <w:rFonts w:ascii="宋体" w:hAnsi="宋体"/>
          <w:b/>
          <w:color w:val="000000" w:themeColor="text1"/>
          <w:sz w:val="36"/>
          <w14:textFill>
            <w14:solidFill>
              <w14:schemeClr w14:val="tx1"/>
            </w14:solidFill>
          </w14:textFill>
        </w:rPr>
      </w:pPr>
    </w:p>
    <w:p w14:paraId="4AF5D511">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项 目 名 称：</w:t>
      </w:r>
      <w:r>
        <w:rPr>
          <w:rFonts w:hint="eastAsia" w:ascii="宋体" w:hAnsi="宋体"/>
          <w:b/>
          <w:color w:val="000000" w:themeColor="text1"/>
          <w:sz w:val="28"/>
          <w:szCs w:val="28"/>
          <w:u w:val="single"/>
          <w14:textFill>
            <w14:solidFill>
              <w14:schemeClr w14:val="tx1"/>
            </w14:solidFill>
          </w14:textFill>
        </w:rPr>
        <w:t xml:space="preserve">　　　　　　     　　 </w:t>
      </w:r>
    </w:p>
    <w:p w14:paraId="6CC5B3F2">
      <w:pPr>
        <w:ind w:firstLine="1084"/>
        <w:rPr>
          <w:rFonts w:ascii="宋体" w:hAnsi="宋体"/>
          <w:bCs/>
          <w:color w:val="000000" w:themeColor="text1"/>
          <w:sz w:val="28"/>
          <w:szCs w:val="28"/>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编       号：</w:t>
      </w:r>
    </w:p>
    <w:p w14:paraId="51A3893B">
      <w:pPr>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p>
    <w:p w14:paraId="588BF3AE">
      <w:pP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p>
    <w:p w14:paraId="6919E10F">
      <w:pPr>
        <w:spacing w:line="440" w:lineRule="exact"/>
        <w:jc w:val="center"/>
        <w:rPr>
          <w:rFonts w:ascii="宋体" w:hAnsi="宋体"/>
          <w:b/>
          <w:bCs/>
          <w:color w:val="000000" w:themeColor="text1"/>
          <w:sz w:val="32"/>
          <w:szCs w:val="32"/>
          <w14:textFill>
            <w14:solidFill>
              <w14:schemeClr w14:val="tx1"/>
            </w14:solidFill>
          </w14:textFill>
        </w:rPr>
      </w:pPr>
    </w:p>
    <w:p w14:paraId="7AAEC568">
      <w:pPr>
        <w:spacing w:line="440" w:lineRule="exact"/>
        <w:ind w:firstLine="480"/>
        <w:rPr>
          <w:rFonts w:ascii="宋体" w:hAnsi="宋体"/>
          <w:color w:val="000000" w:themeColor="text1"/>
          <w:sz w:val="24"/>
          <w14:textFill>
            <w14:solidFill>
              <w14:schemeClr w14:val="tx1"/>
            </w14:solidFill>
          </w14:textFill>
        </w:rPr>
      </w:pPr>
    </w:p>
    <w:p w14:paraId="651EC4A7">
      <w:pPr>
        <w:spacing w:line="440" w:lineRule="exact"/>
        <w:ind w:firstLine="480"/>
        <w:rPr>
          <w:rFonts w:ascii="宋体" w:hAnsi="宋体"/>
          <w:color w:val="000000" w:themeColor="text1"/>
          <w:sz w:val="24"/>
          <w14:textFill>
            <w14:solidFill>
              <w14:schemeClr w14:val="tx1"/>
            </w14:solidFill>
          </w14:textFill>
        </w:rPr>
      </w:pPr>
    </w:p>
    <w:p w14:paraId="5C0C908C">
      <w:pPr>
        <w:jc w:val="center"/>
        <w:rPr>
          <w:b/>
          <w:bCs/>
          <w:color w:val="000000" w:themeColor="text1"/>
          <w:sz w:val="32"/>
          <w:szCs w:val="32"/>
          <w:shd w:val="clear" w:color="auto" w:fill="FFFFFF"/>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p>
    <w:p w14:paraId="3B69457F">
      <w:pPr>
        <w:jc w:val="center"/>
        <w:rPr>
          <w:rFonts w:ascii="宋体" w:hAnsi="宋体"/>
          <w:b/>
          <w:color w:val="000000" w:themeColor="text1"/>
          <w:szCs w:val="21"/>
          <w14:textFill>
            <w14:solidFill>
              <w14:schemeClr w14:val="tx1"/>
            </w14:solidFill>
          </w14:textFill>
        </w:rPr>
      </w:pPr>
      <w:r>
        <w:rPr>
          <w:rFonts w:hint="eastAsia"/>
          <w:b/>
          <w:bCs/>
          <w:color w:val="000000" w:themeColor="text1"/>
          <w:sz w:val="32"/>
          <w:szCs w:val="32"/>
          <w:shd w:val="clear" w:color="auto" w:fill="FFFFFF"/>
          <w14:textFill>
            <w14:solidFill>
              <w14:schemeClr w14:val="tx1"/>
            </w14:solidFill>
          </w14:textFill>
        </w:rPr>
        <w:t>投标主要文件目录</w:t>
      </w:r>
    </w:p>
    <w:p w14:paraId="2AF4A411">
      <w:pPr>
        <w:pStyle w:val="229"/>
        <w:shd w:val="clear" w:color="auto" w:fill="FFFFFF"/>
        <w:spacing w:before="0" w:beforeAutospacing="0" w:after="0" w:afterAutospacing="0" w:line="360" w:lineRule="auto"/>
        <w:ind w:firstLine="480"/>
        <w:jc w:val="both"/>
        <w:rPr>
          <w:rFonts w:ascii="Calibri" w:hAnsi="Calibri"/>
          <w:color w:val="000000" w:themeColor="text1"/>
          <w:sz w:val="21"/>
          <w:szCs w:val="21"/>
          <w14:textFill>
            <w14:solidFill>
              <w14:schemeClr w14:val="tx1"/>
            </w14:solidFill>
          </w14:textFill>
        </w:rPr>
      </w:pPr>
      <w:r>
        <w:rPr>
          <w:rStyle w:val="228"/>
          <w:rFonts w:ascii="Calibri" w:hAnsi="Calibri"/>
          <w:color w:val="000000" w:themeColor="text1"/>
          <w14:textFill>
            <w14:solidFill>
              <w14:schemeClr w14:val="tx1"/>
            </w14:solidFill>
          </w14:textFill>
        </w:rPr>
        <w:t>一、资格审查响应对照表</w:t>
      </w:r>
    </w:p>
    <w:p w14:paraId="4B2235F1">
      <w:pPr>
        <w:pStyle w:val="229"/>
        <w:shd w:val="clear" w:color="auto" w:fill="FFFFFF"/>
        <w:spacing w:before="0" w:beforeAutospacing="0" w:after="0" w:afterAutospacing="0" w:line="360" w:lineRule="auto"/>
        <w:ind w:left="480"/>
        <w:jc w:val="both"/>
        <w:rPr>
          <w:rFonts w:ascii="Calibri" w:hAnsi="Calibri"/>
          <w:color w:val="000000" w:themeColor="text1"/>
          <w:sz w:val="21"/>
          <w:szCs w:val="21"/>
          <w14:textFill>
            <w14:solidFill>
              <w14:schemeClr w14:val="tx1"/>
            </w14:solidFill>
          </w14:textFill>
        </w:rPr>
      </w:pPr>
      <w:r>
        <w:rPr>
          <w:rStyle w:val="228"/>
          <w:rFonts w:ascii="Calibri" w:hAnsi="Calibri"/>
          <w:color w:val="000000" w:themeColor="text1"/>
          <w14:textFill>
            <w14:solidFill>
              <w14:schemeClr w14:val="tx1"/>
            </w14:solidFill>
          </w14:textFill>
        </w:rPr>
        <w:t>二、符合性审查响应对照表</w:t>
      </w:r>
    </w:p>
    <w:p w14:paraId="2CED8181">
      <w:pPr>
        <w:pStyle w:val="229"/>
        <w:shd w:val="clear" w:color="auto" w:fill="FFFFFF"/>
        <w:spacing w:before="0" w:beforeAutospacing="0" w:after="0" w:afterAutospacing="0" w:line="360" w:lineRule="auto"/>
        <w:ind w:left="480"/>
        <w:jc w:val="both"/>
        <w:rPr>
          <w:rFonts w:ascii="Calibri" w:hAnsi="Calibri"/>
          <w:color w:val="000000" w:themeColor="text1"/>
          <w:sz w:val="21"/>
          <w:szCs w:val="21"/>
          <w14:textFill>
            <w14:solidFill>
              <w14:schemeClr w14:val="tx1"/>
            </w14:solidFill>
          </w14:textFill>
        </w:rPr>
      </w:pPr>
      <w:r>
        <w:rPr>
          <w:rStyle w:val="228"/>
          <w:rFonts w:ascii="Calibri" w:hAnsi="Calibri"/>
          <w:color w:val="000000" w:themeColor="text1"/>
          <w14:textFill>
            <w14:solidFill>
              <w14:schemeClr w14:val="tx1"/>
            </w14:solidFill>
          </w14:textFill>
        </w:rPr>
        <w:t>三、非实质性响应对照表</w:t>
      </w:r>
    </w:p>
    <w:p w14:paraId="661FEC51">
      <w:pPr>
        <w:pStyle w:val="229"/>
        <w:shd w:val="clear" w:color="auto" w:fill="FFFFFF"/>
        <w:spacing w:before="0" w:beforeAutospacing="0" w:after="0" w:afterAutospacing="0" w:line="360" w:lineRule="auto"/>
        <w:ind w:firstLine="480"/>
        <w:jc w:val="both"/>
        <w:rPr>
          <w:rStyle w:val="228"/>
          <w:rFonts w:ascii="Calibri" w:hAnsi="Calibri"/>
          <w:i/>
          <w:iCs/>
          <w:color w:val="000000" w:themeColor="text1"/>
          <w:u w:val="single"/>
          <w14:textFill>
            <w14:solidFill>
              <w14:schemeClr w14:val="tx1"/>
            </w14:solidFill>
          </w14:textFill>
        </w:rPr>
      </w:pPr>
      <w:r>
        <w:rPr>
          <w:rStyle w:val="228"/>
          <w:rFonts w:ascii="Calibri" w:hAnsi="Calibri"/>
          <w:color w:val="000000" w:themeColor="text1"/>
          <w14:textFill>
            <w14:solidFill>
              <w14:schemeClr w14:val="tx1"/>
            </w14:solidFill>
          </w14:textFill>
        </w:rPr>
        <w:t>四</w:t>
      </w:r>
      <w:r>
        <w:rPr>
          <w:rStyle w:val="228"/>
          <w:rFonts w:ascii="Calibri" w:hAnsi="Calibri"/>
          <w:b/>
          <w:bCs/>
          <w:color w:val="000000" w:themeColor="text1"/>
          <w14:textFill>
            <w14:solidFill>
              <w14:schemeClr w14:val="tx1"/>
            </w14:solidFill>
          </w14:textFill>
        </w:rPr>
        <w:t>、</w:t>
      </w:r>
      <w:r>
        <w:rPr>
          <w:rStyle w:val="228"/>
          <w:rFonts w:ascii="Calibri" w:hAnsi="Calibri"/>
          <w:i/>
          <w:iCs/>
          <w:color w:val="000000" w:themeColor="text1"/>
          <w:u w:val="single"/>
          <w14:textFill>
            <w14:solidFill>
              <w14:schemeClr w14:val="tx1"/>
            </w14:solidFill>
          </w14:textFill>
        </w:rPr>
        <w:t>开标一览表</w:t>
      </w:r>
    </w:p>
    <w:p w14:paraId="0E5F7298">
      <w:pPr>
        <w:pStyle w:val="229"/>
        <w:shd w:val="clear" w:color="auto" w:fill="FFFFFF"/>
        <w:spacing w:before="0" w:beforeAutospacing="0" w:after="0" w:afterAutospacing="0" w:line="360" w:lineRule="auto"/>
        <w:ind w:firstLine="480"/>
        <w:jc w:val="both"/>
        <w:rPr>
          <w:rFonts w:ascii="Calibri" w:hAnsi="Calibri"/>
          <w:color w:val="000000" w:themeColor="text1"/>
          <w:sz w:val="21"/>
          <w:szCs w:val="21"/>
          <w14:textFill>
            <w14:solidFill>
              <w14:schemeClr w14:val="tx1"/>
            </w14:solidFill>
          </w14:textFill>
        </w:rPr>
      </w:pPr>
      <w:r>
        <w:rPr>
          <w:rStyle w:val="228"/>
          <w:rFonts w:hint="eastAsia" w:ascii="Calibri" w:hAnsi="Calibri"/>
          <w:color w:val="000000" w:themeColor="text1"/>
          <w:lang w:val="en-US" w:eastAsia="zh-CN"/>
          <w14:textFill>
            <w14:solidFill>
              <w14:schemeClr w14:val="tx1"/>
            </w14:solidFill>
          </w14:textFill>
        </w:rPr>
        <w:t>五</w:t>
      </w:r>
      <w:r>
        <w:rPr>
          <w:rStyle w:val="228"/>
          <w:rFonts w:ascii="Calibri" w:hAnsi="Calibri"/>
          <w:color w:val="000000" w:themeColor="text1"/>
          <w14:textFill>
            <w14:solidFill>
              <w14:schemeClr w14:val="tx1"/>
            </w14:solidFill>
          </w14:textFill>
        </w:rPr>
        <w:t>、技术参数响应及偏离表</w:t>
      </w:r>
    </w:p>
    <w:p w14:paraId="01E1CB62">
      <w:pPr>
        <w:pStyle w:val="229"/>
        <w:shd w:val="clear" w:color="auto" w:fill="FFFFFF"/>
        <w:spacing w:before="0" w:beforeAutospacing="0" w:after="0" w:afterAutospacing="0" w:line="360" w:lineRule="auto"/>
        <w:ind w:firstLine="480"/>
        <w:jc w:val="both"/>
        <w:rPr>
          <w:rFonts w:ascii="Calibri" w:hAnsi="Calibri"/>
          <w:color w:val="000000" w:themeColor="text1"/>
          <w:sz w:val="21"/>
          <w:szCs w:val="21"/>
          <w14:textFill>
            <w14:solidFill>
              <w14:schemeClr w14:val="tx1"/>
            </w14:solidFill>
          </w14:textFill>
        </w:rPr>
      </w:pPr>
      <w:r>
        <w:rPr>
          <w:rStyle w:val="228"/>
          <w:rFonts w:hint="eastAsia" w:ascii="Calibri" w:hAnsi="Calibri"/>
          <w:color w:val="000000" w:themeColor="text1"/>
          <w:lang w:val="en-US" w:eastAsia="zh-CN"/>
          <w14:textFill>
            <w14:solidFill>
              <w14:schemeClr w14:val="tx1"/>
            </w14:solidFill>
          </w14:textFill>
        </w:rPr>
        <w:t>六</w:t>
      </w:r>
      <w:r>
        <w:rPr>
          <w:rStyle w:val="228"/>
          <w:rFonts w:ascii="Calibri" w:hAnsi="Calibri"/>
          <w:color w:val="000000" w:themeColor="text1"/>
          <w14:textFill>
            <w14:solidFill>
              <w14:schemeClr w14:val="tx1"/>
            </w14:solidFill>
          </w14:textFill>
        </w:rPr>
        <w:t>、商务条款响应及偏离表</w:t>
      </w:r>
    </w:p>
    <w:p w14:paraId="3F3B66D4">
      <w:pPr>
        <w:pStyle w:val="229"/>
        <w:shd w:val="clear" w:color="auto" w:fill="FFFFFF"/>
        <w:spacing w:before="0" w:beforeAutospacing="0" w:after="0" w:afterAutospacing="0" w:line="360" w:lineRule="auto"/>
        <w:ind w:firstLine="480"/>
        <w:jc w:val="both"/>
        <w:rPr>
          <w:rFonts w:ascii="Calibri" w:hAnsi="Calibri"/>
          <w:color w:val="000000" w:themeColor="text1"/>
          <w:sz w:val="21"/>
          <w:szCs w:val="21"/>
          <w14:textFill>
            <w14:solidFill>
              <w14:schemeClr w14:val="tx1"/>
            </w14:solidFill>
          </w14:textFill>
        </w:rPr>
      </w:pPr>
      <w:r>
        <w:rPr>
          <w:rStyle w:val="228"/>
          <w:rFonts w:hint="eastAsia" w:ascii="Calibri" w:hAnsi="Calibri"/>
          <w:color w:val="000000" w:themeColor="text1"/>
          <w:lang w:val="en-US" w:eastAsia="zh-CN"/>
          <w14:textFill>
            <w14:solidFill>
              <w14:schemeClr w14:val="tx1"/>
            </w14:solidFill>
          </w14:textFill>
        </w:rPr>
        <w:t>七</w:t>
      </w:r>
      <w:r>
        <w:rPr>
          <w:rStyle w:val="228"/>
          <w:rFonts w:ascii="Calibri" w:hAnsi="Calibri"/>
          <w:color w:val="000000" w:themeColor="text1"/>
          <w14:textFill>
            <w14:solidFill>
              <w14:schemeClr w14:val="tx1"/>
            </w14:solidFill>
          </w14:textFill>
        </w:rPr>
        <w:t>、其他（投标人认为有必要提供的声明和文件，如有自拟并自行添加）</w:t>
      </w:r>
    </w:p>
    <w:p w14:paraId="6761DDA5">
      <w:pPr>
        <w:pStyle w:val="229"/>
        <w:shd w:val="clear" w:color="auto" w:fill="FFFFFF"/>
        <w:spacing w:before="0" w:beforeAutospacing="0" w:after="0" w:afterAutospacing="0"/>
        <w:ind w:firstLine="480"/>
        <w:jc w:val="both"/>
        <w:rPr>
          <w:rFonts w:ascii="Calibri" w:hAnsi="Calibri"/>
          <w:color w:val="000000" w:themeColor="text1"/>
          <w:sz w:val="21"/>
          <w:szCs w:val="21"/>
          <w14:textFill>
            <w14:solidFill>
              <w14:schemeClr w14:val="tx1"/>
            </w14:solidFill>
          </w14:textFill>
        </w:rPr>
      </w:pPr>
    </w:p>
    <w:p w14:paraId="4A6E5EB0">
      <w:pPr>
        <w:rPr>
          <w:rFonts w:ascii="宋体" w:hAnsi="宋体" w:eastAsia="微软雅黑"/>
          <w:color w:val="000000" w:themeColor="text1"/>
          <w:szCs w:val="21"/>
          <w14:textFill>
            <w14:solidFill>
              <w14:schemeClr w14:val="tx1"/>
            </w14:solidFill>
          </w14:textFill>
        </w:rPr>
      </w:pPr>
    </w:p>
    <w:p w14:paraId="7FF702BA">
      <w:pPr>
        <w:spacing w:line="360" w:lineRule="auto"/>
        <w:jc w:val="center"/>
        <w:rPr>
          <w:b/>
          <w:bCs/>
          <w:color w:val="000000" w:themeColor="text1"/>
          <w:sz w:val="32"/>
          <w:szCs w:val="32"/>
          <w:shd w:val="clear" w:color="auto" w:fill="FFFFFF"/>
          <w14:textFill>
            <w14:solidFill>
              <w14:schemeClr w14:val="tx1"/>
            </w14:solidFill>
          </w14:textFill>
        </w:rPr>
      </w:pPr>
    </w:p>
    <w:p w14:paraId="5294111A">
      <w:pPr>
        <w:spacing w:line="360" w:lineRule="auto"/>
        <w:jc w:val="center"/>
        <w:rPr>
          <w:b/>
          <w:bCs/>
          <w:color w:val="000000" w:themeColor="text1"/>
          <w:sz w:val="32"/>
          <w:szCs w:val="32"/>
          <w:shd w:val="clear" w:color="auto" w:fill="FFFFFF"/>
          <w14:textFill>
            <w14:solidFill>
              <w14:schemeClr w14:val="tx1"/>
            </w14:solidFill>
          </w14:textFill>
        </w:rPr>
      </w:pPr>
    </w:p>
    <w:p w14:paraId="7A8C074A">
      <w:pPr>
        <w:spacing w:line="360" w:lineRule="auto"/>
        <w:jc w:val="center"/>
        <w:rPr>
          <w:b/>
          <w:bCs/>
          <w:color w:val="000000" w:themeColor="text1"/>
          <w:sz w:val="32"/>
          <w:szCs w:val="32"/>
          <w:shd w:val="clear" w:color="auto" w:fill="FFFFFF"/>
          <w14:textFill>
            <w14:solidFill>
              <w14:schemeClr w14:val="tx1"/>
            </w14:solidFill>
          </w14:textFill>
        </w:rPr>
      </w:pPr>
    </w:p>
    <w:p w14:paraId="50C04C0F">
      <w:pPr>
        <w:spacing w:line="360" w:lineRule="auto"/>
        <w:jc w:val="center"/>
        <w:rPr>
          <w:b/>
          <w:bCs/>
          <w:color w:val="000000" w:themeColor="text1"/>
          <w:sz w:val="32"/>
          <w:szCs w:val="32"/>
          <w:shd w:val="clear" w:color="auto" w:fill="FFFFFF"/>
          <w14:textFill>
            <w14:solidFill>
              <w14:schemeClr w14:val="tx1"/>
            </w14:solidFill>
          </w14:textFill>
        </w:rPr>
      </w:pPr>
    </w:p>
    <w:p w14:paraId="1F869AFA">
      <w:pPr>
        <w:spacing w:line="360" w:lineRule="auto"/>
        <w:jc w:val="center"/>
        <w:rPr>
          <w:b/>
          <w:bCs/>
          <w:color w:val="000000" w:themeColor="text1"/>
          <w:sz w:val="32"/>
          <w:szCs w:val="32"/>
          <w:shd w:val="clear" w:color="auto" w:fill="FFFFFF"/>
          <w14:textFill>
            <w14:solidFill>
              <w14:schemeClr w14:val="tx1"/>
            </w14:solidFill>
          </w14:textFill>
        </w:rPr>
      </w:pPr>
    </w:p>
    <w:p w14:paraId="3AB77FA1">
      <w:pPr>
        <w:spacing w:line="360" w:lineRule="auto"/>
        <w:jc w:val="center"/>
        <w:rPr>
          <w:b/>
          <w:bCs/>
          <w:color w:val="000000" w:themeColor="text1"/>
          <w:sz w:val="32"/>
          <w:szCs w:val="32"/>
          <w:shd w:val="clear" w:color="auto" w:fill="FFFFFF"/>
          <w14:textFill>
            <w14:solidFill>
              <w14:schemeClr w14:val="tx1"/>
            </w14:solidFill>
          </w14:textFill>
        </w:rPr>
      </w:pPr>
    </w:p>
    <w:p w14:paraId="4F3137AE">
      <w:pPr>
        <w:spacing w:line="360" w:lineRule="auto"/>
        <w:jc w:val="center"/>
        <w:rPr>
          <w:b/>
          <w:bCs/>
          <w:color w:val="000000" w:themeColor="text1"/>
          <w:sz w:val="32"/>
          <w:szCs w:val="32"/>
          <w:shd w:val="clear" w:color="auto" w:fill="FFFFFF"/>
          <w14:textFill>
            <w14:solidFill>
              <w14:schemeClr w14:val="tx1"/>
            </w14:solidFill>
          </w14:textFill>
        </w:rPr>
      </w:pPr>
    </w:p>
    <w:p w14:paraId="39C5995A">
      <w:pPr>
        <w:spacing w:line="360" w:lineRule="auto"/>
        <w:jc w:val="center"/>
        <w:rPr>
          <w:b/>
          <w:bCs/>
          <w:color w:val="000000" w:themeColor="text1"/>
          <w:sz w:val="32"/>
          <w:szCs w:val="32"/>
          <w:shd w:val="clear" w:color="auto" w:fill="FFFFFF"/>
          <w14:textFill>
            <w14:solidFill>
              <w14:schemeClr w14:val="tx1"/>
            </w14:solidFill>
          </w14:textFill>
        </w:rPr>
      </w:pPr>
    </w:p>
    <w:p w14:paraId="6B3D225E">
      <w:pPr>
        <w:spacing w:line="360" w:lineRule="auto"/>
        <w:jc w:val="center"/>
        <w:rPr>
          <w:b/>
          <w:bCs/>
          <w:color w:val="000000" w:themeColor="text1"/>
          <w:sz w:val="32"/>
          <w:szCs w:val="32"/>
          <w:shd w:val="clear" w:color="auto" w:fill="FFFFFF"/>
          <w14:textFill>
            <w14:solidFill>
              <w14:schemeClr w14:val="tx1"/>
            </w14:solidFill>
          </w14:textFill>
        </w:rPr>
      </w:pPr>
    </w:p>
    <w:p w14:paraId="2761999D">
      <w:pPr>
        <w:spacing w:line="360" w:lineRule="auto"/>
        <w:jc w:val="center"/>
        <w:rPr>
          <w:b/>
          <w:bCs/>
          <w:color w:val="000000" w:themeColor="text1"/>
          <w:sz w:val="32"/>
          <w:szCs w:val="32"/>
          <w:shd w:val="clear" w:color="auto" w:fill="FFFFFF"/>
          <w14:textFill>
            <w14:solidFill>
              <w14:schemeClr w14:val="tx1"/>
            </w14:solidFill>
          </w14:textFill>
        </w:rPr>
      </w:pPr>
    </w:p>
    <w:p w14:paraId="78E2FCB1">
      <w:pPr>
        <w:spacing w:line="360" w:lineRule="auto"/>
        <w:jc w:val="center"/>
        <w:rPr>
          <w:b/>
          <w:bCs/>
          <w:color w:val="000000" w:themeColor="text1"/>
          <w:sz w:val="32"/>
          <w:szCs w:val="32"/>
          <w:shd w:val="clear" w:color="auto" w:fill="FFFFFF"/>
          <w14:textFill>
            <w14:solidFill>
              <w14:schemeClr w14:val="tx1"/>
            </w14:solidFill>
          </w14:textFill>
        </w:rPr>
      </w:pPr>
    </w:p>
    <w:p w14:paraId="22FAAD07">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34714643">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7C887513">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4D335707">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52C12C2A">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19573FD8">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42640276">
      <w:pPr>
        <w:spacing w:line="360" w:lineRule="auto"/>
        <w:jc w:val="center"/>
        <w:rPr>
          <w:rFonts w:hint="eastAsia"/>
          <w:b/>
          <w:bCs/>
          <w:color w:val="000000" w:themeColor="text1"/>
          <w:sz w:val="32"/>
          <w:szCs w:val="32"/>
          <w:shd w:val="clear" w:color="auto" w:fill="FFFFFF"/>
          <w14:textFill>
            <w14:solidFill>
              <w14:schemeClr w14:val="tx1"/>
            </w14:solidFill>
          </w14:textFill>
        </w:rPr>
      </w:pPr>
    </w:p>
    <w:p w14:paraId="6285AEE5">
      <w:pPr>
        <w:spacing w:line="360" w:lineRule="auto"/>
        <w:jc w:val="center"/>
        <w:rPr>
          <w:b/>
          <w:bCs/>
          <w:color w:val="000000" w:themeColor="text1"/>
          <w:sz w:val="32"/>
          <w:szCs w:val="32"/>
          <w:shd w:val="clear" w:color="auto" w:fill="FFFFFF"/>
          <w14:textFill>
            <w14:solidFill>
              <w14:schemeClr w14:val="tx1"/>
            </w14:solidFill>
          </w14:textFill>
        </w:rPr>
      </w:pPr>
      <w:r>
        <w:rPr>
          <w:rFonts w:hint="eastAsia"/>
          <w:b/>
          <w:bCs/>
          <w:color w:val="000000" w:themeColor="text1"/>
          <w:sz w:val="32"/>
          <w:szCs w:val="32"/>
          <w:shd w:val="clear" w:color="auto" w:fill="FFFFFF"/>
          <w14:textFill>
            <w14:solidFill>
              <w14:schemeClr w14:val="tx1"/>
            </w14:solidFill>
          </w14:textFill>
        </w:rPr>
        <w:t>一、资格审查响应对照表</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9"/>
        <w:gridCol w:w="5812"/>
        <w:gridCol w:w="567"/>
        <w:gridCol w:w="1197"/>
      </w:tblGrid>
      <w:tr w14:paraId="2DE2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6177E9EA">
            <w:pPr>
              <w:spacing w:line="240" w:lineRule="atLeast"/>
              <w:jc w:val="center"/>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序号</w:t>
            </w:r>
          </w:p>
        </w:tc>
        <w:tc>
          <w:tcPr>
            <w:tcW w:w="5841" w:type="dxa"/>
            <w:gridSpan w:val="2"/>
            <w:tcBorders>
              <w:top w:val="single" w:color="auto" w:sz="4" w:space="0"/>
              <w:left w:val="single" w:color="auto" w:sz="4" w:space="0"/>
              <w:bottom w:val="single" w:color="auto" w:sz="4" w:space="0"/>
              <w:right w:val="single" w:color="auto" w:sz="4" w:space="0"/>
            </w:tcBorders>
            <w:noWrap w:val="0"/>
            <w:vAlign w:val="center"/>
          </w:tcPr>
          <w:p w14:paraId="6D803D0B">
            <w:pPr>
              <w:spacing w:line="240" w:lineRule="atLeast"/>
              <w:jc w:val="center"/>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资格审查响应内容</w:t>
            </w:r>
          </w:p>
        </w:tc>
        <w:tc>
          <w:tcPr>
            <w:tcW w:w="1764" w:type="dxa"/>
            <w:gridSpan w:val="2"/>
            <w:tcBorders>
              <w:top w:val="single" w:color="auto" w:sz="4" w:space="0"/>
              <w:left w:val="single" w:color="auto" w:sz="4" w:space="0"/>
              <w:bottom w:val="single" w:color="auto" w:sz="4" w:space="0"/>
              <w:right w:val="single" w:color="auto" w:sz="4" w:space="0"/>
            </w:tcBorders>
            <w:noWrap w:val="0"/>
            <w:vAlign w:val="center"/>
          </w:tcPr>
          <w:p w14:paraId="20BE19EF">
            <w:pPr>
              <w:spacing w:line="240" w:lineRule="atLeast"/>
              <w:jc w:val="center"/>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是否响应</w:t>
            </w:r>
          </w:p>
          <w:p w14:paraId="598905EC">
            <w:pPr>
              <w:spacing w:line="240" w:lineRule="atLeast"/>
              <w:jc w:val="center"/>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（填是或者否）</w:t>
            </w:r>
          </w:p>
        </w:tc>
      </w:tr>
      <w:tr w14:paraId="49BE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5"/>
            <w:tcBorders>
              <w:top w:val="single" w:color="auto" w:sz="4" w:space="0"/>
              <w:left w:val="single" w:color="auto" w:sz="4" w:space="0"/>
              <w:bottom w:val="single" w:color="auto" w:sz="4" w:space="0"/>
              <w:right w:val="single" w:color="auto" w:sz="4" w:space="0"/>
            </w:tcBorders>
            <w:noWrap w:val="0"/>
            <w:vAlign w:val="center"/>
          </w:tcPr>
          <w:p w14:paraId="24F8696A">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通用资格条件</w:t>
            </w:r>
          </w:p>
        </w:tc>
      </w:tr>
      <w:tr w14:paraId="2462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37C14ED1">
            <w:pPr>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4F098994">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r>
              <w:rPr>
                <w:rFonts w:ascii="宋体" w:hAnsi="宋体" w:cs="宋体"/>
                <w:color w:val="000000" w:themeColor="text1"/>
                <w:szCs w:val="21"/>
                <w14:textFill>
                  <w14:solidFill>
                    <w14:schemeClr w14:val="tx1"/>
                  </w14:solidFill>
                </w14:textFill>
              </w:rPr>
              <w:t>(复印件加盖投标人公章)</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0D007B05">
            <w:pPr>
              <w:rPr>
                <w:rFonts w:ascii="宋体" w:hAnsi="宋体"/>
                <w:b/>
                <w:color w:val="000000" w:themeColor="text1"/>
                <w:szCs w:val="21"/>
                <w14:textFill>
                  <w14:solidFill>
                    <w14:schemeClr w14:val="tx1"/>
                  </w14:solidFill>
                </w14:textFill>
              </w:rPr>
            </w:pPr>
          </w:p>
        </w:tc>
      </w:tr>
      <w:tr w14:paraId="6DA3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007E1C5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7A82E9BA">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w:t>
            </w:r>
            <w:r>
              <w:rPr>
                <w:rFonts w:hint="eastAsia" w:ascii="宋体" w:hAnsi="宋体" w:cs="宋体"/>
                <w:b/>
                <w:bCs/>
                <w:color w:val="000000" w:themeColor="text1"/>
                <w:szCs w:val="21"/>
                <w14:textFill>
                  <w14:solidFill>
                    <w14:schemeClr w14:val="tx1"/>
                  </w14:solidFill>
                </w14:textFill>
              </w:rPr>
              <w:t>(税务、银行或社会保险基金管理部门出具的近</w:t>
            </w:r>
            <w:r>
              <w:rPr>
                <w:rFonts w:hint="eastAsia" w:ascii="宋体" w:hAnsi="宋体" w:cs="宋体"/>
                <w:b/>
                <w:bCs/>
                <w:color w:val="000000" w:themeColor="text1"/>
                <w:szCs w:val="21"/>
                <w:lang w:val="en-US" w:eastAsia="zh-CN"/>
                <w14:textFill>
                  <w14:solidFill>
                    <w14:schemeClr w14:val="tx1"/>
                  </w14:solidFill>
                </w14:textFill>
              </w:rPr>
              <w:t>一年</w:t>
            </w:r>
            <w:r>
              <w:rPr>
                <w:rFonts w:hint="eastAsia" w:ascii="宋体" w:hAnsi="宋体" w:cs="宋体"/>
                <w:b/>
                <w:bCs/>
                <w:color w:val="000000" w:themeColor="text1"/>
                <w:szCs w:val="21"/>
                <w14:textFill>
                  <w14:solidFill>
                    <w14:schemeClr w14:val="tx1"/>
                  </w14:solidFill>
                </w14:textFill>
              </w:rPr>
              <w:t>内任意一个月缴纳职工社会保障资金的缴款凭证或缴款证明)</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1D62DF09">
            <w:pPr>
              <w:rPr>
                <w:rFonts w:ascii="宋体" w:hAnsi="宋体"/>
                <w:color w:val="000000" w:themeColor="text1"/>
                <w:szCs w:val="21"/>
                <w14:textFill>
                  <w14:solidFill>
                    <w14:schemeClr w14:val="tx1"/>
                  </w14:solidFill>
                </w14:textFill>
              </w:rPr>
            </w:pPr>
          </w:p>
        </w:tc>
      </w:tr>
      <w:tr w14:paraId="3E6B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2235D25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1BE98EDA">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投标人近</w:t>
            </w:r>
            <w:r>
              <w:rPr>
                <w:rFonts w:hint="eastAsia" w:ascii="宋体" w:hAnsi="宋体" w:cs="宋体"/>
                <w:b/>
                <w:bCs/>
                <w:color w:val="000000" w:themeColor="text1"/>
                <w:szCs w:val="21"/>
                <w:lang w:val="en-US" w:eastAsia="zh-CN"/>
                <w14:textFill>
                  <w14:solidFill>
                    <w14:schemeClr w14:val="tx1"/>
                  </w14:solidFill>
                </w14:textFill>
              </w:rPr>
              <w:t>一年</w:t>
            </w:r>
            <w:r>
              <w:rPr>
                <w:rFonts w:hint="eastAsia" w:ascii="宋体" w:hAnsi="宋体" w:cs="宋体"/>
                <w:b/>
                <w:bCs/>
                <w:color w:val="000000" w:themeColor="text1"/>
                <w:szCs w:val="21"/>
                <w14:textFill>
                  <w14:solidFill>
                    <w14:schemeClr w14:val="tx1"/>
                  </w14:solidFill>
                </w14:textFill>
              </w:rPr>
              <w:t>内任意一份依法纳税的缴款凭证投标人依法享受缓缴、免缴的提供证明材料）</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2F6347B1">
            <w:pPr>
              <w:rPr>
                <w:rFonts w:ascii="宋体" w:hAnsi="宋体"/>
                <w:color w:val="000000" w:themeColor="text1"/>
                <w:szCs w:val="21"/>
                <w14:textFill>
                  <w14:solidFill>
                    <w14:schemeClr w14:val="tx1"/>
                  </w14:solidFill>
                </w14:textFill>
              </w:rPr>
            </w:pPr>
          </w:p>
        </w:tc>
      </w:tr>
      <w:tr w14:paraId="1A09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5C860C2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2EC9C200">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上一年度的财务状况情况</w:t>
            </w:r>
            <w:r>
              <w:rPr>
                <w:rFonts w:hint="eastAsia" w:ascii="宋体" w:hAnsi="宋体" w:cs="宋体"/>
                <w:b/>
                <w:bCs/>
                <w:color w:val="000000" w:themeColor="text1"/>
                <w:szCs w:val="21"/>
                <w14:textFill>
                  <w14:solidFill>
                    <w14:schemeClr w14:val="tx1"/>
                  </w14:solidFill>
                </w14:textFill>
              </w:rPr>
              <w:t>（成立不满一年不需提供）</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7B43996F">
            <w:pPr>
              <w:rPr>
                <w:rFonts w:ascii="宋体" w:hAnsi="宋体"/>
                <w:color w:val="000000" w:themeColor="text1"/>
                <w:szCs w:val="21"/>
                <w14:textFill>
                  <w14:solidFill>
                    <w14:schemeClr w14:val="tx1"/>
                  </w14:solidFill>
                </w14:textFill>
              </w:rPr>
            </w:pPr>
          </w:p>
        </w:tc>
      </w:tr>
      <w:tr w14:paraId="3D23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63B2A3A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4F3541A6">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具备履行合同所必需的设备和专业技术能力的证明材料</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64A75B6B">
            <w:pPr>
              <w:rPr>
                <w:rFonts w:ascii="宋体" w:hAnsi="宋体"/>
                <w:color w:val="000000" w:themeColor="text1"/>
                <w:szCs w:val="21"/>
                <w14:textFill>
                  <w14:solidFill>
                    <w14:schemeClr w14:val="tx1"/>
                  </w14:solidFill>
                </w14:textFill>
              </w:rPr>
            </w:pPr>
          </w:p>
        </w:tc>
      </w:tr>
      <w:tr w14:paraId="50BD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28311CD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0B11A285">
            <w:pPr>
              <w:spacing w:line="360" w:lineRule="auto"/>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参加本次政府采购活动前3年内在经营活动中没有重大违法记录的书面声明（原件）</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5B711F3D">
            <w:pPr>
              <w:rPr>
                <w:rFonts w:ascii="宋体" w:hAnsi="宋体"/>
                <w:color w:val="000000" w:themeColor="text1"/>
                <w:szCs w:val="21"/>
                <w14:textFill>
                  <w14:solidFill>
                    <w14:schemeClr w14:val="tx1"/>
                  </w14:solidFill>
                </w14:textFill>
              </w:rPr>
            </w:pPr>
          </w:p>
        </w:tc>
      </w:tr>
      <w:tr w14:paraId="11A2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0906E59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151012DE">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供应商信用承诺函（原件）</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097C23E7">
            <w:pPr>
              <w:rPr>
                <w:rFonts w:ascii="宋体" w:hAnsi="宋体"/>
                <w:color w:val="000000" w:themeColor="text1"/>
                <w:szCs w:val="21"/>
                <w14:textFill>
                  <w14:solidFill>
                    <w14:schemeClr w14:val="tx1"/>
                  </w14:solidFill>
                </w14:textFill>
              </w:rPr>
            </w:pPr>
          </w:p>
        </w:tc>
      </w:tr>
      <w:tr w14:paraId="5B18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472A52E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w:t>
            </w:r>
          </w:p>
        </w:tc>
        <w:tc>
          <w:tcPr>
            <w:tcW w:w="6408" w:type="dxa"/>
            <w:gridSpan w:val="3"/>
            <w:tcBorders>
              <w:top w:val="single" w:color="auto" w:sz="4" w:space="0"/>
              <w:left w:val="single" w:color="auto" w:sz="4" w:space="0"/>
              <w:bottom w:val="single" w:color="auto" w:sz="4" w:space="0"/>
              <w:right w:val="single" w:color="auto" w:sz="4" w:space="0"/>
            </w:tcBorders>
            <w:noWrap w:val="0"/>
            <w:vAlign w:val="center"/>
          </w:tcPr>
          <w:p w14:paraId="0BF8B470">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14D3822A">
            <w:pPr>
              <w:spacing w:line="360" w:lineRule="auto"/>
              <w:rPr>
                <w:rFonts w:ascii="宋体" w:hAnsi="宋体" w:cs="宋体"/>
                <w:color w:val="000000" w:themeColor="text1"/>
                <w:szCs w:val="21"/>
                <w14:textFill>
                  <w14:solidFill>
                    <w14:schemeClr w14:val="tx1"/>
                  </w14:solidFill>
                </w14:textFill>
              </w:rPr>
            </w:pPr>
          </w:p>
        </w:tc>
      </w:tr>
      <w:tr w14:paraId="023A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5"/>
            <w:tcBorders>
              <w:top w:val="single" w:color="auto" w:sz="4" w:space="0"/>
              <w:left w:val="single" w:color="auto" w:sz="4" w:space="0"/>
              <w:bottom w:val="single" w:color="auto" w:sz="4" w:space="0"/>
              <w:right w:val="single" w:color="auto" w:sz="4" w:space="0"/>
            </w:tcBorders>
            <w:noWrap w:val="0"/>
            <w:vAlign w:val="center"/>
          </w:tcPr>
          <w:p w14:paraId="1E77CD9F">
            <w:pPr>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落实政府采购政策需满足的资格要求</w:t>
            </w:r>
          </w:p>
        </w:tc>
      </w:tr>
      <w:tr w14:paraId="0FC2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gridSpan w:val="2"/>
            <w:tcBorders>
              <w:top w:val="single" w:color="auto" w:sz="4" w:space="0"/>
              <w:left w:val="single" w:color="auto" w:sz="4" w:space="0"/>
              <w:bottom w:val="single" w:color="auto" w:sz="4" w:space="0"/>
              <w:right w:val="single" w:color="auto" w:sz="4" w:space="0"/>
            </w:tcBorders>
            <w:noWrap w:val="0"/>
            <w:vAlign w:val="center"/>
          </w:tcPr>
          <w:p w14:paraId="0CF79323">
            <w:pPr>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9</w:t>
            </w:r>
          </w:p>
        </w:tc>
        <w:tc>
          <w:tcPr>
            <w:tcW w:w="6379" w:type="dxa"/>
            <w:gridSpan w:val="2"/>
            <w:tcBorders>
              <w:top w:val="single" w:color="auto" w:sz="4" w:space="0"/>
              <w:left w:val="single" w:color="auto" w:sz="4" w:space="0"/>
              <w:bottom w:val="single" w:color="auto" w:sz="4" w:space="0"/>
              <w:right w:val="single" w:color="auto" w:sz="4" w:space="0"/>
            </w:tcBorders>
            <w:noWrap w:val="0"/>
            <w:vAlign w:val="center"/>
          </w:tcPr>
          <w:p w14:paraId="47779F7D">
            <w:pPr>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p>
        </w:tc>
        <w:tc>
          <w:tcPr>
            <w:tcW w:w="1197" w:type="dxa"/>
            <w:tcBorders>
              <w:top w:val="single" w:color="auto" w:sz="4" w:space="0"/>
              <w:left w:val="single" w:color="auto" w:sz="4" w:space="0"/>
              <w:bottom w:val="single" w:color="auto" w:sz="4" w:space="0"/>
              <w:right w:val="single" w:color="auto" w:sz="4" w:space="0"/>
            </w:tcBorders>
            <w:noWrap w:val="0"/>
            <w:vAlign w:val="center"/>
          </w:tcPr>
          <w:p w14:paraId="5165E77A">
            <w:pPr>
              <w:rPr>
                <w:rFonts w:ascii="宋体" w:hAnsi="宋体" w:cs="宋体"/>
                <w:b/>
                <w:bCs/>
                <w:color w:val="000000" w:themeColor="text1"/>
                <w:szCs w:val="21"/>
                <w14:textFill>
                  <w14:solidFill>
                    <w14:schemeClr w14:val="tx1"/>
                  </w14:solidFill>
                </w14:textFill>
              </w:rPr>
            </w:pPr>
          </w:p>
        </w:tc>
      </w:tr>
      <w:tr w14:paraId="167B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5"/>
            <w:tcBorders>
              <w:top w:val="single" w:color="auto" w:sz="4" w:space="0"/>
              <w:left w:val="single" w:color="auto" w:sz="4" w:space="0"/>
              <w:bottom w:val="single" w:color="auto" w:sz="4" w:space="0"/>
              <w:right w:val="single" w:color="auto" w:sz="4" w:space="0"/>
            </w:tcBorders>
            <w:noWrap w:val="0"/>
            <w:vAlign w:val="center"/>
          </w:tcPr>
          <w:p w14:paraId="74F4952C">
            <w:pPr>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特定资格条件</w:t>
            </w:r>
          </w:p>
        </w:tc>
      </w:tr>
      <w:tr w14:paraId="5C2E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5D936F9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w:t>
            </w:r>
          </w:p>
        </w:tc>
        <w:tc>
          <w:tcPr>
            <w:tcW w:w="5841" w:type="dxa"/>
            <w:gridSpan w:val="2"/>
            <w:tcBorders>
              <w:top w:val="single" w:color="auto" w:sz="4" w:space="0"/>
              <w:left w:val="single" w:color="auto" w:sz="4" w:space="0"/>
              <w:bottom w:val="single" w:color="auto" w:sz="4" w:space="0"/>
              <w:right w:val="single" w:color="auto" w:sz="4" w:space="0"/>
            </w:tcBorders>
            <w:noWrap w:val="0"/>
            <w:vAlign w:val="center"/>
          </w:tcPr>
          <w:p w14:paraId="09EF0E91">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w:t>
            </w:r>
          </w:p>
        </w:tc>
        <w:tc>
          <w:tcPr>
            <w:tcW w:w="1764" w:type="dxa"/>
            <w:gridSpan w:val="2"/>
            <w:tcBorders>
              <w:top w:val="single" w:color="auto" w:sz="4" w:space="0"/>
              <w:left w:val="single" w:color="auto" w:sz="4" w:space="0"/>
              <w:bottom w:val="single" w:color="auto" w:sz="4" w:space="0"/>
              <w:right w:val="single" w:color="auto" w:sz="4" w:space="0"/>
            </w:tcBorders>
            <w:noWrap w:val="0"/>
            <w:vAlign w:val="center"/>
          </w:tcPr>
          <w:p w14:paraId="617BF203">
            <w:pPr>
              <w:rPr>
                <w:rFonts w:ascii="宋体" w:hAnsi="宋体"/>
                <w:color w:val="000000" w:themeColor="text1"/>
                <w:szCs w:val="21"/>
                <w14:textFill>
                  <w14:solidFill>
                    <w14:schemeClr w14:val="tx1"/>
                  </w14:solidFill>
                </w14:textFill>
              </w:rPr>
            </w:pPr>
          </w:p>
        </w:tc>
      </w:tr>
      <w:tr w14:paraId="19B3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5"/>
            <w:tcBorders>
              <w:top w:val="single" w:color="auto" w:sz="4" w:space="0"/>
              <w:left w:val="single" w:color="auto" w:sz="4" w:space="0"/>
              <w:bottom w:val="single" w:color="auto" w:sz="4" w:space="0"/>
              <w:right w:val="single" w:color="auto" w:sz="4" w:space="0"/>
            </w:tcBorders>
            <w:noWrap w:val="0"/>
            <w:vAlign w:val="center"/>
          </w:tcPr>
          <w:p w14:paraId="6B567EA9">
            <w:pPr>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其他资格条件</w:t>
            </w:r>
          </w:p>
        </w:tc>
      </w:tr>
      <w:tr w14:paraId="02C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7870A25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w:t>
            </w:r>
          </w:p>
        </w:tc>
        <w:tc>
          <w:tcPr>
            <w:tcW w:w="5841" w:type="dxa"/>
            <w:gridSpan w:val="2"/>
            <w:tcBorders>
              <w:top w:val="single" w:color="auto" w:sz="4" w:space="0"/>
              <w:left w:val="single" w:color="auto" w:sz="4" w:space="0"/>
              <w:bottom w:val="single" w:color="auto" w:sz="4" w:space="0"/>
              <w:right w:val="single" w:color="auto" w:sz="4" w:space="0"/>
            </w:tcBorders>
            <w:noWrap w:val="0"/>
            <w:vAlign w:val="center"/>
          </w:tcPr>
          <w:p w14:paraId="535DE983">
            <w:pPr>
              <w:spacing w:line="0" w:lineRule="atLeast"/>
              <w:jc w:val="lef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投标函</w:t>
            </w:r>
            <w:r>
              <w:rPr>
                <w:rFonts w:hint="eastAsia" w:ascii="宋体" w:hAnsi="宋体" w:cs="宋体"/>
                <w:color w:val="000000" w:themeColor="text1"/>
                <w:szCs w:val="21"/>
                <w14:textFill>
                  <w14:solidFill>
                    <w14:schemeClr w14:val="tx1"/>
                  </w14:solidFill>
                </w14:textFill>
              </w:rPr>
              <w:t>（原件）</w:t>
            </w:r>
          </w:p>
        </w:tc>
        <w:tc>
          <w:tcPr>
            <w:tcW w:w="1764" w:type="dxa"/>
            <w:gridSpan w:val="2"/>
            <w:tcBorders>
              <w:top w:val="single" w:color="auto" w:sz="4" w:space="0"/>
              <w:left w:val="single" w:color="auto" w:sz="4" w:space="0"/>
              <w:bottom w:val="single" w:color="auto" w:sz="4" w:space="0"/>
              <w:right w:val="single" w:color="auto" w:sz="4" w:space="0"/>
            </w:tcBorders>
            <w:noWrap w:val="0"/>
            <w:vAlign w:val="center"/>
          </w:tcPr>
          <w:p w14:paraId="4D8A253D">
            <w:pPr>
              <w:rPr>
                <w:rFonts w:ascii="宋体" w:hAnsi="宋体"/>
                <w:color w:val="000000" w:themeColor="text1"/>
                <w:szCs w:val="21"/>
                <w14:textFill>
                  <w14:solidFill>
                    <w14:schemeClr w14:val="tx1"/>
                  </w14:solidFill>
                </w14:textFill>
              </w:rPr>
            </w:pPr>
          </w:p>
        </w:tc>
      </w:tr>
      <w:tr w14:paraId="77B1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0C5499E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w:t>
            </w:r>
          </w:p>
        </w:tc>
        <w:tc>
          <w:tcPr>
            <w:tcW w:w="5841" w:type="dxa"/>
            <w:gridSpan w:val="2"/>
            <w:tcBorders>
              <w:top w:val="single" w:color="auto" w:sz="4" w:space="0"/>
              <w:left w:val="single" w:color="auto" w:sz="4" w:space="0"/>
              <w:bottom w:val="single" w:color="auto" w:sz="4" w:space="0"/>
              <w:right w:val="single" w:color="auto" w:sz="4" w:space="0"/>
            </w:tcBorders>
            <w:noWrap w:val="0"/>
            <w:vAlign w:val="center"/>
          </w:tcPr>
          <w:p w14:paraId="5F116BDE">
            <w:pPr>
              <w:spacing w:line="0" w:lineRule="atLeast"/>
              <w:jc w:val="lef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法人授权书（原件）</w:t>
            </w:r>
          </w:p>
        </w:tc>
        <w:tc>
          <w:tcPr>
            <w:tcW w:w="1764" w:type="dxa"/>
            <w:gridSpan w:val="2"/>
            <w:tcBorders>
              <w:top w:val="single" w:color="auto" w:sz="4" w:space="0"/>
              <w:left w:val="single" w:color="auto" w:sz="4" w:space="0"/>
              <w:bottom w:val="single" w:color="auto" w:sz="4" w:space="0"/>
              <w:right w:val="single" w:color="auto" w:sz="4" w:space="0"/>
            </w:tcBorders>
            <w:noWrap w:val="0"/>
            <w:vAlign w:val="center"/>
          </w:tcPr>
          <w:p w14:paraId="622ACC1E">
            <w:pPr>
              <w:rPr>
                <w:rFonts w:ascii="宋体" w:hAnsi="宋体"/>
                <w:color w:val="000000" w:themeColor="text1"/>
                <w:szCs w:val="21"/>
                <w14:textFill>
                  <w14:solidFill>
                    <w14:schemeClr w14:val="tx1"/>
                  </w14:solidFill>
                </w14:textFill>
              </w:rPr>
            </w:pPr>
          </w:p>
        </w:tc>
      </w:tr>
    </w:tbl>
    <w:p w14:paraId="7031092F">
      <w:pPr>
        <w:spacing w:line="360" w:lineRule="auto"/>
        <w:ind w:firstLine="1476"/>
        <w:rPr>
          <w:rFonts w:ascii="宋体" w:hAnsi="宋体"/>
          <w:b/>
          <w:bCs/>
          <w:color w:val="000000" w:themeColor="text1"/>
          <w14:textFill>
            <w14:solidFill>
              <w14:schemeClr w14:val="tx1"/>
            </w14:solidFill>
          </w14:textFill>
        </w:rPr>
      </w:pPr>
    </w:p>
    <w:p w14:paraId="4FFBD853">
      <w:pPr>
        <w:spacing w:line="360" w:lineRule="auto"/>
        <w:ind w:firstLine="1476"/>
        <w:rPr>
          <w:rFonts w:ascii="宋体" w:hAnsi="宋体"/>
          <w:b/>
          <w:bCs/>
          <w:color w:val="000000" w:themeColor="text1"/>
          <w14:textFill>
            <w14:solidFill>
              <w14:schemeClr w14:val="tx1"/>
            </w14:solidFill>
          </w14:textFill>
        </w:rPr>
      </w:pPr>
    </w:p>
    <w:p w14:paraId="1A84D458">
      <w:pPr>
        <w:spacing w:line="360" w:lineRule="auto"/>
        <w:ind w:firstLine="1476"/>
        <w:rPr>
          <w:rFonts w:ascii="宋体" w:hAnsi="宋体"/>
          <w:b/>
          <w:bCs/>
          <w:color w:val="000000" w:themeColor="text1"/>
          <w14:textFill>
            <w14:solidFill>
              <w14:schemeClr w14:val="tx1"/>
            </w14:solidFill>
          </w14:textFill>
        </w:rPr>
      </w:pPr>
    </w:p>
    <w:p w14:paraId="3EF76CB6">
      <w:pPr>
        <w:spacing w:line="360" w:lineRule="auto"/>
        <w:ind w:firstLine="1476"/>
        <w:rPr>
          <w:rFonts w:hint="eastAsia" w:ascii="宋体" w:hAnsi="宋体"/>
          <w:b/>
          <w:bCs/>
          <w:color w:val="000000" w:themeColor="text1"/>
          <w14:textFill>
            <w14:solidFill>
              <w14:schemeClr w14:val="tx1"/>
            </w14:solidFill>
          </w14:textFill>
        </w:rPr>
      </w:pPr>
    </w:p>
    <w:p w14:paraId="10CCFEB4">
      <w:pPr>
        <w:spacing w:line="360" w:lineRule="auto"/>
        <w:ind w:firstLine="1476"/>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具备履行合同所必需的设备和专业技术能力的书面声明</w:t>
      </w:r>
    </w:p>
    <w:p w14:paraId="05D7E218">
      <w:pPr>
        <w:spacing w:line="460" w:lineRule="exact"/>
        <w:ind w:firstLine="492"/>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BC95668">
      <w:pPr>
        <w:spacing w:line="460" w:lineRule="exact"/>
        <w:ind w:firstLine="492"/>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主要设备有：。</w:t>
      </w:r>
    </w:p>
    <w:p w14:paraId="3355F336">
      <w:pPr>
        <w:spacing w:line="460" w:lineRule="exact"/>
        <w:ind w:firstLine="492"/>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主要专业技术能力有：。</w:t>
      </w:r>
    </w:p>
    <w:p w14:paraId="41A59697">
      <w:pPr>
        <w:ind w:firstLine="420"/>
        <w:rPr>
          <w:rFonts w:ascii="宋体" w:hAnsi="宋体"/>
          <w:color w:val="000000" w:themeColor="text1"/>
          <w:szCs w:val="21"/>
          <w14:textFill>
            <w14:solidFill>
              <w14:schemeClr w14:val="tx1"/>
            </w14:solidFill>
          </w14:textFill>
        </w:rPr>
      </w:pPr>
    </w:p>
    <w:p w14:paraId="128DB630">
      <w:pPr>
        <w:ind w:firstLine="420"/>
        <w:rPr>
          <w:rFonts w:ascii="宋体" w:hAnsi="宋体"/>
          <w:color w:val="000000" w:themeColor="text1"/>
          <w:szCs w:val="21"/>
          <w14:textFill>
            <w14:solidFill>
              <w14:schemeClr w14:val="tx1"/>
            </w14:solidFill>
          </w14:textFill>
        </w:rPr>
      </w:pPr>
    </w:p>
    <w:p w14:paraId="297F5EE7">
      <w:pPr>
        <w:ind w:firstLine="420"/>
        <w:rPr>
          <w:rFonts w:ascii="宋体" w:hAnsi="宋体"/>
          <w:color w:val="000000" w:themeColor="text1"/>
          <w:szCs w:val="21"/>
          <w14:textFill>
            <w14:solidFill>
              <w14:schemeClr w14:val="tx1"/>
            </w14:solidFill>
          </w14:textFill>
        </w:rPr>
      </w:pPr>
    </w:p>
    <w:p w14:paraId="67C5A48A">
      <w:pPr>
        <w:ind w:firstLine="420"/>
        <w:rPr>
          <w:rFonts w:ascii="宋体" w:hAnsi="宋体"/>
          <w:color w:val="000000" w:themeColor="text1"/>
          <w:szCs w:val="21"/>
          <w14:textFill>
            <w14:solidFill>
              <w14:schemeClr w14:val="tx1"/>
            </w14:solidFill>
          </w14:textFill>
        </w:rPr>
      </w:pPr>
    </w:p>
    <w:p w14:paraId="28C28792">
      <w:pPr>
        <w:ind w:firstLine="420"/>
        <w:rPr>
          <w:rFonts w:ascii="宋体" w:hAnsi="宋体"/>
          <w:color w:val="000000" w:themeColor="text1"/>
          <w:szCs w:val="21"/>
          <w14:textFill>
            <w14:solidFill>
              <w14:schemeClr w14:val="tx1"/>
            </w14:solidFill>
          </w14:textFill>
        </w:rPr>
      </w:pPr>
    </w:p>
    <w:p w14:paraId="0C93C6AE">
      <w:pPr>
        <w:ind w:firstLine="420"/>
        <w:rPr>
          <w:rFonts w:ascii="宋体" w:hAnsi="宋体"/>
          <w:color w:val="000000" w:themeColor="text1"/>
          <w:szCs w:val="21"/>
          <w14:textFill>
            <w14:solidFill>
              <w14:schemeClr w14:val="tx1"/>
            </w14:solidFill>
          </w14:textFill>
        </w:rPr>
      </w:pPr>
    </w:p>
    <w:p w14:paraId="2ED4858A">
      <w:pPr>
        <w:ind w:firstLine="420"/>
        <w:rPr>
          <w:rFonts w:ascii="宋体" w:hAnsi="宋体"/>
          <w:color w:val="000000" w:themeColor="text1"/>
          <w:szCs w:val="21"/>
          <w14:textFill>
            <w14:solidFill>
              <w14:schemeClr w14:val="tx1"/>
            </w14:solidFill>
          </w14:textFill>
        </w:rPr>
      </w:pPr>
    </w:p>
    <w:p w14:paraId="6A9B96D8">
      <w:pPr>
        <w:ind w:firstLine="420"/>
        <w:rPr>
          <w:rFonts w:ascii="宋体" w:hAnsi="宋体"/>
          <w:color w:val="000000" w:themeColor="text1"/>
          <w:szCs w:val="21"/>
          <w14:textFill>
            <w14:solidFill>
              <w14:schemeClr w14:val="tx1"/>
            </w14:solidFill>
          </w14:textFill>
        </w:rPr>
      </w:pPr>
    </w:p>
    <w:p w14:paraId="7B2A5893">
      <w:pPr>
        <w:ind w:firstLine="420"/>
        <w:rPr>
          <w:rFonts w:ascii="宋体" w:hAnsi="宋体"/>
          <w:color w:val="000000" w:themeColor="text1"/>
          <w:szCs w:val="21"/>
          <w14:textFill>
            <w14:solidFill>
              <w14:schemeClr w14:val="tx1"/>
            </w14:solidFill>
          </w14:textFill>
        </w:rPr>
      </w:pPr>
    </w:p>
    <w:p w14:paraId="46D469EB">
      <w:pPr>
        <w:ind w:firstLine="420"/>
        <w:rPr>
          <w:rFonts w:ascii="宋体" w:hAnsi="宋体"/>
          <w:color w:val="000000" w:themeColor="text1"/>
          <w:szCs w:val="21"/>
          <w14:textFill>
            <w14:solidFill>
              <w14:schemeClr w14:val="tx1"/>
            </w14:solidFill>
          </w14:textFill>
        </w:rPr>
      </w:pPr>
    </w:p>
    <w:p w14:paraId="67D43A71">
      <w:pPr>
        <w:ind w:firstLine="420"/>
        <w:rPr>
          <w:rFonts w:ascii="宋体" w:hAnsi="宋体"/>
          <w:color w:val="000000" w:themeColor="text1"/>
          <w:szCs w:val="21"/>
          <w14:textFill>
            <w14:solidFill>
              <w14:schemeClr w14:val="tx1"/>
            </w14:solidFill>
          </w14:textFill>
        </w:rPr>
      </w:pPr>
    </w:p>
    <w:p w14:paraId="0013CDDE">
      <w:pPr>
        <w:ind w:firstLine="420"/>
        <w:rPr>
          <w:rFonts w:ascii="宋体" w:hAnsi="宋体"/>
          <w:color w:val="000000" w:themeColor="text1"/>
          <w:szCs w:val="21"/>
          <w14:textFill>
            <w14:solidFill>
              <w14:schemeClr w14:val="tx1"/>
            </w14:solidFill>
          </w14:textFill>
        </w:rPr>
      </w:pPr>
    </w:p>
    <w:p w14:paraId="13BD0967">
      <w:pPr>
        <w:ind w:firstLine="420"/>
        <w:rPr>
          <w:rFonts w:ascii="宋体" w:hAnsi="宋体"/>
          <w:color w:val="000000" w:themeColor="text1"/>
          <w:szCs w:val="21"/>
          <w14:textFill>
            <w14:solidFill>
              <w14:schemeClr w14:val="tx1"/>
            </w14:solidFill>
          </w14:textFill>
        </w:rPr>
      </w:pPr>
    </w:p>
    <w:p w14:paraId="5CD7122C">
      <w:pPr>
        <w:ind w:firstLine="420"/>
        <w:rPr>
          <w:rFonts w:ascii="宋体" w:hAnsi="宋体"/>
          <w:color w:val="000000" w:themeColor="text1"/>
          <w:szCs w:val="21"/>
          <w14:textFill>
            <w14:solidFill>
              <w14:schemeClr w14:val="tx1"/>
            </w14:solidFill>
          </w14:textFill>
        </w:rPr>
      </w:pPr>
    </w:p>
    <w:p w14:paraId="6D7F6519">
      <w:pPr>
        <w:ind w:firstLine="420"/>
        <w:rPr>
          <w:rFonts w:ascii="宋体" w:hAnsi="宋体"/>
          <w:color w:val="000000" w:themeColor="text1"/>
          <w:szCs w:val="21"/>
          <w14:textFill>
            <w14:solidFill>
              <w14:schemeClr w14:val="tx1"/>
            </w14:solidFill>
          </w14:textFill>
        </w:rPr>
      </w:pPr>
    </w:p>
    <w:p w14:paraId="76167D17">
      <w:pPr>
        <w:ind w:firstLine="420"/>
        <w:rPr>
          <w:rFonts w:ascii="宋体" w:hAnsi="宋体"/>
          <w:color w:val="000000" w:themeColor="text1"/>
          <w:szCs w:val="21"/>
          <w14:textFill>
            <w14:solidFill>
              <w14:schemeClr w14:val="tx1"/>
            </w14:solidFill>
          </w14:textFill>
        </w:rPr>
      </w:pPr>
    </w:p>
    <w:p w14:paraId="64BD398D">
      <w:pPr>
        <w:ind w:firstLine="420"/>
        <w:rPr>
          <w:rFonts w:ascii="宋体" w:hAnsi="宋体"/>
          <w:color w:val="000000" w:themeColor="text1"/>
          <w:szCs w:val="21"/>
          <w14:textFill>
            <w14:solidFill>
              <w14:schemeClr w14:val="tx1"/>
            </w14:solidFill>
          </w14:textFill>
        </w:rPr>
      </w:pPr>
    </w:p>
    <w:p w14:paraId="06954F93">
      <w:pPr>
        <w:ind w:firstLine="420"/>
        <w:rPr>
          <w:rFonts w:ascii="宋体" w:hAnsi="宋体"/>
          <w:color w:val="000000" w:themeColor="text1"/>
          <w:szCs w:val="21"/>
          <w14:textFill>
            <w14:solidFill>
              <w14:schemeClr w14:val="tx1"/>
            </w14:solidFill>
          </w14:textFill>
        </w:rPr>
      </w:pPr>
    </w:p>
    <w:p w14:paraId="469B649F">
      <w:pPr>
        <w:ind w:firstLine="420"/>
        <w:rPr>
          <w:rFonts w:ascii="宋体" w:hAnsi="宋体"/>
          <w:color w:val="000000" w:themeColor="text1"/>
          <w:szCs w:val="21"/>
          <w14:textFill>
            <w14:solidFill>
              <w14:schemeClr w14:val="tx1"/>
            </w14:solidFill>
          </w14:textFill>
        </w:rPr>
      </w:pPr>
    </w:p>
    <w:p w14:paraId="1B646A99">
      <w:pPr>
        <w:ind w:firstLine="420"/>
        <w:rPr>
          <w:rFonts w:ascii="宋体" w:hAnsi="宋体"/>
          <w:color w:val="000000" w:themeColor="text1"/>
          <w:szCs w:val="21"/>
          <w14:textFill>
            <w14:solidFill>
              <w14:schemeClr w14:val="tx1"/>
            </w14:solidFill>
          </w14:textFill>
        </w:rPr>
      </w:pPr>
    </w:p>
    <w:p w14:paraId="354363AC">
      <w:pPr>
        <w:ind w:firstLine="420"/>
        <w:rPr>
          <w:rFonts w:ascii="宋体" w:hAnsi="宋体"/>
          <w:color w:val="000000" w:themeColor="text1"/>
          <w:szCs w:val="21"/>
          <w14:textFill>
            <w14:solidFill>
              <w14:schemeClr w14:val="tx1"/>
            </w14:solidFill>
          </w14:textFill>
        </w:rPr>
      </w:pPr>
    </w:p>
    <w:p w14:paraId="1F4E3D06">
      <w:pPr>
        <w:ind w:firstLine="420"/>
        <w:rPr>
          <w:rFonts w:ascii="宋体" w:hAnsi="宋体"/>
          <w:color w:val="000000" w:themeColor="text1"/>
          <w:szCs w:val="21"/>
          <w14:textFill>
            <w14:solidFill>
              <w14:schemeClr w14:val="tx1"/>
            </w14:solidFill>
          </w14:textFill>
        </w:rPr>
      </w:pPr>
    </w:p>
    <w:p w14:paraId="5F320719">
      <w:pPr>
        <w:ind w:firstLine="420"/>
        <w:rPr>
          <w:rFonts w:ascii="宋体" w:hAnsi="宋体"/>
          <w:color w:val="000000" w:themeColor="text1"/>
          <w:szCs w:val="21"/>
          <w14:textFill>
            <w14:solidFill>
              <w14:schemeClr w14:val="tx1"/>
            </w14:solidFill>
          </w14:textFill>
        </w:rPr>
      </w:pPr>
    </w:p>
    <w:p w14:paraId="2B4A9EF2">
      <w:pPr>
        <w:ind w:firstLine="420"/>
        <w:rPr>
          <w:rFonts w:ascii="宋体" w:hAnsi="宋体"/>
          <w:color w:val="000000" w:themeColor="text1"/>
          <w:szCs w:val="21"/>
          <w14:textFill>
            <w14:solidFill>
              <w14:schemeClr w14:val="tx1"/>
            </w14:solidFill>
          </w14:textFill>
        </w:rPr>
      </w:pPr>
    </w:p>
    <w:p w14:paraId="00AB1F1D">
      <w:pPr>
        <w:ind w:firstLine="420"/>
        <w:rPr>
          <w:rFonts w:ascii="宋体" w:hAnsi="宋体"/>
          <w:color w:val="000000" w:themeColor="text1"/>
          <w:szCs w:val="21"/>
          <w14:textFill>
            <w14:solidFill>
              <w14:schemeClr w14:val="tx1"/>
            </w14:solidFill>
          </w14:textFill>
        </w:rPr>
      </w:pPr>
    </w:p>
    <w:p w14:paraId="5AB7FFA8">
      <w:pPr>
        <w:ind w:firstLine="420"/>
        <w:rPr>
          <w:rFonts w:ascii="宋体" w:hAnsi="宋体"/>
          <w:color w:val="000000" w:themeColor="text1"/>
          <w:szCs w:val="21"/>
          <w14:textFill>
            <w14:solidFill>
              <w14:schemeClr w14:val="tx1"/>
            </w14:solidFill>
          </w14:textFill>
        </w:rPr>
      </w:pPr>
    </w:p>
    <w:p w14:paraId="4B8F1649">
      <w:pPr>
        <w:ind w:firstLine="420"/>
        <w:rPr>
          <w:rFonts w:ascii="宋体" w:hAnsi="宋体"/>
          <w:color w:val="000000" w:themeColor="text1"/>
          <w:szCs w:val="21"/>
          <w14:textFill>
            <w14:solidFill>
              <w14:schemeClr w14:val="tx1"/>
            </w14:solidFill>
          </w14:textFill>
        </w:rPr>
      </w:pPr>
    </w:p>
    <w:p w14:paraId="7803FCD8">
      <w:pPr>
        <w:ind w:firstLine="420"/>
        <w:rPr>
          <w:rFonts w:ascii="宋体" w:hAnsi="宋体"/>
          <w:color w:val="000000" w:themeColor="text1"/>
          <w:szCs w:val="21"/>
          <w14:textFill>
            <w14:solidFill>
              <w14:schemeClr w14:val="tx1"/>
            </w14:solidFill>
          </w14:textFill>
        </w:rPr>
      </w:pPr>
    </w:p>
    <w:p w14:paraId="7140AF92">
      <w:pPr>
        <w:ind w:firstLine="420"/>
        <w:rPr>
          <w:rFonts w:ascii="宋体" w:hAnsi="宋体"/>
          <w:color w:val="000000" w:themeColor="text1"/>
          <w:szCs w:val="21"/>
          <w14:textFill>
            <w14:solidFill>
              <w14:schemeClr w14:val="tx1"/>
            </w14:solidFill>
          </w14:textFill>
        </w:rPr>
      </w:pPr>
    </w:p>
    <w:p w14:paraId="742CA6B1">
      <w:pPr>
        <w:ind w:firstLine="420"/>
        <w:rPr>
          <w:rFonts w:ascii="宋体" w:hAnsi="宋体"/>
          <w:color w:val="000000" w:themeColor="text1"/>
          <w:szCs w:val="21"/>
          <w14:textFill>
            <w14:solidFill>
              <w14:schemeClr w14:val="tx1"/>
            </w14:solidFill>
          </w14:textFill>
        </w:rPr>
      </w:pPr>
    </w:p>
    <w:p w14:paraId="6A90EC96">
      <w:pPr>
        <w:ind w:firstLine="420"/>
        <w:rPr>
          <w:rFonts w:ascii="宋体" w:hAnsi="宋体"/>
          <w:color w:val="000000" w:themeColor="text1"/>
          <w:szCs w:val="21"/>
          <w14:textFill>
            <w14:solidFill>
              <w14:schemeClr w14:val="tx1"/>
            </w14:solidFill>
          </w14:textFill>
        </w:rPr>
      </w:pPr>
    </w:p>
    <w:p w14:paraId="36327BCA">
      <w:pPr>
        <w:ind w:firstLine="420"/>
        <w:rPr>
          <w:rFonts w:ascii="宋体" w:hAnsi="宋体"/>
          <w:color w:val="000000" w:themeColor="text1"/>
          <w:szCs w:val="21"/>
          <w14:textFill>
            <w14:solidFill>
              <w14:schemeClr w14:val="tx1"/>
            </w14:solidFill>
          </w14:textFill>
        </w:rPr>
      </w:pPr>
    </w:p>
    <w:p w14:paraId="7386E723">
      <w:pPr>
        <w:ind w:firstLine="420"/>
        <w:rPr>
          <w:rFonts w:ascii="宋体" w:hAnsi="宋体"/>
          <w:color w:val="000000" w:themeColor="text1"/>
          <w:szCs w:val="21"/>
          <w14:textFill>
            <w14:solidFill>
              <w14:schemeClr w14:val="tx1"/>
            </w14:solidFill>
          </w14:textFill>
        </w:rPr>
      </w:pPr>
    </w:p>
    <w:p w14:paraId="6EB65810">
      <w:pPr>
        <w:ind w:firstLine="420"/>
        <w:rPr>
          <w:rFonts w:ascii="宋体" w:hAnsi="宋体"/>
          <w:color w:val="000000" w:themeColor="text1"/>
          <w:szCs w:val="21"/>
          <w14:textFill>
            <w14:solidFill>
              <w14:schemeClr w14:val="tx1"/>
            </w14:solidFill>
          </w14:textFill>
        </w:rPr>
      </w:pPr>
    </w:p>
    <w:p w14:paraId="4A577D6C">
      <w:pPr>
        <w:ind w:firstLine="420"/>
        <w:rPr>
          <w:rFonts w:ascii="宋体" w:hAnsi="宋体"/>
          <w:color w:val="000000" w:themeColor="text1"/>
          <w:szCs w:val="21"/>
          <w14:textFill>
            <w14:solidFill>
              <w14:schemeClr w14:val="tx1"/>
            </w14:solidFill>
          </w14:textFill>
        </w:rPr>
      </w:pPr>
    </w:p>
    <w:p w14:paraId="219660E4">
      <w:pPr>
        <w:ind w:firstLine="420"/>
        <w:rPr>
          <w:rFonts w:ascii="宋体" w:hAnsi="宋体"/>
          <w:color w:val="000000" w:themeColor="text1"/>
          <w:szCs w:val="21"/>
          <w14:textFill>
            <w14:solidFill>
              <w14:schemeClr w14:val="tx1"/>
            </w14:solidFill>
          </w14:textFill>
        </w:rPr>
      </w:pPr>
    </w:p>
    <w:p w14:paraId="68FEF729">
      <w:pPr>
        <w:ind w:firstLine="420"/>
        <w:rPr>
          <w:rFonts w:ascii="宋体" w:hAnsi="宋体"/>
          <w:color w:val="000000" w:themeColor="text1"/>
          <w:szCs w:val="21"/>
          <w14:textFill>
            <w14:solidFill>
              <w14:schemeClr w14:val="tx1"/>
            </w14:solidFill>
          </w14:textFill>
        </w:rPr>
      </w:pPr>
    </w:p>
    <w:p w14:paraId="7F577D3C">
      <w:pPr>
        <w:ind w:firstLine="420"/>
        <w:rPr>
          <w:rFonts w:ascii="宋体" w:hAnsi="宋体"/>
          <w:color w:val="000000" w:themeColor="text1"/>
          <w:szCs w:val="21"/>
          <w14:textFill>
            <w14:solidFill>
              <w14:schemeClr w14:val="tx1"/>
            </w14:solidFill>
          </w14:textFill>
        </w:rPr>
      </w:pPr>
    </w:p>
    <w:p w14:paraId="0E92C019">
      <w:pPr>
        <w:ind w:firstLine="420"/>
        <w:rPr>
          <w:rFonts w:ascii="宋体" w:hAnsi="宋体"/>
          <w:color w:val="000000" w:themeColor="text1"/>
          <w:szCs w:val="21"/>
          <w14:textFill>
            <w14:solidFill>
              <w14:schemeClr w14:val="tx1"/>
            </w14:solidFill>
          </w14:textFill>
        </w:rPr>
      </w:pPr>
    </w:p>
    <w:p w14:paraId="76358FDB">
      <w:pPr>
        <w:spacing w:line="360" w:lineRule="auto"/>
        <w:rPr>
          <w:rFonts w:hint="eastAsia" w:ascii="宋体" w:hAnsi="宋体"/>
          <w:b/>
          <w:bCs/>
          <w:color w:val="000000" w:themeColor="text1"/>
          <w14:textFill>
            <w14:solidFill>
              <w14:schemeClr w14:val="tx1"/>
            </w14:solidFill>
          </w14:textFill>
        </w:rPr>
      </w:pPr>
    </w:p>
    <w:p w14:paraId="082872A9">
      <w:pPr>
        <w:spacing w:line="360" w:lineRule="auto"/>
        <w:rPr>
          <w:rFonts w:hint="eastAsia" w:ascii="宋体" w:hAnsi="宋体"/>
          <w:b/>
          <w:bCs/>
          <w:color w:val="000000" w:themeColor="text1"/>
          <w14:textFill>
            <w14:solidFill>
              <w14:schemeClr w14:val="tx1"/>
            </w14:solidFill>
          </w14:textFill>
        </w:rPr>
      </w:pPr>
    </w:p>
    <w:p w14:paraId="43738F96">
      <w:pPr>
        <w:spacing w:line="360" w:lineRule="auto"/>
        <w:rPr>
          <w:rFonts w:hint="eastAsia" w:ascii="宋体" w:hAnsi="宋体"/>
          <w:b/>
          <w:bCs/>
          <w:color w:val="000000" w:themeColor="text1"/>
          <w14:textFill>
            <w14:solidFill>
              <w14:schemeClr w14:val="tx1"/>
            </w14:solidFill>
          </w14:textFill>
        </w:rPr>
      </w:pPr>
    </w:p>
    <w:p w14:paraId="2BABB1A9">
      <w:pPr>
        <w:spacing w:line="360" w:lineRule="auto"/>
        <w:rPr>
          <w:rFonts w:hint="eastAsia" w:ascii="宋体" w:hAnsi="宋体"/>
          <w:b/>
          <w:bCs/>
          <w:color w:val="000000" w:themeColor="text1"/>
          <w14:textFill>
            <w14:solidFill>
              <w14:schemeClr w14:val="tx1"/>
            </w14:solidFill>
          </w14:textFill>
        </w:rPr>
      </w:pPr>
    </w:p>
    <w:p w14:paraId="116CF036">
      <w:pP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参加本次政府采购活动前 3 年内在经营活动中没有重大违法记录的书面声明</w:t>
      </w:r>
    </w:p>
    <w:p w14:paraId="1C7BCCA2">
      <w:pPr>
        <w:spacing w:line="360" w:lineRule="auto"/>
        <w:rPr>
          <w:rFonts w:ascii="宋体" w:hAnsi="宋体"/>
          <w:color w:val="000000" w:themeColor="text1"/>
          <w14:textFill>
            <w14:solidFill>
              <w14:schemeClr w14:val="tx1"/>
            </w14:solidFill>
          </w14:textFill>
        </w:rPr>
      </w:pPr>
    </w:p>
    <w:p w14:paraId="72988CF4">
      <w:pPr>
        <w:spacing w:line="360" w:lineRule="auto"/>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声  明</w:t>
      </w:r>
    </w:p>
    <w:p w14:paraId="22A55702">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230C1271">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供应商名称（公章）：</w:t>
      </w:r>
    </w:p>
    <w:p w14:paraId="4842DE59">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法定代表人签章：</w:t>
      </w:r>
      <w:r>
        <w:rPr>
          <w:rFonts w:hint="eastAsia" w:ascii="宋体" w:hAnsi="宋体"/>
          <w:bCs/>
          <w:color w:val="000000" w:themeColor="text1"/>
          <w:u w:val="single"/>
          <w14:textFill>
            <w14:solidFill>
              <w14:schemeClr w14:val="tx1"/>
            </w14:solidFill>
          </w14:textFill>
        </w:rPr>
        <w:t>_______________________</w:t>
      </w:r>
    </w:p>
    <w:p w14:paraId="7EF5A325">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日期：</w:t>
      </w:r>
      <w:r>
        <w:rPr>
          <w:rFonts w:hint="eastAsia" w:ascii="宋体" w:hAnsi="宋体"/>
          <w:bCs/>
          <w:color w:val="000000" w:themeColor="text1"/>
          <w:u w:val="single"/>
          <w14:textFill>
            <w14:solidFill>
              <w14:schemeClr w14:val="tx1"/>
            </w14:solidFill>
          </w14:textFill>
        </w:rPr>
        <w:t>______</w:t>
      </w:r>
      <w:r>
        <w:rPr>
          <w:rFonts w:hint="eastAsia" w:ascii="宋体" w:hAnsi="宋体"/>
          <w:bCs/>
          <w:color w:val="000000" w:themeColor="text1"/>
          <w14:textFill>
            <w14:solidFill>
              <w14:schemeClr w14:val="tx1"/>
            </w14:solidFill>
          </w14:textFill>
        </w:rPr>
        <w:t>年月日</w:t>
      </w:r>
    </w:p>
    <w:p w14:paraId="6F549684">
      <w:pPr>
        <w:spacing w:line="600" w:lineRule="exact"/>
        <w:rPr>
          <w:rFonts w:ascii="宋体" w:hAnsi="宋体"/>
          <w:b/>
          <w:color w:val="000000" w:themeColor="text1"/>
          <w:sz w:val="36"/>
          <w14:textFill>
            <w14:solidFill>
              <w14:schemeClr w14:val="tx1"/>
            </w14:solidFill>
          </w14:textFill>
        </w:rPr>
      </w:pPr>
    </w:p>
    <w:p w14:paraId="30803A4B">
      <w:pPr>
        <w:ind w:firstLine="420"/>
        <w:rPr>
          <w:rFonts w:ascii="宋体" w:hAnsi="宋体"/>
          <w:color w:val="000000" w:themeColor="text1"/>
          <w:szCs w:val="21"/>
          <w14:textFill>
            <w14:solidFill>
              <w14:schemeClr w14:val="tx1"/>
            </w14:solidFill>
          </w14:textFill>
        </w:rPr>
      </w:pPr>
    </w:p>
    <w:p w14:paraId="6D235758">
      <w:pPr>
        <w:ind w:firstLine="420"/>
        <w:rPr>
          <w:rFonts w:ascii="宋体" w:hAnsi="宋体"/>
          <w:color w:val="000000" w:themeColor="text1"/>
          <w:szCs w:val="21"/>
          <w14:textFill>
            <w14:solidFill>
              <w14:schemeClr w14:val="tx1"/>
            </w14:solidFill>
          </w14:textFill>
        </w:rPr>
      </w:pPr>
    </w:p>
    <w:p w14:paraId="44883AE0">
      <w:pPr>
        <w:jc w:val="left"/>
        <w:rPr>
          <w:rFonts w:ascii="宋体" w:hAnsi="宋体"/>
          <w:b/>
          <w:color w:val="000000" w:themeColor="text1"/>
          <w:szCs w:val="21"/>
          <w14:textFill>
            <w14:solidFill>
              <w14:schemeClr w14:val="tx1"/>
            </w14:solidFill>
          </w14:textFill>
        </w:rPr>
      </w:pPr>
    </w:p>
    <w:p w14:paraId="0C0B79FE">
      <w:pPr>
        <w:jc w:val="left"/>
        <w:rPr>
          <w:rFonts w:ascii="宋体" w:hAnsi="宋体"/>
          <w:b/>
          <w:color w:val="000000" w:themeColor="text1"/>
          <w:szCs w:val="21"/>
          <w14:textFill>
            <w14:solidFill>
              <w14:schemeClr w14:val="tx1"/>
            </w14:solidFill>
          </w14:textFill>
        </w:rPr>
      </w:pPr>
    </w:p>
    <w:p w14:paraId="3852D8D6">
      <w:pPr>
        <w:jc w:val="left"/>
        <w:rPr>
          <w:rFonts w:ascii="宋体" w:hAnsi="宋体"/>
          <w:b/>
          <w:color w:val="000000" w:themeColor="text1"/>
          <w:szCs w:val="21"/>
          <w14:textFill>
            <w14:solidFill>
              <w14:schemeClr w14:val="tx1"/>
            </w14:solidFill>
          </w14:textFill>
        </w:rPr>
      </w:pPr>
    </w:p>
    <w:p w14:paraId="19890004">
      <w:pPr>
        <w:jc w:val="left"/>
        <w:rPr>
          <w:rFonts w:ascii="宋体" w:hAnsi="宋体"/>
          <w:b/>
          <w:color w:val="000000" w:themeColor="text1"/>
          <w:szCs w:val="21"/>
          <w14:textFill>
            <w14:solidFill>
              <w14:schemeClr w14:val="tx1"/>
            </w14:solidFill>
          </w14:textFill>
        </w:rPr>
      </w:pPr>
    </w:p>
    <w:p w14:paraId="146A43F0">
      <w:pPr>
        <w:jc w:val="left"/>
        <w:rPr>
          <w:rFonts w:ascii="宋体" w:hAnsi="宋体"/>
          <w:b/>
          <w:color w:val="000000" w:themeColor="text1"/>
          <w:szCs w:val="21"/>
          <w14:textFill>
            <w14:solidFill>
              <w14:schemeClr w14:val="tx1"/>
            </w14:solidFill>
          </w14:textFill>
        </w:rPr>
      </w:pPr>
    </w:p>
    <w:p w14:paraId="3BDA5B80">
      <w:pPr>
        <w:jc w:val="left"/>
        <w:rPr>
          <w:rFonts w:ascii="宋体" w:hAnsi="宋体"/>
          <w:b/>
          <w:color w:val="000000" w:themeColor="text1"/>
          <w:szCs w:val="21"/>
          <w14:textFill>
            <w14:solidFill>
              <w14:schemeClr w14:val="tx1"/>
            </w14:solidFill>
          </w14:textFill>
        </w:rPr>
      </w:pPr>
    </w:p>
    <w:p w14:paraId="30744029">
      <w:pPr>
        <w:jc w:val="left"/>
        <w:rPr>
          <w:rFonts w:ascii="宋体" w:hAnsi="宋体"/>
          <w:b/>
          <w:color w:val="000000" w:themeColor="text1"/>
          <w:szCs w:val="21"/>
          <w14:textFill>
            <w14:solidFill>
              <w14:schemeClr w14:val="tx1"/>
            </w14:solidFill>
          </w14:textFill>
        </w:rPr>
      </w:pPr>
    </w:p>
    <w:p w14:paraId="1D80CCD4">
      <w:pPr>
        <w:jc w:val="left"/>
        <w:rPr>
          <w:rFonts w:ascii="宋体" w:hAnsi="宋体"/>
          <w:b/>
          <w:color w:val="000000" w:themeColor="text1"/>
          <w:szCs w:val="21"/>
          <w14:textFill>
            <w14:solidFill>
              <w14:schemeClr w14:val="tx1"/>
            </w14:solidFill>
          </w14:textFill>
        </w:rPr>
      </w:pPr>
    </w:p>
    <w:p w14:paraId="6140FF03">
      <w:pPr>
        <w:jc w:val="left"/>
        <w:rPr>
          <w:rFonts w:ascii="宋体" w:hAnsi="宋体"/>
          <w:b/>
          <w:color w:val="000000" w:themeColor="text1"/>
          <w:szCs w:val="21"/>
          <w14:textFill>
            <w14:solidFill>
              <w14:schemeClr w14:val="tx1"/>
            </w14:solidFill>
          </w14:textFill>
        </w:rPr>
      </w:pPr>
    </w:p>
    <w:p w14:paraId="00C8C621">
      <w:pPr>
        <w:jc w:val="left"/>
        <w:rPr>
          <w:rFonts w:ascii="宋体" w:hAnsi="宋体"/>
          <w:b/>
          <w:color w:val="000000" w:themeColor="text1"/>
          <w:szCs w:val="21"/>
          <w14:textFill>
            <w14:solidFill>
              <w14:schemeClr w14:val="tx1"/>
            </w14:solidFill>
          </w14:textFill>
        </w:rPr>
      </w:pPr>
    </w:p>
    <w:p w14:paraId="6D98D105">
      <w:pPr>
        <w:jc w:val="left"/>
        <w:rPr>
          <w:rFonts w:ascii="宋体" w:hAnsi="宋体"/>
          <w:b/>
          <w:color w:val="000000" w:themeColor="text1"/>
          <w:szCs w:val="21"/>
          <w14:textFill>
            <w14:solidFill>
              <w14:schemeClr w14:val="tx1"/>
            </w14:solidFill>
          </w14:textFill>
        </w:rPr>
      </w:pPr>
    </w:p>
    <w:p w14:paraId="40B12FCA">
      <w:pPr>
        <w:jc w:val="left"/>
        <w:rPr>
          <w:rFonts w:ascii="宋体" w:hAnsi="宋体"/>
          <w:b/>
          <w:color w:val="000000" w:themeColor="text1"/>
          <w:szCs w:val="21"/>
          <w14:textFill>
            <w14:solidFill>
              <w14:schemeClr w14:val="tx1"/>
            </w14:solidFill>
          </w14:textFill>
        </w:rPr>
      </w:pPr>
    </w:p>
    <w:p w14:paraId="58E59274">
      <w:pPr>
        <w:jc w:val="left"/>
        <w:rPr>
          <w:rFonts w:ascii="宋体" w:hAnsi="宋体"/>
          <w:b/>
          <w:color w:val="000000" w:themeColor="text1"/>
          <w:szCs w:val="21"/>
          <w14:textFill>
            <w14:solidFill>
              <w14:schemeClr w14:val="tx1"/>
            </w14:solidFill>
          </w14:textFill>
        </w:rPr>
      </w:pPr>
    </w:p>
    <w:p w14:paraId="60868415">
      <w:pPr>
        <w:jc w:val="left"/>
        <w:rPr>
          <w:rFonts w:ascii="宋体" w:hAnsi="宋体"/>
          <w:b/>
          <w:color w:val="000000" w:themeColor="text1"/>
          <w:szCs w:val="21"/>
          <w14:textFill>
            <w14:solidFill>
              <w14:schemeClr w14:val="tx1"/>
            </w14:solidFill>
          </w14:textFill>
        </w:rPr>
      </w:pPr>
    </w:p>
    <w:p w14:paraId="283FB1B2">
      <w:pPr>
        <w:jc w:val="left"/>
        <w:rPr>
          <w:rFonts w:ascii="宋体" w:hAnsi="宋体"/>
          <w:b/>
          <w:color w:val="000000" w:themeColor="text1"/>
          <w:szCs w:val="21"/>
          <w14:textFill>
            <w14:solidFill>
              <w14:schemeClr w14:val="tx1"/>
            </w14:solidFill>
          </w14:textFill>
        </w:rPr>
      </w:pPr>
    </w:p>
    <w:p w14:paraId="6F583471">
      <w:pPr>
        <w:jc w:val="left"/>
        <w:rPr>
          <w:rFonts w:ascii="宋体" w:hAnsi="宋体"/>
          <w:b/>
          <w:color w:val="000000" w:themeColor="text1"/>
          <w:szCs w:val="21"/>
          <w14:textFill>
            <w14:solidFill>
              <w14:schemeClr w14:val="tx1"/>
            </w14:solidFill>
          </w14:textFill>
        </w:rPr>
      </w:pPr>
    </w:p>
    <w:p w14:paraId="2A0D1CBE">
      <w:pPr>
        <w:jc w:val="left"/>
        <w:rPr>
          <w:rFonts w:ascii="宋体" w:hAnsi="宋体"/>
          <w:b/>
          <w:color w:val="000000" w:themeColor="text1"/>
          <w:szCs w:val="21"/>
          <w14:textFill>
            <w14:solidFill>
              <w14:schemeClr w14:val="tx1"/>
            </w14:solidFill>
          </w14:textFill>
        </w:rPr>
      </w:pPr>
    </w:p>
    <w:p w14:paraId="651BB8EF">
      <w:pPr>
        <w:jc w:val="left"/>
        <w:rPr>
          <w:rFonts w:ascii="宋体" w:hAnsi="宋体"/>
          <w:b/>
          <w:color w:val="000000" w:themeColor="text1"/>
          <w:szCs w:val="21"/>
          <w14:textFill>
            <w14:solidFill>
              <w14:schemeClr w14:val="tx1"/>
            </w14:solidFill>
          </w14:textFill>
        </w:rPr>
      </w:pPr>
    </w:p>
    <w:p w14:paraId="5EE2A979">
      <w:pPr>
        <w:jc w:val="left"/>
        <w:rPr>
          <w:rFonts w:ascii="宋体" w:hAnsi="宋体"/>
          <w:b/>
          <w:color w:val="000000" w:themeColor="text1"/>
          <w:szCs w:val="21"/>
          <w14:textFill>
            <w14:solidFill>
              <w14:schemeClr w14:val="tx1"/>
            </w14:solidFill>
          </w14:textFill>
        </w:rPr>
      </w:pPr>
    </w:p>
    <w:p w14:paraId="05CB1667">
      <w:pPr>
        <w:jc w:val="left"/>
        <w:rPr>
          <w:rFonts w:ascii="宋体" w:hAnsi="宋体"/>
          <w:b/>
          <w:color w:val="000000" w:themeColor="text1"/>
          <w:szCs w:val="21"/>
          <w14:textFill>
            <w14:solidFill>
              <w14:schemeClr w14:val="tx1"/>
            </w14:solidFill>
          </w14:textFill>
        </w:rPr>
      </w:pPr>
    </w:p>
    <w:p w14:paraId="16098C95">
      <w:pPr>
        <w:jc w:val="left"/>
        <w:rPr>
          <w:rFonts w:ascii="宋体" w:hAnsi="宋体"/>
          <w:b/>
          <w:color w:val="000000" w:themeColor="text1"/>
          <w:szCs w:val="21"/>
          <w14:textFill>
            <w14:solidFill>
              <w14:schemeClr w14:val="tx1"/>
            </w14:solidFill>
          </w14:textFill>
        </w:rPr>
      </w:pPr>
    </w:p>
    <w:p w14:paraId="1827F214">
      <w:pPr>
        <w:jc w:val="left"/>
        <w:rPr>
          <w:rFonts w:ascii="宋体" w:hAnsi="宋体"/>
          <w:b/>
          <w:color w:val="000000" w:themeColor="text1"/>
          <w:szCs w:val="21"/>
          <w14:textFill>
            <w14:solidFill>
              <w14:schemeClr w14:val="tx1"/>
            </w14:solidFill>
          </w14:textFill>
        </w:rPr>
      </w:pPr>
    </w:p>
    <w:p w14:paraId="0B7A689E">
      <w:pPr>
        <w:jc w:val="left"/>
        <w:rPr>
          <w:rFonts w:ascii="宋体" w:hAnsi="宋体"/>
          <w:b/>
          <w:color w:val="000000" w:themeColor="text1"/>
          <w:szCs w:val="21"/>
          <w14:textFill>
            <w14:solidFill>
              <w14:schemeClr w14:val="tx1"/>
            </w14:solidFill>
          </w14:textFill>
        </w:rPr>
      </w:pPr>
    </w:p>
    <w:p w14:paraId="3EF2A633">
      <w:pPr>
        <w:jc w:val="left"/>
        <w:rPr>
          <w:rFonts w:ascii="宋体" w:hAnsi="宋体"/>
          <w:b/>
          <w:color w:val="000000" w:themeColor="text1"/>
          <w:szCs w:val="21"/>
          <w14:textFill>
            <w14:solidFill>
              <w14:schemeClr w14:val="tx1"/>
            </w14:solidFill>
          </w14:textFill>
        </w:rPr>
      </w:pPr>
    </w:p>
    <w:p w14:paraId="75904BC1">
      <w:pPr>
        <w:jc w:val="left"/>
        <w:rPr>
          <w:rFonts w:ascii="宋体" w:hAnsi="宋体"/>
          <w:b/>
          <w:color w:val="000000" w:themeColor="text1"/>
          <w:szCs w:val="21"/>
          <w14:textFill>
            <w14:solidFill>
              <w14:schemeClr w14:val="tx1"/>
            </w14:solidFill>
          </w14:textFill>
        </w:rPr>
      </w:pPr>
    </w:p>
    <w:p w14:paraId="6ADBD5C3">
      <w:pPr>
        <w:jc w:val="left"/>
        <w:rPr>
          <w:rFonts w:ascii="宋体" w:hAnsi="宋体"/>
          <w:b/>
          <w:color w:val="000000" w:themeColor="text1"/>
          <w:szCs w:val="21"/>
          <w14:textFill>
            <w14:solidFill>
              <w14:schemeClr w14:val="tx1"/>
            </w14:solidFill>
          </w14:textFill>
        </w:rPr>
      </w:pPr>
    </w:p>
    <w:p w14:paraId="6F841255">
      <w:pPr>
        <w:jc w:val="left"/>
        <w:rPr>
          <w:rFonts w:ascii="宋体" w:hAnsi="宋体"/>
          <w:b/>
          <w:color w:val="000000" w:themeColor="text1"/>
          <w:szCs w:val="21"/>
          <w14:textFill>
            <w14:solidFill>
              <w14:schemeClr w14:val="tx1"/>
            </w14:solidFill>
          </w14:textFill>
        </w:rPr>
      </w:pPr>
    </w:p>
    <w:p w14:paraId="6B5B087F">
      <w:pPr>
        <w:jc w:val="left"/>
        <w:rPr>
          <w:rFonts w:ascii="宋体" w:hAnsi="宋体"/>
          <w:b/>
          <w:color w:val="000000" w:themeColor="text1"/>
          <w:szCs w:val="21"/>
          <w14:textFill>
            <w14:solidFill>
              <w14:schemeClr w14:val="tx1"/>
            </w14:solidFill>
          </w14:textFill>
        </w:rPr>
      </w:pPr>
    </w:p>
    <w:p w14:paraId="3378F7B5">
      <w:pPr>
        <w:jc w:val="left"/>
        <w:rPr>
          <w:rFonts w:ascii="宋体" w:hAnsi="宋体"/>
          <w:b/>
          <w:color w:val="000000" w:themeColor="text1"/>
          <w:szCs w:val="21"/>
          <w14:textFill>
            <w14:solidFill>
              <w14:schemeClr w14:val="tx1"/>
            </w14:solidFill>
          </w14:textFill>
        </w:rPr>
      </w:pPr>
    </w:p>
    <w:p w14:paraId="2833B420">
      <w:pPr>
        <w:jc w:val="left"/>
        <w:rPr>
          <w:rFonts w:ascii="宋体" w:hAnsi="宋体"/>
          <w:b/>
          <w:color w:val="000000" w:themeColor="text1"/>
          <w:szCs w:val="21"/>
          <w14:textFill>
            <w14:solidFill>
              <w14:schemeClr w14:val="tx1"/>
            </w14:solidFill>
          </w14:textFill>
        </w:rPr>
      </w:pPr>
    </w:p>
    <w:p w14:paraId="597F9E61">
      <w:pPr>
        <w:jc w:val="left"/>
        <w:rPr>
          <w:rFonts w:ascii="宋体" w:hAnsi="宋体"/>
          <w:b/>
          <w:color w:val="000000" w:themeColor="text1"/>
          <w:szCs w:val="21"/>
          <w14:textFill>
            <w14:solidFill>
              <w14:schemeClr w14:val="tx1"/>
            </w14:solidFill>
          </w14:textFill>
        </w:rPr>
      </w:pPr>
    </w:p>
    <w:p w14:paraId="17500BC0">
      <w:pPr>
        <w:spacing w:line="500" w:lineRule="exact"/>
        <w:jc w:val="center"/>
        <w:rPr>
          <w:rFonts w:ascii="宋体" w:hAnsi="宋体" w:cs="宋体"/>
          <w:b/>
          <w:bCs/>
          <w:color w:val="000000" w:themeColor="text1"/>
          <w:szCs w:val="21"/>
          <w14:textFill>
            <w14:solidFill>
              <w14:schemeClr w14:val="tx1"/>
            </w14:solidFill>
          </w14:textFill>
        </w:rPr>
      </w:pPr>
    </w:p>
    <w:p w14:paraId="7EDF6AD4">
      <w:pPr>
        <w:spacing w:line="500" w:lineRule="exact"/>
        <w:jc w:val="center"/>
        <w:rPr>
          <w:rFonts w:hint="eastAsia" w:ascii="宋体" w:hAnsi="宋体" w:cs="宋体"/>
          <w:b/>
          <w:bCs/>
          <w:color w:val="000000" w:themeColor="text1"/>
          <w:szCs w:val="21"/>
          <w14:textFill>
            <w14:solidFill>
              <w14:schemeClr w14:val="tx1"/>
            </w14:solidFill>
          </w14:textFill>
        </w:rPr>
      </w:pPr>
    </w:p>
    <w:p w14:paraId="6F7B0FCB">
      <w:pPr>
        <w:spacing w:line="500" w:lineRule="exact"/>
        <w:jc w:val="center"/>
        <w:rPr>
          <w:rFonts w:hint="eastAsia" w:ascii="宋体" w:hAnsi="宋体" w:cs="宋体"/>
          <w:b/>
          <w:bCs/>
          <w:color w:val="000000" w:themeColor="text1"/>
          <w:szCs w:val="21"/>
          <w14:textFill>
            <w14:solidFill>
              <w14:schemeClr w14:val="tx1"/>
            </w14:solidFill>
          </w14:textFill>
        </w:rPr>
      </w:pPr>
    </w:p>
    <w:p w14:paraId="7709E49E">
      <w:pPr>
        <w:spacing w:line="5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供应商信用承诺书</w:t>
      </w:r>
    </w:p>
    <w:p w14:paraId="4665AD2C">
      <w:pPr>
        <w:spacing w:line="5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1807D92D">
      <w:pPr>
        <w:spacing w:line="5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2BD78F7C">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为维护公平竞争、规范有序的市场秩序，营造诚实守信的信用环境，共同推进社会信用体系建设完善，树立企业诚信守法形象，本企业对________________________项目政府采购活动郑重承诺如下:</w:t>
      </w:r>
    </w:p>
    <w:p w14:paraId="71A43458">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4B12308E">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1631E3A4">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2C228F45">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65DB36D0">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2146CB5B">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40521A4F">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14C2F294">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55025F96">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1D363B9B">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712B7E29">
      <w:pPr>
        <w:spacing w:line="52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（注：法定代表人或负责人、主体名称发生变更的应当重新做出承诺。）</w:t>
      </w:r>
    </w:p>
    <w:p w14:paraId="3A4E3BCE">
      <w:pPr>
        <w:spacing w:line="5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1E9C841F">
      <w:pPr>
        <w:spacing w:line="520" w:lineRule="exact"/>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法定代表人（负责人）：</w:t>
      </w:r>
    </w:p>
    <w:p w14:paraId="63B2CFB3">
      <w:pPr>
        <w:spacing w:line="5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年    月    日</w:t>
      </w:r>
    </w:p>
    <w:p w14:paraId="403E9F0D">
      <w:pPr>
        <w:spacing w:line="360" w:lineRule="auto"/>
        <w:jc w:val="center"/>
        <w:rPr>
          <w:rFonts w:ascii="宋体" w:hAnsi="宋体" w:cs="宋体"/>
          <w:color w:val="000000" w:themeColor="text1"/>
          <w:szCs w:val="21"/>
          <w14:textFill>
            <w14:solidFill>
              <w14:schemeClr w14:val="tx1"/>
            </w14:solidFill>
          </w14:textFill>
        </w:rPr>
      </w:pPr>
    </w:p>
    <w:p w14:paraId="531F6CB5">
      <w:pPr>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投标函格式</w:t>
      </w:r>
    </w:p>
    <w:p w14:paraId="7D6A4353">
      <w:pPr>
        <w:pStyle w:val="224"/>
        <w:spacing w:before="0" w:after="0"/>
        <w:ind w:firstLine="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致： </w:t>
      </w:r>
    </w:p>
    <w:p w14:paraId="7C51EFAC">
      <w:pPr>
        <w:pStyle w:val="224"/>
        <w:spacing w:before="0" w:after="0"/>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根据贵方的号招标文件，正式授权下述签字人______________(姓名)代表我方______________（投标人的名称），全权处理本次项目投标的有关事宜。</w:t>
      </w:r>
    </w:p>
    <w:p w14:paraId="1A1B97F5">
      <w:pPr>
        <w:pStyle w:val="224"/>
        <w:spacing w:before="0" w:after="0"/>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据此函，__________签字人兹宣布同意如下：</w:t>
      </w:r>
    </w:p>
    <w:p w14:paraId="359C3FD0">
      <w:pPr>
        <w:pStyle w:val="224"/>
        <w:spacing w:before="0" w:after="0"/>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1.按招标文件规定的各项要求，向采购人提供所需货物与服务。</w:t>
      </w:r>
    </w:p>
    <w:p w14:paraId="7C88F8E6">
      <w:pPr>
        <w:pStyle w:val="224"/>
        <w:spacing w:before="0" w:after="0"/>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2.我们完全理解贵方不一定将合同授予最低报价的投标人。</w:t>
      </w:r>
    </w:p>
    <w:p w14:paraId="555D4A4B">
      <w:pPr>
        <w:pStyle w:val="224"/>
        <w:spacing w:before="0" w:after="0"/>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3.我们已详细审核全部招标文件及其有效补充文件，我们知道必须放弃提出含糊不清或误解问题的权利。</w:t>
      </w:r>
    </w:p>
    <w:p w14:paraId="4F90A073">
      <w:pPr>
        <w:pStyle w:val="224"/>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4.我们同意从规定的开标日期起遵循本投标文件，并在规定的投标有效期期满之前均具有约束力。</w:t>
      </w:r>
    </w:p>
    <w:p w14:paraId="59866576">
      <w:pPr>
        <w:pStyle w:val="224"/>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5.同意向贵方提供贵方可能另外要求的与投标有关的任何证据或资料，并保证我方已提供和将要提供的文件是真实的、准确的。</w:t>
      </w:r>
    </w:p>
    <w:p w14:paraId="4A1BBF7F">
      <w:pPr>
        <w:pStyle w:val="224"/>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6.一旦我方中标,我方将根据招标文件的规定，严格履行合同的责任和义务,并保证在招标文件规定的时间完成项目，交付采购人验收、使用。</w:t>
      </w:r>
    </w:p>
    <w:p w14:paraId="2A347DDF">
      <w:pPr>
        <w:pStyle w:val="224"/>
        <w:spacing w:before="0" w:after="0"/>
        <w:ind w:left="425" w:firstLine="105"/>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7.与本投标有关的正式通讯地址为：</w:t>
      </w:r>
    </w:p>
    <w:p w14:paraId="56C5C56F">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地 址：</w:t>
      </w:r>
    </w:p>
    <w:p w14:paraId="5B7069FD">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邮 编：</w:t>
      </w:r>
    </w:p>
    <w:p w14:paraId="0A5DEF16">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电 话： </w:t>
      </w:r>
    </w:p>
    <w:p w14:paraId="44D4890B">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传 真： </w:t>
      </w:r>
    </w:p>
    <w:p w14:paraId="19A51B97">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投标人开户行：</w:t>
      </w:r>
    </w:p>
    <w:p w14:paraId="0B16C5E9">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账 户： </w:t>
      </w:r>
    </w:p>
    <w:p w14:paraId="4F920B68">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行 号：</w:t>
      </w:r>
    </w:p>
    <w:p w14:paraId="24A92908">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法定代表人或被授权代表（签字）： </w:t>
      </w:r>
    </w:p>
    <w:p w14:paraId="733BE8EF">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投标人名称（公章）： </w:t>
      </w:r>
    </w:p>
    <w:p w14:paraId="69706FA9">
      <w:pPr>
        <w:pStyle w:val="224"/>
        <w:spacing w:before="0" w:after="0"/>
        <w:ind w:firstLine="479"/>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日 期：________年____月____日</w:t>
      </w:r>
    </w:p>
    <w:p w14:paraId="30685C34">
      <w:pPr>
        <w:pStyle w:val="224"/>
        <w:spacing w:before="0" w:after="0"/>
        <w:ind w:firstLine="479"/>
        <w:rPr>
          <w:rFonts w:ascii="宋体" w:hAnsi="宋体"/>
          <w:color w:val="000000" w:themeColor="text1"/>
          <w:sz w:val="21"/>
          <w:szCs w:val="21"/>
          <w14:textFill>
            <w14:solidFill>
              <w14:schemeClr w14:val="tx1"/>
            </w14:solidFill>
          </w14:textFill>
        </w:rPr>
      </w:pPr>
    </w:p>
    <w:p w14:paraId="2F1AC230">
      <w:pPr>
        <w:pStyle w:val="225"/>
        <w:spacing w:line="360" w:lineRule="auto"/>
        <w:ind w:firstLine="0"/>
        <w:rPr>
          <w:rFonts w:ascii="宋体" w:hAnsi="宋体"/>
          <w:b/>
          <w:color w:val="000000" w:themeColor="text1"/>
          <w:sz w:val="21"/>
          <w:szCs w:val="21"/>
          <w14:textFill>
            <w14:solidFill>
              <w14:schemeClr w14:val="tx1"/>
            </w14:solidFill>
          </w14:textFill>
        </w:rPr>
      </w:pPr>
    </w:p>
    <w:p w14:paraId="7849FF60">
      <w:pPr>
        <w:pStyle w:val="225"/>
        <w:spacing w:line="360" w:lineRule="auto"/>
        <w:ind w:firstLine="422"/>
        <w:jc w:val="center"/>
        <w:rPr>
          <w:rFonts w:ascii="宋体" w:hAnsi="宋体"/>
          <w:b/>
          <w:color w:val="000000" w:themeColor="text1"/>
          <w:sz w:val="21"/>
          <w:szCs w:val="21"/>
          <w14:textFill>
            <w14:solidFill>
              <w14:schemeClr w14:val="tx1"/>
            </w14:solidFill>
          </w14:textFill>
        </w:rPr>
      </w:pPr>
    </w:p>
    <w:p w14:paraId="391D36DF">
      <w:pPr>
        <w:pStyle w:val="225"/>
        <w:spacing w:line="360" w:lineRule="auto"/>
        <w:ind w:firstLine="422"/>
        <w:jc w:val="center"/>
        <w:rPr>
          <w:rFonts w:ascii="宋体" w:hAnsi="宋体"/>
          <w:b/>
          <w:color w:val="000000" w:themeColor="text1"/>
          <w:sz w:val="21"/>
          <w:szCs w:val="21"/>
          <w14:textFill>
            <w14:solidFill>
              <w14:schemeClr w14:val="tx1"/>
            </w14:solidFill>
          </w14:textFill>
        </w:rPr>
      </w:pPr>
    </w:p>
    <w:p w14:paraId="7BF1FCFF">
      <w:pPr>
        <w:pStyle w:val="225"/>
        <w:spacing w:line="360" w:lineRule="auto"/>
        <w:ind w:firstLine="422"/>
        <w:jc w:val="center"/>
        <w:rPr>
          <w:rFonts w:ascii="宋体" w:hAnsi="宋体"/>
          <w:b/>
          <w:color w:val="000000" w:themeColor="text1"/>
          <w:sz w:val="21"/>
          <w:szCs w:val="21"/>
          <w14:textFill>
            <w14:solidFill>
              <w14:schemeClr w14:val="tx1"/>
            </w14:solidFill>
          </w14:textFill>
        </w:rPr>
      </w:pPr>
    </w:p>
    <w:p w14:paraId="1348E950">
      <w:pPr>
        <w:pStyle w:val="225"/>
        <w:spacing w:line="360" w:lineRule="auto"/>
        <w:ind w:firstLine="422"/>
        <w:jc w:val="center"/>
        <w:rPr>
          <w:rFonts w:ascii="宋体" w:hAnsi="宋体"/>
          <w:b/>
          <w:color w:val="000000" w:themeColor="text1"/>
          <w:sz w:val="21"/>
          <w:szCs w:val="21"/>
          <w14:textFill>
            <w14:solidFill>
              <w14:schemeClr w14:val="tx1"/>
            </w14:solidFill>
          </w14:textFill>
        </w:rPr>
      </w:pPr>
    </w:p>
    <w:p w14:paraId="681F1B17">
      <w:pPr>
        <w:pStyle w:val="225"/>
        <w:spacing w:line="360" w:lineRule="auto"/>
        <w:ind w:firstLine="422"/>
        <w:jc w:val="center"/>
        <w:rPr>
          <w:rFonts w:hint="eastAsia" w:ascii="宋体" w:hAnsi="宋体"/>
          <w:b/>
          <w:color w:val="000000" w:themeColor="text1"/>
          <w:sz w:val="21"/>
          <w:szCs w:val="21"/>
          <w14:textFill>
            <w14:solidFill>
              <w14:schemeClr w14:val="tx1"/>
            </w14:solidFill>
          </w14:textFill>
        </w:rPr>
      </w:pPr>
    </w:p>
    <w:p w14:paraId="6AD4F77C">
      <w:pPr>
        <w:pStyle w:val="225"/>
        <w:spacing w:line="360" w:lineRule="auto"/>
        <w:ind w:firstLine="422"/>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法人授权书</w:t>
      </w:r>
    </w:p>
    <w:p w14:paraId="4084BC93">
      <w:pPr>
        <w:pStyle w:val="225"/>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本授权书声明：</w:t>
      </w:r>
      <w:r>
        <w:rPr>
          <w:rFonts w:ascii="宋体" w:hAnsi="宋体"/>
          <w:color w:val="000000" w:themeColor="text1"/>
          <w:sz w:val="21"/>
          <w:szCs w:val="21"/>
          <w14:textFill>
            <w14:solidFill>
              <w14:schemeClr w14:val="tx1"/>
            </w14:solidFill>
          </w14:textFill>
        </w:rPr>
        <w:t>________________</w:t>
      </w:r>
      <w:r>
        <w:rPr>
          <w:rFonts w:hint="eastAsia" w:ascii="宋体" w:hAnsi="宋体"/>
          <w:color w:val="000000" w:themeColor="text1"/>
          <w:sz w:val="21"/>
          <w:szCs w:val="21"/>
          <w14:textFill>
            <w14:solidFill>
              <w14:schemeClr w14:val="tx1"/>
            </w14:solidFill>
          </w14:textFill>
        </w:rPr>
        <w:t>（投标人名称）授权</w:t>
      </w:r>
      <w:r>
        <w:rPr>
          <w:rFonts w:ascii="宋体" w:hAnsi="宋体"/>
          <w:color w:val="000000" w:themeColor="text1"/>
          <w:sz w:val="21"/>
          <w:szCs w:val="21"/>
          <w14:textFill>
            <w14:solidFill>
              <w14:schemeClr w14:val="tx1"/>
            </w14:solidFill>
          </w14:textFill>
        </w:rPr>
        <w:t>________________</w:t>
      </w:r>
      <w:r>
        <w:rPr>
          <w:rFonts w:hint="eastAsia" w:ascii="宋体" w:hAnsi="宋体"/>
          <w:color w:val="000000" w:themeColor="text1"/>
          <w:sz w:val="21"/>
          <w:szCs w:val="21"/>
          <w14:textFill>
            <w14:solidFill>
              <w14:schemeClr w14:val="tx1"/>
            </w14:solidFill>
          </w14:textFill>
        </w:rPr>
        <w:t>（被授权人的姓名）为我方就（项目编号）号（项目名称）采购活动的合法人，以本公司名义全权处理一切与该项目采购有关的事务。</w:t>
      </w:r>
    </w:p>
    <w:p w14:paraId="566260C2">
      <w:pPr>
        <w:pStyle w:val="225"/>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本授权书于</w:t>
      </w:r>
      <w:r>
        <w:rPr>
          <w:rFonts w:ascii="宋体" w:hAnsi="宋体"/>
          <w:color w:val="000000" w:themeColor="text1"/>
          <w:sz w:val="21"/>
          <w:szCs w:val="21"/>
          <w14:textFill>
            <w14:solidFill>
              <w14:schemeClr w14:val="tx1"/>
            </w14:solidFill>
          </w14:textFill>
        </w:rPr>
        <w:t>______</w:t>
      </w:r>
      <w:r>
        <w:rPr>
          <w:rFonts w:hint="eastAsia" w:ascii="宋体" w:hAnsi="宋体"/>
          <w:color w:val="000000" w:themeColor="text1"/>
          <w:sz w:val="21"/>
          <w:szCs w:val="21"/>
          <w14:textFill>
            <w14:solidFill>
              <w14:schemeClr w14:val="tx1"/>
            </w14:solidFill>
          </w14:textFill>
        </w:rPr>
        <w:t>年</w:t>
      </w:r>
      <w:r>
        <w:rPr>
          <w:rFonts w:ascii="宋体" w:hAnsi="宋体"/>
          <w:color w:val="000000" w:themeColor="text1"/>
          <w:sz w:val="21"/>
          <w:szCs w:val="21"/>
          <w14:textFill>
            <w14:solidFill>
              <w14:schemeClr w14:val="tx1"/>
            </w14:solidFill>
          </w14:textFill>
        </w:rPr>
        <w:t>____</w:t>
      </w:r>
      <w:r>
        <w:rPr>
          <w:rFonts w:hint="eastAsia" w:ascii="宋体" w:hAnsi="宋体"/>
          <w:color w:val="000000" w:themeColor="text1"/>
          <w:sz w:val="21"/>
          <w:szCs w:val="21"/>
          <w14:textFill>
            <w14:solidFill>
              <w14:schemeClr w14:val="tx1"/>
            </w14:solidFill>
          </w14:textFill>
        </w:rPr>
        <w:t>月</w:t>
      </w:r>
      <w:r>
        <w:rPr>
          <w:rFonts w:ascii="宋体" w:hAnsi="宋体"/>
          <w:color w:val="000000" w:themeColor="text1"/>
          <w:sz w:val="21"/>
          <w:szCs w:val="21"/>
          <w14:textFill>
            <w14:solidFill>
              <w14:schemeClr w14:val="tx1"/>
            </w14:solidFill>
          </w14:textFill>
        </w:rPr>
        <w:t>____</w:t>
      </w:r>
      <w:r>
        <w:rPr>
          <w:rFonts w:hint="eastAsia" w:ascii="宋体" w:hAnsi="宋体"/>
          <w:color w:val="000000" w:themeColor="text1"/>
          <w:sz w:val="21"/>
          <w:szCs w:val="21"/>
          <w14:textFill>
            <w14:solidFill>
              <w14:schemeClr w14:val="tx1"/>
            </w14:solidFill>
          </w14:textFill>
        </w:rPr>
        <w:t>日起生效，特此声明。</w:t>
      </w:r>
    </w:p>
    <w:p w14:paraId="6C2AB9E0">
      <w:pPr>
        <w:pStyle w:val="225"/>
        <w:spacing w:line="360" w:lineRule="auto"/>
        <w:ind w:firstLine="0"/>
        <w:rPr>
          <w:rFonts w:ascii="宋体" w:hAnsi="宋体"/>
          <w:color w:val="000000" w:themeColor="text1"/>
          <w:sz w:val="21"/>
          <w:szCs w:val="21"/>
          <w14:textFill>
            <w14:solidFill>
              <w14:schemeClr w14:val="tx1"/>
            </w14:solidFill>
          </w14:textFill>
        </w:rPr>
      </w:pPr>
    </w:p>
    <w:p w14:paraId="60258658">
      <w:pPr>
        <w:pStyle w:val="225"/>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被授权人签字：</w:t>
      </w:r>
      <w:r>
        <w:rPr>
          <w:rFonts w:ascii="宋体" w:hAnsi="宋体"/>
          <w:color w:val="000000" w:themeColor="text1"/>
          <w:sz w:val="21"/>
          <w:szCs w:val="21"/>
          <w14:textFill>
            <w14:solidFill>
              <w14:schemeClr w14:val="tx1"/>
            </w14:solidFill>
          </w14:textFill>
        </w:rPr>
        <w:t>_______________________</w:t>
      </w:r>
    </w:p>
    <w:p w14:paraId="697DFA77">
      <w:pPr>
        <w:pStyle w:val="225"/>
        <w:spacing w:line="360" w:lineRule="auto"/>
        <w:ind w:firstLine="420"/>
        <w:rPr>
          <w:rFonts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联系电话（手机）：</w:t>
      </w:r>
    </w:p>
    <w:p w14:paraId="10A1A016">
      <w:pPr>
        <w:pStyle w:val="225"/>
        <w:spacing w:line="360" w:lineRule="auto"/>
        <w:ind w:firstLine="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单位名称：</w:t>
      </w:r>
      <w:r>
        <w:rPr>
          <w:rFonts w:ascii="宋体" w:hAnsi="宋体"/>
          <w:color w:val="000000" w:themeColor="text1"/>
          <w:sz w:val="21"/>
          <w:szCs w:val="21"/>
          <w14:textFill>
            <w14:solidFill>
              <w14:schemeClr w14:val="tx1"/>
            </w14:solidFill>
          </w14:textFill>
        </w:rPr>
        <w:t>____________________________________</w:t>
      </w:r>
    </w:p>
    <w:p w14:paraId="242035EF">
      <w:pPr>
        <w:pStyle w:val="225"/>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授权单位盖章：</w:t>
      </w:r>
      <w:r>
        <w:rPr>
          <w:rFonts w:ascii="宋体" w:hAnsi="宋体"/>
          <w:color w:val="000000" w:themeColor="text1"/>
          <w:sz w:val="21"/>
          <w:szCs w:val="21"/>
          <w14:textFill>
            <w14:solidFill>
              <w14:schemeClr w14:val="tx1"/>
            </w14:solidFill>
          </w14:textFill>
        </w:rPr>
        <w:t>_________________________________</w:t>
      </w:r>
    </w:p>
    <w:p w14:paraId="5D50E07A">
      <w:pPr>
        <w:pStyle w:val="225"/>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授权人签字：</w:t>
      </w:r>
      <w:r>
        <w:rPr>
          <w:rFonts w:ascii="宋体" w:hAnsi="宋体"/>
          <w:color w:val="000000" w:themeColor="text1"/>
          <w:sz w:val="21"/>
          <w:szCs w:val="21"/>
          <w14:textFill>
            <w14:solidFill>
              <w14:schemeClr w14:val="tx1"/>
            </w14:solidFill>
          </w14:textFill>
        </w:rPr>
        <w:t>_______________________</w:t>
      </w:r>
    </w:p>
    <w:p w14:paraId="03237B13">
      <w:pPr>
        <w:pStyle w:val="225"/>
        <w:spacing w:line="360" w:lineRule="auto"/>
        <w:ind w:firstLine="420"/>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地址：</w:t>
      </w:r>
    </w:p>
    <w:p w14:paraId="4FAA00BC">
      <w:pPr>
        <w:pStyle w:val="225"/>
        <w:spacing w:line="360" w:lineRule="auto"/>
        <w:ind w:firstLine="42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日期：</w:t>
      </w:r>
    </w:p>
    <w:p w14:paraId="792F3059">
      <w:pPr>
        <w:spacing w:line="460" w:lineRule="exact"/>
        <w:rPr>
          <w:rFonts w:ascii="宋体" w:hAnsi="宋体"/>
          <w:bCs/>
          <w:color w:val="000000" w:themeColor="text1"/>
          <w:szCs w:val="21"/>
          <w14:textFill>
            <w14:solidFill>
              <w14:schemeClr w14:val="tx1"/>
            </w14:solidFill>
          </w14:textFill>
        </w:rPr>
      </w:pPr>
    </w:p>
    <w:p w14:paraId="706E9CB2">
      <w:pPr>
        <w:spacing w:line="460" w:lineRule="exact"/>
        <w:rPr>
          <w:rFonts w:ascii="宋体" w:hAnsi="宋体"/>
          <w:bCs/>
          <w:color w:val="000000" w:themeColor="text1"/>
          <w:szCs w:val="21"/>
          <w14:textFill>
            <w14:solidFill>
              <w14:schemeClr w14:val="tx1"/>
            </w14:solidFill>
          </w14:textFill>
        </w:rPr>
      </w:pPr>
    </w:p>
    <w:p w14:paraId="2423494A">
      <w:pPr>
        <w:spacing w:line="460" w:lineRule="exact"/>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被授权人身份证复印件：</w:t>
      </w:r>
    </w:p>
    <w:p w14:paraId="7D2CEDD2">
      <w:pPr>
        <w:spacing w:line="460" w:lineRule="exact"/>
        <w:rPr>
          <w:rFonts w:ascii="宋体" w:hAnsi="宋体"/>
          <w:bCs/>
          <w:color w:val="000000" w:themeColor="text1"/>
          <w:szCs w:val="21"/>
          <w14:textFill>
            <w14:solidFill>
              <w14:schemeClr w14:val="tx1"/>
            </w14:solidFill>
          </w14:textFill>
        </w:rPr>
      </w:pPr>
    </w:p>
    <w:p w14:paraId="018507AE">
      <w:pPr>
        <w:spacing w:line="460" w:lineRule="exact"/>
        <w:rPr>
          <w:rFonts w:ascii="宋体" w:hAnsi="宋体"/>
          <w:bCs/>
          <w:color w:val="000000" w:themeColor="text1"/>
          <w:szCs w:val="21"/>
          <w14:textFill>
            <w14:solidFill>
              <w14:schemeClr w14:val="tx1"/>
            </w14:solidFill>
          </w14:textFill>
        </w:rPr>
      </w:pPr>
    </w:p>
    <w:p w14:paraId="2084D0CF">
      <w:pPr>
        <w:spacing w:line="460" w:lineRule="exact"/>
        <w:rPr>
          <w:rFonts w:ascii="宋体" w:hAnsi="宋体"/>
          <w:bCs/>
          <w:color w:val="000000" w:themeColor="text1"/>
          <w:szCs w:val="21"/>
          <w14:textFill>
            <w14:solidFill>
              <w14:schemeClr w14:val="tx1"/>
            </w14:solidFill>
          </w14:textFill>
        </w:rPr>
      </w:pPr>
    </w:p>
    <w:p w14:paraId="44C6D15B">
      <w:pPr>
        <w:spacing w:line="460" w:lineRule="exact"/>
        <w:rPr>
          <w:rFonts w:ascii="宋体" w:hAnsi="宋体"/>
          <w:bCs/>
          <w:color w:val="000000" w:themeColor="text1"/>
          <w:szCs w:val="21"/>
          <w14:textFill>
            <w14:solidFill>
              <w14:schemeClr w14:val="tx1"/>
            </w14:solidFill>
          </w14:textFill>
        </w:rPr>
      </w:pPr>
    </w:p>
    <w:p w14:paraId="00D3FA26">
      <w:pPr>
        <w:spacing w:line="460" w:lineRule="exact"/>
        <w:rPr>
          <w:rFonts w:ascii="宋体" w:hAnsi="宋体"/>
          <w:bCs/>
          <w:color w:val="000000" w:themeColor="text1"/>
          <w:szCs w:val="21"/>
          <w14:textFill>
            <w14:solidFill>
              <w14:schemeClr w14:val="tx1"/>
            </w14:solidFill>
          </w14:textFill>
        </w:rPr>
      </w:pPr>
    </w:p>
    <w:p w14:paraId="7903D960">
      <w:pPr>
        <w:spacing w:line="460" w:lineRule="exact"/>
        <w:rPr>
          <w:rFonts w:ascii="宋体" w:hAnsi="宋体"/>
          <w:bCs/>
          <w:color w:val="000000" w:themeColor="text1"/>
          <w:szCs w:val="21"/>
          <w14:textFill>
            <w14:solidFill>
              <w14:schemeClr w14:val="tx1"/>
            </w14:solidFill>
          </w14:textFill>
        </w:rPr>
      </w:pPr>
    </w:p>
    <w:p w14:paraId="753FE73E">
      <w:pPr>
        <w:spacing w:line="460" w:lineRule="exact"/>
        <w:rPr>
          <w:rFonts w:ascii="宋体" w:hAnsi="宋体"/>
          <w:bCs/>
          <w:color w:val="000000" w:themeColor="text1"/>
          <w:szCs w:val="21"/>
          <w14:textFill>
            <w14:solidFill>
              <w14:schemeClr w14:val="tx1"/>
            </w14:solidFill>
          </w14:textFill>
        </w:rPr>
      </w:pPr>
    </w:p>
    <w:p w14:paraId="5AC35C88">
      <w:pPr>
        <w:spacing w:line="460" w:lineRule="exact"/>
        <w:rPr>
          <w:rFonts w:ascii="宋体" w:hAnsi="宋体"/>
          <w:bCs/>
          <w:color w:val="000000" w:themeColor="text1"/>
          <w:szCs w:val="21"/>
          <w14:textFill>
            <w14:solidFill>
              <w14:schemeClr w14:val="tx1"/>
            </w14:solidFill>
          </w14:textFill>
        </w:rPr>
      </w:pPr>
    </w:p>
    <w:p w14:paraId="13015F17">
      <w:pPr>
        <w:spacing w:line="460" w:lineRule="exact"/>
        <w:rPr>
          <w:rFonts w:ascii="宋体" w:hAnsi="宋体"/>
          <w:bCs/>
          <w:color w:val="000000" w:themeColor="text1"/>
          <w:szCs w:val="21"/>
          <w14:textFill>
            <w14:solidFill>
              <w14:schemeClr w14:val="tx1"/>
            </w14:solidFill>
          </w14:textFill>
        </w:rPr>
      </w:pPr>
    </w:p>
    <w:p w14:paraId="2CDC406A">
      <w:pPr>
        <w:spacing w:line="460" w:lineRule="exact"/>
        <w:rPr>
          <w:rFonts w:ascii="宋体" w:hAnsi="宋体"/>
          <w:bCs/>
          <w:color w:val="000000" w:themeColor="text1"/>
          <w:szCs w:val="21"/>
          <w14:textFill>
            <w14:solidFill>
              <w14:schemeClr w14:val="tx1"/>
            </w14:solidFill>
          </w14:textFill>
        </w:rPr>
      </w:pPr>
    </w:p>
    <w:p w14:paraId="52D771DA">
      <w:pPr>
        <w:spacing w:line="460" w:lineRule="exact"/>
        <w:rPr>
          <w:rFonts w:ascii="宋体" w:hAnsi="宋体"/>
          <w:bCs/>
          <w:color w:val="000000" w:themeColor="text1"/>
          <w:szCs w:val="21"/>
          <w14:textFill>
            <w14:solidFill>
              <w14:schemeClr w14:val="tx1"/>
            </w14:solidFill>
          </w14:textFill>
        </w:rPr>
      </w:pPr>
    </w:p>
    <w:p w14:paraId="5E6AC9EF">
      <w:pPr>
        <w:spacing w:line="460" w:lineRule="exact"/>
        <w:rPr>
          <w:rFonts w:ascii="宋体" w:hAnsi="宋体"/>
          <w:bCs/>
          <w:color w:val="000000" w:themeColor="text1"/>
          <w:szCs w:val="21"/>
          <w14:textFill>
            <w14:solidFill>
              <w14:schemeClr w14:val="tx1"/>
            </w14:solidFill>
          </w14:textFill>
        </w:rPr>
      </w:pPr>
    </w:p>
    <w:p w14:paraId="09A18CAB">
      <w:pPr>
        <w:spacing w:line="460" w:lineRule="exact"/>
        <w:rPr>
          <w:rFonts w:ascii="宋体" w:hAnsi="宋体"/>
          <w:bCs/>
          <w:color w:val="000000" w:themeColor="text1"/>
          <w:szCs w:val="21"/>
          <w14:textFill>
            <w14:solidFill>
              <w14:schemeClr w14:val="tx1"/>
            </w14:solidFill>
          </w14:textFill>
        </w:rPr>
      </w:pPr>
    </w:p>
    <w:p w14:paraId="2339C8CF">
      <w:pPr>
        <w:spacing w:line="460" w:lineRule="exact"/>
        <w:rPr>
          <w:rFonts w:ascii="宋体" w:hAnsi="宋体"/>
          <w:bCs/>
          <w:color w:val="000000" w:themeColor="text1"/>
          <w:szCs w:val="21"/>
          <w14:textFill>
            <w14:solidFill>
              <w14:schemeClr w14:val="tx1"/>
            </w14:solidFill>
          </w14:textFill>
        </w:rPr>
      </w:pPr>
    </w:p>
    <w:p w14:paraId="4D9E2610">
      <w:pPr>
        <w:spacing w:line="460" w:lineRule="exact"/>
        <w:rPr>
          <w:rFonts w:ascii="宋体" w:hAnsi="宋体"/>
          <w:bCs/>
          <w:color w:val="000000" w:themeColor="text1"/>
          <w:sz w:val="24"/>
          <w14:textFill>
            <w14:solidFill>
              <w14:schemeClr w14:val="tx1"/>
            </w14:solidFill>
          </w14:textFill>
        </w:rPr>
      </w:pPr>
    </w:p>
    <w:p w14:paraId="28568D99">
      <w:pPr>
        <w:numPr>
          <w:ilvl w:val="0"/>
          <w:numId w:val="0"/>
        </w:numPr>
        <w:ind w:left="0" w:firstLine="0"/>
        <w:jc w:val="center"/>
        <w:rPr>
          <w:rFonts w:hint="default" w:ascii="宋体" w:hAnsi="宋体" w:eastAsia="宋体" w:cs="Times New Roman"/>
          <w:b/>
          <w:color w:val="000000" w:themeColor="text1"/>
          <w:sz w:val="32"/>
          <w:szCs w:val="32"/>
          <w14:textFill>
            <w14:solidFill>
              <w14:schemeClr w14:val="tx1"/>
            </w14:solidFill>
          </w14:textFill>
        </w:rPr>
      </w:pPr>
    </w:p>
    <w:p w14:paraId="3FF929F1">
      <w:pPr>
        <w:numPr>
          <w:ilvl w:val="0"/>
          <w:numId w:val="0"/>
        </w:numPr>
        <w:ind w:left="0" w:firstLine="0"/>
        <w:jc w:val="center"/>
        <w:rPr>
          <w:rFonts w:hint="default" w:ascii="宋体" w:hAnsi="宋体" w:eastAsia="宋体" w:cs="Times New Roman"/>
          <w:b/>
          <w:color w:val="000000" w:themeColor="text1"/>
          <w:sz w:val="32"/>
          <w:szCs w:val="32"/>
          <w14:textFill>
            <w14:solidFill>
              <w14:schemeClr w14:val="tx1"/>
            </w14:solidFill>
          </w14:textFill>
        </w:rPr>
      </w:pPr>
    </w:p>
    <w:p w14:paraId="67B3525F">
      <w:pPr>
        <w:numPr>
          <w:ilvl w:val="0"/>
          <w:numId w:val="0"/>
        </w:numPr>
        <w:ind w:left="0" w:firstLine="0"/>
        <w:jc w:val="center"/>
        <w:rPr>
          <w:rFonts w:ascii="宋体" w:hAnsi="宋体"/>
          <w:b/>
          <w:color w:val="000000" w:themeColor="text1"/>
          <w:sz w:val="32"/>
          <w:szCs w:val="32"/>
          <w14:textFill>
            <w14:solidFill>
              <w14:schemeClr w14:val="tx1"/>
            </w14:solidFill>
          </w14:textFill>
        </w:rPr>
      </w:pPr>
      <w:r>
        <w:rPr>
          <w:rFonts w:hint="default" w:ascii="宋体" w:hAnsi="宋体" w:eastAsia="宋体" w:cs="Times New Roman"/>
          <w:b/>
          <w:color w:val="000000" w:themeColor="text1"/>
          <w:sz w:val="32"/>
          <w:szCs w:val="32"/>
          <w14:textFill>
            <w14:solidFill>
              <w14:schemeClr w14:val="tx1"/>
            </w14:solidFill>
          </w14:textFill>
        </w:rPr>
        <w:t>四、</w:t>
      </w:r>
      <w:r>
        <w:rPr>
          <w:rFonts w:hint="eastAsia" w:ascii="宋体" w:hAnsi="宋体"/>
          <w:b/>
          <w:color w:val="000000" w:themeColor="text1"/>
          <w:sz w:val="32"/>
          <w:szCs w:val="32"/>
          <w14:textFill>
            <w14:solidFill>
              <w14:schemeClr w14:val="tx1"/>
            </w14:solidFill>
          </w14:textFill>
        </w:rPr>
        <w:t>符合性审查响应对照表</w:t>
      </w:r>
    </w:p>
    <w:p w14:paraId="0E7A287D">
      <w:pPr>
        <w:rPr>
          <w:rFonts w:ascii="宋体" w:hAnsi="宋体"/>
          <w:b/>
          <w:color w:val="000000" w:themeColor="text1"/>
          <w:sz w:val="32"/>
          <w:szCs w:val="32"/>
          <w14:textFill>
            <w14:solidFill>
              <w14:schemeClr w14:val="tx1"/>
            </w14:solidFill>
          </w14:textFill>
        </w:rPr>
      </w:pPr>
    </w:p>
    <w:tbl>
      <w:tblPr>
        <w:tblStyle w:val="4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849"/>
        <w:gridCol w:w="1843"/>
        <w:gridCol w:w="992"/>
        <w:gridCol w:w="992"/>
      </w:tblGrid>
      <w:tr w14:paraId="45568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1D9A7E67">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3744E635">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013795">
            <w:pPr>
              <w:spacing w:line="240" w:lineRule="atLeas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3624655A">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3219ED6">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4DD5FF9">
            <w:pPr>
              <w:spacing w:line="240" w:lineRule="atLeas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页码位置</w:t>
            </w:r>
          </w:p>
        </w:tc>
      </w:tr>
      <w:tr w14:paraId="0D6E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41FFA9CA">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6D050CAC">
            <w:pPr>
              <w:spacing w:line="0" w:lineRule="atLeas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采购需求中必须满足的实质性要求（即加斜体下划线内容，每条详细列出）</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C0B9FEF">
            <w:pPr>
              <w:rPr>
                <w:rFonts w:ascii="宋体" w:hAnsi="宋体"/>
                <w:b/>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5817528">
            <w:pPr>
              <w:rPr>
                <w:rFonts w:ascii="宋体" w:hAnsi="宋体"/>
                <w:b/>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627A558D">
            <w:pPr>
              <w:rPr>
                <w:rFonts w:ascii="宋体" w:hAnsi="宋体"/>
                <w:b/>
                <w:color w:val="000000" w:themeColor="text1"/>
                <w:szCs w:val="21"/>
                <w14:textFill>
                  <w14:solidFill>
                    <w14:schemeClr w14:val="tx1"/>
                  </w14:solidFill>
                </w14:textFill>
              </w:rPr>
            </w:pPr>
          </w:p>
        </w:tc>
      </w:tr>
      <w:tr w14:paraId="3010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36DFA05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25B241AA">
            <w:pPr>
              <w:spacing w:line="0" w:lineRule="atLeast"/>
              <w:rPr>
                <w:rFonts w:ascii="宋体" w:hAnsi="宋体"/>
                <w:iCs/>
                <w:color w:val="000000" w:themeColor="text1"/>
                <w:szCs w:val="21"/>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8C84863">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103FDF9">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5567F054">
            <w:pPr>
              <w:rPr>
                <w:rFonts w:ascii="宋体" w:hAnsi="宋体"/>
                <w:color w:val="000000" w:themeColor="text1"/>
                <w:szCs w:val="21"/>
                <w14:textFill>
                  <w14:solidFill>
                    <w14:schemeClr w14:val="tx1"/>
                  </w14:solidFill>
                </w14:textFill>
              </w:rPr>
            </w:pPr>
          </w:p>
        </w:tc>
      </w:tr>
      <w:tr w14:paraId="16F1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095AABE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3924BAFE">
            <w:pPr>
              <w:spacing w:line="0" w:lineRule="atLeast"/>
              <w:rPr>
                <w:rFonts w:ascii="宋体" w:hAnsi="宋体"/>
                <w:iCs/>
                <w:color w:val="000000" w:themeColor="text1"/>
                <w:szCs w:val="21"/>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1762931">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1E7E109">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3BA77CE1">
            <w:pPr>
              <w:rPr>
                <w:rFonts w:ascii="宋体" w:hAnsi="宋体"/>
                <w:color w:val="000000" w:themeColor="text1"/>
                <w:szCs w:val="21"/>
                <w14:textFill>
                  <w14:solidFill>
                    <w14:schemeClr w14:val="tx1"/>
                  </w14:solidFill>
                </w14:textFill>
              </w:rPr>
            </w:pPr>
          </w:p>
        </w:tc>
      </w:tr>
      <w:tr w14:paraId="5A48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4F531CE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28F8ADD3">
            <w:pPr>
              <w:spacing w:line="0" w:lineRule="atLeast"/>
              <w:rPr>
                <w:rFonts w:ascii="宋体" w:hAnsi="宋体"/>
                <w:iCs/>
                <w:color w:val="000000" w:themeColor="text1"/>
                <w:szCs w:val="21"/>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0E79F43">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A3577BB">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0EBAB88C">
            <w:pPr>
              <w:rPr>
                <w:rFonts w:ascii="宋体" w:hAnsi="宋体"/>
                <w:color w:val="000000" w:themeColor="text1"/>
                <w:szCs w:val="21"/>
                <w14:textFill>
                  <w14:solidFill>
                    <w14:schemeClr w14:val="tx1"/>
                  </w14:solidFill>
                </w14:textFill>
              </w:rPr>
            </w:pPr>
          </w:p>
        </w:tc>
      </w:tr>
      <w:tr w14:paraId="1EE0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10CEDBA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4849" w:type="dxa"/>
            <w:tcBorders>
              <w:top w:val="single" w:color="auto" w:sz="4" w:space="0"/>
              <w:left w:val="single" w:color="auto" w:sz="4" w:space="0"/>
              <w:bottom w:val="single" w:color="auto" w:sz="4" w:space="0"/>
              <w:right w:val="single" w:color="auto" w:sz="4" w:space="0"/>
            </w:tcBorders>
            <w:noWrap w:val="0"/>
            <w:vAlign w:val="center"/>
          </w:tcPr>
          <w:p w14:paraId="4548911E">
            <w:pPr>
              <w:spacing w:line="0" w:lineRule="atLeas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8F2EDDA">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48EF8C">
            <w:pP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6FFD38C4">
            <w:pPr>
              <w:rPr>
                <w:rFonts w:ascii="宋体" w:hAnsi="宋体"/>
                <w:color w:val="000000" w:themeColor="text1"/>
                <w:szCs w:val="21"/>
                <w14:textFill>
                  <w14:solidFill>
                    <w14:schemeClr w14:val="tx1"/>
                  </w14:solidFill>
                </w14:textFill>
              </w:rPr>
            </w:pPr>
          </w:p>
        </w:tc>
      </w:tr>
    </w:tbl>
    <w:p w14:paraId="650FBD13">
      <w:pPr>
        <w:spacing w:line="460" w:lineRule="exact"/>
        <w:rPr>
          <w:rFonts w:ascii="宋体" w:hAnsi="宋体"/>
          <w:bCs/>
          <w:color w:val="000000" w:themeColor="text1"/>
          <w:sz w:val="24"/>
          <w14:textFill>
            <w14:solidFill>
              <w14:schemeClr w14:val="tx1"/>
            </w14:solidFill>
          </w14:textFill>
        </w:rPr>
      </w:pPr>
    </w:p>
    <w:p w14:paraId="60E3DB6E">
      <w:pPr>
        <w:spacing w:line="460" w:lineRule="exact"/>
        <w:rPr>
          <w:rFonts w:ascii="宋体" w:hAnsi="宋体"/>
          <w:bCs/>
          <w:color w:val="000000" w:themeColor="text1"/>
          <w:sz w:val="24"/>
          <w14:textFill>
            <w14:solidFill>
              <w14:schemeClr w14:val="tx1"/>
            </w14:solidFill>
          </w14:textFill>
        </w:rPr>
      </w:pPr>
    </w:p>
    <w:p w14:paraId="0E6DFA35">
      <w:pPr>
        <w:spacing w:line="460" w:lineRule="exact"/>
        <w:rPr>
          <w:rFonts w:ascii="宋体" w:hAnsi="宋体"/>
          <w:bCs/>
          <w:color w:val="000000" w:themeColor="text1"/>
          <w:sz w:val="24"/>
          <w14:textFill>
            <w14:solidFill>
              <w14:schemeClr w14:val="tx1"/>
            </w14:solidFill>
          </w14:textFill>
        </w:rPr>
      </w:pPr>
    </w:p>
    <w:p w14:paraId="5E07E0FC">
      <w:pPr>
        <w:spacing w:line="460" w:lineRule="exact"/>
        <w:rPr>
          <w:rFonts w:ascii="宋体" w:hAnsi="宋体"/>
          <w:bCs/>
          <w:color w:val="000000" w:themeColor="text1"/>
          <w:sz w:val="24"/>
          <w14:textFill>
            <w14:solidFill>
              <w14:schemeClr w14:val="tx1"/>
            </w14:solidFill>
          </w14:textFill>
        </w:rPr>
      </w:pPr>
    </w:p>
    <w:p w14:paraId="282EDF05">
      <w:pPr>
        <w:spacing w:line="460" w:lineRule="exact"/>
        <w:rPr>
          <w:rFonts w:ascii="宋体" w:hAnsi="宋体"/>
          <w:bCs/>
          <w:color w:val="000000" w:themeColor="text1"/>
          <w:sz w:val="24"/>
          <w14:textFill>
            <w14:solidFill>
              <w14:schemeClr w14:val="tx1"/>
            </w14:solidFill>
          </w14:textFill>
        </w:rPr>
      </w:pPr>
    </w:p>
    <w:p w14:paraId="1E642946">
      <w:pPr>
        <w:spacing w:line="460" w:lineRule="exact"/>
        <w:rPr>
          <w:rFonts w:ascii="宋体" w:hAnsi="宋体"/>
          <w:bCs/>
          <w:color w:val="000000" w:themeColor="text1"/>
          <w:sz w:val="24"/>
          <w14:textFill>
            <w14:solidFill>
              <w14:schemeClr w14:val="tx1"/>
            </w14:solidFill>
          </w14:textFill>
        </w:rPr>
      </w:pPr>
    </w:p>
    <w:p w14:paraId="0A828B1C">
      <w:pPr>
        <w:spacing w:line="460" w:lineRule="exact"/>
        <w:rPr>
          <w:rFonts w:ascii="宋体" w:hAnsi="宋体"/>
          <w:bCs/>
          <w:color w:val="000000" w:themeColor="text1"/>
          <w:sz w:val="24"/>
          <w14:textFill>
            <w14:solidFill>
              <w14:schemeClr w14:val="tx1"/>
            </w14:solidFill>
          </w14:textFill>
        </w:rPr>
      </w:pPr>
    </w:p>
    <w:p w14:paraId="626CB29A">
      <w:pPr>
        <w:spacing w:line="460" w:lineRule="exact"/>
        <w:rPr>
          <w:rFonts w:ascii="宋体" w:hAnsi="宋体"/>
          <w:bCs/>
          <w:color w:val="000000" w:themeColor="text1"/>
          <w:sz w:val="24"/>
          <w14:textFill>
            <w14:solidFill>
              <w14:schemeClr w14:val="tx1"/>
            </w14:solidFill>
          </w14:textFill>
        </w:rPr>
      </w:pPr>
    </w:p>
    <w:p w14:paraId="79876F5B">
      <w:pPr>
        <w:spacing w:line="460" w:lineRule="exact"/>
        <w:rPr>
          <w:rFonts w:ascii="宋体" w:hAnsi="宋体"/>
          <w:bCs/>
          <w:color w:val="000000" w:themeColor="text1"/>
          <w:sz w:val="24"/>
          <w14:textFill>
            <w14:solidFill>
              <w14:schemeClr w14:val="tx1"/>
            </w14:solidFill>
          </w14:textFill>
        </w:rPr>
      </w:pPr>
    </w:p>
    <w:p w14:paraId="53BF211B">
      <w:pPr>
        <w:spacing w:line="460" w:lineRule="exact"/>
        <w:rPr>
          <w:rFonts w:ascii="宋体" w:hAnsi="宋体"/>
          <w:bCs/>
          <w:color w:val="000000" w:themeColor="text1"/>
          <w:sz w:val="24"/>
          <w14:textFill>
            <w14:solidFill>
              <w14:schemeClr w14:val="tx1"/>
            </w14:solidFill>
          </w14:textFill>
        </w:rPr>
      </w:pPr>
    </w:p>
    <w:p w14:paraId="7849B5E1">
      <w:pPr>
        <w:spacing w:line="460" w:lineRule="exact"/>
        <w:rPr>
          <w:rFonts w:ascii="宋体" w:hAnsi="宋体"/>
          <w:bCs/>
          <w:color w:val="000000" w:themeColor="text1"/>
          <w:sz w:val="24"/>
          <w14:textFill>
            <w14:solidFill>
              <w14:schemeClr w14:val="tx1"/>
            </w14:solidFill>
          </w14:textFill>
        </w:rPr>
      </w:pPr>
    </w:p>
    <w:p w14:paraId="6CABD93B">
      <w:pPr>
        <w:spacing w:line="460" w:lineRule="exact"/>
        <w:rPr>
          <w:rFonts w:ascii="宋体" w:hAnsi="宋体"/>
          <w:bCs/>
          <w:color w:val="000000" w:themeColor="text1"/>
          <w:sz w:val="24"/>
          <w14:textFill>
            <w14:solidFill>
              <w14:schemeClr w14:val="tx1"/>
            </w14:solidFill>
          </w14:textFill>
        </w:rPr>
      </w:pPr>
    </w:p>
    <w:p w14:paraId="251D9548">
      <w:pPr>
        <w:spacing w:line="460" w:lineRule="exact"/>
        <w:rPr>
          <w:rFonts w:ascii="宋体" w:hAnsi="宋体"/>
          <w:bCs/>
          <w:color w:val="000000" w:themeColor="text1"/>
          <w:sz w:val="24"/>
          <w14:textFill>
            <w14:solidFill>
              <w14:schemeClr w14:val="tx1"/>
            </w14:solidFill>
          </w14:textFill>
        </w:rPr>
      </w:pPr>
    </w:p>
    <w:p w14:paraId="502D6A56">
      <w:pPr>
        <w:spacing w:line="460" w:lineRule="exact"/>
        <w:rPr>
          <w:rFonts w:ascii="宋体" w:hAnsi="宋体"/>
          <w:bCs/>
          <w:color w:val="000000" w:themeColor="text1"/>
          <w:sz w:val="24"/>
          <w14:textFill>
            <w14:solidFill>
              <w14:schemeClr w14:val="tx1"/>
            </w14:solidFill>
          </w14:textFill>
        </w:rPr>
      </w:pPr>
    </w:p>
    <w:p w14:paraId="7B7AA091">
      <w:pPr>
        <w:spacing w:line="460" w:lineRule="exact"/>
        <w:rPr>
          <w:rFonts w:ascii="宋体" w:hAnsi="宋体"/>
          <w:bCs/>
          <w:color w:val="000000" w:themeColor="text1"/>
          <w:sz w:val="24"/>
          <w14:textFill>
            <w14:solidFill>
              <w14:schemeClr w14:val="tx1"/>
            </w14:solidFill>
          </w14:textFill>
        </w:rPr>
      </w:pPr>
    </w:p>
    <w:p w14:paraId="6808D98F">
      <w:pPr>
        <w:spacing w:line="360" w:lineRule="auto"/>
        <w:rPr>
          <w:rFonts w:ascii="黑体" w:hAnsi="黑体" w:eastAsia="黑体"/>
          <w:b/>
          <w:color w:val="000000" w:themeColor="text1"/>
          <w:sz w:val="32"/>
          <w:szCs w:val="32"/>
          <w14:textFill>
            <w14:solidFill>
              <w14:schemeClr w14:val="tx1"/>
            </w14:solidFill>
          </w14:textFill>
        </w:rPr>
      </w:pPr>
    </w:p>
    <w:p w14:paraId="4497D38A">
      <w:pPr>
        <w:spacing w:line="360" w:lineRule="auto"/>
        <w:rPr>
          <w:rFonts w:ascii="黑体" w:hAnsi="黑体" w:eastAsia="黑体"/>
          <w:b/>
          <w:color w:val="000000" w:themeColor="text1"/>
          <w:sz w:val="32"/>
          <w:szCs w:val="32"/>
          <w14:textFill>
            <w14:solidFill>
              <w14:schemeClr w14:val="tx1"/>
            </w14:solidFill>
          </w14:textFill>
        </w:rPr>
      </w:pPr>
    </w:p>
    <w:p w14:paraId="5B1A3F8B">
      <w:pPr>
        <w:spacing w:line="360" w:lineRule="auto"/>
        <w:rPr>
          <w:rFonts w:ascii="黑体" w:hAnsi="黑体" w:eastAsia="黑体"/>
          <w:b/>
          <w:color w:val="000000" w:themeColor="text1"/>
          <w:sz w:val="32"/>
          <w:szCs w:val="32"/>
          <w14:textFill>
            <w14:solidFill>
              <w14:schemeClr w14:val="tx1"/>
            </w14:solidFill>
          </w14:textFill>
        </w:rPr>
      </w:pPr>
    </w:p>
    <w:p w14:paraId="7430BAB0">
      <w:pPr>
        <w:spacing w:line="360" w:lineRule="auto"/>
        <w:rPr>
          <w:rFonts w:ascii="黑体" w:hAnsi="黑体" w:eastAsia="黑体"/>
          <w:b/>
          <w:color w:val="000000" w:themeColor="text1"/>
          <w:sz w:val="32"/>
          <w:szCs w:val="32"/>
          <w14:textFill>
            <w14:solidFill>
              <w14:schemeClr w14:val="tx1"/>
            </w14:solidFill>
          </w14:textFill>
        </w:rPr>
      </w:pPr>
    </w:p>
    <w:p w14:paraId="147F6988">
      <w:pPr>
        <w:numPr>
          <w:ilvl w:val="0"/>
          <w:numId w:val="0"/>
        </w:numPr>
        <w:ind w:left="0" w:firstLine="0"/>
        <w:jc w:val="center"/>
        <w:rPr>
          <w:rFonts w:ascii="宋体" w:hAnsi="宋体"/>
          <w:b/>
          <w:color w:val="000000" w:themeColor="text1"/>
          <w:sz w:val="32"/>
          <w:szCs w:val="32"/>
          <w14:textFill>
            <w14:solidFill>
              <w14:schemeClr w14:val="tx1"/>
            </w14:solidFill>
          </w14:textFill>
        </w:rPr>
      </w:pPr>
      <w:r>
        <w:rPr>
          <w:rFonts w:hint="default" w:ascii="宋体" w:hAnsi="宋体" w:eastAsia="宋体" w:cs="Times New Roman"/>
          <w:b/>
          <w:color w:val="000000" w:themeColor="text1"/>
          <w:sz w:val="32"/>
          <w:szCs w:val="32"/>
          <w14:textFill>
            <w14:solidFill>
              <w14:schemeClr w14:val="tx1"/>
            </w14:solidFill>
          </w14:textFill>
        </w:rPr>
        <w:t>五、</w:t>
      </w:r>
      <w:r>
        <w:rPr>
          <w:rFonts w:hint="eastAsia" w:ascii="宋体" w:hAnsi="宋体"/>
          <w:b/>
          <w:color w:val="000000" w:themeColor="text1"/>
          <w:sz w:val="32"/>
          <w:szCs w:val="32"/>
          <w14:textFill>
            <w14:solidFill>
              <w14:schemeClr w14:val="tx1"/>
            </w14:solidFill>
          </w14:textFill>
        </w:rPr>
        <w:t>非实质性响应对照表</w:t>
      </w:r>
    </w:p>
    <w:p w14:paraId="4CAD5C42">
      <w:pPr>
        <w:rPr>
          <w:rFonts w:ascii="宋体" w:hAnsi="宋体"/>
          <w:b/>
          <w:color w:val="000000" w:themeColor="text1"/>
          <w:sz w:val="32"/>
          <w:szCs w:val="32"/>
          <w14:textFill>
            <w14:solidFill>
              <w14:schemeClr w14:val="tx1"/>
            </w14:solidFill>
          </w14:textFill>
        </w:rPr>
      </w:pP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197B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6DFD2EA7">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tcBorders>
              <w:top w:val="single" w:color="auto" w:sz="4" w:space="0"/>
              <w:left w:val="single" w:color="auto" w:sz="4" w:space="0"/>
              <w:bottom w:val="single" w:color="auto" w:sz="4" w:space="0"/>
              <w:right w:val="single" w:color="auto" w:sz="4" w:space="0"/>
            </w:tcBorders>
            <w:noWrap w:val="0"/>
            <w:vAlign w:val="center"/>
          </w:tcPr>
          <w:p w14:paraId="2BDC3672">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2D065023">
            <w:pPr>
              <w:spacing w:line="240" w:lineRule="atLeas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6C774ED2">
            <w:pPr>
              <w:spacing w:line="240" w:lineRule="atLeast"/>
              <w:jc w:val="center"/>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08" w:type="dxa"/>
            <w:tcBorders>
              <w:top w:val="single" w:color="auto" w:sz="4" w:space="0"/>
              <w:left w:val="single" w:color="auto" w:sz="4" w:space="0"/>
              <w:bottom w:val="single" w:color="auto" w:sz="4" w:space="0"/>
              <w:right w:val="single" w:color="auto" w:sz="4" w:space="0"/>
            </w:tcBorders>
            <w:noWrap w:val="0"/>
            <w:vAlign w:val="center"/>
          </w:tcPr>
          <w:p w14:paraId="4321A3A1">
            <w:pPr>
              <w:spacing w:line="240" w:lineRule="atLeas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3E580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2A042F47">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p>
        </w:tc>
        <w:tc>
          <w:tcPr>
            <w:tcW w:w="5447" w:type="dxa"/>
            <w:tcBorders>
              <w:top w:val="single" w:color="auto" w:sz="4" w:space="0"/>
              <w:left w:val="single" w:color="auto" w:sz="4" w:space="0"/>
              <w:bottom w:val="single" w:color="auto" w:sz="4" w:space="0"/>
              <w:right w:val="single" w:color="auto" w:sz="4" w:space="0"/>
            </w:tcBorders>
            <w:noWrap w:val="0"/>
            <w:vAlign w:val="center"/>
          </w:tcPr>
          <w:p w14:paraId="1A989328">
            <w:pPr>
              <w:spacing w:line="0" w:lineRule="atLeas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《企业声明函》</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3B8925B5">
            <w:pPr>
              <w:rPr>
                <w:rFonts w:ascii="宋体" w:hAnsi="宋体"/>
                <w:b/>
                <w:color w:val="000000" w:themeColor="text1"/>
                <w:szCs w:val="21"/>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42CF652">
            <w:pPr>
              <w:rPr>
                <w:rFonts w:ascii="宋体" w:hAnsi="宋体"/>
                <w:b/>
                <w:color w:val="000000" w:themeColor="text1"/>
                <w:szCs w:val="21"/>
                <w14:textFill>
                  <w14:solidFill>
                    <w14:schemeClr w14:val="tx1"/>
                  </w14:solidFill>
                </w14:textFill>
              </w:rPr>
            </w:pPr>
          </w:p>
        </w:tc>
      </w:tr>
      <w:tr w14:paraId="4BEC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2868105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5447" w:type="dxa"/>
            <w:tcBorders>
              <w:top w:val="single" w:color="auto" w:sz="4" w:space="0"/>
              <w:left w:val="single" w:color="auto" w:sz="4" w:space="0"/>
              <w:bottom w:val="single" w:color="auto" w:sz="4" w:space="0"/>
              <w:right w:val="single" w:color="auto" w:sz="4" w:space="0"/>
            </w:tcBorders>
            <w:noWrap w:val="0"/>
            <w:vAlign w:val="center"/>
          </w:tcPr>
          <w:p w14:paraId="67377C5D">
            <w:pPr>
              <w:spacing w:line="0" w:lineRule="atLeas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《残疾人福利性单位声明函》</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571E031A">
            <w:pPr>
              <w:rPr>
                <w:rFonts w:ascii="宋体" w:hAnsi="宋体"/>
                <w:color w:val="000000" w:themeColor="text1"/>
                <w:szCs w:val="21"/>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FF4E5CD">
            <w:pPr>
              <w:rPr>
                <w:rFonts w:ascii="宋体" w:hAnsi="宋体"/>
                <w:color w:val="000000" w:themeColor="text1"/>
                <w:szCs w:val="21"/>
                <w14:textFill>
                  <w14:solidFill>
                    <w14:schemeClr w14:val="tx1"/>
                  </w14:solidFill>
                </w14:textFill>
              </w:rPr>
            </w:pPr>
          </w:p>
        </w:tc>
      </w:tr>
      <w:tr w14:paraId="4DC2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noWrap w:val="0"/>
            <w:vAlign w:val="center"/>
          </w:tcPr>
          <w:p w14:paraId="684607D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5447" w:type="dxa"/>
            <w:tcBorders>
              <w:top w:val="single" w:color="auto" w:sz="4" w:space="0"/>
              <w:left w:val="single" w:color="auto" w:sz="4" w:space="0"/>
              <w:bottom w:val="single" w:color="auto" w:sz="4" w:space="0"/>
              <w:right w:val="single" w:color="auto" w:sz="4" w:space="0"/>
            </w:tcBorders>
            <w:noWrap w:val="0"/>
            <w:vAlign w:val="center"/>
          </w:tcPr>
          <w:p w14:paraId="0FE30583">
            <w:pPr>
              <w:spacing w:line="0" w:lineRule="atLeas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4D423BB5">
            <w:pPr>
              <w:rPr>
                <w:rFonts w:ascii="宋体" w:hAnsi="宋体"/>
                <w:color w:val="000000" w:themeColor="text1"/>
                <w:szCs w:val="21"/>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560A0C1C">
            <w:pPr>
              <w:rPr>
                <w:rFonts w:ascii="宋体" w:hAnsi="宋体"/>
                <w:color w:val="000000" w:themeColor="text1"/>
                <w:szCs w:val="21"/>
                <w14:textFill>
                  <w14:solidFill>
                    <w14:schemeClr w14:val="tx1"/>
                  </w14:solidFill>
                </w14:textFill>
              </w:rPr>
            </w:pPr>
          </w:p>
        </w:tc>
      </w:tr>
    </w:tbl>
    <w:p w14:paraId="33416A13">
      <w:pPr>
        <w:spacing w:line="600" w:lineRule="exact"/>
        <w:jc w:val="center"/>
        <w:rPr>
          <w:rFonts w:ascii="宋体" w:hAnsi="宋体"/>
          <w:b/>
          <w:bCs/>
          <w:color w:val="000000" w:themeColor="text1"/>
          <w:sz w:val="32"/>
          <w:szCs w:val="32"/>
          <w14:textFill>
            <w14:solidFill>
              <w14:schemeClr w14:val="tx1"/>
            </w14:solidFill>
          </w14:textFill>
        </w:rPr>
      </w:pPr>
    </w:p>
    <w:p w14:paraId="58872F19">
      <w:pPr>
        <w:spacing w:line="360" w:lineRule="auto"/>
        <w:rPr>
          <w:rFonts w:ascii="黑体" w:hAnsi="黑体" w:eastAsia="黑体"/>
          <w:b/>
          <w:color w:val="000000" w:themeColor="text1"/>
          <w:sz w:val="32"/>
          <w:szCs w:val="32"/>
          <w14:textFill>
            <w14:solidFill>
              <w14:schemeClr w14:val="tx1"/>
            </w14:solidFill>
          </w14:textFill>
        </w:rPr>
      </w:pPr>
    </w:p>
    <w:p w14:paraId="54708E85">
      <w:pPr>
        <w:spacing w:line="360" w:lineRule="auto"/>
        <w:rPr>
          <w:rFonts w:ascii="黑体" w:hAnsi="黑体" w:eastAsia="黑体"/>
          <w:b/>
          <w:color w:val="000000" w:themeColor="text1"/>
          <w:sz w:val="32"/>
          <w:szCs w:val="32"/>
          <w14:textFill>
            <w14:solidFill>
              <w14:schemeClr w14:val="tx1"/>
            </w14:solidFill>
          </w14:textFill>
        </w:rPr>
      </w:pPr>
    </w:p>
    <w:p w14:paraId="1257A3A9">
      <w:pPr>
        <w:spacing w:line="360" w:lineRule="auto"/>
        <w:rPr>
          <w:rFonts w:ascii="黑体" w:hAnsi="黑体" w:eastAsia="黑体"/>
          <w:b/>
          <w:color w:val="000000" w:themeColor="text1"/>
          <w:sz w:val="32"/>
          <w:szCs w:val="32"/>
          <w14:textFill>
            <w14:solidFill>
              <w14:schemeClr w14:val="tx1"/>
            </w14:solidFill>
          </w14:textFill>
        </w:rPr>
      </w:pPr>
    </w:p>
    <w:p w14:paraId="04EDC061">
      <w:pPr>
        <w:spacing w:line="360" w:lineRule="auto"/>
        <w:rPr>
          <w:rFonts w:ascii="黑体" w:hAnsi="黑体" w:eastAsia="黑体"/>
          <w:b/>
          <w:color w:val="000000" w:themeColor="text1"/>
          <w:sz w:val="32"/>
          <w:szCs w:val="32"/>
          <w14:textFill>
            <w14:solidFill>
              <w14:schemeClr w14:val="tx1"/>
            </w14:solidFill>
          </w14:textFill>
        </w:rPr>
      </w:pPr>
    </w:p>
    <w:p w14:paraId="201E2131">
      <w:pPr>
        <w:spacing w:line="360" w:lineRule="auto"/>
        <w:rPr>
          <w:rFonts w:ascii="黑体" w:hAnsi="黑体" w:eastAsia="黑体"/>
          <w:b/>
          <w:color w:val="000000" w:themeColor="text1"/>
          <w:sz w:val="32"/>
          <w:szCs w:val="32"/>
          <w14:textFill>
            <w14:solidFill>
              <w14:schemeClr w14:val="tx1"/>
            </w14:solidFill>
          </w14:textFill>
        </w:rPr>
      </w:pPr>
    </w:p>
    <w:p w14:paraId="12AB6969">
      <w:pPr>
        <w:spacing w:line="360" w:lineRule="auto"/>
        <w:rPr>
          <w:rFonts w:ascii="黑体" w:hAnsi="黑体" w:eastAsia="黑体"/>
          <w:b/>
          <w:color w:val="000000" w:themeColor="text1"/>
          <w:sz w:val="32"/>
          <w:szCs w:val="32"/>
          <w14:textFill>
            <w14:solidFill>
              <w14:schemeClr w14:val="tx1"/>
            </w14:solidFill>
          </w14:textFill>
        </w:rPr>
      </w:pPr>
    </w:p>
    <w:p w14:paraId="738501A7">
      <w:pPr>
        <w:spacing w:line="360" w:lineRule="auto"/>
        <w:rPr>
          <w:rFonts w:ascii="黑体" w:hAnsi="黑体" w:eastAsia="黑体"/>
          <w:b/>
          <w:color w:val="000000" w:themeColor="text1"/>
          <w:sz w:val="32"/>
          <w:szCs w:val="32"/>
          <w14:textFill>
            <w14:solidFill>
              <w14:schemeClr w14:val="tx1"/>
            </w14:solidFill>
          </w14:textFill>
        </w:rPr>
      </w:pPr>
    </w:p>
    <w:p w14:paraId="328C2682">
      <w:pPr>
        <w:spacing w:line="360" w:lineRule="auto"/>
        <w:rPr>
          <w:rFonts w:ascii="黑体" w:hAnsi="黑体" w:eastAsia="黑体"/>
          <w:b/>
          <w:color w:val="000000" w:themeColor="text1"/>
          <w:sz w:val="32"/>
          <w:szCs w:val="32"/>
          <w14:textFill>
            <w14:solidFill>
              <w14:schemeClr w14:val="tx1"/>
            </w14:solidFill>
          </w14:textFill>
        </w:rPr>
      </w:pPr>
    </w:p>
    <w:p w14:paraId="17B8ADB6">
      <w:pPr>
        <w:spacing w:line="360" w:lineRule="auto"/>
        <w:rPr>
          <w:rFonts w:ascii="黑体" w:hAnsi="黑体" w:eastAsia="黑体"/>
          <w:b/>
          <w:color w:val="000000" w:themeColor="text1"/>
          <w:sz w:val="32"/>
          <w:szCs w:val="32"/>
          <w14:textFill>
            <w14:solidFill>
              <w14:schemeClr w14:val="tx1"/>
            </w14:solidFill>
          </w14:textFill>
        </w:rPr>
      </w:pPr>
    </w:p>
    <w:p w14:paraId="3A387AF2">
      <w:pPr>
        <w:spacing w:line="360" w:lineRule="auto"/>
        <w:rPr>
          <w:rFonts w:ascii="黑体" w:hAnsi="黑体" w:eastAsia="黑体"/>
          <w:b/>
          <w:color w:val="000000" w:themeColor="text1"/>
          <w:sz w:val="32"/>
          <w:szCs w:val="32"/>
          <w14:textFill>
            <w14:solidFill>
              <w14:schemeClr w14:val="tx1"/>
            </w14:solidFill>
          </w14:textFill>
        </w:rPr>
      </w:pPr>
    </w:p>
    <w:p w14:paraId="0335154D">
      <w:pPr>
        <w:spacing w:line="360" w:lineRule="auto"/>
        <w:rPr>
          <w:rFonts w:ascii="黑体" w:hAnsi="黑体" w:eastAsia="黑体"/>
          <w:b/>
          <w:color w:val="000000" w:themeColor="text1"/>
          <w:sz w:val="32"/>
          <w:szCs w:val="32"/>
          <w14:textFill>
            <w14:solidFill>
              <w14:schemeClr w14:val="tx1"/>
            </w14:solidFill>
          </w14:textFill>
        </w:rPr>
      </w:pPr>
    </w:p>
    <w:p w14:paraId="68DBF70F">
      <w:pPr>
        <w:spacing w:line="360" w:lineRule="auto"/>
        <w:rPr>
          <w:rFonts w:ascii="黑体" w:hAnsi="黑体" w:eastAsia="黑体"/>
          <w:b/>
          <w:color w:val="000000" w:themeColor="text1"/>
          <w:sz w:val="32"/>
          <w:szCs w:val="32"/>
          <w14:textFill>
            <w14:solidFill>
              <w14:schemeClr w14:val="tx1"/>
            </w14:solidFill>
          </w14:textFill>
        </w:rPr>
      </w:pPr>
    </w:p>
    <w:p w14:paraId="7D7EA78C">
      <w:pPr>
        <w:spacing w:line="360" w:lineRule="auto"/>
        <w:rPr>
          <w:rFonts w:ascii="黑体" w:hAnsi="黑体" w:eastAsia="黑体"/>
          <w:b/>
          <w:color w:val="000000" w:themeColor="text1"/>
          <w:sz w:val="32"/>
          <w:szCs w:val="32"/>
          <w14:textFill>
            <w14:solidFill>
              <w14:schemeClr w14:val="tx1"/>
            </w14:solidFill>
          </w14:textFill>
        </w:rPr>
      </w:pPr>
    </w:p>
    <w:p w14:paraId="3971F284">
      <w:pPr>
        <w:spacing w:line="360" w:lineRule="auto"/>
        <w:rPr>
          <w:rFonts w:ascii="黑体" w:hAnsi="黑体" w:eastAsia="黑体"/>
          <w:b/>
          <w:color w:val="000000" w:themeColor="text1"/>
          <w:sz w:val="32"/>
          <w:szCs w:val="32"/>
          <w14:textFill>
            <w14:solidFill>
              <w14:schemeClr w14:val="tx1"/>
            </w14:solidFill>
          </w14:textFill>
        </w:rPr>
      </w:pPr>
    </w:p>
    <w:p w14:paraId="50D4058E">
      <w:pPr>
        <w:spacing w:line="360" w:lineRule="auto"/>
        <w:rPr>
          <w:rFonts w:ascii="黑体" w:hAnsi="黑体" w:eastAsia="黑体"/>
          <w:b/>
          <w:color w:val="000000" w:themeColor="text1"/>
          <w:sz w:val="32"/>
          <w:szCs w:val="32"/>
          <w14:textFill>
            <w14:solidFill>
              <w14:schemeClr w14:val="tx1"/>
            </w14:solidFill>
          </w14:textFill>
        </w:rPr>
      </w:pPr>
    </w:p>
    <w:p w14:paraId="3227F15B">
      <w:pPr>
        <w:spacing w:line="360" w:lineRule="auto"/>
        <w:rPr>
          <w:rFonts w:ascii="黑体" w:hAnsi="黑体" w:eastAsia="黑体"/>
          <w:b/>
          <w:color w:val="000000" w:themeColor="text1"/>
          <w:sz w:val="32"/>
          <w:szCs w:val="32"/>
          <w14:textFill>
            <w14:solidFill>
              <w14:schemeClr w14:val="tx1"/>
            </w14:solidFill>
          </w14:textFill>
        </w:rPr>
      </w:pPr>
    </w:p>
    <w:p w14:paraId="7FD7AFF4">
      <w:pPr>
        <w:spacing w:line="360" w:lineRule="auto"/>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中小企业声明函（服务）</w:t>
      </w:r>
    </w:p>
    <w:p w14:paraId="5113D479">
      <w:pPr>
        <w:spacing w:line="360" w:lineRule="auto"/>
        <w:ind w:firstLine="4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本公司（联合体）郑重声明，根据《政府采购促进中小企业发展管理办法》（财库﹝2020﹞46 号）的规定，本公司（联合体）参加</w:t>
      </w:r>
      <w:r>
        <w:rPr>
          <w:rFonts w:hint="eastAsia" w:ascii="宋体" w:hAnsi="宋体"/>
          <w:color w:val="000000" w:themeColor="text1"/>
          <w:u w:val="single"/>
          <w14:textFill>
            <w14:solidFill>
              <w14:schemeClr w14:val="tx1"/>
            </w14:solidFill>
          </w14:textFill>
        </w:rPr>
        <w:t>（单位名称）</w:t>
      </w:r>
      <w:r>
        <w:rPr>
          <w:rFonts w:hint="eastAsia" w:ascii="宋体" w:hAnsi="宋体"/>
          <w:color w:val="000000" w:themeColor="text1"/>
          <w14:textFill>
            <w14:solidFill>
              <w14:schemeClr w14:val="tx1"/>
            </w14:solidFill>
          </w14:textFill>
        </w:rPr>
        <w:t>的</w:t>
      </w:r>
      <w:r>
        <w:rPr>
          <w:rFonts w:hint="eastAsia" w:ascii="宋体" w:hAnsi="宋体"/>
          <w:color w:val="000000" w:themeColor="text1"/>
          <w:u w:val="single"/>
          <w14:textFill>
            <w14:solidFill>
              <w14:schemeClr w14:val="tx1"/>
            </w14:solidFill>
          </w14:textFill>
        </w:rPr>
        <w:t>（项目名称）</w:t>
      </w:r>
      <w:r>
        <w:rPr>
          <w:rFonts w:hint="eastAsia" w:ascii="宋体" w:hAnsi="宋体"/>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115F01D5">
      <w:pPr>
        <w:spacing w:line="360" w:lineRule="auto"/>
        <w:ind w:firstLine="420"/>
        <w:jc w:val="lef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1. </w:t>
      </w:r>
      <w:r>
        <w:rPr>
          <w:rFonts w:hint="eastAsia" w:ascii="宋体" w:hAnsi="宋体"/>
          <w:color w:val="000000" w:themeColor="text1"/>
          <w:u w:val="single"/>
          <w14:textFill>
            <w14:solidFill>
              <w14:schemeClr w14:val="tx1"/>
            </w14:solidFill>
          </w14:textFill>
        </w:rPr>
        <w:t xml:space="preserve">（标的名称） </w:t>
      </w:r>
      <w:r>
        <w:rPr>
          <w:rFonts w:hint="eastAsia" w:ascii="宋体" w:hAnsi="宋体"/>
          <w:color w:val="000000" w:themeColor="text1"/>
          <w14:textFill>
            <w14:solidFill>
              <w14:schemeClr w14:val="tx1"/>
            </w14:solidFill>
          </w14:textFill>
        </w:rPr>
        <w:t>，属于</w:t>
      </w:r>
      <w:r>
        <w:rPr>
          <w:rFonts w:hint="eastAsia" w:ascii="宋体" w:hAnsi="宋体"/>
          <w:color w:val="000000" w:themeColor="text1"/>
          <w:u w:val="single"/>
          <w14:textFill>
            <w14:solidFill>
              <w14:schemeClr w14:val="tx1"/>
            </w14:solidFill>
          </w14:textFill>
        </w:rPr>
        <w:t xml:space="preserve">  </w:t>
      </w:r>
      <w:r>
        <w:rPr>
          <w:rFonts w:hint="eastAsia" w:ascii="宋体" w:hAnsi="宋体"/>
          <w:i/>
          <w:color w:val="000000" w:themeColor="text1"/>
          <w:u w:val="single"/>
          <w14:textFill>
            <w14:solidFill>
              <w14:schemeClr w14:val="tx1"/>
            </w14:solidFill>
          </w14:textFill>
        </w:rPr>
        <w:t>（其他未列明行业）（该行业类别不可修改）</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；承建（承接）企业为</w:t>
      </w:r>
      <w:r>
        <w:rPr>
          <w:rFonts w:hint="eastAsia" w:ascii="宋体" w:hAnsi="宋体"/>
          <w:color w:val="000000" w:themeColor="text1"/>
          <w:u w:val="single"/>
          <w14:textFill>
            <w14:solidFill>
              <w14:schemeClr w14:val="tx1"/>
            </w14:solidFill>
          </w14:textFill>
        </w:rPr>
        <w:t>（企业名称）</w:t>
      </w:r>
      <w:r>
        <w:rPr>
          <w:rFonts w:hint="eastAsia" w:ascii="宋体" w:hAnsi="宋体"/>
          <w:color w:val="000000" w:themeColor="text1"/>
          <w14:textFill>
            <w14:solidFill>
              <w14:schemeClr w14:val="tx1"/>
            </w14:solidFill>
          </w14:textFill>
        </w:rPr>
        <w:t>，从业人员</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万元</w:t>
      </w:r>
      <w:r>
        <w:fldChar w:fldCharType="begin"/>
      </w:r>
      <w:r>
        <w:instrText xml:space="preserve"> HYPERLINK \l "br1" \o "#br1" </w:instrText>
      </w:r>
      <w:r>
        <w:fldChar w:fldCharType="separate"/>
      </w:r>
      <w:r>
        <w:rPr>
          <w:rFonts w:ascii="宋体" w:hAnsi="宋体"/>
          <w:color w:val="000000" w:themeColor="text1"/>
          <w:spacing w:val="-1"/>
          <w:vertAlign w:val="superscript"/>
          <w14:textFill>
            <w14:solidFill>
              <w14:schemeClr w14:val="tx1"/>
            </w14:solidFill>
          </w14:textFill>
        </w:rPr>
        <w:t>1</w:t>
      </w:r>
      <w:r>
        <w:rPr>
          <w:rFonts w:ascii="宋体" w:hAnsi="宋体"/>
          <w:color w:val="000000" w:themeColor="text1"/>
          <w:spacing w:val="-1"/>
          <w:vertAlign w:val="superscript"/>
          <w14:textFill>
            <w14:solidFill>
              <w14:schemeClr w14:val="tx1"/>
            </w14:solidFill>
          </w14:textFill>
        </w:rPr>
        <w:fldChar w:fldCharType="end"/>
      </w:r>
      <w:r>
        <w:rPr>
          <w:rFonts w:hint="eastAsia" w:ascii="宋体" w:hAnsi="宋体"/>
          <w:color w:val="000000" w:themeColor="text1"/>
          <w14:textFill>
            <w14:solidFill>
              <w14:schemeClr w14:val="tx1"/>
            </w14:solidFill>
          </w14:textFill>
        </w:rPr>
        <w:t>，属于</w:t>
      </w:r>
      <w:r>
        <w:rPr>
          <w:rFonts w:hint="eastAsia" w:ascii="宋体" w:hAnsi="宋体"/>
          <w:color w:val="000000" w:themeColor="text1"/>
          <w:u w:val="single"/>
          <w14:textFill>
            <w14:solidFill>
              <w14:schemeClr w14:val="tx1"/>
            </w14:solidFill>
          </w14:textFill>
        </w:rPr>
        <w:t>（中型企业、小型企业、微型企业）；</w:t>
      </w:r>
    </w:p>
    <w:p w14:paraId="4F1DB5FB">
      <w:pPr>
        <w:spacing w:line="360" w:lineRule="auto"/>
        <w:ind w:firstLine="420"/>
        <w:jc w:val="lef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2. </w:t>
      </w:r>
      <w:r>
        <w:rPr>
          <w:rFonts w:hint="eastAsia" w:ascii="宋体" w:hAnsi="宋体"/>
          <w:color w:val="000000" w:themeColor="text1"/>
          <w:u w:val="single"/>
          <w14:textFill>
            <w14:solidFill>
              <w14:schemeClr w14:val="tx1"/>
            </w14:solidFill>
          </w14:textFill>
        </w:rPr>
        <w:t xml:space="preserve">（标的名称） </w:t>
      </w:r>
      <w:r>
        <w:rPr>
          <w:rFonts w:hint="eastAsia" w:ascii="宋体" w:hAnsi="宋体"/>
          <w:color w:val="000000" w:themeColor="text1"/>
          <w14:textFill>
            <w14:solidFill>
              <w14:schemeClr w14:val="tx1"/>
            </w14:solidFill>
          </w14:textFill>
        </w:rPr>
        <w:t>，属于</w:t>
      </w:r>
      <w:r>
        <w:rPr>
          <w:rFonts w:hint="eastAsia" w:ascii="宋体" w:hAnsi="宋体"/>
          <w:color w:val="000000" w:themeColor="text1"/>
          <w:u w:val="single"/>
          <w14:textFill>
            <w14:solidFill>
              <w14:schemeClr w14:val="tx1"/>
            </w14:solidFill>
          </w14:textFill>
        </w:rPr>
        <w:t xml:space="preserve">  </w:t>
      </w:r>
      <w:r>
        <w:rPr>
          <w:rFonts w:hint="eastAsia" w:ascii="宋体" w:hAnsi="宋体"/>
          <w:i/>
          <w:color w:val="000000" w:themeColor="text1"/>
          <w:u w:val="single"/>
          <w14:textFill>
            <w14:solidFill>
              <w14:schemeClr w14:val="tx1"/>
            </w14:solidFill>
          </w14:textFill>
        </w:rPr>
        <w:t>（其他未列明行业）（该行业类别不可修改）</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；承建（承接）企业为</w:t>
      </w:r>
      <w:r>
        <w:rPr>
          <w:rFonts w:hint="eastAsia" w:ascii="宋体" w:hAnsi="宋体"/>
          <w:color w:val="000000" w:themeColor="text1"/>
          <w:u w:val="single"/>
          <w14:textFill>
            <w14:solidFill>
              <w14:schemeClr w14:val="tx1"/>
            </w14:solidFill>
          </w14:textFill>
        </w:rPr>
        <w:t>（企业名称）</w:t>
      </w:r>
      <w:r>
        <w:rPr>
          <w:rFonts w:hint="eastAsia" w:ascii="宋体" w:hAnsi="宋体"/>
          <w:color w:val="000000" w:themeColor="text1"/>
          <w14:textFill>
            <w14:solidFill>
              <w14:schemeClr w14:val="tx1"/>
            </w14:solidFill>
          </w14:textFill>
        </w:rPr>
        <w:t>，从业人员</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万元</w:t>
      </w:r>
      <w:r>
        <w:fldChar w:fldCharType="begin"/>
      </w:r>
      <w:r>
        <w:instrText xml:space="preserve"> HYPERLINK \l "br1" \o "#br1" </w:instrText>
      </w:r>
      <w:r>
        <w:fldChar w:fldCharType="separate"/>
      </w:r>
      <w:r>
        <w:rPr>
          <w:rFonts w:ascii="宋体" w:hAnsi="宋体"/>
          <w:color w:val="000000" w:themeColor="text1"/>
          <w:spacing w:val="-1"/>
          <w:vertAlign w:val="superscript"/>
          <w14:textFill>
            <w14:solidFill>
              <w14:schemeClr w14:val="tx1"/>
            </w14:solidFill>
          </w14:textFill>
        </w:rPr>
        <w:t>1</w:t>
      </w:r>
      <w:r>
        <w:rPr>
          <w:rFonts w:ascii="宋体" w:hAnsi="宋体"/>
          <w:color w:val="000000" w:themeColor="text1"/>
          <w:spacing w:val="-1"/>
          <w:vertAlign w:val="superscript"/>
          <w14:textFill>
            <w14:solidFill>
              <w14:schemeClr w14:val="tx1"/>
            </w14:solidFill>
          </w14:textFill>
        </w:rPr>
        <w:fldChar w:fldCharType="end"/>
      </w:r>
      <w:r>
        <w:rPr>
          <w:rFonts w:hint="eastAsia" w:ascii="宋体" w:hAnsi="宋体"/>
          <w:color w:val="000000" w:themeColor="text1"/>
          <w14:textFill>
            <w14:solidFill>
              <w14:schemeClr w14:val="tx1"/>
            </w14:solidFill>
          </w14:textFill>
        </w:rPr>
        <w:t>，属于</w:t>
      </w:r>
      <w:r>
        <w:rPr>
          <w:rFonts w:hint="eastAsia" w:ascii="宋体" w:hAnsi="宋体"/>
          <w:color w:val="000000" w:themeColor="text1"/>
          <w:u w:val="single"/>
          <w14:textFill>
            <w14:solidFill>
              <w14:schemeClr w14:val="tx1"/>
            </w14:solidFill>
          </w14:textFill>
        </w:rPr>
        <w:t>（中型企业、小型企业、微型企业）；</w:t>
      </w:r>
    </w:p>
    <w:p w14:paraId="61629952">
      <w:pPr>
        <w:spacing w:line="360" w:lineRule="auto"/>
        <w:ind w:firstLine="4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p w14:paraId="09DD3AE3">
      <w:pPr>
        <w:spacing w:line="360" w:lineRule="auto"/>
        <w:ind w:firstLine="4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6798BED8">
      <w:pPr>
        <w:spacing w:line="360" w:lineRule="auto"/>
        <w:ind w:firstLine="4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本企业对上述声明内容的真实性负责。如有虚假，将依法承担相应责任。</w:t>
      </w:r>
    </w:p>
    <w:p w14:paraId="5E64C89B">
      <w:pPr>
        <w:spacing w:line="360" w:lineRule="auto"/>
        <w:ind w:firstLine="420"/>
        <w:jc w:val="left"/>
        <w:rPr>
          <w:rFonts w:ascii="宋体" w:hAnsi="宋体"/>
          <w:color w:val="000000" w:themeColor="text1"/>
          <w14:textFill>
            <w14:solidFill>
              <w14:schemeClr w14:val="tx1"/>
            </w14:solidFill>
          </w14:textFill>
        </w:rPr>
      </w:pPr>
    </w:p>
    <w:p w14:paraId="791EDF13">
      <w:pPr>
        <w:spacing w:line="360" w:lineRule="auto"/>
        <w:ind w:firstLine="420"/>
        <w:jc w:val="left"/>
        <w:rPr>
          <w:rFonts w:ascii="宋体" w:hAnsi="宋体"/>
          <w:color w:val="000000" w:themeColor="text1"/>
          <w14:textFill>
            <w14:solidFill>
              <w14:schemeClr w14:val="tx1"/>
            </w14:solidFill>
          </w14:textFill>
        </w:rPr>
      </w:pPr>
    </w:p>
    <w:p w14:paraId="73F5DA0A">
      <w:pPr>
        <w:spacing w:line="360" w:lineRule="auto"/>
        <w:ind w:firstLine="420"/>
        <w:jc w:val="left"/>
        <w:rPr>
          <w:rFonts w:ascii="宋体" w:hAnsi="宋体"/>
          <w:color w:val="000000" w:themeColor="text1"/>
          <w14:textFill>
            <w14:solidFill>
              <w14:schemeClr w14:val="tx1"/>
            </w14:solidFill>
          </w14:textFill>
        </w:rPr>
      </w:pPr>
    </w:p>
    <w:p w14:paraId="66087CC3">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注：1、从业人员、营业收入、资产总额填报上一年度数据，无上一年度数据的新成立企业可不填报。</w:t>
      </w:r>
    </w:p>
    <w:p w14:paraId="1B52A01C">
      <w:pPr>
        <w:spacing w:line="360" w:lineRule="auto"/>
        <w:ind w:firstLine="4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2、供应商如不提供此声明函，价格将不做相应扣除。</w:t>
      </w:r>
    </w:p>
    <w:p w14:paraId="001DE4CE">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3、企业声明函请完整填写，中标后将公示。</w:t>
      </w:r>
    </w:p>
    <w:p w14:paraId="3A7580B0">
      <w:pPr>
        <w:spacing w:line="360" w:lineRule="auto"/>
        <w:ind w:firstLine="4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30AB5B8A">
      <w:pPr>
        <w:spacing w:line="360" w:lineRule="auto"/>
        <w:ind w:firstLine="4620"/>
        <w:jc w:val="left"/>
        <w:rPr>
          <w:rFonts w:ascii="宋体" w:hAnsi="宋体"/>
          <w:color w:val="000000" w:themeColor="text1"/>
          <w14:textFill>
            <w14:solidFill>
              <w14:schemeClr w14:val="tx1"/>
            </w14:solidFill>
          </w14:textFill>
        </w:rPr>
      </w:pPr>
    </w:p>
    <w:p w14:paraId="5BAA3662">
      <w:pPr>
        <w:spacing w:line="360" w:lineRule="auto"/>
        <w:ind w:firstLine="4620"/>
        <w:jc w:val="left"/>
        <w:rPr>
          <w:rFonts w:ascii="宋体" w:hAnsi="宋体"/>
          <w:color w:val="000000" w:themeColor="text1"/>
          <w14:textFill>
            <w14:solidFill>
              <w14:schemeClr w14:val="tx1"/>
            </w14:solidFill>
          </w14:textFill>
        </w:rPr>
      </w:pPr>
    </w:p>
    <w:p w14:paraId="144D5BFD">
      <w:pPr>
        <w:spacing w:line="360" w:lineRule="auto"/>
        <w:ind w:firstLine="4620"/>
        <w:jc w:val="left"/>
        <w:rPr>
          <w:rFonts w:ascii="宋体" w:hAnsi="宋体"/>
          <w:color w:val="000000" w:themeColor="text1"/>
          <w14:textFill>
            <w14:solidFill>
              <w14:schemeClr w14:val="tx1"/>
            </w14:solidFill>
          </w14:textFill>
        </w:rPr>
      </w:pPr>
    </w:p>
    <w:p w14:paraId="6063C2AA">
      <w:pPr>
        <w:spacing w:line="360" w:lineRule="auto"/>
        <w:ind w:firstLine="46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企业名称（盖章）：</w:t>
      </w:r>
    </w:p>
    <w:p w14:paraId="56B0A3F3">
      <w:pPr>
        <w:spacing w:line="360" w:lineRule="auto"/>
        <w:ind w:firstLine="462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日 期：</w:t>
      </w:r>
    </w:p>
    <w:p w14:paraId="2D33BF73">
      <w:pPr>
        <w:jc w:val="left"/>
        <w:rPr>
          <w:color w:val="000000" w:themeColor="text1"/>
          <w14:textFill>
            <w14:solidFill>
              <w14:schemeClr w14:val="tx1"/>
            </w14:solidFill>
          </w14:textFill>
        </w:rPr>
      </w:pPr>
    </w:p>
    <w:p w14:paraId="5AE0EA88">
      <w:pPr>
        <w:jc w:val="left"/>
        <w:rPr>
          <w:color w:val="000000" w:themeColor="text1"/>
          <w14:textFill>
            <w14:solidFill>
              <w14:schemeClr w14:val="tx1"/>
            </w14:solidFill>
          </w14:textFill>
        </w:rPr>
      </w:pPr>
    </w:p>
    <w:p w14:paraId="3CECD727">
      <w:pPr>
        <w:jc w:val="left"/>
        <w:rPr>
          <w:color w:val="000000" w:themeColor="text1"/>
          <w14:textFill>
            <w14:solidFill>
              <w14:schemeClr w14:val="tx1"/>
            </w14:solidFill>
          </w14:textFill>
        </w:rPr>
      </w:pPr>
    </w:p>
    <w:p w14:paraId="25B1BC1E">
      <w:pPr>
        <w:jc w:val="left"/>
        <w:rPr>
          <w:color w:val="000000" w:themeColor="text1"/>
          <w14:textFill>
            <w14:solidFill>
              <w14:schemeClr w14:val="tx1"/>
            </w14:solidFill>
          </w14:textFill>
        </w:rPr>
      </w:pPr>
    </w:p>
    <w:p w14:paraId="74BFB2CF">
      <w:pPr>
        <w:jc w:val="left"/>
        <w:rPr>
          <w:color w:val="000000" w:themeColor="text1"/>
          <w14:textFill>
            <w14:solidFill>
              <w14:schemeClr w14:val="tx1"/>
            </w14:solidFill>
          </w14:textFill>
        </w:rPr>
      </w:pPr>
    </w:p>
    <w:p w14:paraId="6015DAD5">
      <w:pPr>
        <w:jc w:val="left"/>
        <w:rPr>
          <w:color w:val="000000" w:themeColor="text1"/>
          <w14:textFill>
            <w14:solidFill>
              <w14:schemeClr w14:val="tx1"/>
            </w14:solidFill>
          </w14:textFill>
        </w:rPr>
      </w:pPr>
    </w:p>
    <w:p w14:paraId="7420EF2E">
      <w:pPr>
        <w:jc w:val="left"/>
        <w:rPr>
          <w:color w:val="000000" w:themeColor="text1"/>
          <w14:textFill>
            <w14:solidFill>
              <w14:schemeClr w14:val="tx1"/>
            </w14:solidFill>
          </w14:textFill>
        </w:rPr>
      </w:pPr>
    </w:p>
    <w:p w14:paraId="532CB0C9">
      <w:pPr>
        <w:jc w:val="left"/>
        <w:rPr>
          <w:color w:val="000000" w:themeColor="text1"/>
          <w14:textFill>
            <w14:solidFill>
              <w14:schemeClr w14:val="tx1"/>
            </w14:solidFill>
          </w14:textFill>
        </w:rPr>
      </w:pPr>
    </w:p>
    <w:p w14:paraId="25CB9168">
      <w:pPr>
        <w:jc w:val="left"/>
        <w:rPr>
          <w:color w:val="000000" w:themeColor="text1"/>
          <w14:textFill>
            <w14:solidFill>
              <w14:schemeClr w14:val="tx1"/>
            </w14:solidFill>
          </w14:textFill>
        </w:rPr>
      </w:pPr>
    </w:p>
    <w:p w14:paraId="262FE34B">
      <w:pPr>
        <w:pStyle w:val="3"/>
        <w:widowControl/>
        <w:spacing w:before="300" w:after="300" w:line="360" w:lineRule="auto"/>
        <w:jc w:val="center"/>
        <w:rPr>
          <w:rFonts w:ascii="宋体" w:hAnsi="宋体"/>
          <w:color w:val="000000" w:themeColor="text1"/>
          <w:sz w:val="21"/>
          <w:szCs w:val="21"/>
          <w14:textFill>
            <w14:solidFill>
              <w14:schemeClr w14:val="tx1"/>
            </w14:solidFill>
          </w14:textFill>
        </w:rPr>
      </w:pPr>
      <w:bookmarkStart w:id="130" w:name="_Toc90036778"/>
      <w:r>
        <w:rPr>
          <w:rFonts w:hint="eastAsia" w:ascii="宋体" w:hAnsi="宋体" w:cs="微软雅黑"/>
          <w:bCs w:val="0"/>
          <w:color w:val="000000" w:themeColor="text1"/>
          <w:sz w:val="21"/>
          <w:szCs w:val="21"/>
          <w14:textFill>
            <w14:solidFill>
              <w14:schemeClr w14:val="tx1"/>
            </w14:solidFill>
          </w14:textFill>
        </w:rPr>
        <w:t>中小微企业划型标准</w:t>
      </w:r>
      <w:bookmarkEnd w:id="130"/>
    </w:p>
    <w:p w14:paraId="1570BDD0">
      <w:pPr>
        <w:pStyle w:val="43"/>
        <w:spacing w:before="300" w:after="452" w:line="360" w:lineRule="auto"/>
        <w:ind w:firstLine="420"/>
        <w:rPr>
          <w:color w:val="000000" w:themeColor="text1"/>
          <w:sz w:val="21"/>
          <w:szCs w:val="21"/>
          <w14:textFill>
            <w14:solidFill>
              <w14:schemeClr w14:val="tx1"/>
            </w14:solidFill>
          </w14:textFill>
        </w:rPr>
      </w:pPr>
      <w:r>
        <w:rPr>
          <w:rFonts w:hint="eastAsia" w:cs="仿宋"/>
          <w:color w:val="000000" w:themeColor="text1"/>
          <w:sz w:val="21"/>
          <w:szCs w:val="21"/>
          <w14:textFill>
            <w14:solidFill>
              <w14:schemeClr w14:val="tx1"/>
            </w14:solidFill>
          </w14:textFill>
        </w:rPr>
        <w:t>    </w:t>
      </w:r>
      <w:r>
        <w:rPr>
          <w:rStyle w:val="52"/>
          <w:rFonts w:hint="eastAsia" w:cs="仿宋"/>
          <w:color w:val="000000" w:themeColor="text1"/>
          <w:sz w:val="21"/>
          <w:szCs w:val="21"/>
          <w14:textFill>
            <w14:solidFill>
              <w14:schemeClr w14:val="tx1"/>
            </w14:solidFill>
          </w14:textFill>
        </w:rPr>
        <w:t>中小微企业划型标准如下：</w:t>
      </w:r>
    </w:p>
    <w:tbl>
      <w:tblPr>
        <w:tblStyle w:val="4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505"/>
        <w:gridCol w:w="2089"/>
        <w:gridCol w:w="1709"/>
        <w:gridCol w:w="1500"/>
      </w:tblGrid>
      <w:tr w14:paraId="49575C2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543BD247">
            <w:pPr>
              <w:pStyle w:val="43"/>
              <w:spacing w:after="150" w:line="360" w:lineRule="auto"/>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67D52AC">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指标名称</w:t>
            </w:r>
          </w:p>
        </w:tc>
        <w:tc>
          <w:tcPr>
            <w:tcW w:w="47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3B2F4B78">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计量单位</w:t>
            </w:r>
          </w:p>
        </w:tc>
        <w:tc>
          <w:tcPr>
            <w:tcW w:w="205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0198F1CC">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707297F1">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443A62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微型</w:t>
            </w:r>
          </w:p>
        </w:tc>
      </w:tr>
      <w:tr w14:paraId="5938721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D63132A">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17F87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E904E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6130B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070923">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4758F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Y＜50</w:t>
            </w:r>
          </w:p>
        </w:tc>
      </w:tr>
      <w:tr w14:paraId="61081B1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3E384A5">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63168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04F98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F54F1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862915">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EE4468">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X＜20</w:t>
            </w:r>
          </w:p>
        </w:tc>
      </w:tr>
      <w:tr w14:paraId="6D15DC4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BB70108">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C87CBE">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E084E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743B4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7A14F6">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9C4D2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Y＜300</w:t>
            </w:r>
          </w:p>
        </w:tc>
      </w:tr>
      <w:tr w14:paraId="6B4025C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FD65AB2">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65BE4E">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CBCC4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08AA1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97AA47">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31B52D">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Y＜300</w:t>
            </w:r>
          </w:p>
        </w:tc>
      </w:tr>
      <w:tr w14:paraId="2F2166A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5AA9C55">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352B2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B4FD2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F9242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FAE90B">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C83DB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Z＜300</w:t>
            </w:r>
          </w:p>
        </w:tc>
      </w:tr>
      <w:tr w14:paraId="2A47BB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53D261E">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693B1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C494E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B0CE60">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911291">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A7D31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X＜5</w:t>
            </w:r>
          </w:p>
        </w:tc>
      </w:tr>
      <w:tr w14:paraId="204466E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092C10B5">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070BA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C805C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A952BD">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F54E63">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C9AB3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Y＜1000</w:t>
            </w:r>
          </w:p>
        </w:tc>
      </w:tr>
      <w:tr w14:paraId="41588A7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3ABEF73">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3A225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376C3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B7863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109559">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FEA84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56E2E21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0A15B3CB">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466B4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2BAD2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6C214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AA08D4">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EECEC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1CDBCE4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70F61F0">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AA52A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F3D4B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BD500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202A2D">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41CE3E">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X＜20</w:t>
            </w:r>
          </w:p>
        </w:tc>
      </w:tr>
      <w:tr w14:paraId="3339D7B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6538E34">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74307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76A5F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EC1A4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D733E9">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D6D5FD">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Y＜200</w:t>
            </w:r>
          </w:p>
        </w:tc>
      </w:tr>
      <w:tr w14:paraId="2CFF44A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33A3895">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DE539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A1D38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97CBA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9F347E">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41074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X＜20</w:t>
            </w:r>
          </w:p>
        </w:tc>
      </w:tr>
      <w:tr w14:paraId="283CE0D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578BEC6">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DAE98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726BF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B6DB5C">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555FBF">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5966D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2D0C547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308996E">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0A358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22753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66396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C72E5D">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65EF2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X＜20</w:t>
            </w:r>
          </w:p>
        </w:tc>
      </w:tr>
      <w:tr w14:paraId="28F45E9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1E9D3EC">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4F069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3B802C">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017FC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A02CD4">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551990">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0311E59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DBE79C1">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C81F8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E1D03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DC7ED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87DC97">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A5D56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50EA0CF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C81E36E">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DA9A9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0B8508">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684F4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CC0380">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A44AF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5EC81AA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08B26DC">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70181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4BCDA8">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D76EFE">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0B3387">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61162C">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2781258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6EBFD75">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2DED2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4421DC">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A8A6F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3B3337">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336A1C">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67769D8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B9C8E5B">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3813A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45530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98FB9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AC0F6F">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7C1250">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60F12A8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FD36034">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AD039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9DB10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E221C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B66B89">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60AFB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48E19EC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02AC877">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7EC48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59F53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0ABCA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6563DC">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381D5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0D8C8C0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336DA82">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B820B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F2965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E422B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AAF889">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2191B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Y＜50</w:t>
            </w:r>
          </w:p>
        </w:tc>
      </w:tr>
      <w:tr w14:paraId="6F8718E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648F027">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23BA3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8F1940">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5BF5F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3A9299">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51EAA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X＜100</w:t>
            </w:r>
          </w:p>
        </w:tc>
      </w:tr>
      <w:tr w14:paraId="52AD500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6CF8AC6">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8C9AB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64EE9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8E30D6">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F083C6">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D11F32">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Y＜2000</w:t>
            </w:r>
          </w:p>
        </w:tc>
      </w:tr>
      <w:tr w14:paraId="7E9446D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DEA6532">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ED973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11223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2E58D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3BBFA4">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A4C97F">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X＜100</w:t>
            </w:r>
          </w:p>
        </w:tc>
      </w:tr>
      <w:tr w14:paraId="0805E80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68D0A91">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42768B">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EBC1F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22EDE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038218">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580979">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Y＜500</w:t>
            </w:r>
          </w:p>
        </w:tc>
      </w:tr>
      <w:tr w14:paraId="713B94E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0329AD8">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8AC02E">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817540">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A90DF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2D0582">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DBAB0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r w14:paraId="54AFF14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6B30701">
            <w:pPr>
              <w:widowControl/>
              <w:jc w:val="left"/>
              <w:rPr>
                <w:rFonts w:ascii="宋体" w:hAnsi="宋体"/>
                <w:color w:val="000000" w:themeColor="text1"/>
                <w:szCs w:val="21"/>
                <w14:textFill>
                  <w14:solidFill>
                    <w14:schemeClr w14:val="tx1"/>
                  </w14:solidFill>
                </w14:textFill>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2673D3">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AE6211">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D6CE17">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501651">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82860D">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Y＜100</w:t>
            </w:r>
          </w:p>
        </w:tc>
      </w:tr>
      <w:tr w14:paraId="65A3E64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90693A9">
            <w:pPr>
              <w:pStyle w:val="43"/>
              <w:spacing w:after="150" w:line="360" w:lineRule="auto"/>
              <w:ind w:firstLine="420"/>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222FF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D58665">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95198A">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7D420F">
            <w:pPr>
              <w:pStyle w:val="43"/>
              <w:spacing w:after="150" w:line="360" w:lineRule="auto"/>
              <w:jc w:val="center"/>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F0DB34">
            <w:pPr>
              <w:pStyle w:val="43"/>
              <w:spacing w:after="150" w:line="360" w:lineRule="auto"/>
              <w:ind w:firstLine="420"/>
              <w:rPr>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X＜10</w:t>
            </w:r>
          </w:p>
        </w:tc>
      </w:tr>
    </w:tbl>
    <w:p w14:paraId="49F355EA">
      <w:pPr>
        <w:pStyle w:val="43"/>
        <w:spacing w:before="300" w:after="452" w:line="360" w:lineRule="auto"/>
        <w:ind w:firstLine="810"/>
        <w:rPr>
          <w:rStyle w:val="52"/>
          <w:rFonts w:cs="仿宋"/>
          <w:color w:val="000000" w:themeColor="text1"/>
          <w:sz w:val="21"/>
          <w:szCs w:val="21"/>
          <w14:textFill>
            <w14:solidFill>
              <w14:schemeClr w14:val="tx1"/>
            </w14:solidFill>
          </w14:textFill>
        </w:rPr>
      </w:pPr>
      <w:r>
        <w:rPr>
          <w:rStyle w:val="52"/>
          <w:rFonts w:hint="eastAsia" w:cs="仿宋"/>
          <w:color w:val="000000" w:themeColor="text1"/>
          <w:sz w:val="21"/>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0ADE1357">
      <w:pPr>
        <w:spacing w:line="360" w:lineRule="auto"/>
        <w:jc w:val="center"/>
        <w:rPr>
          <w:rFonts w:ascii="宋体" w:hAnsi="宋体"/>
          <w:b/>
          <w:bCs/>
          <w:color w:val="000000" w:themeColor="text1"/>
          <w14:textFill>
            <w14:solidFill>
              <w14:schemeClr w14:val="tx1"/>
            </w14:solidFill>
          </w14:textFill>
        </w:rPr>
      </w:pPr>
    </w:p>
    <w:p w14:paraId="6B4E1743">
      <w:pPr>
        <w:spacing w:line="360" w:lineRule="auto"/>
        <w:jc w:val="center"/>
        <w:rPr>
          <w:rFonts w:ascii="宋体" w:hAnsi="宋体"/>
          <w:b/>
          <w:bCs/>
          <w:color w:val="000000" w:themeColor="text1"/>
          <w14:textFill>
            <w14:solidFill>
              <w14:schemeClr w14:val="tx1"/>
            </w14:solidFill>
          </w14:textFill>
        </w:rPr>
      </w:pPr>
    </w:p>
    <w:p w14:paraId="4B3C617D">
      <w:pPr>
        <w:spacing w:line="360" w:lineRule="auto"/>
        <w:jc w:val="center"/>
        <w:rPr>
          <w:rFonts w:ascii="宋体" w:hAnsi="宋体"/>
          <w:b/>
          <w:bCs/>
          <w:color w:val="000000" w:themeColor="text1"/>
          <w14:textFill>
            <w14:solidFill>
              <w14:schemeClr w14:val="tx1"/>
            </w14:solidFill>
          </w14:textFill>
        </w:rPr>
      </w:pPr>
    </w:p>
    <w:p w14:paraId="42337FE7">
      <w:pPr>
        <w:spacing w:line="360" w:lineRule="auto"/>
        <w:jc w:val="center"/>
        <w:rPr>
          <w:rFonts w:ascii="宋体" w:hAnsi="宋体"/>
          <w:b/>
          <w:bCs/>
          <w:color w:val="000000" w:themeColor="text1"/>
          <w14:textFill>
            <w14:solidFill>
              <w14:schemeClr w14:val="tx1"/>
            </w14:solidFill>
          </w14:textFill>
        </w:rPr>
      </w:pPr>
    </w:p>
    <w:p w14:paraId="53274E5F">
      <w:pPr>
        <w:spacing w:line="360" w:lineRule="auto"/>
        <w:jc w:val="center"/>
        <w:rPr>
          <w:rFonts w:ascii="宋体" w:hAnsi="宋体"/>
          <w:b/>
          <w:bCs/>
          <w:color w:val="000000" w:themeColor="text1"/>
          <w14:textFill>
            <w14:solidFill>
              <w14:schemeClr w14:val="tx1"/>
            </w14:solidFill>
          </w14:textFill>
        </w:rPr>
      </w:pPr>
    </w:p>
    <w:p w14:paraId="42D0D9B8">
      <w:pPr>
        <w:spacing w:line="360" w:lineRule="auto"/>
        <w:jc w:val="center"/>
        <w:rPr>
          <w:rFonts w:ascii="宋体" w:hAnsi="宋体"/>
          <w:b/>
          <w:bCs/>
          <w:color w:val="000000" w:themeColor="text1"/>
          <w14:textFill>
            <w14:solidFill>
              <w14:schemeClr w14:val="tx1"/>
            </w14:solidFill>
          </w14:textFill>
        </w:rPr>
      </w:pPr>
    </w:p>
    <w:p w14:paraId="5BFD115E">
      <w:pPr>
        <w:spacing w:line="360" w:lineRule="auto"/>
        <w:jc w:val="center"/>
        <w:rPr>
          <w:rFonts w:ascii="宋体" w:hAnsi="宋体"/>
          <w:b/>
          <w:bCs/>
          <w:color w:val="000000" w:themeColor="text1"/>
          <w14:textFill>
            <w14:solidFill>
              <w14:schemeClr w14:val="tx1"/>
            </w14:solidFill>
          </w14:textFill>
        </w:rPr>
      </w:pPr>
    </w:p>
    <w:p w14:paraId="6E2A7053">
      <w:pPr>
        <w:spacing w:line="360" w:lineRule="auto"/>
        <w:jc w:val="center"/>
        <w:rPr>
          <w:rFonts w:ascii="宋体" w:hAnsi="宋体"/>
          <w:b/>
          <w:bCs/>
          <w:color w:val="000000" w:themeColor="text1"/>
          <w14:textFill>
            <w14:solidFill>
              <w14:schemeClr w14:val="tx1"/>
            </w14:solidFill>
          </w14:textFill>
        </w:rPr>
      </w:pPr>
    </w:p>
    <w:p w14:paraId="3513EB2B">
      <w:pPr>
        <w:spacing w:line="360" w:lineRule="auto"/>
        <w:jc w:val="center"/>
        <w:rPr>
          <w:rFonts w:ascii="宋体" w:hAnsi="宋体"/>
          <w:b/>
          <w:bCs/>
          <w:color w:val="000000" w:themeColor="text1"/>
          <w14:textFill>
            <w14:solidFill>
              <w14:schemeClr w14:val="tx1"/>
            </w14:solidFill>
          </w14:textFill>
        </w:rPr>
      </w:pPr>
    </w:p>
    <w:p w14:paraId="122172BD">
      <w:pPr>
        <w:spacing w:line="360" w:lineRule="auto"/>
        <w:jc w:val="center"/>
        <w:rPr>
          <w:rFonts w:ascii="宋体" w:hAnsi="宋体"/>
          <w:b/>
          <w:bCs/>
          <w:color w:val="000000" w:themeColor="text1"/>
          <w14:textFill>
            <w14:solidFill>
              <w14:schemeClr w14:val="tx1"/>
            </w14:solidFill>
          </w14:textFill>
        </w:rPr>
      </w:pPr>
    </w:p>
    <w:p w14:paraId="005BDA58">
      <w:pPr>
        <w:spacing w:line="360" w:lineRule="auto"/>
        <w:jc w:val="center"/>
        <w:rPr>
          <w:rFonts w:ascii="宋体" w:hAnsi="宋体"/>
          <w:b/>
          <w:bCs/>
          <w:color w:val="000000" w:themeColor="text1"/>
          <w14:textFill>
            <w14:solidFill>
              <w14:schemeClr w14:val="tx1"/>
            </w14:solidFill>
          </w14:textFill>
        </w:rPr>
      </w:pPr>
    </w:p>
    <w:p w14:paraId="046898D9">
      <w:pPr>
        <w:spacing w:line="360" w:lineRule="auto"/>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残疾人福利性单位声明函</w:t>
      </w:r>
    </w:p>
    <w:p w14:paraId="5A45D2DD">
      <w:pPr>
        <w:spacing w:line="588" w:lineRule="exact"/>
        <w:ind w:firstLine="624"/>
        <w:rPr>
          <w:rFonts w:ascii="仿宋_GB2312" w:eastAsia="仿宋_GB2312"/>
          <w:color w:val="000000" w:themeColor="text1"/>
          <w:spacing w:val="6"/>
          <w:sz w:val="30"/>
          <w:szCs w:val="30"/>
          <w14:textFill>
            <w14:solidFill>
              <w14:schemeClr w14:val="tx1"/>
            </w14:solidFill>
          </w14:textFill>
        </w:rPr>
      </w:pPr>
    </w:p>
    <w:p w14:paraId="1B857DA7">
      <w:pPr>
        <w:spacing w:line="588"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0566B5D5">
      <w:pPr>
        <w:spacing w:line="588"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本单位在本次政府采购活动中提供的残疾人福利单位产品报价合计为人民币（大写）圆整（￥：     ）。</w:t>
      </w:r>
    </w:p>
    <w:p w14:paraId="599AEC83">
      <w:pPr>
        <w:spacing w:line="588"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本单位对上述声明的真实性负责。如有虚假，将依法承担相应责任。</w:t>
      </w:r>
    </w:p>
    <w:p w14:paraId="5965BEB0">
      <w:pPr>
        <w:spacing w:line="588" w:lineRule="exact"/>
        <w:ind w:firstLine="420"/>
        <w:rPr>
          <w:rFonts w:ascii="宋体" w:hAnsi="宋体"/>
          <w:color w:val="000000" w:themeColor="text1"/>
          <w:szCs w:val="21"/>
          <w14:textFill>
            <w14:solidFill>
              <w14:schemeClr w14:val="tx1"/>
            </w14:solidFill>
          </w14:textFill>
        </w:rPr>
      </w:pPr>
    </w:p>
    <w:p w14:paraId="154D1293">
      <w:pPr>
        <w:spacing w:line="588"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（备注：1、供应商如不提供此声明函，价格将不做相应扣除。2、中标人为残疾人福利单位的，此声明函将随中标结果同时公告，接受社会监督）</w:t>
      </w:r>
    </w:p>
    <w:p w14:paraId="1537E1D9">
      <w:pPr>
        <w:spacing w:line="588" w:lineRule="exact"/>
        <w:ind w:firstLine="444"/>
        <w:rPr>
          <w:rFonts w:ascii="仿宋_GB2312" w:eastAsia="仿宋_GB2312"/>
          <w:color w:val="000000" w:themeColor="text1"/>
          <w:spacing w:val="6"/>
          <w:szCs w:val="21"/>
          <w14:textFill>
            <w14:solidFill>
              <w14:schemeClr w14:val="tx1"/>
            </w14:solidFill>
          </w14:textFill>
        </w:rPr>
      </w:pPr>
    </w:p>
    <w:p w14:paraId="3F87C394">
      <w:pPr>
        <w:tabs>
          <w:tab w:val="left" w:pos="4860"/>
        </w:tabs>
        <w:spacing w:line="588" w:lineRule="exact"/>
        <w:ind w:right="1560" w:firstLine="4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供应商全称（盖章）：</w:t>
      </w:r>
    </w:p>
    <w:p w14:paraId="25431FC5">
      <w:pPr>
        <w:tabs>
          <w:tab w:val="left" w:pos="4860"/>
        </w:tabs>
        <w:spacing w:line="588" w:lineRule="exact"/>
        <w:ind w:right="1560" w:firstLine="4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p>
    <w:p w14:paraId="7F75A00F">
      <w:pPr>
        <w:spacing w:line="360" w:lineRule="auto"/>
        <w:rPr>
          <w:rFonts w:ascii="黑体" w:hAnsi="黑体" w:eastAsia="黑体"/>
          <w:b/>
          <w:color w:val="000000" w:themeColor="text1"/>
          <w:sz w:val="32"/>
          <w:szCs w:val="32"/>
          <w14:textFill>
            <w14:solidFill>
              <w14:schemeClr w14:val="tx1"/>
            </w14:solidFill>
          </w14:textFill>
        </w:rPr>
      </w:pPr>
    </w:p>
    <w:p w14:paraId="390F96A2">
      <w:pPr>
        <w:spacing w:line="360" w:lineRule="auto"/>
        <w:rPr>
          <w:rFonts w:ascii="黑体" w:hAnsi="黑体" w:eastAsia="黑体"/>
          <w:b/>
          <w:color w:val="000000" w:themeColor="text1"/>
          <w:sz w:val="32"/>
          <w:szCs w:val="32"/>
          <w14:textFill>
            <w14:solidFill>
              <w14:schemeClr w14:val="tx1"/>
            </w14:solidFill>
          </w14:textFill>
        </w:rPr>
      </w:pPr>
    </w:p>
    <w:p w14:paraId="356EFA37">
      <w:pPr>
        <w:spacing w:line="360" w:lineRule="auto"/>
        <w:rPr>
          <w:rFonts w:ascii="黑体" w:hAnsi="黑体" w:eastAsia="黑体"/>
          <w:b/>
          <w:color w:val="000000" w:themeColor="text1"/>
          <w:sz w:val="32"/>
          <w:szCs w:val="32"/>
          <w14:textFill>
            <w14:solidFill>
              <w14:schemeClr w14:val="tx1"/>
            </w14:solidFill>
          </w14:textFill>
        </w:rPr>
      </w:pPr>
    </w:p>
    <w:p w14:paraId="4959D0BB">
      <w:pPr>
        <w:jc w:val="center"/>
        <w:rPr>
          <w:rFonts w:ascii="宋体" w:hAnsi="宋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br w:type="page" w:clear="all"/>
      </w:r>
      <w:r>
        <w:rPr>
          <w:rFonts w:hint="eastAsia" w:ascii="宋体" w:hAnsi="宋体"/>
          <w:b/>
          <w:color w:val="000000" w:themeColor="text1"/>
          <w:sz w:val="32"/>
          <w:szCs w:val="32"/>
          <w14:textFill>
            <w14:solidFill>
              <w14:schemeClr w14:val="tx1"/>
            </w14:solidFill>
          </w14:textFill>
        </w:rPr>
        <w:t>四、开标一览表</w:t>
      </w:r>
    </w:p>
    <w:p w14:paraId="692F173D">
      <w:pPr>
        <w:spacing w:line="360" w:lineRule="auto"/>
        <w:ind w:firstLine="480"/>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p w14:paraId="7B6853D3">
      <w:pPr>
        <w:spacing w:line="36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项目编号：</w:t>
      </w:r>
    </w:p>
    <w:p w14:paraId="67750535">
      <w:pPr>
        <w:ind w:firstLine="480"/>
        <w:rPr>
          <w:rFonts w:ascii="宋体" w:hAnsi="宋体"/>
          <w:color w:val="000000" w:themeColor="text1"/>
          <w:szCs w:val="21"/>
          <w14:textFill>
            <w14:solidFill>
              <w14:schemeClr w14:val="tx1"/>
            </w14:solidFill>
          </w14:textFill>
        </w:rPr>
      </w:pPr>
    </w:p>
    <w:tbl>
      <w:tblPr>
        <w:tblStyle w:val="4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A5A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tcBorders>
              <w:top w:val="single" w:color="auto" w:sz="4" w:space="0"/>
              <w:left w:val="single" w:color="auto" w:sz="4" w:space="0"/>
              <w:bottom w:val="single" w:color="auto" w:sz="4" w:space="0"/>
              <w:right w:val="single" w:color="auto" w:sz="4" w:space="0"/>
            </w:tcBorders>
            <w:noWrap w:val="0"/>
            <w:vAlign w:val="center"/>
          </w:tcPr>
          <w:p w14:paraId="6F72C34D">
            <w:pPr>
              <w:pStyle w:val="17"/>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投标服务或产品名称</w:t>
            </w:r>
          </w:p>
        </w:tc>
        <w:tc>
          <w:tcPr>
            <w:tcW w:w="6405" w:type="dxa"/>
            <w:tcBorders>
              <w:top w:val="single" w:color="auto" w:sz="4" w:space="0"/>
              <w:left w:val="single" w:color="auto" w:sz="4" w:space="0"/>
              <w:bottom w:val="single" w:color="auto" w:sz="4" w:space="0"/>
              <w:right w:val="single" w:color="auto" w:sz="4" w:space="0"/>
            </w:tcBorders>
            <w:noWrap w:val="0"/>
            <w:vAlign w:val="center"/>
          </w:tcPr>
          <w:p w14:paraId="33D79FAF">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投标总报价</w:t>
            </w:r>
          </w:p>
        </w:tc>
      </w:tr>
      <w:tr w14:paraId="122A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tcBorders>
              <w:top w:val="single" w:color="auto" w:sz="4" w:space="0"/>
              <w:left w:val="single" w:color="auto" w:sz="4" w:space="0"/>
              <w:bottom w:val="single" w:color="auto" w:sz="4" w:space="0"/>
              <w:right w:val="single" w:color="auto" w:sz="4" w:space="0"/>
            </w:tcBorders>
            <w:noWrap w:val="0"/>
            <w:vAlign w:val="center"/>
          </w:tcPr>
          <w:p w14:paraId="39AE75A5">
            <w:pPr>
              <w:pStyle w:val="17"/>
              <w:spacing w:line="300" w:lineRule="auto"/>
              <w:rPr>
                <w:rFonts w:ascii="宋体" w:hAnsi="宋体" w:eastAsia="宋体" w:cs="宋体"/>
                <w:color w:val="000000" w:themeColor="text1"/>
                <w:sz w:val="21"/>
                <w:szCs w:val="21"/>
                <w14:textFill>
                  <w14:solidFill>
                    <w14:schemeClr w14:val="tx1"/>
                  </w14:solidFill>
                </w14:textFill>
              </w:rPr>
            </w:pPr>
          </w:p>
        </w:tc>
        <w:tc>
          <w:tcPr>
            <w:tcW w:w="6405" w:type="dxa"/>
            <w:tcBorders>
              <w:top w:val="single" w:color="auto" w:sz="4" w:space="0"/>
              <w:left w:val="single" w:color="auto" w:sz="4" w:space="0"/>
              <w:bottom w:val="single" w:color="auto" w:sz="4" w:space="0"/>
              <w:right w:val="single" w:color="auto" w:sz="4" w:space="0"/>
            </w:tcBorders>
            <w:noWrap w:val="0"/>
            <w:vAlign w:val="center"/>
          </w:tcPr>
          <w:p w14:paraId="0D3F866D">
            <w:pPr>
              <w:spacing w:line="72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（小写）：¥</w:t>
            </w:r>
          </w:p>
          <w:p w14:paraId="42DCBAC6">
            <w:pPr>
              <w:pStyle w:val="224"/>
              <w:spacing w:before="0" w:after="0" w:line="500" w:lineRule="exact"/>
              <w:ind w:firstLine="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（大写）：人民币</w:t>
            </w:r>
          </w:p>
        </w:tc>
      </w:tr>
    </w:tbl>
    <w:p w14:paraId="623783C6">
      <w:pPr>
        <w:rPr>
          <w:rFonts w:ascii="宋体" w:hAnsi="宋体"/>
          <w:color w:val="000000" w:themeColor="text1"/>
          <w:szCs w:val="21"/>
          <w14:textFill>
            <w14:solidFill>
              <w14:schemeClr w14:val="tx1"/>
            </w14:solidFill>
          </w14:textFill>
        </w:rPr>
      </w:pPr>
    </w:p>
    <w:p w14:paraId="520F2010">
      <w:pPr>
        <w:ind w:firstLine="480"/>
        <w:rPr>
          <w:rFonts w:ascii="宋体" w:hAnsi="宋体"/>
          <w:color w:val="000000" w:themeColor="text1"/>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日期：  年月日</w:t>
      </w:r>
    </w:p>
    <w:p w14:paraId="1717AA0F">
      <w:pPr>
        <w:spacing w:line="360" w:lineRule="auto"/>
        <w:rPr>
          <w:rFonts w:ascii="宋体" w:hAnsi="宋体"/>
          <w:color w:val="000000" w:themeColor="text1"/>
          <w:szCs w:val="21"/>
          <w14:textFill>
            <w14:solidFill>
              <w14:schemeClr w14:val="tx1"/>
            </w14:solidFill>
          </w14:textFill>
        </w:rPr>
      </w:pPr>
    </w:p>
    <w:p w14:paraId="13062336">
      <w:pPr>
        <w:spacing w:line="460" w:lineRule="exact"/>
        <w:rPr>
          <w:rFonts w:ascii="宋体" w:hAnsi="宋体"/>
          <w:bCs/>
          <w:color w:val="000000" w:themeColor="text1"/>
          <w:szCs w:val="21"/>
          <w14:textFill>
            <w14:solidFill>
              <w14:schemeClr w14:val="tx1"/>
            </w14:solidFill>
          </w14:textFill>
        </w:rPr>
      </w:pPr>
    </w:p>
    <w:p w14:paraId="11F85719">
      <w:pPr>
        <w:spacing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投标人全称（盖章）：</w:t>
      </w:r>
    </w:p>
    <w:p w14:paraId="76B14764">
      <w:pPr>
        <w:spacing w:line="360" w:lineRule="auto"/>
        <w:rPr>
          <w:rFonts w:ascii="宋体" w:hAnsi="宋体"/>
          <w:color w:val="000000" w:themeColor="text1"/>
          <w:szCs w:val="21"/>
          <w:u w:val="single"/>
          <w14:textFill>
            <w14:solidFill>
              <w14:schemeClr w14:val="tx1"/>
            </w14:solidFill>
          </w14:textFill>
        </w:rPr>
      </w:pPr>
      <w:r>
        <w:rPr>
          <w:rFonts w:hint="eastAsia"/>
          <w:color w:val="000000" w:themeColor="text1"/>
          <w14:textFill>
            <w14:solidFill>
              <w14:schemeClr w14:val="tx1"/>
            </w14:solidFill>
          </w14:textFill>
        </w:rPr>
        <w:t>法定代表人或授权代表签字</w:t>
      </w:r>
      <w:r>
        <w:rPr>
          <w:rFonts w:hint="eastAsia" w:ascii="宋体" w:hAnsi="宋体"/>
          <w:color w:val="000000" w:themeColor="text1"/>
          <w:szCs w:val="21"/>
          <w14:textFill>
            <w14:solidFill>
              <w14:schemeClr w14:val="tx1"/>
            </w14:solidFill>
          </w14:textFill>
        </w:rPr>
        <w:t>（签字）：</w:t>
      </w:r>
    </w:p>
    <w:p w14:paraId="4EF506F1">
      <w:pPr>
        <w:spacing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p>
    <w:p w14:paraId="02745503">
      <w:pPr>
        <w:spacing w:line="360" w:lineRule="auto"/>
        <w:rPr>
          <w:rFonts w:ascii="宋体" w:hAnsi="宋体"/>
          <w:color w:val="000000" w:themeColor="text1"/>
          <w:szCs w:val="21"/>
          <w:u w:val="single"/>
          <w14:textFill>
            <w14:solidFill>
              <w14:schemeClr w14:val="tx1"/>
            </w14:solidFill>
          </w14:textFill>
        </w:rPr>
      </w:pPr>
    </w:p>
    <w:p w14:paraId="43A9ED0C">
      <w:pPr>
        <w:spacing w:line="360" w:lineRule="auto"/>
        <w:jc w:val="center"/>
        <w:rPr>
          <w:rFonts w:ascii="宋体" w:hAnsi="宋体"/>
          <w:b/>
          <w:bCs/>
          <w:color w:val="000000" w:themeColor="text1"/>
          <w:szCs w:val="21"/>
          <w14:textFill>
            <w14:solidFill>
              <w14:schemeClr w14:val="tx1"/>
            </w14:solidFill>
          </w14:textFill>
        </w:rPr>
      </w:pPr>
    </w:p>
    <w:p w14:paraId="16058285">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填写说明：</w:t>
      </w:r>
    </w:p>
    <w:p w14:paraId="167C1C7D">
      <w:pPr>
        <w:spacing w:line="360" w:lineRule="auto"/>
        <w:rPr>
          <w:rFonts w:ascii="宋体" w:hAnsi="宋体"/>
          <w:b/>
          <w:i/>
          <w:iCs/>
          <w:color w:val="000000" w:themeColor="text1"/>
          <w:szCs w:val="21"/>
          <w14:textFill>
            <w14:solidFill>
              <w14:schemeClr w14:val="tx1"/>
            </w14:solidFill>
          </w14:textFill>
        </w:rPr>
      </w:pPr>
      <w:r>
        <w:rPr>
          <w:rFonts w:hint="eastAsia" w:ascii="宋体" w:hAnsi="宋体"/>
          <w:b/>
          <w:i/>
          <w:iCs/>
          <w:color w:val="000000" w:themeColor="text1"/>
          <w:szCs w:val="21"/>
          <w14:textFill>
            <w14:solidFill>
              <w14:schemeClr w14:val="tx1"/>
            </w14:solidFill>
          </w14:textFill>
        </w:rPr>
        <w:t>1、</w:t>
      </w:r>
      <w:r>
        <w:rPr>
          <w:rFonts w:hint="eastAsia" w:ascii="宋体" w:hAnsi="宋体"/>
          <w:b/>
          <w:i/>
          <w:iCs/>
          <w:color w:val="000000" w:themeColor="text1"/>
          <w:szCs w:val="21"/>
          <w:u w:val="single"/>
          <w14:textFill>
            <w14:solidFill>
              <w14:schemeClr w14:val="tx1"/>
            </w14:solidFill>
          </w14:textFill>
        </w:rPr>
        <w:t>开标一览表必须加盖投标人公章（复印件无效）</w:t>
      </w:r>
      <w:r>
        <w:rPr>
          <w:rFonts w:hint="eastAsia" w:ascii="宋体" w:hAnsi="宋体"/>
          <w:b/>
          <w:i/>
          <w:iCs/>
          <w:color w:val="000000" w:themeColor="text1"/>
          <w:szCs w:val="21"/>
          <w14:textFill>
            <w14:solidFill>
              <w14:schemeClr w14:val="tx1"/>
            </w14:solidFill>
          </w14:textFill>
        </w:rPr>
        <w:t>。</w:t>
      </w:r>
    </w:p>
    <w:p w14:paraId="4D49ACC0">
      <w:pPr>
        <w:spacing w:line="460" w:lineRule="exact"/>
        <w:rPr>
          <w:rFonts w:ascii="宋体" w:hAnsi="宋体"/>
          <w:bCs/>
          <w:color w:val="000000" w:themeColor="text1"/>
          <w:szCs w:val="21"/>
          <w14:textFill>
            <w14:solidFill>
              <w14:schemeClr w14:val="tx1"/>
            </w14:solidFill>
          </w14:textFill>
        </w:rPr>
      </w:pPr>
    </w:p>
    <w:p w14:paraId="2BAAE880">
      <w:pPr>
        <w:spacing w:line="460" w:lineRule="exact"/>
        <w:rPr>
          <w:rFonts w:ascii="宋体" w:hAnsi="宋体"/>
          <w:bCs/>
          <w:color w:val="000000" w:themeColor="text1"/>
          <w:szCs w:val="21"/>
          <w14:textFill>
            <w14:solidFill>
              <w14:schemeClr w14:val="tx1"/>
            </w14:solidFill>
          </w14:textFill>
        </w:rPr>
      </w:pPr>
    </w:p>
    <w:p w14:paraId="275230C1">
      <w:pPr>
        <w:spacing w:line="460" w:lineRule="exact"/>
        <w:rPr>
          <w:rFonts w:ascii="宋体" w:hAnsi="宋体"/>
          <w:bCs/>
          <w:color w:val="000000" w:themeColor="text1"/>
          <w:szCs w:val="21"/>
          <w14:textFill>
            <w14:solidFill>
              <w14:schemeClr w14:val="tx1"/>
            </w14:solidFill>
          </w14:textFill>
        </w:rPr>
      </w:pPr>
    </w:p>
    <w:p w14:paraId="1F468B98">
      <w:pPr>
        <w:spacing w:line="460" w:lineRule="exact"/>
        <w:rPr>
          <w:rFonts w:ascii="宋体" w:hAnsi="宋体"/>
          <w:bCs/>
          <w:color w:val="000000" w:themeColor="text1"/>
          <w:szCs w:val="21"/>
          <w14:textFill>
            <w14:solidFill>
              <w14:schemeClr w14:val="tx1"/>
            </w14:solidFill>
          </w14:textFill>
        </w:rPr>
      </w:pPr>
    </w:p>
    <w:p w14:paraId="1B39904C">
      <w:pPr>
        <w:spacing w:line="460" w:lineRule="exact"/>
        <w:rPr>
          <w:rFonts w:ascii="宋体" w:hAnsi="宋体"/>
          <w:bCs/>
          <w:color w:val="000000" w:themeColor="text1"/>
          <w:szCs w:val="21"/>
          <w14:textFill>
            <w14:solidFill>
              <w14:schemeClr w14:val="tx1"/>
            </w14:solidFill>
          </w14:textFill>
        </w:rPr>
      </w:pPr>
    </w:p>
    <w:p w14:paraId="709E5351">
      <w:pPr>
        <w:spacing w:line="460" w:lineRule="exact"/>
        <w:rPr>
          <w:rFonts w:ascii="宋体" w:hAnsi="宋体"/>
          <w:bCs/>
          <w:color w:val="000000" w:themeColor="text1"/>
          <w:szCs w:val="21"/>
          <w14:textFill>
            <w14:solidFill>
              <w14:schemeClr w14:val="tx1"/>
            </w14:solidFill>
          </w14:textFill>
        </w:rPr>
      </w:pPr>
    </w:p>
    <w:p w14:paraId="29C1A518">
      <w:pPr>
        <w:spacing w:line="460" w:lineRule="exact"/>
        <w:rPr>
          <w:rFonts w:ascii="宋体" w:hAnsi="宋体"/>
          <w:bCs/>
          <w:color w:val="000000" w:themeColor="text1"/>
          <w:szCs w:val="21"/>
          <w14:textFill>
            <w14:solidFill>
              <w14:schemeClr w14:val="tx1"/>
            </w14:solidFill>
          </w14:textFill>
        </w:rPr>
      </w:pPr>
    </w:p>
    <w:p w14:paraId="7B4F76D7">
      <w:pPr>
        <w:spacing w:line="460" w:lineRule="exact"/>
        <w:rPr>
          <w:rFonts w:ascii="宋体" w:hAnsi="宋体"/>
          <w:bCs/>
          <w:color w:val="000000" w:themeColor="text1"/>
          <w:szCs w:val="21"/>
          <w14:textFill>
            <w14:solidFill>
              <w14:schemeClr w14:val="tx1"/>
            </w14:solidFill>
          </w14:textFill>
        </w:rPr>
      </w:pPr>
    </w:p>
    <w:p w14:paraId="550EBB1D">
      <w:pPr>
        <w:spacing w:line="460" w:lineRule="exact"/>
        <w:rPr>
          <w:rFonts w:ascii="宋体" w:hAnsi="宋体"/>
          <w:bCs/>
          <w:color w:val="000000" w:themeColor="text1"/>
          <w:szCs w:val="21"/>
          <w14:textFill>
            <w14:solidFill>
              <w14:schemeClr w14:val="tx1"/>
            </w14:solidFill>
          </w14:textFill>
        </w:rPr>
      </w:pPr>
    </w:p>
    <w:p w14:paraId="0C0BA476">
      <w:pPr>
        <w:spacing w:line="460" w:lineRule="exact"/>
        <w:rPr>
          <w:rFonts w:ascii="宋体" w:hAnsi="宋体"/>
          <w:bCs/>
          <w:color w:val="000000" w:themeColor="text1"/>
          <w:szCs w:val="21"/>
          <w14:textFill>
            <w14:solidFill>
              <w14:schemeClr w14:val="tx1"/>
            </w14:solidFill>
          </w14:textFill>
        </w:rPr>
      </w:pPr>
    </w:p>
    <w:p w14:paraId="141BEB4D">
      <w:pPr>
        <w:spacing w:line="460" w:lineRule="exact"/>
        <w:rPr>
          <w:rFonts w:ascii="宋体" w:hAnsi="宋体"/>
          <w:bCs/>
          <w:color w:val="000000" w:themeColor="text1"/>
          <w:szCs w:val="21"/>
          <w14:textFill>
            <w14:solidFill>
              <w14:schemeClr w14:val="tx1"/>
            </w14:solidFill>
          </w14:textFill>
        </w:rPr>
      </w:pPr>
    </w:p>
    <w:p w14:paraId="7FCAE803">
      <w:pPr>
        <w:spacing w:line="460" w:lineRule="exact"/>
        <w:rPr>
          <w:rFonts w:ascii="宋体" w:hAnsi="宋体"/>
          <w:bCs/>
          <w:color w:val="000000" w:themeColor="text1"/>
          <w:szCs w:val="21"/>
          <w14:textFill>
            <w14:solidFill>
              <w14:schemeClr w14:val="tx1"/>
            </w14:solidFill>
          </w14:textFill>
        </w:rPr>
      </w:pPr>
    </w:p>
    <w:p w14:paraId="4F7E286E">
      <w:pPr>
        <w:spacing w:line="240" w:lineRule="exact"/>
        <w:ind w:firstLine="2520"/>
        <w:rPr>
          <w:color w:val="000000" w:themeColor="text1"/>
          <w14:textFill>
            <w14:solidFill>
              <w14:schemeClr w14:val="tx1"/>
            </w14:solidFill>
          </w14:textFill>
        </w:rPr>
      </w:pPr>
    </w:p>
    <w:p w14:paraId="2BE50AD6">
      <w:pPr>
        <w:spacing w:line="240" w:lineRule="exact"/>
        <w:ind w:firstLine="2520"/>
        <w:rPr>
          <w:color w:val="000000" w:themeColor="text1"/>
          <w14:textFill>
            <w14:solidFill>
              <w14:schemeClr w14:val="tx1"/>
            </w14:solidFill>
          </w14:textFill>
        </w:rPr>
      </w:pPr>
    </w:p>
    <w:p w14:paraId="218EB7D3">
      <w:pPr>
        <w:spacing w:line="240" w:lineRule="exact"/>
        <w:ind w:firstLine="2520"/>
        <w:rPr>
          <w:color w:val="000000" w:themeColor="text1"/>
          <w14:textFill>
            <w14:solidFill>
              <w14:schemeClr w14:val="tx1"/>
            </w14:solidFill>
          </w14:textFill>
        </w:rPr>
      </w:pPr>
    </w:p>
    <w:p w14:paraId="444EDDF9">
      <w:pPr>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lang w:val="en-US" w:eastAsia="zh-CN"/>
          <w14:textFill>
            <w14:solidFill>
              <w14:schemeClr w14:val="tx1"/>
            </w14:solidFill>
          </w14:textFill>
        </w:rPr>
        <w:t>五</w:t>
      </w:r>
      <w:r>
        <w:rPr>
          <w:rFonts w:hint="eastAsia" w:ascii="宋体" w:hAnsi="宋体"/>
          <w:b/>
          <w:color w:val="000000" w:themeColor="text1"/>
          <w:sz w:val="32"/>
          <w:szCs w:val="32"/>
          <w14:textFill>
            <w14:solidFill>
              <w14:schemeClr w14:val="tx1"/>
            </w14:solidFill>
          </w14:textFill>
        </w:rPr>
        <w:t>、技术参数响应及偏离表</w:t>
      </w:r>
    </w:p>
    <w:p w14:paraId="4AA48EDC">
      <w:pPr>
        <w:rPr>
          <w:rFonts w:ascii="宋体" w:hAnsi="宋体"/>
          <w:color w:val="000000" w:themeColor="text1"/>
          <w:szCs w:val="21"/>
          <w14:textFill>
            <w14:solidFill>
              <w14:schemeClr w14:val="tx1"/>
            </w14:solidFill>
          </w14:textFill>
        </w:rPr>
      </w:pPr>
    </w:p>
    <w:p w14:paraId="3F8A5FC1">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投标人全称（盖章）：</w:t>
      </w:r>
    </w:p>
    <w:p w14:paraId="34B028F8">
      <w:pPr>
        <w:rPr>
          <w:rFonts w:ascii="宋体" w:hAnsi="宋体"/>
          <w:b/>
          <w:color w:val="000000" w:themeColor="text1"/>
          <w:sz w:val="32"/>
          <w:szCs w:val="32"/>
          <w14:textFill>
            <w14:solidFill>
              <w14:schemeClr w14:val="tx1"/>
            </w14:solidFill>
          </w14:textFill>
        </w:rPr>
      </w:pPr>
    </w:p>
    <w:tbl>
      <w:tblPr>
        <w:tblStyle w:val="49"/>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243"/>
        <w:gridCol w:w="2693"/>
        <w:gridCol w:w="1701"/>
        <w:gridCol w:w="992"/>
        <w:gridCol w:w="992"/>
      </w:tblGrid>
      <w:tr w14:paraId="7192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1" w:hRule="atLeast"/>
        </w:trPr>
        <w:tc>
          <w:tcPr>
            <w:tcW w:w="984" w:type="dxa"/>
            <w:tcBorders>
              <w:top w:val="single" w:color="auto" w:sz="4" w:space="0"/>
              <w:left w:val="single" w:color="auto" w:sz="4" w:space="0"/>
              <w:bottom w:val="single" w:color="auto" w:sz="4" w:space="0"/>
              <w:right w:val="single" w:color="auto" w:sz="4" w:space="0"/>
            </w:tcBorders>
            <w:noWrap w:val="0"/>
            <w:vAlign w:val="center"/>
          </w:tcPr>
          <w:p w14:paraId="4E1724D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2243" w:type="dxa"/>
            <w:tcBorders>
              <w:top w:val="single" w:color="auto" w:sz="4" w:space="0"/>
              <w:left w:val="single" w:color="auto" w:sz="4" w:space="0"/>
              <w:bottom w:val="single" w:color="auto" w:sz="4" w:space="0"/>
              <w:right w:val="single" w:color="auto" w:sz="4" w:space="0"/>
            </w:tcBorders>
            <w:noWrap w:val="0"/>
            <w:vAlign w:val="center"/>
          </w:tcPr>
          <w:p w14:paraId="46A492B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招标要求</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05AF1D1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投标响应</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9BC74D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超出、符合或偏离</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AB9E5C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证明材料</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0C04B0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所在页码位置</w:t>
            </w:r>
          </w:p>
        </w:tc>
      </w:tr>
      <w:tr w14:paraId="2BA8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84" w:type="dxa"/>
            <w:tcBorders>
              <w:top w:val="single" w:color="auto" w:sz="4" w:space="0"/>
              <w:left w:val="single" w:color="auto" w:sz="4" w:space="0"/>
              <w:bottom w:val="single" w:color="auto" w:sz="4" w:space="0"/>
              <w:right w:val="single" w:color="auto" w:sz="4" w:space="0"/>
            </w:tcBorders>
            <w:noWrap w:val="0"/>
          </w:tcPr>
          <w:p w14:paraId="28413574">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5870B41E">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5E02F6E2">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006E21AA">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16EAE1D8">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5DA19BBF">
            <w:pPr>
              <w:jc w:val="center"/>
              <w:rPr>
                <w:rFonts w:ascii="宋体" w:hAnsi="宋体"/>
                <w:color w:val="000000" w:themeColor="text1"/>
                <w:szCs w:val="21"/>
                <w14:textFill>
                  <w14:solidFill>
                    <w14:schemeClr w14:val="tx1"/>
                  </w14:solidFill>
                </w14:textFill>
              </w:rPr>
            </w:pPr>
          </w:p>
        </w:tc>
      </w:tr>
      <w:tr w14:paraId="4AE9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03F4F769">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179B6176">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02ECE2A0">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57CB0B2B">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073171EF">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05073439">
            <w:pPr>
              <w:jc w:val="center"/>
              <w:rPr>
                <w:rFonts w:ascii="宋体" w:hAnsi="宋体"/>
                <w:color w:val="000000" w:themeColor="text1"/>
                <w:szCs w:val="21"/>
                <w14:textFill>
                  <w14:solidFill>
                    <w14:schemeClr w14:val="tx1"/>
                  </w14:solidFill>
                </w14:textFill>
              </w:rPr>
            </w:pPr>
          </w:p>
        </w:tc>
      </w:tr>
      <w:tr w14:paraId="2B0B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308CB65A">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2C9AA0AA">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3F58788F">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73006818">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7AF6BDA1">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450CDB3D">
            <w:pPr>
              <w:jc w:val="center"/>
              <w:rPr>
                <w:rFonts w:ascii="宋体" w:hAnsi="宋体"/>
                <w:color w:val="000000" w:themeColor="text1"/>
                <w:szCs w:val="21"/>
                <w14:textFill>
                  <w14:solidFill>
                    <w14:schemeClr w14:val="tx1"/>
                  </w14:solidFill>
                </w14:textFill>
              </w:rPr>
            </w:pPr>
          </w:p>
        </w:tc>
      </w:tr>
      <w:tr w14:paraId="69B6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63E85452">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613815C2">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31235847">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500C935A">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30878F9A">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6476D4E2">
            <w:pPr>
              <w:jc w:val="center"/>
              <w:rPr>
                <w:rFonts w:ascii="宋体" w:hAnsi="宋体"/>
                <w:color w:val="000000" w:themeColor="text1"/>
                <w:szCs w:val="21"/>
                <w14:textFill>
                  <w14:solidFill>
                    <w14:schemeClr w14:val="tx1"/>
                  </w14:solidFill>
                </w14:textFill>
              </w:rPr>
            </w:pPr>
          </w:p>
        </w:tc>
      </w:tr>
      <w:tr w14:paraId="55C3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5E8BEDD5">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1C955B1F">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5C46B08C">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07409A06">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51722D28">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77777AE9">
            <w:pPr>
              <w:jc w:val="center"/>
              <w:rPr>
                <w:rFonts w:ascii="宋体" w:hAnsi="宋体"/>
                <w:color w:val="000000" w:themeColor="text1"/>
                <w:szCs w:val="21"/>
                <w14:textFill>
                  <w14:solidFill>
                    <w14:schemeClr w14:val="tx1"/>
                  </w14:solidFill>
                </w14:textFill>
              </w:rPr>
            </w:pPr>
          </w:p>
        </w:tc>
      </w:tr>
      <w:tr w14:paraId="0D5B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69351DDB">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4C0D0DE9">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326B6B32">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00723E5A">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60FE7EF5">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36561638">
            <w:pPr>
              <w:jc w:val="center"/>
              <w:rPr>
                <w:rFonts w:ascii="宋体" w:hAnsi="宋体"/>
                <w:color w:val="000000" w:themeColor="text1"/>
                <w:szCs w:val="21"/>
                <w14:textFill>
                  <w14:solidFill>
                    <w14:schemeClr w14:val="tx1"/>
                  </w14:solidFill>
                </w14:textFill>
              </w:rPr>
            </w:pPr>
          </w:p>
        </w:tc>
      </w:tr>
      <w:tr w14:paraId="493C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5A9129FF">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4BFD2B8B">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6C770185">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6074F670">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75D70844">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3E96858D">
            <w:pPr>
              <w:jc w:val="center"/>
              <w:rPr>
                <w:rFonts w:ascii="宋体" w:hAnsi="宋体"/>
                <w:color w:val="000000" w:themeColor="text1"/>
                <w:szCs w:val="21"/>
                <w14:textFill>
                  <w14:solidFill>
                    <w14:schemeClr w14:val="tx1"/>
                  </w14:solidFill>
                </w14:textFill>
              </w:rPr>
            </w:pPr>
          </w:p>
        </w:tc>
      </w:tr>
      <w:tr w14:paraId="0BD7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noWrap w:val="0"/>
          </w:tcPr>
          <w:p w14:paraId="1AAA0D8F">
            <w:pPr>
              <w:jc w:val="center"/>
              <w:rPr>
                <w:rFonts w:ascii="宋体" w:hAnsi="宋体"/>
                <w:color w:val="000000" w:themeColor="text1"/>
                <w:szCs w:val="21"/>
                <w14:textFill>
                  <w14:solidFill>
                    <w14:schemeClr w14:val="tx1"/>
                  </w14:solidFill>
                </w14:textFill>
              </w:rPr>
            </w:pPr>
          </w:p>
        </w:tc>
        <w:tc>
          <w:tcPr>
            <w:tcW w:w="2243" w:type="dxa"/>
            <w:tcBorders>
              <w:top w:val="single" w:color="auto" w:sz="4" w:space="0"/>
              <w:left w:val="single" w:color="auto" w:sz="4" w:space="0"/>
              <w:bottom w:val="single" w:color="auto" w:sz="4" w:space="0"/>
              <w:right w:val="single" w:color="auto" w:sz="4" w:space="0"/>
            </w:tcBorders>
            <w:noWrap w:val="0"/>
          </w:tcPr>
          <w:p w14:paraId="6C8E8872">
            <w:pPr>
              <w:jc w:val="center"/>
              <w:rPr>
                <w:rFonts w:ascii="宋体" w:hAnsi="宋体"/>
                <w:color w:val="000000" w:themeColor="text1"/>
                <w:szCs w:val="21"/>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noWrap w:val="0"/>
          </w:tcPr>
          <w:p w14:paraId="4577E819">
            <w:pPr>
              <w:jc w:val="center"/>
              <w:rPr>
                <w:rFonts w:ascii="宋体" w:hAnsi="宋体"/>
                <w:color w:val="000000" w:themeColor="text1"/>
                <w:szCs w:val="21"/>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noWrap w:val="0"/>
          </w:tcPr>
          <w:p w14:paraId="3F0AA8C2">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2E6D4FBF">
            <w:pPr>
              <w:jc w:val="center"/>
              <w:rPr>
                <w:rFonts w:ascii="宋体" w:hAnsi="宋体"/>
                <w:color w:val="000000" w:themeColor="text1"/>
                <w:szCs w:val="21"/>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tcPr>
          <w:p w14:paraId="2CF0A679">
            <w:pPr>
              <w:jc w:val="center"/>
              <w:rPr>
                <w:rFonts w:ascii="宋体" w:hAnsi="宋体"/>
                <w:color w:val="000000" w:themeColor="text1"/>
                <w:szCs w:val="21"/>
                <w14:textFill>
                  <w14:solidFill>
                    <w14:schemeClr w14:val="tx1"/>
                  </w14:solidFill>
                </w14:textFill>
              </w:rPr>
            </w:pPr>
          </w:p>
        </w:tc>
      </w:tr>
    </w:tbl>
    <w:p w14:paraId="3180725B">
      <w:pPr>
        <w:rPr>
          <w:rFonts w:ascii="宋体" w:hAnsi="宋体"/>
          <w:color w:val="000000" w:themeColor="text1"/>
          <w:sz w:val="24"/>
          <w:szCs w:val="24"/>
          <w14:textFill>
            <w14:solidFill>
              <w14:schemeClr w14:val="tx1"/>
            </w14:solidFill>
          </w14:textFill>
        </w:rPr>
      </w:pPr>
    </w:p>
    <w:p w14:paraId="1D9BB577">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注：1、按照基本技术要求详细填列。</w:t>
      </w:r>
    </w:p>
    <w:p w14:paraId="665F5941">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2、行数不够，可自行添加。</w:t>
      </w:r>
    </w:p>
    <w:p w14:paraId="5C280FBD">
      <w:pPr>
        <w:jc w:val="center"/>
        <w:rPr>
          <w:rFonts w:ascii="宋体" w:hAnsi="宋体"/>
          <w:b/>
          <w:color w:val="000000" w:themeColor="text1"/>
          <w:szCs w:val="21"/>
          <w14:textFill>
            <w14:solidFill>
              <w14:schemeClr w14:val="tx1"/>
            </w14:solidFill>
          </w14:textFill>
        </w:rPr>
      </w:pPr>
    </w:p>
    <w:p w14:paraId="6819EF7F">
      <w:pPr>
        <w:jc w:val="center"/>
        <w:rPr>
          <w:rFonts w:ascii="宋体" w:hAnsi="宋体"/>
          <w:b/>
          <w:color w:val="000000" w:themeColor="text1"/>
          <w:szCs w:val="21"/>
          <w14:textFill>
            <w14:solidFill>
              <w14:schemeClr w14:val="tx1"/>
            </w14:solidFill>
          </w14:textFill>
        </w:rPr>
      </w:pPr>
    </w:p>
    <w:p w14:paraId="25B63C05">
      <w:pPr>
        <w:jc w:val="center"/>
        <w:rPr>
          <w:rFonts w:ascii="宋体" w:hAnsi="宋体"/>
          <w:b/>
          <w:color w:val="000000" w:themeColor="text1"/>
          <w:szCs w:val="21"/>
          <w14:textFill>
            <w14:solidFill>
              <w14:schemeClr w14:val="tx1"/>
            </w14:solidFill>
          </w14:textFill>
        </w:rPr>
      </w:pPr>
    </w:p>
    <w:p w14:paraId="04A2897C">
      <w:pPr>
        <w:jc w:val="center"/>
        <w:rPr>
          <w:rFonts w:ascii="宋体" w:hAnsi="宋体"/>
          <w:b/>
          <w:color w:val="000000" w:themeColor="text1"/>
          <w:szCs w:val="21"/>
          <w14:textFill>
            <w14:solidFill>
              <w14:schemeClr w14:val="tx1"/>
            </w14:solidFill>
          </w14:textFill>
        </w:rPr>
      </w:pPr>
    </w:p>
    <w:p w14:paraId="6DAF0B43">
      <w:pPr>
        <w:jc w:val="center"/>
        <w:rPr>
          <w:rFonts w:ascii="宋体" w:hAnsi="宋体"/>
          <w:b/>
          <w:color w:val="000000" w:themeColor="text1"/>
          <w:szCs w:val="21"/>
          <w14:textFill>
            <w14:solidFill>
              <w14:schemeClr w14:val="tx1"/>
            </w14:solidFill>
          </w14:textFill>
        </w:rPr>
      </w:pPr>
    </w:p>
    <w:p w14:paraId="04D9CAEA">
      <w:pPr>
        <w:jc w:val="center"/>
        <w:rPr>
          <w:rFonts w:ascii="宋体" w:hAnsi="宋体"/>
          <w:b/>
          <w:color w:val="000000" w:themeColor="text1"/>
          <w:szCs w:val="21"/>
          <w14:textFill>
            <w14:solidFill>
              <w14:schemeClr w14:val="tx1"/>
            </w14:solidFill>
          </w14:textFill>
        </w:rPr>
      </w:pPr>
    </w:p>
    <w:p w14:paraId="47B8BD6A">
      <w:pPr>
        <w:jc w:val="center"/>
        <w:rPr>
          <w:rFonts w:ascii="宋体" w:hAnsi="宋体"/>
          <w:b/>
          <w:color w:val="000000" w:themeColor="text1"/>
          <w:szCs w:val="21"/>
          <w14:textFill>
            <w14:solidFill>
              <w14:schemeClr w14:val="tx1"/>
            </w14:solidFill>
          </w14:textFill>
        </w:rPr>
      </w:pPr>
    </w:p>
    <w:p w14:paraId="75B80BD2">
      <w:pPr>
        <w:jc w:val="center"/>
        <w:rPr>
          <w:rFonts w:ascii="宋体" w:hAnsi="宋体"/>
          <w:b/>
          <w:color w:val="000000" w:themeColor="text1"/>
          <w:szCs w:val="21"/>
          <w14:textFill>
            <w14:solidFill>
              <w14:schemeClr w14:val="tx1"/>
            </w14:solidFill>
          </w14:textFill>
        </w:rPr>
      </w:pPr>
    </w:p>
    <w:p w14:paraId="0A8FEFCE">
      <w:pPr>
        <w:jc w:val="center"/>
        <w:rPr>
          <w:rFonts w:ascii="宋体" w:hAnsi="宋体"/>
          <w:b/>
          <w:color w:val="000000" w:themeColor="text1"/>
          <w:szCs w:val="21"/>
          <w14:textFill>
            <w14:solidFill>
              <w14:schemeClr w14:val="tx1"/>
            </w14:solidFill>
          </w14:textFill>
        </w:rPr>
      </w:pPr>
    </w:p>
    <w:p w14:paraId="6F984826">
      <w:pPr>
        <w:jc w:val="center"/>
        <w:rPr>
          <w:rFonts w:ascii="宋体" w:hAnsi="宋体"/>
          <w:b/>
          <w:color w:val="000000" w:themeColor="text1"/>
          <w:szCs w:val="21"/>
          <w14:textFill>
            <w14:solidFill>
              <w14:schemeClr w14:val="tx1"/>
            </w14:solidFill>
          </w14:textFill>
        </w:rPr>
      </w:pPr>
    </w:p>
    <w:p w14:paraId="075A3723">
      <w:pPr>
        <w:jc w:val="center"/>
        <w:rPr>
          <w:rFonts w:ascii="宋体" w:hAnsi="宋体"/>
          <w:b/>
          <w:color w:val="000000" w:themeColor="text1"/>
          <w:szCs w:val="21"/>
          <w14:textFill>
            <w14:solidFill>
              <w14:schemeClr w14:val="tx1"/>
            </w14:solidFill>
          </w14:textFill>
        </w:rPr>
      </w:pPr>
    </w:p>
    <w:p w14:paraId="40B93520">
      <w:pPr>
        <w:jc w:val="center"/>
        <w:rPr>
          <w:rFonts w:ascii="宋体" w:hAnsi="宋体"/>
          <w:b/>
          <w:color w:val="000000" w:themeColor="text1"/>
          <w:szCs w:val="21"/>
          <w14:textFill>
            <w14:solidFill>
              <w14:schemeClr w14:val="tx1"/>
            </w14:solidFill>
          </w14:textFill>
        </w:rPr>
      </w:pPr>
    </w:p>
    <w:p w14:paraId="1FA72BFB">
      <w:pPr>
        <w:jc w:val="center"/>
        <w:rPr>
          <w:rFonts w:ascii="宋体" w:hAnsi="宋体"/>
          <w:b/>
          <w:color w:val="000000" w:themeColor="text1"/>
          <w:szCs w:val="21"/>
          <w14:textFill>
            <w14:solidFill>
              <w14:schemeClr w14:val="tx1"/>
            </w14:solidFill>
          </w14:textFill>
        </w:rPr>
      </w:pPr>
    </w:p>
    <w:p w14:paraId="6CAB2429">
      <w:pPr>
        <w:jc w:val="center"/>
        <w:rPr>
          <w:rFonts w:ascii="宋体" w:hAnsi="宋体"/>
          <w:b/>
          <w:color w:val="000000" w:themeColor="text1"/>
          <w:szCs w:val="21"/>
          <w14:textFill>
            <w14:solidFill>
              <w14:schemeClr w14:val="tx1"/>
            </w14:solidFill>
          </w14:textFill>
        </w:rPr>
      </w:pPr>
    </w:p>
    <w:p w14:paraId="53287F75">
      <w:pPr>
        <w:jc w:val="center"/>
        <w:rPr>
          <w:rFonts w:ascii="宋体" w:hAnsi="宋体"/>
          <w:b/>
          <w:color w:val="000000" w:themeColor="text1"/>
          <w:szCs w:val="21"/>
          <w14:textFill>
            <w14:solidFill>
              <w14:schemeClr w14:val="tx1"/>
            </w14:solidFill>
          </w14:textFill>
        </w:rPr>
      </w:pPr>
    </w:p>
    <w:p w14:paraId="27C33B30">
      <w:pPr>
        <w:jc w:val="center"/>
        <w:rPr>
          <w:rFonts w:ascii="宋体" w:hAnsi="宋体"/>
          <w:b/>
          <w:color w:val="000000" w:themeColor="text1"/>
          <w:szCs w:val="21"/>
          <w14:textFill>
            <w14:solidFill>
              <w14:schemeClr w14:val="tx1"/>
            </w14:solidFill>
          </w14:textFill>
        </w:rPr>
      </w:pPr>
    </w:p>
    <w:p w14:paraId="6761AFC8">
      <w:pPr>
        <w:jc w:val="center"/>
        <w:rPr>
          <w:rFonts w:ascii="宋体" w:hAnsi="宋体"/>
          <w:b/>
          <w:color w:val="000000" w:themeColor="text1"/>
          <w:szCs w:val="21"/>
          <w14:textFill>
            <w14:solidFill>
              <w14:schemeClr w14:val="tx1"/>
            </w14:solidFill>
          </w14:textFill>
        </w:rPr>
      </w:pPr>
    </w:p>
    <w:p w14:paraId="4FD134E9">
      <w:pPr>
        <w:rPr>
          <w:rFonts w:ascii="宋体" w:hAnsi="宋体"/>
          <w:b/>
          <w:color w:val="000000" w:themeColor="text1"/>
          <w:szCs w:val="21"/>
          <w14:textFill>
            <w14:solidFill>
              <w14:schemeClr w14:val="tx1"/>
            </w14:solidFill>
          </w14:textFill>
        </w:rPr>
      </w:pPr>
    </w:p>
    <w:p w14:paraId="6A584114">
      <w:pPr>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lang w:val="en-US" w:eastAsia="zh-CN"/>
          <w14:textFill>
            <w14:solidFill>
              <w14:schemeClr w14:val="tx1"/>
            </w14:solidFill>
          </w14:textFill>
        </w:rPr>
        <w:t>六</w:t>
      </w:r>
      <w:r>
        <w:rPr>
          <w:rFonts w:hint="eastAsia" w:ascii="宋体" w:hAnsi="宋体"/>
          <w:b/>
          <w:color w:val="000000" w:themeColor="text1"/>
          <w:sz w:val="32"/>
          <w:szCs w:val="32"/>
          <w14:textFill>
            <w14:solidFill>
              <w14:schemeClr w14:val="tx1"/>
            </w14:solidFill>
          </w14:textFill>
        </w:rPr>
        <w:t>、商务条款响应及偏离表</w:t>
      </w:r>
    </w:p>
    <w:p w14:paraId="69305511">
      <w:pPr>
        <w:jc w:val="center"/>
        <w:rPr>
          <w:rFonts w:ascii="宋体" w:hAnsi="宋体"/>
          <w:b/>
          <w:color w:val="000000" w:themeColor="text1"/>
          <w:sz w:val="32"/>
          <w:szCs w:val="32"/>
          <w14:textFill>
            <w14:solidFill>
              <w14:schemeClr w14:val="tx1"/>
            </w14:solidFill>
          </w14:textFill>
        </w:rPr>
      </w:pPr>
    </w:p>
    <w:p w14:paraId="18F33E7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投标人全称（盖章）：</w:t>
      </w:r>
    </w:p>
    <w:p w14:paraId="36B28B8A">
      <w:pPr>
        <w:jc w:val="center"/>
        <w:rPr>
          <w:rFonts w:ascii="宋体" w:hAnsi="宋体"/>
          <w:b/>
          <w:color w:val="000000" w:themeColor="text1"/>
          <w:sz w:val="32"/>
          <w:szCs w:val="32"/>
          <w14:textFill>
            <w14:solidFill>
              <w14:schemeClr w14:val="tx1"/>
            </w14:solidFill>
          </w14:textFill>
        </w:rPr>
      </w:pPr>
    </w:p>
    <w:tbl>
      <w:tblPr>
        <w:tblStyle w:val="49"/>
        <w:tblW w:w="868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79"/>
        <w:gridCol w:w="2260"/>
        <w:gridCol w:w="1659"/>
        <w:gridCol w:w="1644"/>
        <w:gridCol w:w="1644"/>
      </w:tblGrid>
      <w:tr w14:paraId="1B03F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7" w:hRule="atLeast"/>
        </w:trPr>
        <w:tc>
          <w:tcPr>
            <w:tcW w:w="1479" w:type="dxa"/>
            <w:tcBorders>
              <w:top w:val="single" w:color="auto" w:sz="4" w:space="0"/>
              <w:left w:val="single" w:color="auto" w:sz="4" w:space="0"/>
              <w:bottom w:val="single" w:color="auto" w:sz="4" w:space="0"/>
              <w:right w:val="single" w:color="auto" w:sz="4" w:space="0"/>
            </w:tcBorders>
            <w:noWrap w:val="0"/>
          </w:tcPr>
          <w:p w14:paraId="6AFA8077">
            <w:pPr>
              <w:jc w:val="center"/>
              <w:rPr>
                <w:rFonts w:ascii="仿宋_GB2312" w:hAnsi="宋体" w:eastAsia="仿宋_GB2312"/>
                <w:color w:val="000000" w:themeColor="text1"/>
                <w:szCs w:val="21"/>
                <w14:textFill>
                  <w14:solidFill>
                    <w14:schemeClr w14:val="tx1"/>
                  </w14:solidFill>
                </w14:textFill>
              </w:rPr>
            </w:pPr>
            <w:bookmarkStart w:id="131" w:name="_Hlt24879081"/>
            <w:bookmarkEnd w:id="131"/>
            <w:bookmarkStart w:id="132" w:name="_Hlt26671343"/>
            <w:bookmarkEnd w:id="132"/>
            <w:bookmarkStart w:id="133" w:name="_Hlt26782999"/>
            <w:bookmarkEnd w:id="133"/>
            <w:bookmarkStart w:id="134" w:name="_Hlt26580838"/>
            <w:bookmarkEnd w:id="134"/>
            <w:bookmarkStart w:id="135" w:name="_Hlt26955064"/>
            <w:bookmarkEnd w:id="135"/>
            <w:bookmarkStart w:id="136" w:name="_Hlt26671372"/>
            <w:bookmarkEnd w:id="136"/>
            <w:bookmarkStart w:id="137" w:name="_Hlt26955056"/>
            <w:bookmarkEnd w:id="137"/>
            <w:bookmarkStart w:id="138" w:name="_Hlt26609391"/>
            <w:bookmarkEnd w:id="138"/>
            <w:r>
              <w:rPr>
                <w:rFonts w:hint="eastAsia" w:ascii="仿宋_GB2312" w:hAnsi="宋体"/>
                <w:color w:val="000000" w:themeColor="text1"/>
                <w:szCs w:val="21"/>
                <w14:textFill>
                  <w14:solidFill>
                    <w14:schemeClr w14:val="tx1"/>
                  </w14:solidFill>
                </w14:textFill>
              </w:rPr>
              <w:t>项目</w:t>
            </w:r>
          </w:p>
        </w:tc>
        <w:tc>
          <w:tcPr>
            <w:tcW w:w="2260" w:type="dxa"/>
            <w:tcBorders>
              <w:top w:val="single" w:color="auto" w:sz="4" w:space="0"/>
              <w:left w:val="single" w:color="auto" w:sz="4" w:space="0"/>
              <w:bottom w:val="single" w:color="auto" w:sz="4" w:space="0"/>
              <w:right w:val="single" w:color="auto" w:sz="4" w:space="0"/>
            </w:tcBorders>
            <w:noWrap w:val="0"/>
          </w:tcPr>
          <w:p w14:paraId="52966715">
            <w:pPr>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招标文件要求</w:t>
            </w:r>
          </w:p>
        </w:tc>
        <w:tc>
          <w:tcPr>
            <w:tcW w:w="1659" w:type="dxa"/>
            <w:tcBorders>
              <w:top w:val="single" w:color="auto" w:sz="4" w:space="0"/>
              <w:left w:val="single" w:color="auto" w:sz="4" w:space="0"/>
              <w:bottom w:val="single" w:color="auto" w:sz="4" w:space="0"/>
              <w:right w:val="single" w:color="auto" w:sz="4" w:space="0"/>
            </w:tcBorders>
            <w:noWrap w:val="0"/>
          </w:tcPr>
          <w:p w14:paraId="68733673">
            <w:pPr>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是否响应</w:t>
            </w:r>
          </w:p>
        </w:tc>
        <w:tc>
          <w:tcPr>
            <w:tcW w:w="1644" w:type="dxa"/>
            <w:tcBorders>
              <w:top w:val="single" w:color="auto" w:sz="4" w:space="0"/>
              <w:left w:val="single" w:color="auto" w:sz="4" w:space="0"/>
              <w:bottom w:val="single" w:color="auto" w:sz="4" w:space="0"/>
              <w:right w:val="single" w:color="auto" w:sz="4" w:space="0"/>
            </w:tcBorders>
            <w:noWrap w:val="0"/>
          </w:tcPr>
          <w:p w14:paraId="314C04DB">
            <w:pPr>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投标人的承诺或说明</w:t>
            </w:r>
          </w:p>
        </w:tc>
        <w:tc>
          <w:tcPr>
            <w:tcW w:w="1644" w:type="dxa"/>
            <w:tcBorders>
              <w:top w:val="single" w:color="auto" w:sz="4" w:space="0"/>
              <w:left w:val="single" w:color="auto" w:sz="4" w:space="0"/>
              <w:bottom w:val="single" w:color="auto" w:sz="4" w:space="0"/>
              <w:right w:val="single" w:color="auto" w:sz="4" w:space="0"/>
            </w:tcBorders>
            <w:noWrap w:val="0"/>
          </w:tcPr>
          <w:p w14:paraId="20D2EF62">
            <w:pPr>
              <w:jc w:val="center"/>
              <w:rPr>
                <w:rFonts w:ascii="仿宋_GB2312" w:hAnsi="宋体"/>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所在页码位置</w:t>
            </w:r>
          </w:p>
        </w:tc>
      </w:tr>
      <w:tr w14:paraId="64953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1479" w:type="dxa"/>
            <w:tcBorders>
              <w:top w:val="single" w:color="auto" w:sz="4" w:space="0"/>
              <w:left w:val="single" w:color="auto" w:sz="4" w:space="0"/>
              <w:bottom w:val="single" w:color="auto" w:sz="4" w:space="0"/>
              <w:right w:val="single" w:color="auto" w:sz="4" w:space="0"/>
            </w:tcBorders>
            <w:noWrap w:val="0"/>
          </w:tcPr>
          <w:p w14:paraId="541CB1A1">
            <w:pPr>
              <w:jc w:val="center"/>
              <w:rPr>
                <w:rFonts w:ascii="仿宋_GB2312" w:hAnsi="宋体" w:eastAsia="仿宋_GB2312"/>
                <w:color w:val="000000" w:themeColor="text1"/>
                <w:szCs w:val="21"/>
                <w14:textFill>
                  <w14:solidFill>
                    <w14:schemeClr w14:val="tx1"/>
                  </w14:solidFill>
                </w14:textFill>
              </w:rPr>
            </w:pPr>
            <w:r>
              <w:rPr>
                <w:rFonts w:hint="eastAsia" w:ascii="仿宋_GB2312"/>
                <w:color w:val="000000" w:themeColor="text1"/>
                <w:szCs w:val="21"/>
                <w14:textFill>
                  <w14:solidFill>
                    <w14:schemeClr w14:val="tx1"/>
                  </w14:solidFill>
                </w14:textFill>
              </w:rPr>
              <w:t>交付时间</w:t>
            </w:r>
          </w:p>
        </w:tc>
        <w:tc>
          <w:tcPr>
            <w:tcW w:w="2260" w:type="dxa"/>
            <w:tcBorders>
              <w:top w:val="single" w:color="auto" w:sz="4" w:space="0"/>
              <w:left w:val="single" w:color="auto" w:sz="4" w:space="0"/>
              <w:bottom w:val="single" w:color="auto" w:sz="4" w:space="0"/>
              <w:right w:val="single" w:color="auto" w:sz="4" w:space="0"/>
            </w:tcBorders>
            <w:noWrap w:val="0"/>
          </w:tcPr>
          <w:p w14:paraId="3CBDE78E">
            <w:pPr>
              <w:jc w:val="center"/>
              <w:rPr>
                <w:rFonts w:ascii="仿宋_GB2312" w:hAnsi="宋体" w:eastAsia="仿宋_GB2312"/>
                <w:color w:val="000000" w:themeColor="text1"/>
                <w:szCs w:val="21"/>
                <w14:textFill>
                  <w14:solidFill>
                    <w14:schemeClr w14:val="tx1"/>
                  </w14:solidFill>
                </w14:textFill>
              </w:rPr>
            </w:pPr>
          </w:p>
        </w:tc>
        <w:tc>
          <w:tcPr>
            <w:tcW w:w="1659" w:type="dxa"/>
            <w:tcBorders>
              <w:top w:val="single" w:color="auto" w:sz="4" w:space="0"/>
              <w:left w:val="single" w:color="auto" w:sz="4" w:space="0"/>
              <w:bottom w:val="single" w:color="auto" w:sz="4" w:space="0"/>
              <w:right w:val="single" w:color="auto" w:sz="4" w:space="0"/>
            </w:tcBorders>
            <w:noWrap w:val="0"/>
          </w:tcPr>
          <w:p w14:paraId="7DEA2B13">
            <w:pPr>
              <w:ind w:left="43"/>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0CA3E31A">
            <w:pPr>
              <w:ind w:left="43"/>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47376C3D">
            <w:pPr>
              <w:ind w:left="43"/>
              <w:jc w:val="center"/>
              <w:rPr>
                <w:rFonts w:ascii="仿宋_GB2312" w:hAnsi="宋体" w:eastAsia="仿宋_GB2312"/>
                <w:color w:val="000000" w:themeColor="text1"/>
                <w:szCs w:val="21"/>
                <w14:textFill>
                  <w14:solidFill>
                    <w14:schemeClr w14:val="tx1"/>
                  </w14:solidFill>
                </w14:textFill>
              </w:rPr>
            </w:pPr>
          </w:p>
        </w:tc>
      </w:tr>
      <w:tr w14:paraId="45A3FE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noWrap w:val="0"/>
          </w:tcPr>
          <w:p w14:paraId="2C87C7FE">
            <w:pPr>
              <w:jc w:val="center"/>
              <w:rPr>
                <w:rFonts w:ascii="仿宋_GB2312"/>
                <w:color w:val="000000" w:themeColor="text1"/>
                <w:szCs w:val="21"/>
                <w14:textFill>
                  <w14:solidFill>
                    <w14:schemeClr w14:val="tx1"/>
                  </w14:solidFill>
                </w14:textFill>
              </w:rPr>
            </w:pPr>
            <w:r>
              <w:rPr>
                <w:rFonts w:hint="eastAsia" w:ascii="仿宋_GB2312"/>
                <w:color w:val="000000" w:themeColor="text1"/>
                <w:szCs w:val="21"/>
                <w14:textFill>
                  <w14:solidFill>
                    <w14:schemeClr w14:val="tx1"/>
                  </w14:solidFill>
                </w14:textFill>
              </w:rPr>
              <w:t>交货方式</w:t>
            </w:r>
          </w:p>
        </w:tc>
        <w:tc>
          <w:tcPr>
            <w:tcW w:w="2260" w:type="dxa"/>
            <w:tcBorders>
              <w:top w:val="single" w:color="auto" w:sz="4" w:space="0"/>
              <w:left w:val="single" w:color="auto" w:sz="4" w:space="0"/>
              <w:bottom w:val="single" w:color="auto" w:sz="4" w:space="0"/>
              <w:right w:val="single" w:color="auto" w:sz="4" w:space="0"/>
            </w:tcBorders>
            <w:noWrap w:val="0"/>
          </w:tcPr>
          <w:p w14:paraId="215F6FF9">
            <w:pPr>
              <w:rPr>
                <w:rFonts w:ascii="仿宋_GB2312" w:hAnsi="宋体" w:eastAsia="仿宋_GB2312"/>
                <w:color w:val="000000" w:themeColor="text1"/>
                <w:szCs w:val="21"/>
                <w14:textFill>
                  <w14:solidFill>
                    <w14:schemeClr w14:val="tx1"/>
                  </w14:solidFill>
                </w14:textFill>
              </w:rPr>
            </w:pPr>
          </w:p>
        </w:tc>
        <w:tc>
          <w:tcPr>
            <w:tcW w:w="1659" w:type="dxa"/>
            <w:tcBorders>
              <w:top w:val="single" w:color="auto" w:sz="4" w:space="0"/>
              <w:left w:val="single" w:color="auto" w:sz="4" w:space="0"/>
              <w:bottom w:val="single" w:color="auto" w:sz="4" w:space="0"/>
              <w:right w:val="single" w:color="auto" w:sz="4" w:space="0"/>
            </w:tcBorders>
            <w:noWrap w:val="0"/>
          </w:tcPr>
          <w:p w14:paraId="022D62F7">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563E163B">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4FD4A13C">
            <w:pPr>
              <w:jc w:val="center"/>
              <w:rPr>
                <w:rFonts w:ascii="仿宋_GB2312" w:hAnsi="宋体" w:eastAsia="仿宋_GB2312"/>
                <w:color w:val="000000" w:themeColor="text1"/>
                <w:szCs w:val="21"/>
                <w14:textFill>
                  <w14:solidFill>
                    <w14:schemeClr w14:val="tx1"/>
                  </w14:solidFill>
                </w14:textFill>
              </w:rPr>
            </w:pPr>
          </w:p>
        </w:tc>
      </w:tr>
      <w:tr w14:paraId="6BD1B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noWrap w:val="0"/>
          </w:tcPr>
          <w:p w14:paraId="50E1C3B8">
            <w:pPr>
              <w:jc w:val="center"/>
              <w:rPr>
                <w:rFonts w:ascii="仿宋_GB2312"/>
                <w:color w:val="000000" w:themeColor="text1"/>
                <w:szCs w:val="21"/>
                <w14:textFill>
                  <w14:solidFill>
                    <w14:schemeClr w14:val="tx1"/>
                  </w14:solidFill>
                </w14:textFill>
              </w:rPr>
            </w:pPr>
            <w:r>
              <w:rPr>
                <w:rFonts w:hint="eastAsia" w:ascii="仿宋_GB2312"/>
                <w:color w:val="000000" w:themeColor="text1"/>
                <w:szCs w:val="21"/>
                <w14:textFill>
                  <w14:solidFill>
                    <w14:schemeClr w14:val="tx1"/>
                  </w14:solidFill>
                </w14:textFill>
              </w:rPr>
              <w:t>交货地点</w:t>
            </w:r>
          </w:p>
        </w:tc>
        <w:tc>
          <w:tcPr>
            <w:tcW w:w="2260" w:type="dxa"/>
            <w:tcBorders>
              <w:top w:val="single" w:color="auto" w:sz="4" w:space="0"/>
              <w:left w:val="single" w:color="auto" w:sz="4" w:space="0"/>
              <w:bottom w:val="single" w:color="auto" w:sz="4" w:space="0"/>
              <w:right w:val="single" w:color="auto" w:sz="4" w:space="0"/>
            </w:tcBorders>
            <w:noWrap w:val="0"/>
          </w:tcPr>
          <w:p w14:paraId="3116CCDA">
            <w:pPr>
              <w:rPr>
                <w:rFonts w:ascii="仿宋_GB2312" w:hAnsi="宋体" w:eastAsia="仿宋_GB2312"/>
                <w:color w:val="000000" w:themeColor="text1"/>
                <w:szCs w:val="21"/>
                <w14:textFill>
                  <w14:solidFill>
                    <w14:schemeClr w14:val="tx1"/>
                  </w14:solidFill>
                </w14:textFill>
              </w:rPr>
            </w:pPr>
          </w:p>
        </w:tc>
        <w:tc>
          <w:tcPr>
            <w:tcW w:w="1659" w:type="dxa"/>
            <w:tcBorders>
              <w:top w:val="single" w:color="auto" w:sz="4" w:space="0"/>
              <w:left w:val="single" w:color="auto" w:sz="4" w:space="0"/>
              <w:bottom w:val="single" w:color="auto" w:sz="4" w:space="0"/>
              <w:right w:val="single" w:color="auto" w:sz="4" w:space="0"/>
            </w:tcBorders>
            <w:noWrap w:val="0"/>
          </w:tcPr>
          <w:p w14:paraId="4A477DB4">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0C6A0E59">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3A1C34D9">
            <w:pPr>
              <w:jc w:val="center"/>
              <w:rPr>
                <w:rFonts w:ascii="仿宋_GB2312" w:hAnsi="宋体" w:eastAsia="仿宋_GB2312"/>
                <w:color w:val="000000" w:themeColor="text1"/>
                <w:szCs w:val="21"/>
                <w14:textFill>
                  <w14:solidFill>
                    <w14:schemeClr w14:val="tx1"/>
                  </w14:solidFill>
                </w14:textFill>
              </w:rPr>
            </w:pPr>
          </w:p>
        </w:tc>
      </w:tr>
      <w:tr w14:paraId="75BA65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noWrap w:val="0"/>
          </w:tcPr>
          <w:p w14:paraId="6E2104D0">
            <w:pPr>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付款方式</w:t>
            </w:r>
          </w:p>
        </w:tc>
        <w:tc>
          <w:tcPr>
            <w:tcW w:w="2260" w:type="dxa"/>
            <w:tcBorders>
              <w:top w:val="single" w:color="auto" w:sz="4" w:space="0"/>
              <w:left w:val="single" w:color="auto" w:sz="4" w:space="0"/>
              <w:bottom w:val="single" w:color="auto" w:sz="4" w:space="0"/>
              <w:right w:val="single" w:color="auto" w:sz="4" w:space="0"/>
            </w:tcBorders>
            <w:noWrap w:val="0"/>
          </w:tcPr>
          <w:p w14:paraId="7829C2FA">
            <w:pPr>
              <w:rPr>
                <w:rFonts w:ascii="仿宋_GB2312" w:hAnsi="宋体" w:eastAsia="仿宋_GB2312"/>
                <w:color w:val="000000" w:themeColor="text1"/>
                <w:szCs w:val="21"/>
                <w14:textFill>
                  <w14:solidFill>
                    <w14:schemeClr w14:val="tx1"/>
                  </w14:solidFill>
                </w14:textFill>
              </w:rPr>
            </w:pPr>
          </w:p>
        </w:tc>
        <w:tc>
          <w:tcPr>
            <w:tcW w:w="1659" w:type="dxa"/>
            <w:tcBorders>
              <w:top w:val="single" w:color="auto" w:sz="4" w:space="0"/>
              <w:left w:val="single" w:color="auto" w:sz="4" w:space="0"/>
              <w:bottom w:val="single" w:color="auto" w:sz="4" w:space="0"/>
              <w:right w:val="single" w:color="auto" w:sz="4" w:space="0"/>
            </w:tcBorders>
            <w:noWrap w:val="0"/>
          </w:tcPr>
          <w:p w14:paraId="1231C6A9">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611B9778">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4C021F44">
            <w:pPr>
              <w:jc w:val="center"/>
              <w:rPr>
                <w:rFonts w:ascii="仿宋_GB2312" w:hAnsi="宋体" w:eastAsia="仿宋_GB2312"/>
                <w:color w:val="000000" w:themeColor="text1"/>
                <w:szCs w:val="21"/>
                <w14:textFill>
                  <w14:solidFill>
                    <w14:schemeClr w14:val="tx1"/>
                  </w14:solidFill>
                </w14:textFill>
              </w:rPr>
            </w:pPr>
          </w:p>
        </w:tc>
      </w:tr>
      <w:tr w14:paraId="4FCFB5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trPr>
        <w:tc>
          <w:tcPr>
            <w:tcW w:w="1479" w:type="dxa"/>
            <w:tcBorders>
              <w:top w:val="single" w:color="auto" w:sz="4" w:space="0"/>
              <w:left w:val="single" w:color="auto" w:sz="4" w:space="0"/>
              <w:bottom w:val="single" w:color="auto" w:sz="4" w:space="0"/>
              <w:right w:val="single" w:color="auto" w:sz="4" w:space="0"/>
            </w:tcBorders>
            <w:noWrap w:val="0"/>
          </w:tcPr>
          <w:p w14:paraId="21A2BACB">
            <w:pPr>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color w:val="000000" w:themeColor="text1"/>
                <w:szCs w:val="21"/>
                <w14:textFill>
                  <w14:solidFill>
                    <w14:schemeClr w14:val="tx1"/>
                  </w14:solidFill>
                </w14:textFill>
              </w:rPr>
              <w:t>其他</w:t>
            </w:r>
          </w:p>
        </w:tc>
        <w:tc>
          <w:tcPr>
            <w:tcW w:w="2260" w:type="dxa"/>
            <w:tcBorders>
              <w:top w:val="single" w:color="auto" w:sz="4" w:space="0"/>
              <w:left w:val="single" w:color="auto" w:sz="4" w:space="0"/>
              <w:bottom w:val="single" w:color="auto" w:sz="4" w:space="0"/>
              <w:right w:val="single" w:color="auto" w:sz="4" w:space="0"/>
            </w:tcBorders>
            <w:noWrap w:val="0"/>
          </w:tcPr>
          <w:p w14:paraId="5A3D74BE">
            <w:pPr>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w:t>
            </w:r>
          </w:p>
        </w:tc>
        <w:tc>
          <w:tcPr>
            <w:tcW w:w="1659" w:type="dxa"/>
            <w:tcBorders>
              <w:top w:val="single" w:color="auto" w:sz="4" w:space="0"/>
              <w:left w:val="single" w:color="auto" w:sz="4" w:space="0"/>
              <w:bottom w:val="single" w:color="auto" w:sz="4" w:space="0"/>
              <w:right w:val="single" w:color="auto" w:sz="4" w:space="0"/>
            </w:tcBorders>
            <w:noWrap w:val="0"/>
          </w:tcPr>
          <w:p w14:paraId="48CEAE69">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3E89B1FE">
            <w:pPr>
              <w:jc w:val="center"/>
              <w:rPr>
                <w:rFonts w:ascii="仿宋_GB2312" w:hAnsi="宋体" w:eastAsia="仿宋_GB2312"/>
                <w:color w:val="000000" w:themeColor="text1"/>
                <w:szCs w:val="21"/>
                <w14:textFill>
                  <w14:solidFill>
                    <w14:schemeClr w14:val="tx1"/>
                  </w14:solidFill>
                </w14:textFill>
              </w:rPr>
            </w:pPr>
          </w:p>
        </w:tc>
        <w:tc>
          <w:tcPr>
            <w:tcW w:w="1644" w:type="dxa"/>
            <w:tcBorders>
              <w:top w:val="single" w:color="auto" w:sz="4" w:space="0"/>
              <w:left w:val="single" w:color="auto" w:sz="4" w:space="0"/>
              <w:bottom w:val="single" w:color="auto" w:sz="4" w:space="0"/>
              <w:right w:val="single" w:color="auto" w:sz="4" w:space="0"/>
            </w:tcBorders>
            <w:noWrap w:val="0"/>
          </w:tcPr>
          <w:p w14:paraId="7BEF624C">
            <w:pPr>
              <w:jc w:val="center"/>
              <w:rPr>
                <w:rFonts w:ascii="仿宋_GB2312" w:hAnsi="宋体" w:eastAsia="仿宋_GB2312"/>
                <w:color w:val="000000" w:themeColor="text1"/>
                <w:szCs w:val="21"/>
                <w14:textFill>
                  <w14:solidFill>
                    <w14:schemeClr w14:val="tx1"/>
                  </w14:solidFill>
                </w14:textFill>
              </w:rPr>
            </w:pPr>
          </w:p>
        </w:tc>
      </w:tr>
    </w:tbl>
    <w:p w14:paraId="0264B3D5">
      <w:pPr>
        <w:spacing w:line="480" w:lineRule="auto"/>
        <w:rPr>
          <w:rFonts w:ascii="宋体" w:hAnsi="宋体"/>
          <w:color w:val="000000" w:themeColor="text1"/>
          <w:sz w:val="24"/>
          <w14:textFill>
            <w14:solidFill>
              <w14:schemeClr w14:val="tx1"/>
            </w14:solidFill>
          </w14:textFill>
        </w:rPr>
      </w:pPr>
    </w:p>
    <w:p w14:paraId="24131166">
      <w:pPr>
        <w:pStyle w:val="2"/>
        <w:jc w:val="center"/>
        <w:rPr>
          <w:color w:val="000000" w:themeColor="text1"/>
          <w14:textFill>
            <w14:solidFill>
              <w14:schemeClr w14:val="tx1"/>
            </w14:solidFill>
          </w14:textFill>
        </w:rPr>
      </w:pPr>
    </w:p>
    <w:p w14:paraId="68115B12">
      <w:pPr>
        <w:rPr>
          <w:color w:val="000000" w:themeColor="text1"/>
          <w14:textFill>
            <w14:solidFill>
              <w14:schemeClr w14:val="tx1"/>
            </w14:solidFill>
          </w14:textFill>
        </w:rPr>
      </w:pPr>
    </w:p>
    <w:p w14:paraId="099FBCA0">
      <w:pPr>
        <w:rPr>
          <w:color w:val="000000" w:themeColor="text1"/>
          <w14:textFill>
            <w14:solidFill>
              <w14:schemeClr w14:val="tx1"/>
            </w14:solidFill>
          </w14:textFill>
        </w:rPr>
      </w:pPr>
    </w:p>
    <w:p w14:paraId="28221AB1">
      <w:pPr>
        <w:rPr>
          <w:color w:val="000000" w:themeColor="text1"/>
          <w14:textFill>
            <w14:solidFill>
              <w14:schemeClr w14:val="tx1"/>
            </w14:solidFill>
          </w14:textFill>
        </w:rPr>
      </w:pPr>
    </w:p>
    <w:p w14:paraId="02D6F427">
      <w:pPr>
        <w:rPr>
          <w:color w:val="000000" w:themeColor="text1"/>
          <w14:textFill>
            <w14:solidFill>
              <w14:schemeClr w14:val="tx1"/>
            </w14:solidFill>
          </w14:textFill>
        </w:rPr>
      </w:pPr>
    </w:p>
    <w:p w14:paraId="1EC33B36">
      <w:pPr>
        <w:rPr>
          <w:color w:val="000000" w:themeColor="text1"/>
          <w14:textFill>
            <w14:solidFill>
              <w14:schemeClr w14:val="tx1"/>
            </w14:solidFill>
          </w14:textFill>
        </w:rPr>
      </w:pPr>
    </w:p>
    <w:p w14:paraId="1DD293C4">
      <w:pPr>
        <w:rPr>
          <w:color w:val="000000" w:themeColor="text1"/>
          <w14:textFill>
            <w14:solidFill>
              <w14:schemeClr w14:val="tx1"/>
            </w14:solidFill>
          </w14:textFill>
        </w:rPr>
      </w:pPr>
    </w:p>
    <w:p w14:paraId="4994EA40">
      <w:pPr>
        <w:rPr>
          <w:color w:val="000000" w:themeColor="text1"/>
          <w14:textFill>
            <w14:solidFill>
              <w14:schemeClr w14:val="tx1"/>
            </w14:solidFill>
          </w14:textFill>
        </w:rPr>
      </w:pPr>
    </w:p>
    <w:p w14:paraId="20BEDD76">
      <w:pPr>
        <w:rPr>
          <w:color w:val="000000" w:themeColor="text1"/>
          <w14:textFill>
            <w14:solidFill>
              <w14:schemeClr w14:val="tx1"/>
            </w14:solidFill>
          </w14:textFill>
        </w:rPr>
      </w:pPr>
    </w:p>
    <w:p w14:paraId="618EA04B">
      <w:pPr>
        <w:rPr>
          <w:color w:val="000000" w:themeColor="text1"/>
          <w14:textFill>
            <w14:solidFill>
              <w14:schemeClr w14:val="tx1"/>
            </w14:solidFill>
          </w14:textFill>
        </w:rPr>
      </w:pPr>
    </w:p>
    <w:p w14:paraId="1D827266">
      <w:pPr>
        <w:rPr>
          <w:color w:val="000000" w:themeColor="text1"/>
          <w14:textFill>
            <w14:solidFill>
              <w14:schemeClr w14:val="tx1"/>
            </w14:solidFill>
          </w14:textFill>
        </w:rPr>
      </w:pPr>
    </w:p>
    <w:p w14:paraId="18AFC925">
      <w:pPr>
        <w:rPr>
          <w:color w:val="000000" w:themeColor="text1"/>
          <w14:textFill>
            <w14:solidFill>
              <w14:schemeClr w14:val="tx1"/>
            </w14:solidFill>
          </w14:textFill>
        </w:rPr>
      </w:pPr>
    </w:p>
    <w:p w14:paraId="34045925">
      <w:pPr>
        <w:rPr>
          <w:color w:val="000000" w:themeColor="text1"/>
          <w14:textFill>
            <w14:solidFill>
              <w14:schemeClr w14:val="tx1"/>
            </w14:solidFill>
          </w14:textFill>
        </w:rPr>
      </w:pPr>
    </w:p>
    <w:p w14:paraId="46A64D8A">
      <w:pPr>
        <w:rPr>
          <w:color w:val="000000" w:themeColor="text1"/>
          <w14:textFill>
            <w14:solidFill>
              <w14:schemeClr w14:val="tx1"/>
            </w14:solidFill>
          </w14:textFill>
        </w:rPr>
      </w:pPr>
    </w:p>
    <w:p w14:paraId="52A876F0">
      <w:pPr>
        <w:rPr>
          <w:color w:val="000000" w:themeColor="text1"/>
          <w14:textFill>
            <w14:solidFill>
              <w14:schemeClr w14:val="tx1"/>
            </w14:solidFill>
          </w14:textFill>
        </w:rPr>
      </w:pPr>
    </w:p>
    <w:p w14:paraId="4A8FDFEA">
      <w:pPr>
        <w:rPr>
          <w:color w:val="000000" w:themeColor="text1"/>
          <w14:textFill>
            <w14:solidFill>
              <w14:schemeClr w14:val="tx1"/>
            </w14:solidFill>
          </w14:textFill>
        </w:rPr>
      </w:pPr>
    </w:p>
    <w:p w14:paraId="6B5F9400">
      <w:pPr>
        <w:rPr>
          <w:color w:val="000000" w:themeColor="text1"/>
          <w14:textFill>
            <w14:solidFill>
              <w14:schemeClr w14:val="tx1"/>
            </w14:solidFill>
          </w14:textFill>
        </w:rPr>
      </w:pPr>
    </w:p>
    <w:p w14:paraId="143DC536">
      <w:pPr>
        <w:rPr>
          <w:color w:val="000000" w:themeColor="text1"/>
          <w14:textFill>
            <w14:solidFill>
              <w14:schemeClr w14:val="tx1"/>
            </w14:solidFill>
          </w14:textFill>
        </w:rPr>
      </w:pPr>
    </w:p>
    <w:p w14:paraId="5BF09A2A">
      <w:pPr>
        <w:rPr>
          <w:color w:val="000000" w:themeColor="text1"/>
          <w14:textFill>
            <w14:solidFill>
              <w14:schemeClr w14:val="tx1"/>
            </w14:solidFill>
          </w14:textFill>
        </w:rPr>
      </w:pPr>
    </w:p>
    <w:p w14:paraId="3C8FF494">
      <w:pPr>
        <w:rPr>
          <w:color w:val="000000" w:themeColor="text1"/>
          <w14:textFill>
            <w14:solidFill>
              <w14:schemeClr w14:val="tx1"/>
            </w14:solidFill>
          </w14:textFill>
        </w:rPr>
      </w:pPr>
    </w:p>
    <w:p w14:paraId="1B91CABE">
      <w:pPr>
        <w:rPr>
          <w:color w:val="000000" w:themeColor="text1"/>
          <w14:textFill>
            <w14:solidFill>
              <w14:schemeClr w14:val="tx1"/>
            </w14:solidFill>
          </w14:textFill>
        </w:rPr>
      </w:pPr>
    </w:p>
    <w:p w14:paraId="42630F69">
      <w:pPr>
        <w:rPr>
          <w:color w:val="000000" w:themeColor="text1"/>
          <w14:textFill>
            <w14:solidFill>
              <w14:schemeClr w14:val="tx1"/>
            </w14:solidFill>
          </w14:textFill>
        </w:rPr>
      </w:pPr>
    </w:p>
    <w:p w14:paraId="37AF0085">
      <w:pPr>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服务方案</w:t>
      </w:r>
    </w:p>
    <w:p w14:paraId="0C399226">
      <w:pPr>
        <w:rPr>
          <w:rFonts w:ascii="宋体" w:hAnsi="宋体"/>
          <w:color w:val="000000" w:themeColor="text1"/>
          <w:szCs w:val="21"/>
          <w14:textFill>
            <w14:solidFill>
              <w14:schemeClr w14:val="tx1"/>
            </w14:solidFill>
          </w14:textFill>
        </w:rPr>
      </w:pPr>
    </w:p>
    <w:p w14:paraId="6A278B84">
      <w:pPr>
        <w:rPr>
          <w:rFonts w:ascii="宋体" w:hAnsi="宋体"/>
          <w:color w:val="000000" w:themeColor="text1"/>
          <w:szCs w:val="21"/>
          <w14:textFill>
            <w14:solidFill>
              <w14:schemeClr w14:val="tx1"/>
            </w14:solidFill>
          </w14:textFill>
        </w:rPr>
      </w:pPr>
    </w:p>
    <w:p w14:paraId="66FD22E6">
      <w:pPr>
        <w:rPr>
          <w:rFonts w:ascii="宋体" w:hAnsi="宋体"/>
          <w:color w:val="000000" w:themeColor="text1"/>
          <w:szCs w:val="21"/>
          <w14:textFill>
            <w14:solidFill>
              <w14:schemeClr w14:val="tx1"/>
            </w14:solidFill>
          </w14:textFill>
        </w:rPr>
      </w:pPr>
    </w:p>
    <w:p w14:paraId="41D16511">
      <w:pPr>
        <w:rPr>
          <w:color w:val="000000" w:themeColor="text1"/>
          <w14:textFill>
            <w14:solidFill>
              <w14:schemeClr w14:val="tx1"/>
            </w14:solidFill>
          </w14:textFill>
        </w:rPr>
      </w:pPr>
    </w:p>
    <w:p w14:paraId="283E44D5">
      <w:pPr>
        <w:spacing w:line="360" w:lineRule="auto"/>
        <w:ind w:right="-2"/>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项目组人员一览表（如有）</w:t>
      </w:r>
    </w:p>
    <w:p w14:paraId="00904E01">
      <w:pPr>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投标人全称</w:t>
      </w:r>
      <w:r>
        <w:rPr>
          <w:rFonts w:hint="eastAsia" w:ascii="宋体" w:hAnsi="宋体" w:cs="宋体"/>
          <w:color w:val="000000" w:themeColor="text1"/>
          <w:szCs w:val="21"/>
          <w14:textFill>
            <w14:solidFill>
              <w14:schemeClr w14:val="tx1"/>
            </w14:solidFill>
          </w14:textFill>
        </w:rPr>
        <w:t>（加盖公章）：             项目名称：</w:t>
      </w:r>
    </w:p>
    <w:p w14:paraId="5489B88F">
      <w:pPr>
        <w:rPr>
          <w:rFonts w:ascii="宋体" w:hAnsi="宋体" w:cs="宋体"/>
          <w:b/>
          <w:bCs/>
          <w:color w:val="000000" w:themeColor="text1"/>
          <w:szCs w:val="21"/>
          <w14:textFill>
            <w14:solidFill>
              <w14:schemeClr w14:val="tx1"/>
            </w14:solidFill>
          </w14:textFill>
        </w:rPr>
      </w:pP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844"/>
        <w:gridCol w:w="771"/>
        <w:gridCol w:w="1098"/>
        <w:gridCol w:w="893"/>
        <w:gridCol w:w="1157"/>
        <w:gridCol w:w="1014"/>
        <w:gridCol w:w="1527"/>
        <w:gridCol w:w="1527"/>
      </w:tblGrid>
      <w:tr w14:paraId="78FF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55" w:type="dxa"/>
            <w:noWrap w:val="0"/>
            <w:vAlign w:val="center"/>
          </w:tcPr>
          <w:p w14:paraId="663E9F67">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844" w:type="dxa"/>
            <w:noWrap w:val="0"/>
            <w:vAlign w:val="center"/>
          </w:tcPr>
          <w:p w14:paraId="343EC10E">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岗位</w:t>
            </w:r>
          </w:p>
        </w:tc>
        <w:tc>
          <w:tcPr>
            <w:tcW w:w="771" w:type="dxa"/>
            <w:noWrap w:val="0"/>
            <w:vAlign w:val="center"/>
          </w:tcPr>
          <w:p w14:paraId="5450FBB5">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 名</w:t>
            </w:r>
          </w:p>
        </w:tc>
        <w:tc>
          <w:tcPr>
            <w:tcW w:w="1098" w:type="dxa"/>
            <w:noWrap w:val="0"/>
            <w:vAlign w:val="center"/>
          </w:tcPr>
          <w:p w14:paraId="479BB061">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性别</w:t>
            </w:r>
          </w:p>
        </w:tc>
        <w:tc>
          <w:tcPr>
            <w:tcW w:w="893" w:type="dxa"/>
            <w:noWrap w:val="0"/>
            <w:vAlign w:val="center"/>
          </w:tcPr>
          <w:p w14:paraId="1AD3740B">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157" w:type="dxa"/>
            <w:noWrap w:val="0"/>
            <w:vAlign w:val="center"/>
          </w:tcPr>
          <w:p w14:paraId="2492BE71">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出生年月</w:t>
            </w:r>
          </w:p>
        </w:tc>
        <w:tc>
          <w:tcPr>
            <w:tcW w:w="1014" w:type="dxa"/>
            <w:noWrap w:val="0"/>
            <w:vAlign w:val="center"/>
          </w:tcPr>
          <w:p w14:paraId="4FA82AA2">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专业</w:t>
            </w:r>
          </w:p>
        </w:tc>
        <w:tc>
          <w:tcPr>
            <w:tcW w:w="1527" w:type="dxa"/>
            <w:noWrap w:val="0"/>
            <w:vAlign w:val="center"/>
          </w:tcPr>
          <w:p w14:paraId="333A0AA7">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证书</w:t>
            </w:r>
          </w:p>
        </w:tc>
        <w:tc>
          <w:tcPr>
            <w:tcW w:w="1527" w:type="dxa"/>
            <w:noWrap w:val="0"/>
            <w:vAlign w:val="center"/>
          </w:tcPr>
          <w:p w14:paraId="3E602807">
            <w:pPr>
              <w:spacing w:before="312" w:line="360" w:lineRule="auto"/>
              <w:ind w:right="-2"/>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r>
      <w:tr w14:paraId="1C5F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3AD8CB03">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5DAFA785">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49EA9D06">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447F4C70">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0C7E60CB">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5DD1D7C0">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3B455B8C">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7C08DE8A">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005E06F6">
            <w:pPr>
              <w:spacing w:line="360" w:lineRule="auto"/>
              <w:ind w:right="-2"/>
              <w:jc w:val="center"/>
              <w:rPr>
                <w:rFonts w:ascii="宋体" w:hAnsi="宋体" w:cs="宋体"/>
                <w:color w:val="000000" w:themeColor="text1"/>
                <w:szCs w:val="21"/>
                <w14:textFill>
                  <w14:solidFill>
                    <w14:schemeClr w14:val="tx1"/>
                  </w14:solidFill>
                </w14:textFill>
              </w:rPr>
            </w:pPr>
          </w:p>
        </w:tc>
      </w:tr>
      <w:tr w14:paraId="355C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60C42208">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7A995E17">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47C28E79">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1A0A87E2">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668EFD32">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4AD9089C">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4834CE8F">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22298CF5">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5096C036">
            <w:pPr>
              <w:spacing w:line="360" w:lineRule="auto"/>
              <w:ind w:right="-2"/>
              <w:jc w:val="center"/>
              <w:rPr>
                <w:rFonts w:ascii="宋体" w:hAnsi="宋体" w:cs="宋体"/>
                <w:color w:val="000000" w:themeColor="text1"/>
                <w:szCs w:val="21"/>
                <w14:textFill>
                  <w14:solidFill>
                    <w14:schemeClr w14:val="tx1"/>
                  </w14:solidFill>
                </w14:textFill>
              </w:rPr>
            </w:pPr>
          </w:p>
        </w:tc>
      </w:tr>
      <w:tr w14:paraId="1C46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7D9F6C12">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0C3B8167">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1A2ACA4C">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2DAC3A71">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4A5E36FB">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3D869EAB">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57F2E805">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01723BFD">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02296733">
            <w:pPr>
              <w:spacing w:line="360" w:lineRule="auto"/>
              <w:ind w:right="-2"/>
              <w:jc w:val="center"/>
              <w:rPr>
                <w:rFonts w:ascii="宋体" w:hAnsi="宋体" w:cs="宋体"/>
                <w:color w:val="000000" w:themeColor="text1"/>
                <w:szCs w:val="21"/>
                <w14:textFill>
                  <w14:solidFill>
                    <w14:schemeClr w14:val="tx1"/>
                  </w14:solidFill>
                </w14:textFill>
              </w:rPr>
            </w:pPr>
          </w:p>
        </w:tc>
      </w:tr>
      <w:tr w14:paraId="3065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1BD6975F">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1B8F0550">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59833E44">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60657245">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184CD304">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31E084EB">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3B763F97">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74A7A284">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5EEA5185">
            <w:pPr>
              <w:spacing w:line="360" w:lineRule="auto"/>
              <w:ind w:right="-2"/>
              <w:jc w:val="center"/>
              <w:rPr>
                <w:rFonts w:ascii="宋体" w:hAnsi="宋体" w:cs="宋体"/>
                <w:color w:val="000000" w:themeColor="text1"/>
                <w:szCs w:val="21"/>
                <w14:textFill>
                  <w14:solidFill>
                    <w14:schemeClr w14:val="tx1"/>
                  </w14:solidFill>
                </w14:textFill>
              </w:rPr>
            </w:pPr>
          </w:p>
        </w:tc>
      </w:tr>
      <w:tr w14:paraId="037C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064C1380">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1C34CDA6">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305E38F7">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60A759E9">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0F4698FB">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4F55F2A0">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6AEC8D5E">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0A20F7C7">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70924CCE">
            <w:pPr>
              <w:spacing w:line="360" w:lineRule="auto"/>
              <w:ind w:right="-2"/>
              <w:jc w:val="center"/>
              <w:rPr>
                <w:rFonts w:ascii="宋体" w:hAnsi="宋体" w:cs="宋体"/>
                <w:color w:val="000000" w:themeColor="text1"/>
                <w:szCs w:val="21"/>
                <w14:textFill>
                  <w14:solidFill>
                    <w14:schemeClr w14:val="tx1"/>
                  </w14:solidFill>
                </w14:textFill>
              </w:rPr>
            </w:pPr>
          </w:p>
        </w:tc>
      </w:tr>
      <w:tr w14:paraId="39362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040D927B">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3AE8D46D">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3B076EDE">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347147C1">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02C732AC">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4A438AB5">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2E909321">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4DD9A33D">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7DE45666">
            <w:pPr>
              <w:spacing w:line="360" w:lineRule="auto"/>
              <w:ind w:right="-2"/>
              <w:jc w:val="center"/>
              <w:rPr>
                <w:rFonts w:ascii="宋体" w:hAnsi="宋体" w:cs="宋体"/>
                <w:color w:val="000000" w:themeColor="text1"/>
                <w:szCs w:val="21"/>
                <w14:textFill>
                  <w14:solidFill>
                    <w14:schemeClr w14:val="tx1"/>
                  </w14:solidFill>
                </w14:textFill>
              </w:rPr>
            </w:pPr>
          </w:p>
        </w:tc>
      </w:tr>
      <w:tr w14:paraId="17CEE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119F40AC">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377A480A">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7B536A69">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5A382687">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7C388297">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0C2CBEEC">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687C80B8">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28122E54">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1AEF6F02">
            <w:pPr>
              <w:spacing w:line="360" w:lineRule="auto"/>
              <w:ind w:right="-2"/>
              <w:jc w:val="center"/>
              <w:rPr>
                <w:rFonts w:ascii="宋体" w:hAnsi="宋体" w:cs="宋体"/>
                <w:color w:val="000000" w:themeColor="text1"/>
                <w:szCs w:val="21"/>
                <w14:textFill>
                  <w14:solidFill>
                    <w14:schemeClr w14:val="tx1"/>
                  </w14:solidFill>
                </w14:textFill>
              </w:rPr>
            </w:pPr>
          </w:p>
        </w:tc>
      </w:tr>
      <w:tr w14:paraId="0715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69A45F93">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5DC62063">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615F4DBE">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7A067E0D">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2304BFD5">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4DDD2257">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3499C3C7">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34E22659">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2643A276">
            <w:pPr>
              <w:spacing w:line="360" w:lineRule="auto"/>
              <w:ind w:right="-2"/>
              <w:jc w:val="center"/>
              <w:rPr>
                <w:rFonts w:ascii="宋体" w:hAnsi="宋体" w:cs="宋体"/>
                <w:color w:val="000000" w:themeColor="text1"/>
                <w:szCs w:val="21"/>
                <w14:textFill>
                  <w14:solidFill>
                    <w14:schemeClr w14:val="tx1"/>
                  </w14:solidFill>
                </w14:textFill>
              </w:rPr>
            </w:pPr>
          </w:p>
        </w:tc>
      </w:tr>
      <w:tr w14:paraId="0ABB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noWrap w:val="0"/>
            <w:vAlign w:val="center"/>
          </w:tcPr>
          <w:p w14:paraId="38DFAFF6">
            <w:pPr>
              <w:spacing w:line="360" w:lineRule="auto"/>
              <w:ind w:right="-2"/>
              <w:jc w:val="center"/>
              <w:rPr>
                <w:rFonts w:ascii="宋体" w:hAnsi="宋体" w:cs="宋体"/>
                <w:color w:val="000000" w:themeColor="text1"/>
                <w:szCs w:val="21"/>
                <w14:textFill>
                  <w14:solidFill>
                    <w14:schemeClr w14:val="tx1"/>
                  </w14:solidFill>
                </w14:textFill>
              </w:rPr>
            </w:pPr>
          </w:p>
        </w:tc>
        <w:tc>
          <w:tcPr>
            <w:tcW w:w="844" w:type="dxa"/>
            <w:noWrap w:val="0"/>
            <w:vAlign w:val="center"/>
          </w:tcPr>
          <w:p w14:paraId="771FD7D0">
            <w:pPr>
              <w:spacing w:line="360" w:lineRule="auto"/>
              <w:ind w:right="-2"/>
              <w:jc w:val="center"/>
              <w:rPr>
                <w:rFonts w:ascii="宋体" w:hAnsi="宋体" w:cs="宋体"/>
                <w:color w:val="000000" w:themeColor="text1"/>
                <w:szCs w:val="21"/>
                <w14:textFill>
                  <w14:solidFill>
                    <w14:schemeClr w14:val="tx1"/>
                  </w14:solidFill>
                </w14:textFill>
              </w:rPr>
            </w:pPr>
          </w:p>
        </w:tc>
        <w:tc>
          <w:tcPr>
            <w:tcW w:w="771" w:type="dxa"/>
            <w:noWrap w:val="0"/>
            <w:vAlign w:val="center"/>
          </w:tcPr>
          <w:p w14:paraId="2833FA9D">
            <w:pPr>
              <w:spacing w:line="360" w:lineRule="auto"/>
              <w:ind w:right="-2"/>
              <w:jc w:val="center"/>
              <w:rPr>
                <w:rFonts w:ascii="宋体" w:hAnsi="宋体" w:cs="宋体"/>
                <w:color w:val="000000" w:themeColor="text1"/>
                <w:szCs w:val="21"/>
                <w14:textFill>
                  <w14:solidFill>
                    <w14:schemeClr w14:val="tx1"/>
                  </w14:solidFill>
                </w14:textFill>
              </w:rPr>
            </w:pPr>
          </w:p>
        </w:tc>
        <w:tc>
          <w:tcPr>
            <w:tcW w:w="1098" w:type="dxa"/>
            <w:noWrap w:val="0"/>
            <w:vAlign w:val="center"/>
          </w:tcPr>
          <w:p w14:paraId="441600B9">
            <w:pPr>
              <w:spacing w:line="360" w:lineRule="auto"/>
              <w:ind w:right="-2"/>
              <w:jc w:val="center"/>
              <w:rPr>
                <w:rFonts w:ascii="宋体" w:hAnsi="宋体" w:cs="宋体"/>
                <w:color w:val="000000" w:themeColor="text1"/>
                <w:szCs w:val="21"/>
                <w14:textFill>
                  <w14:solidFill>
                    <w14:schemeClr w14:val="tx1"/>
                  </w14:solidFill>
                </w14:textFill>
              </w:rPr>
            </w:pPr>
          </w:p>
        </w:tc>
        <w:tc>
          <w:tcPr>
            <w:tcW w:w="893" w:type="dxa"/>
            <w:noWrap w:val="0"/>
            <w:vAlign w:val="center"/>
          </w:tcPr>
          <w:p w14:paraId="29C694C1">
            <w:pPr>
              <w:spacing w:line="360" w:lineRule="auto"/>
              <w:ind w:right="-2"/>
              <w:jc w:val="center"/>
              <w:rPr>
                <w:rFonts w:ascii="宋体" w:hAnsi="宋体" w:cs="宋体"/>
                <w:color w:val="000000" w:themeColor="text1"/>
                <w:szCs w:val="21"/>
                <w14:textFill>
                  <w14:solidFill>
                    <w14:schemeClr w14:val="tx1"/>
                  </w14:solidFill>
                </w14:textFill>
              </w:rPr>
            </w:pPr>
          </w:p>
        </w:tc>
        <w:tc>
          <w:tcPr>
            <w:tcW w:w="1157" w:type="dxa"/>
            <w:noWrap w:val="0"/>
            <w:vAlign w:val="center"/>
          </w:tcPr>
          <w:p w14:paraId="2821E329">
            <w:pPr>
              <w:spacing w:line="360" w:lineRule="auto"/>
              <w:ind w:right="-2"/>
              <w:jc w:val="center"/>
              <w:rPr>
                <w:rFonts w:ascii="宋体" w:hAnsi="宋体" w:cs="宋体"/>
                <w:color w:val="000000" w:themeColor="text1"/>
                <w:szCs w:val="21"/>
                <w14:textFill>
                  <w14:solidFill>
                    <w14:schemeClr w14:val="tx1"/>
                  </w14:solidFill>
                </w14:textFill>
              </w:rPr>
            </w:pPr>
          </w:p>
        </w:tc>
        <w:tc>
          <w:tcPr>
            <w:tcW w:w="1014" w:type="dxa"/>
            <w:noWrap w:val="0"/>
            <w:vAlign w:val="center"/>
          </w:tcPr>
          <w:p w14:paraId="70FEBD60">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292CE08F">
            <w:pPr>
              <w:spacing w:line="360" w:lineRule="auto"/>
              <w:ind w:right="-2"/>
              <w:jc w:val="center"/>
              <w:rPr>
                <w:rFonts w:ascii="宋体" w:hAnsi="宋体" w:cs="宋体"/>
                <w:color w:val="000000" w:themeColor="text1"/>
                <w:szCs w:val="21"/>
                <w14:textFill>
                  <w14:solidFill>
                    <w14:schemeClr w14:val="tx1"/>
                  </w14:solidFill>
                </w14:textFill>
              </w:rPr>
            </w:pPr>
          </w:p>
        </w:tc>
        <w:tc>
          <w:tcPr>
            <w:tcW w:w="1527" w:type="dxa"/>
            <w:noWrap w:val="0"/>
            <w:vAlign w:val="center"/>
          </w:tcPr>
          <w:p w14:paraId="0AB57871">
            <w:pPr>
              <w:spacing w:line="360" w:lineRule="auto"/>
              <w:ind w:right="-2"/>
              <w:jc w:val="center"/>
              <w:rPr>
                <w:rFonts w:ascii="宋体" w:hAnsi="宋体" w:cs="宋体"/>
                <w:color w:val="000000" w:themeColor="text1"/>
                <w:szCs w:val="21"/>
                <w14:textFill>
                  <w14:solidFill>
                    <w14:schemeClr w14:val="tx1"/>
                  </w14:solidFill>
                </w14:textFill>
              </w:rPr>
            </w:pPr>
          </w:p>
        </w:tc>
      </w:tr>
    </w:tbl>
    <w:p w14:paraId="32A44D9B">
      <w:pPr>
        <w:rPr>
          <w:rFonts w:ascii="宋体" w:hAnsi="宋体" w:cs="宋体"/>
          <w:color w:val="000000" w:themeColor="text1"/>
          <w:szCs w:val="21"/>
          <w14:textFill>
            <w14:solidFill>
              <w14:schemeClr w14:val="tx1"/>
            </w14:solidFill>
          </w14:textFill>
        </w:rPr>
      </w:pPr>
    </w:p>
    <w:p w14:paraId="052B8A50">
      <w:pPr>
        <w:jc w:val="right"/>
        <w:rPr>
          <w:rFonts w:ascii="宋体" w:hAnsi="宋体" w:cs="宋体"/>
          <w:color w:val="000000" w:themeColor="text1"/>
          <w:szCs w:val="21"/>
          <w14:textFill>
            <w14:solidFill>
              <w14:schemeClr w14:val="tx1"/>
            </w14:solidFill>
          </w14:textFill>
        </w:rPr>
      </w:pPr>
    </w:p>
    <w:p w14:paraId="450E7AAD">
      <w:pPr>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     年    月     日</w:t>
      </w:r>
    </w:p>
    <w:p w14:paraId="0EFBA00D">
      <w:pPr>
        <w:jc w:val="right"/>
        <w:rPr>
          <w:rFonts w:ascii="宋体" w:hAnsi="宋体" w:cs="宋体"/>
          <w:color w:val="000000" w:themeColor="text1"/>
          <w:szCs w:val="21"/>
          <w14:textFill>
            <w14:solidFill>
              <w14:schemeClr w14:val="tx1"/>
            </w14:solidFill>
          </w14:textFill>
        </w:rPr>
      </w:pPr>
    </w:p>
    <w:p w14:paraId="70805734">
      <w:pPr>
        <w:pStyle w:val="18"/>
        <w:rPr>
          <w:rFonts w:hAnsi="宋体" w:cs="宋体"/>
          <w:b/>
          <w:color w:val="000000" w:themeColor="text1"/>
          <w:szCs w:val="21"/>
          <w14:textFill>
            <w14:solidFill>
              <w14:schemeClr w14:val="tx1"/>
            </w14:solidFill>
          </w14:textFill>
        </w:rPr>
      </w:pPr>
    </w:p>
    <w:p w14:paraId="5042E897">
      <w:pPr>
        <w:pStyle w:val="29"/>
        <w:rPr>
          <w:rFonts w:ascii="宋体" w:hAnsi="宋体" w:cs="宋体"/>
          <w:b/>
          <w:color w:val="000000" w:themeColor="text1"/>
          <w:szCs w:val="21"/>
          <w14:textFill>
            <w14:solidFill>
              <w14:schemeClr w14:val="tx1"/>
            </w14:solidFill>
          </w14:textFill>
        </w:rPr>
      </w:pPr>
    </w:p>
    <w:p w14:paraId="4D29FF1E">
      <w:pPr>
        <w:pStyle w:val="29"/>
        <w:rPr>
          <w:rFonts w:ascii="宋体" w:hAnsi="宋体" w:cs="宋体"/>
          <w:b/>
          <w:color w:val="000000" w:themeColor="text1"/>
          <w:szCs w:val="21"/>
          <w14:textFill>
            <w14:solidFill>
              <w14:schemeClr w14:val="tx1"/>
            </w14:solidFill>
          </w14:textFill>
        </w:rPr>
      </w:pPr>
    </w:p>
    <w:p w14:paraId="522033CB">
      <w:pPr>
        <w:pStyle w:val="29"/>
        <w:rPr>
          <w:rFonts w:ascii="宋体" w:hAnsi="宋体" w:cs="宋体"/>
          <w:b/>
          <w:color w:val="000000" w:themeColor="text1"/>
          <w:szCs w:val="21"/>
          <w14:textFill>
            <w14:solidFill>
              <w14:schemeClr w14:val="tx1"/>
            </w14:solidFill>
          </w14:textFill>
        </w:rPr>
      </w:pPr>
    </w:p>
    <w:p w14:paraId="35B9F3CB">
      <w:pPr>
        <w:pStyle w:val="29"/>
        <w:rPr>
          <w:rFonts w:ascii="宋体" w:hAnsi="宋体" w:cs="宋体"/>
          <w:b/>
          <w:color w:val="000000" w:themeColor="text1"/>
          <w:szCs w:val="21"/>
          <w14:textFill>
            <w14:solidFill>
              <w14:schemeClr w14:val="tx1"/>
            </w14:solidFill>
          </w14:textFill>
        </w:rPr>
      </w:pPr>
    </w:p>
    <w:p w14:paraId="09D3618C">
      <w:pPr>
        <w:spacing w:line="360" w:lineRule="auto"/>
        <w:rPr>
          <w:rFonts w:ascii="宋体" w:hAnsi="宋体" w:cs="宋体"/>
          <w:b/>
          <w:bCs/>
          <w:color w:val="000000" w:themeColor="text1"/>
          <w:szCs w:val="21"/>
          <w14:textFill>
            <w14:solidFill>
              <w14:schemeClr w14:val="tx1"/>
            </w14:solidFill>
          </w14:textFill>
        </w:rPr>
      </w:pPr>
    </w:p>
    <w:sectPr>
      <w:headerReference r:id="rId5" w:type="default"/>
      <w:footerReference r:id="rId6" w:type="default"/>
      <w:pgSz w:w="11906" w:h="16838"/>
      <w:pgMar w:top="760" w:right="1797" w:bottom="76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0" w:csb1="00000000"/>
  </w:font>
  <w:font w:name="宋体_GB2312">
    <w:altName w:val="宋体"/>
    <w:panose1 w:val="02010600030101010101"/>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AC077">
    <w:pPr>
      <w:pStyle w:val="28"/>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16</w:t>
    </w:r>
    <w:r>
      <w:rPr>
        <w:rFonts w:ascii="宋体_GB2312" w:eastAsia="宋体_GB23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928E8">
    <w:pPr>
      <w:pStyle w:val="28"/>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24</w:t>
    </w:r>
    <w:r>
      <w:rPr>
        <w:rFonts w:ascii="宋体_GB2312" w:eastAsia="宋体_GB231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9BEB1">
    <w:pPr>
      <w:pStyle w:val="3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D3BD1">
    <w:pPr>
      <w:pStyle w:val="30"/>
      <w:jc w:val="both"/>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pStyle w:val="273"/>
      <w:lvlText w:val="第%1章"/>
      <w:lvlJc w:val="left"/>
      <w:pPr>
        <w:ind w:left="9351" w:hanging="420"/>
      </w:pPr>
      <w:rPr>
        <w:rFonts w:hint="eastAsia" w:ascii="黑体" w:eastAsia="黑体"/>
        <w:b w:val="0"/>
        <w:sz w:val="36"/>
        <w:lang w:val="en-US"/>
      </w:rPr>
    </w:lvl>
    <w:lvl w:ilvl="1" w:tentative="0">
      <w:start w:val="1"/>
      <w:numFmt w:val="decimal"/>
      <w:pStyle w:val="267"/>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62"/>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70"/>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59ADCABA"/>
    <w:multiLevelType w:val="multilevel"/>
    <w:tmpl w:val="59ADCABA"/>
    <w:lvl w:ilvl="0" w:tentative="0">
      <w:start w:val="1"/>
      <w:numFmt w:val="japaneseCounting"/>
      <w:lvlText w:val="第%1章"/>
      <w:lvlJc w:val="left"/>
      <w:pPr>
        <w:ind w:left="1800" w:hanging="1260"/>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F384C"/>
    <w:rsid w:val="03D14550"/>
    <w:rsid w:val="04DD7C86"/>
    <w:rsid w:val="08422CE4"/>
    <w:rsid w:val="0A574241"/>
    <w:rsid w:val="0D6D6BDD"/>
    <w:rsid w:val="14635A3C"/>
    <w:rsid w:val="1BBC26CD"/>
    <w:rsid w:val="1C0A3439"/>
    <w:rsid w:val="2899001E"/>
    <w:rsid w:val="32747406"/>
    <w:rsid w:val="36251143"/>
    <w:rsid w:val="373E6342"/>
    <w:rsid w:val="37677539"/>
    <w:rsid w:val="3D65451B"/>
    <w:rsid w:val="45101210"/>
    <w:rsid w:val="4FE3702E"/>
    <w:rsid w:val="585D4D1D"/>
    <w:rsid w:val="59D979CB"/>
    <w:rsid w:val="5F622211"/>
    <w:rsid w:val="64CA4AE0"/>
    <w:rsid w:val="65C578A0"/>
    <w:rsid w:val="67A96C2F"/>
    <w:rsid w:val="7A287E8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213"/>
    <w:qFormat/>
    <w:uiPriority w:val="0"/>
    <w:pPr>
      <w:keepNext/>
      <w:keepLines/>
      <w:spacing w:before="340" w:after="330" w:line="578" w:lineRule="auto"/>
      <w:outlineLvl w:val="0"/>
    </w:pPr>
    <w:rPr>
      <w:b/>
      <w:bCs/>
      <w:sz w:val="44"/>
      <w:szCs w:val="44"/>
    </w:rPr>
  </w:style>
  <w:style w:type="paragraph" w:styleId="3">
    <w:name w:val="heading 2"/>
    <w:basedOn w:val="1"/>
    <w:next w:val="1"/>
    <w:link w:val="22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link w:val="235"/>
    <w:qFormat/>
    <w:uiPriority w:val="0"/>
    <w:pPr>
      <w:keepNext/>
      <w:keepLines/>
      <w:spacing w:before="260" w:after="260" w:line="416" w:lineRule="auto"/>
      <w:outlineLvl w:val="2"/>
    </w:pPr>
    <w:rPr>
      <w:b/>
      <w:bCs/>
      <w:sz w:val="32"/>
      <w:szCs w:val="32"/>
    </w:rPr>
  </w:style>
  <w:style w:type="paragraph" w:styleId="5">
    <w:name w:val="heading 4"/>
    <w:basedOn w:val="1"/>
    <w:next w:val="6"/>
    <w:link w:val="218"/>
    <w:qFormat/>
    <w:uiPriority w:val="0"/>
    <w:pPr>
      <w:spacing w:before="280" w:after="290" w:line="377" w:lineRule="auto"/>
      <w:outlineLvl w:val="3"/>
    </w:pPr>
    <w:rPr>
      <w:rFonts w:ascii="Arial" w:hAnsi="Arial" w:eastAsia="黑体"/>
      <w:b/>
      <w:bCs/>
      <w:sz w:val="28"/>
      <w:szCs w:val="28"/>
    </w:rPr>
  </w:style>
  <w:style w:type="paragraph" w:styleId="7">
    <w:name w:val="heading 5"/>
    <w:basedOn w:val="1"/>
    <w:link w:val="236"/>
    <w:qFormat/>
    <w:uiPriority w:val="0"/>
    <w:pPr>
      <w:keepNext/>
      <w:keepLines/>
      <w:spacing w:before="280" w:after="290" w:line="376" w:lineRule="auto"/>
      <w:outlineLvl w:val="4"/>
    </w:pPr>
    <w:rPr>
      <w:b/>
      <w:bCs/>
      <w:sz w:val="28"/>
      <w:szCs w:val="28"/>
    </w:rPr>
  </w:style>
  <w:style w:type="paragraph" w:styleId="8">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14"/>
    <w:unhideWhenUsed/>
    <w:qFormat/>
    <w:uiPriority w:val="0"/>
    <w:pPr>
      <w:ind w:firstLine="420"/>
    </w:pPr>
  </w:style>
  <w:style w:type="paragraph" w:styleId="12">
    <w:name w:val="toc 7"/>
    <w:basedOn w:val="1"/>
    <w:next w:val="1"/>
    <w:semiHidden/>
    <w:qFormat/>
    <w:uiPriority w:val="0"/>
    <w:pPr>
      <w:ind w:left="2520"/>
    </w:pPr>
    <w:rPr>
      <w:szCs w:val="24"/>
    </w:rPr>
  </w:style>
  <w:style w:type="paragraph" w:styleId="13">
    <w:name w:val="caption"/>
    <w:basedOn w:val="1"/>
    <w:next w:val="1"/>
    <w:qFormat/>
    <w:uiPriority w:val="35"/>
    <w:pPr>
      <w:spacing w:after="109"/>
      <w:jc w:val="center"/>
    </w:pPr>
    <w:rPr>
      <w:rFonts w:ascii="宋体" w:hAnsi="宋体"/>
      <w:b/>
      <w:sz w:val="24"/>
      <w:szCs w:val="28"/>
    </w:rPr>
  </w:style>
  <w:style w:type="paragraph" w:styleId="14">
    <w:name w:val="Document Map"/>
    <w:basedOn w:val="1"/>
    <w:link w:val="206"/>
    <w:qFormat/>
    <w:uiPriority w:val="0"/>
    <w:rPr>
      <w:rFonts w:ascii="宋体"/>
      <w:sz w:val="18"/>
      <w:szCs w:val="18"/>
    </w:rPr>
  </w:style>
  <w:style w:type="paragraph" w:styleId="15">
    <w:name w:val="annotation text"/>
    <w:basedOn w:val="1"/>
    <w:link w:val="208"/>
    <w:qFormat/>
    <w:uiPriority w:val="0"/>
    <w:pPr>
      <w:jc w:val="left"/>
    </w:pPr>
  </w:style>
  <w:style w:type="paragraph" w:styleId="16">
    <w:name w:val="Body Text 3"/>
    <w:basedOn w:val="1"/>
    <w:link w:val="241"/>
    <w:qFormat/>
    <w:uiPriority w:val="0"/>
    <w:rPr>
      <w:rFonts w:ascii="仿宋_GB2312" w:hAnsi="Arial" w:eastAsia="仿宋_GB2312"/>
      <w:sz w:val="32"/>
      <w:szCs w:val="20"/>
    </w:rPr>
  </w:style>
  <w:style w:type="paragraph" w:styleId="17">
    <w:name w:val="Body Text"/>
    <w:basedOn w:val="1"/>
    <w:link w:val="215"/>
    <w:qFormat/>
    <w:uiPriority w:val="0"/>
    <w:rPr>
      <w:rFonts w:ascii="楷体_GB2312" w:hAnsi="Arial" w:eastAsia="楷体_GB2312"/>
      <w:sz w:val="28"/>
      <w:szCs w:val="28"/>
    </w:rPr>
  </w:style>
  <w:style w:type="paragraph" w:styleId="18">
    <w:name w:val="Body Text Indent"/>
    <w:basedOn w:val="1"/>
    <w:link w:val="207"/>
    <w:qFormat/>
    <w:uiPriority w:val="99"/>
    <w:pPr>
      <w:spacing w:after="120"/>
      <w:ind w:left="420"/>
    </w:pPr>
  </w:style>
  <w:style w:type="paragraph" w:styleId="19">
    <w:name w:val="index 4"/>
    <w:basedOn w:val="1"/>
    <w:next w:val="1"/>
    <w:unhideWhenUsed/>
    <w:qFormat/>
    <w:uiPriority w:val="0"/>
    <w:pPr>
      <w:ind w:left="600"/>
    </w:pPr>
    <w:rPr>
      <w:rFonts w:ascii="Calibri" w:hAnsi="Calibri" w:eastAsia="Calibri" w:cs="宋体"/>
      <w:sz w:val="20"/>
      <w:szCs w:val="20"/>
      <w:lang w:val="zh-CN"/>
    </w:rPr>
  </w:style>
  <w:style w:type="paragraph" w:styleId="20">
    <w:name w:val="toc 5"/>
    <w:basedOn w:val="1"/>
    <w:next w:val="1"/>
    <w:semiHidden/>
    <w:qFormat/>
    <w:uiPriority w:val="0"/>
    <w:pPr>
      <w:ind w:left="1680"/>
    </w:pPr>
    <w:rPr>
      <w:szCs w:val="24"/>
    </w:rPr>
  </w:style>
  <w:style w:type="paragraph" w:styleId="21">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212"/>
    <w:qFormat/>
    <w:uiPriority w:val="0"/>
    <w:rPr>
      <w:rFonts w:ascii="宋体" w:hAnsi="Courier New"/>
      <w:sz w:val="20"/>
      <w:szCs w:val="21"/>
    </w:rPr>
  </w:style>
  <w:style w:type="paragraph" w:styleId="23">
    <w:name w:val="toc 8"/>
    <w:basedOn w:val="1"/>
    <w:next w:val="1"/>
    <w:semiHidden/>
    <w:qFormat/>
    <w:uiPriority w:val="0"/>
    <w:pPr>
      <w:ind w:left="2940"/>
    </w:pPr>
    <w:rPr>
      <w:szCs w:val="24"/>
    </w:rPr>
  </w:style>
  <w:style w:type="paragraph" w:styleId="24">
    <w:name w:val="Date"/>
    <w:basedOn w:val="1"/>
    <w:next w:val="1"/>
    <w:link w:val="231"/>
    <w:qFormat/>
    <w:uiPriority w:val="0"/>
    <w:pPr>
      <w:ind w:left="100"/>
    </w:pPr>
  </w:style>
  <w:style w:type="paragraph" w:styleId="25">
    <w:name w:val="Body Text Indent 2"/>
    <w:basedOn w:val="1"/>
    <w:link w:val="242"/>
    <w:qFormat/>
    <w:uiPriority w:val="0"/>
    <w:pPr>
      <w:ind w:firstLine="560"/>
    </w:pPr>
    <w:rPr>
      <w:rFonts w:ascii="宋体" w:hAnsi="宋体"/>
      <w:sz w:val="28"/>
      <w:szCs w:val="24"/>
    </w:rPr>
  </w:style>
  <w:style w:type="paragraph" w:styleId="26">
    <w:name w:val="endnote text"/>
    <w:basedOn w:val="1"/>
    <w:link w:val="204"/>
    <w:semiHidden/>
    <w:unhideWhenUsed/>
    <w:qFormat/>
    <w:uiPriority w:val="99"/>
    <w:pPr>
      <w:spacing w:after="0" w:line="240" w:lineRule="auto"/>
    </w:pPr>
    <w:rPr>
      <w:sz w:val="20"/>
    </w:rPr>
  </w:style>
  <w:style w:type="paragraph" w:styleId="27">
    <w:name w:val="Balloon Text"/>
    <w:basedOn w:val="1"/>
    <w:link w:val="211"/>
    <w:unhideWhenUsed/>
    <w:qFormat/>
    <w:uiPriority w:val="0"/>
    <w:rPr>
      <w:sz w:val="18"/>
      <w:szCs w:val="18"/>
    </w:rPr>
  </w:style>
  <w:style w:type="paragraph" w:styleId="28">
    <w:name w:val="footer"/>
    <w:basedOn w:val="1"/>
    <w:link w:val="210"/>
    <w:unhideWhenUsed/>
    <w:qFormat/>
    <w:uiPriority w:val="0"/>
    <w:pPr>
      <w:tabs>
        <w:tab w:val="center" w:pos="4153"/>
        <w:tab w:val="right" w:pos="8306"/>
      </w:tabs>
      <w:jc w:val="left"/>
    </w:pPr>
    <w:rPr>
      <w:sz w:val="18"/>
      <w:szCs w:val="18"/>
    </w:rPr>
  </w:style>
  <w:style w:type="paragraph" w:styleId="29">
    <w:name w:val="envelope return"/>
    <w:basedOn w:val="1"/>
    <w:qFormat/>
    <w:uiPriority w:val="0"/>
    <w:rPr>
      <w:rFonts w:ascii="Arial" w:hAnsi="Arial"/>
    </w:rPr>
  </w:style>
  <w:style w:type="paragraph" w:styleId="30">
    <w:name w:val="header"/>
    <w:basedOn w:val="1"/>
    <w:link w:val="209"/>
    <w:unhideWhenUsed/>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style>
  <w:style w:type="paragraph" w:styleId="32">
    <w:name w:val="toc 4"/>
    <w:basedOn w:val="1"/>
    <w:next w:val="1"/>
    <w:semiHidden/>
    <w:qFormat/>
    <w:uiPriority w:val="0"/>
    <w:pPr>
      <w:ind w:left="1260"/>
    </w:pPr>
    <w:rPr>
      <w:szCs w:val="24"/>
    </w:rPr>
  </w:style>
  <w:style w:type="paragraph" w:styleId="33">
    <w:name w:val="Subtitle"/>
    <w:basedOn w:val="1"/>
    <w:next w:val="1"/>
    <w:link w:val="243"/>
    <w:qFormat/>
    <w:uiPriority w:val="0"/>
    <w:pPr>
      <w:spacing w:before="240" w:after="60" w:line="312" w:lineRule="auto"/>
      <w:jc w:val="center"/>
      <w:outlineLvl w:val="1"/>
    </w:pPr>
    <w:rPr>
      <w:rFonts w:ascii="Cambria" w:hAnsi="Cambria"/>
      <w:b/>
      <w:bCs/>
      <w:sz w:val="32"/>
      <w:szCs w:val="32"/>
    </w:rPr>
  </w:style>
  <w:style w:type="paragraph" w:styleId="34">
    <w:name w:val="List"/>
    <w:basedOn w:val="1"/>
    <w:unhideWhenUsed/>
    <w:qFormat/>
    <w:uiPriority w:val="0"/>
    <w:pPr>
      <w:ind w:left="200" w:hanging="200"/>
    </w:pPr>
    <w:rPr>
      <w:rFonts w:asciiTheme="minorHAnsi" w:hAnsiTheme="minorHAnsi" w:eastAsiaTheme="minorEastAsia" w:cstheme="minorBidi"/>
    </w:rPr>
  </w:style>
  <w:style w:type="paragraph" w:styleId="35">
    <w:name w:val="footnote text"/>
    <w:basedOn w:val="1"/>
    <w:link w:val="203"/>
    <w:semiHidden/>
    <w:unhideWhenUsed/>
    <w:qFormat/>
    <w:uiPriority w:val="99"/>
    <w:pPr>
      <w:spacing w:after="40" w:line="240" w:lineRule="auto"/>
    </w:pPr>
    <w:rPr>
      <w:sz w:val="18"/>
    </w:rPr>
  </w:style>
  <w:style w:type="paragraph" w:styleId="36">
    <w:name w:val="toc 6"/>
    <w:basedOn w:val="1"/>
    <w:next w:val="1"/>
    <w:semiHidden/>
    <w:qFormat/>
    <w:uiPriority w:val="0"/>
    <w:pPr>
      <w:ind w:left="2100"/>
    </w:pPr>
    <w:rPr>
      <w:szCs w:val="24"/>
    </w:rPr>
  </w:style>
  <w:style w:type="paragraph" w:styleId="37">
    <w:name w:val="Body Text Indent 3"/>
    <w:basedOn w:val="1"/>
    <w:link w:val="244"/>
    <w:qFormat/>
    <w:uiPriority w:val="0"/>
    <w:pPr>
      <w:ind w:firstLine="523"/>
    </w:pPr>
    <w:rPr>
      <w:rFonts w:ascii="仿宋_GB2312" w:hAnsi="宋体" w:eastAsia="仿宋_GB2312"/>
      <w:sz w:val="24"/>
      <w:szCs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ind w:left="420"/>
    </w:pPr>
  </w:style>
  <w:style w:type="paragraph" w:styleId="40">
    <w:name w:val="toc 9"/>
    <w:basedOn w:val="1"/>
    <w:next w:val="1"/>
    <w:semiHidden/>
    <w:qFormat/>
    <w:uiPriority w:val="0"/>
    <w:pPr>
      <w:ind w:left="3360"/>
    </w:pPr>
    <w:rPr>
      <w:szCs w:val="24"/>
    </w:rPr>
  </w:style>
  <w:style w:type="paragraph" w:styleId="41">
    <w:name w:val="Body Text 2"/>
    <w:basedOn w:val="1"/>
    <w:link w:val="245"/>
    <w:qFormat/>
    <w:uiPriority w:val="0"/>
    <w:pPr>
      <w:jc w:val="center"/>
    </w:pPr>
    <w:rPr>
      <w:rFonts w:ascii="仿宋_GB2312" w:eastAsia="仿宋_GB2312"/>
      <w:sz w:val="44"/>
      <w:szCs w:val="24"/>
    </w:rPr>
  </w:style>
  <w:style w:type="paragraph" w:styleId="42">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3">
    <w:name w:val="Normal (Web)"/>
    <w:basedOn w:val="1"/>
    <w:unhideWhenUsed/>
    <w:qFormat/>
    <w:uiPriority w:val="0"/>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rPr>
      <w:rFonts w:ascii="宋体" w:hAnsi="宋体"/>
      <w:szCs w:val="18"/>
    </w:rPr>
  </w:style>
  <w:style w:type="paragraph" w:styleId="45">
    <w:name w:val="Title"/>
    <w:basedOn w:val="1"/>
    <w:next w:val="1"/>
    <w:link w:val="247"/>
    <w:qFormat/>
    <w:uiPriority w:val="0"/>
    <w:pPr>
      <w:spacing w:before="240" w:after="60"/>
      <w:jc w:val="center"/>
      <w:outlineLvl w:val="0"/>
    </w:pPr>
    <w:rPr>
      <w:rFonts w:ascii="Cambria" w:hAnsi="Cambria" w:eastAsiaTheme="minorEastAsia"/>
      <w:b/>
      <w:bCs/>
      <w:sz w:val="32"/>
      <w:szCs w:val="32"/>
    </w:rPr>
  </w:style>
  <w:style w:type="paragraph" w:styleId="46">
    <w:name w:val="annotation subject"/>
    <w:basedOn w:val="15"/>
    <w:next w:val="15"/>
    <w:link w:val="216"/>
    <w:qFormat/>
    <w:uiPriority w:val="0"/>
    <w:rPr>
      <w:b/>
      <w:bCs/>
    </w:rPr>
  </w:style>
  <w:style w:type="paragraph" w:styleId="47">
    <w:name w:val="Body Text First Indent"/>
    <w:basedOn w:val="1"/>
    <w:link w:val="381"/>
    <w:qFormat/>
    <w:uiPriority w:val="0"/>
    <w:pPr>
      <w:spacing w:after="120"/>
      <w:ind w:firstLine="420"/>
    </w:pPr>
    <w:rPr>
      <w:szCs w:val="24"/>
    </w:rPr>
  </w:style>
  <w:style w:type="paragraph" w:styleId="48">
    <w:name w:val="Body Text First Indent 2"/>
    <w:basedOn w:val="18"/>
    <w:link w:val="233"/>
    <w:unhideWhenUsed/>
    <w:qFormat/>
    <w:uiPriority w:val="99"/>
    <w:pPr>
      <w:ind w:firstLine="420"/>
    </w:pPr>
    <w:rPr>
      <w:rFonts w:asciiTheme="minorHAnsi" w:hAnsiTheme="minorHAnsi" w:eastAsiaTheme="minorEastAsia" w:cstheme="minorBidi"/>
    </w:rPr>
  </w:style>
  <w:style w:type="table" w:styleId="50">
    <w:name w:val="Table Grid"/>
    <w:basedOn w:val="4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basedOn w:val="51"/>
    <w:qFormat/>
    <w:uiPriority w:val="0"/>
  </w:style>
  <w:style w:type="character" w:styleId="55">
    <w:name w:val="FollowedHyperlink"/>
    <w:basedOn w:val="51"/>
    <w:unhideWhenUsed/>
    <w:qFormat/>
    <w:uiPriority w:val="99"/>
    <w:rPr>
      <w:color w:val="800080" w:themeColor="followedHyperlink"/>
      <w:u w:val="single"/>
      <w14:textFill>
        <w14:solidFill>
          <w14:schemeClr w14:val="folHlink"/>
        </w14:solidFill>
      </w14:textFill>
    </w:rPr>
  </w:style>
  <w:style w:type="character" w:styleId="56">
    <w:name w:val="HTML Typewriter"/>
    <w:qFormat/>
    <w:uiPriority w:val="0"/>
    <w:rPr>
      <w:rFonts w:ascii="宋体" w:hAnsi="宋体" w:eastAsia="宋体" w:cs="宋体"/>
      <w:sz w:val="24"/>
      <w:szCs w:val="24"/>
    </w:rPr>
  </w:style>
  <w:style w:type="character" w:styleId="57">
    <w:name w:val="Hyperlink"/>
    <w:unhideWhenUsed/>
    <w:qFormat/>
    <w:uiPriority w:val="99"/>
    <w:rPr>
      <w:color w:val="0000FF"/>
      <w:u w:val="single"/>
    </w:rPr>
  </w:style>
  <w:style w:type="character" w:styleId="58">
    <w:name w:val="annotation reference"/>
    <w:qFormat/>
    <w:uiPriority w:val="0"/>
    <w:rPr>
      <w:sz w:val="21"/>
      <w:szCs w:val="21"/>
    </w:rPr>
  </w:style>
  <w:style w:type="character" w:styleId="59">
    <w:name w:val="footnote reference"/>
    <w:basedOn w:val="51"/>
    <w:unhideWhenUsed/>
    <w:qFormat/>
    <w:uiPriority w:val="99"/>
    <w:rPr>
      <w:vertAlign w:val="superscript"/>
    </w:rPr>
  </w:style>
  <w:style w:type="character" w:customStyle="1" w:styleId="60">
    <w:name w:val="Heading 1 Char"/>
    <w:basedOn w:val="51"/>
    <w:qFormat/>
    <w:uiPriority w:val="9"/>
    <w:rPr>
      <w:rFonts w:ascii="Arial" w:hAnsi="Arial" w:eastAsia="Arial" w:cs="Arial"/>
      <w:sz w:val="40"/>
      <w:szCs w:val="40"/>
    </w:rPr>
  </w:style>
  <w:style w:type="character" w:customStyle="1" w:styleId="61">
    <w:name w:val="Heading 2 Char"/>
    <w:basedOn w:val="51"/>
    <w:qFormat/>
    <w:uiPriority w:val="9"/>
    <w:rPr>
      <w:rFonts w:ascii="Arial" w:hAnsi="Arial" w:eastAsia="Arial" w:cs="Arial"/>
      <w:sz w:val="34"/>
    </w:rPr>
  </w:style>
  <w:style w:type="character" w:customStyle="1" w:styleId="62">
    <w:name w:val="Heading 3 Char"/>
    <w:basedOn w:val="51"/>
    <w:qFormat/>
    <w:uiPriority w:val="9"/>
    <w:rPr>
      <w:rFonts w:ascii="Arial" w:hAnsi="Arial" w:eastAsia="Arial" w:cs="Arial"/>
      <w:sz w:val="30"/>
      <w:szCs w:val="30"/>
    </w:rPr>
  </w:style>
  <w:style w:type="character" w:customStyle="1" w:styleId="63">
    <w:name w:val="Heading 4 Char"/>
    <w:basedOn w:val="51"/>
    <w:qFormat/>
    <w:uiPriority w:val="9"/>
    <w:rPr>
      <w:rFonts w:ascii="Arial" w:hAnsi="Arial" w:eastAsia="Arial" w:cs="Arial"/>
      <w:b/>
      <w:bCs/>
      <w:sz w:val="26"/>
      <w:szCs w:val="26"/>
    </w:rPr>
  </w:style>
  <w:style w:type="character" w:customStyle="1" w:styleId="64">
    <w:name w:val="Heading 5 Char"/>
    <w:basedOn w:val="51"/>
    <w:qFormat/>
    <w:uiPriority w:val="9"/>
    <w:rPr>
      <w:rFonts w:ascii="Arial" w:hAnsi="Arial" w:eastAsia="Arial" w:cs="Arial"/>
      <w:b/>
      <w:bCs/>
      <w:sz w:val="24"/>
      <w:szCs w:val="24"/>
    </w:rPr>
  </w:style>
  <w:style w:type="character" w:customStyle="1" w:styleId="65">
    <w:name w:val="Heading 6 Char"/>
    <w:basedOn w:val="51"/>
    <w:link w:val="8"/>
    <w:qFormat/>
    <w:uiPriority w:val="9"/>
    <w:rPr>
      <w:rFonts w:ascii="Arial" w:hAnsi="Arial" w:eastAsia="Arial" w:cs="Arial"/>
      <w:b/>
      <w:bCs/>
      <w:sz w:val="22"/>
      <w:szCs w:val="22"/>
    </w:rPr>
  </w:style>
  <w:style w:type="character" w:customStyle="1" w:styleId="66">
    <w:name w:val="Heading 7 Char"/>
    <w:basedOn w:val="51"/>
    <w:link w:val="9"/>
    <w:qFormat/>
    <w:uiPriority w:val="9"/>
    <w:rPr>
      <w:rFonts w:ascii="Arial" w:hAnsi="Arial" w:eastAsia="Arial" w:cs="Arial"/>
      <w:b/>
      <w:bCs/>
      <w:i/>
      <w:iCs/>
      <w:sz w:val="22"/>
      <w:szCs w:val="22"/>
    </w:rPr>
  </w:style>
  <w:style w:type="character" w:customStyle="1" w:styleId="67">
    <w:name w:val="Heading 8 Char"/>
    <w:basedOn w:val="51"/>
    <w:link w:val="10"/>
    <w:qFormat/>
    <w:uiPriority w:val="9"/>
    <w:rPr>
      <w:rFonts w:ascii="Arial" w:hAnsi="Arial" w:eastAsia="Arial" w:cs="Arial"/>
      <w:i/>
      <w:iCs/>
      <w:sz w:val="22"/>
      <w:szCs w:val="22"/>
    </w:rPr>
  </w:style>
  <w:style w:type="character" w:customStyle="1" w:styleId="68">
    <w:name w:val="Heading 9 Char"/>
    <w:basedOn w:val="51"/>
    <w:link w:val="11"/>
    <w:qFormat/>
    <w:uiPriority w:val="9"/>
    <w:rPr>
      <w:rFonts w:ascii="Arial" w:hAnsi="Arial" w:eastAsia="Arial" w:cs="Arial"/>
      <w:i/>
      <w:iCs/>
      <w:sz w:val="21"/>
      <w:szCs w:val="21"/>
    </w:rPr>
  </w:style>
  <w:style w:type="character" w:customStyle="1" w:styleId="69">
    <w:name w:val="Title Char"/>
    <w:basedOn w:val="51"/>
    <w:qFormat/>
    <w:uiPriority w:val="10"/>
    <w:rPr>
      <w:sz w:val="48"/>
      <w:szCs w:val="48"/>
    </w:rPr>
  </w:style>
  <w:style w:type="character" w:customStyle="1" w:styleId="70">
    <w:name w:val="Subtitle Char"/>
    <w:basedOn w:val="51"/>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51"/>
    <w:qFormat/>
    <w:uiPriority w:val="99"/>
  </w:style>
  <w:style w:type="character" w:customStyle="1" w:styleId="76">
    <w:name w:val="Footer Char"/>
    <w:basedOn w:val="51"/>
    <w:qFormat/>
    <w:uiPriority w:val="99"/>
  </w:style>
  <w:style w:type="character" w:customStyle="1" w:styleId="77">
    <w:name w:val="Caption Char"/>
    <w:qFormat/>
    <w:uiPriority w:val="99"/>
  </w:style>
  <w:style w:type="table" w:customStyle="1" w:styleId="78">
    <w:name w:val="Table Grid Light"/>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Footnote Text Char"/>
    <w:link w:val="35"/>
    <w:qFormat/>
    <w:uiPriority w:val="99"/>
    <w:rPr>
      <w:sz w:val="18"/>
    </w:rPr>
  </w:style>
  <w:style w:type="character" w:customStyle="1" w:styleId="204">
    <w:name w:val="Endnote Text Char"/>
    <w:link w:val="26"/>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character" w:customStyle="1" w:styleId="206">
    <w:name w:val="文档结构图 Char"/>
    <w:link w:val="14"/>
    <w:qFormat/>
    <w:uiPriority w:val="0"/>
    <w:rPr>
      <w:rFonts w:ascii="宋体"/>
      <w:sz w:val="18"/>
      <w:szCs w:val="18"/>
    </w:rPr>
  </w:style>
  <w:style w:type="character" w:customStyle="1" w:styleId="207">
    <w:name w:val="正文文本缩进 Char"/>
    <w:link w:val="18"/>
    <w:qFormat/>
    <w:uiPriority w:val="99"/>
    <w:rPr>
      <w:sz w:val="21"/>
      <w:szCs w:val="22"/>
      <w:lang w:bidi="ar-SA"/>
    </w:rPr>
  </w:style>
  <w:style w:type="character" w:customStyle="1" w:styleId="208">
    <w:name w:val="批注文字 Char"/>
    <w:link w:val="15"/>
    <w:qFormat/>
    <w:uiPriority w:val="0"/>
    <w:rPr>
      <w:sz w:val="21"/>
      <w:szCs w:val="22"/>
    </w:rPr>
  </w:style>
  <w:style w:type="character" w:customStyle="1" w:styleId="209">
    <w:name w:val="页眉 Char"/>
    <w:link w:val="30"/>
    <w:qFormat/>
    <w:uiPriority w:val="0"/>
    <w:rPr>
      <w:sz w:val="18"/>
      <w:szCs w:val="18"/>
      <w:lang w:bidi="ar-SA"/>
    </w:rPr>
  </w:style>
  <w:style w:type="character" w:customStyle="1" w:styleId="210">
    <w:name w:val="页脚 Char"/>
    <w:link w:val="28"/>
    <w:qFormat/>
    <w:uiPriority w:val="0"/>
    <w:rPr>
      <w:sz w:val="18"/>
      <w:szCs w:val="18"/>
      <w:lang w:bidi="ar-SA"/>
    </w:rPr>
  </w:style>
  <w:style w:type="character" w:customStyle="1" w:styleId="211">
    <w:name w:val="批注框文本 Char"/>
    <w:link w:val="27"/>
    <w:semiHidden/>
    <w:qFormat/>
    <w:uiPriority w:val="0"/>
    <w:rPr>
      <w:sz w:val="18"/>
      <w:szCs w:val="18"/>
      <w:lang w:bidi="ar-SA"/>
    </w:rPr>
  </w:style>
  <w:style w:type="character" w:customStyle="1" w:styleId="212">
    <w:name w:val="纯文本 Char"/>
    <w:link w:val="22"/>
    <w:qFormat/>
    <w:uiPriority w:val="0"/>
    <w:rPr>
      <w:rFonts w:ascii="宋体" w:hAnsi="Courier New" w:eastAsia="宋体"/>
      <w:szCs w:val="21"/>
      <w:lang w:bidi="ar-SA"/>
    </w:rPr>
  </w:style>
  <w:style w:type="character" w:customStyle="1" w:styleId="213">
    <w:name w:val="标题 1 Char"/>
    <w:link w:val="2"/>
    <w:qFormat/>
    <w:uiPriority w:val="0"/>
    <w:rPr>
      <w:rFonts w:eastAsia="宋体"/>
      <w:b/>
      <w:bCs/>
      <w:sz w:val="44"/>
      <w:szCs w:val="44"/>
      <w:lang w:bidi="ar-SA"/>
    </w:rPr>
  </w:style>
  <w:style w:type="character" w:customStyle="1" w:styleId="214">
    <w:name w:val="正文缩进 Char"/>
    <w:link w:val="6"/>
    <w:qFormat/>
    <w:uiPriority w:val="0"/>
    <w:rPr>
      <w:rFonts w:eastAsia="宋体"/>
      <w:sz w:val="21"/>
      <w:szCs w:val="22"/>
      <w:lang w:val="en-US" w:eastAsia="zh-CN" w:bidi="ar-SA"/>
    </w:rPr>
  </w:style>
  <w:style w:type="character" w:customStyle="1" w:styleId="215">
    <w:name w:val="正文文本 Char"/>
    <w:link w:val="17"/>
    <w:qFormat/>
    <w:uiPriority w:val="0"/>
    <w:rPr>
      <w:rFonts w:ascii="楷体_GB2312" w:hAnsi="Arial" w:eastAsia="楷体_GB2312"/>
      <w:sz w:val="28"/>
      <w:szCs w:val="28"/>
      <w:lang w:bidi="ar-SA"/>
    </w:rPr>
  </w:style>
  <w:style w:type="character" w:customStyle="1" w:styleId="216">
    <w:name w:val="批注主题 Char"/>
    <w:link w:val="46"/>
    <w:qFormat/>
    <w:uiPriority w:val="0"/>
    <w:rPr>
      <w:b/>
      <w:bCs/>
      <w:sz w:val="21"/>
      <w:szCs w:val="22"/>
    </w:rPr>
  </w:style>
  <w:style w:type="character" w:customStyle="1" w:styleId="217">
    <w:name w:val="style41"/>
    <w:qFormat/>
    <w:uiPriority w:val="0"/>
    <w:rPr>
      <w:color w:val="0B50A4"/>
    </w:rPr>
  </w:style>
  <w:style w:type="character" w:customStyle="1" w:styleId="218">
    <w:name w:val="标题 4 Char"/>
    <w:link w:val="5"/>
    <w:qFormat/>
    <w:uiPriority w:val="0"/>
    <w:rPr>
      <w:rFonts w:ascii="Arial" w:hAnsi="Arial" w:eastAsia="黑体"/>
      <w:b/>
      <w:bCs/>
      <w:sz w:val="28"/>
      <w:szCs w:val="28"/>
      <w:lang w:bidi="ar-SA"/>
    </w:rPr>
  </w:style>
  <w:style w:type="character" w:customStyle="1" w:styleId="219">
    <w:name w:val="列出段落 Char"/>
    <w:link w:val="220"/>
    <w:qFormat/>
    <w:uiPriority w:val="0"/>
    <w:rPr>
      <w:sz w:val="24"/>
      <w:szCs w:val="24"/>
      <w:lang w:eastAsia="en-US" w:bidi="en-US"/>
    </w:rPr>
  </w:style>
  <w:style w:type="paragraph" w:customStyle="1" w:styleId="220">
    <w:name w:val="列出段落1"/>
    <w:basedOn w:val="1"/>
    <w:link w:val="219"/>
    <w:qFormat/>
    <w:uiPriority w:val="0"/>
    <w:pPr>
      <w:widowControl/>
      <w:ind w:left="720"/>
      <w:contextualSpacing/>
      <w:jc w:val="left"/>
    </w:pPr>
    <w:rPr>
      <w:sz w:val="24"/>
      <w:szCs w:val="24"/>
      <w:lang w:eastAsia="en-US" w:bidi="en-US"/>
    </w:rPr>
  </w:style>
  <w:style w:type="paragraph" w:customStyle="1" w:styleId="221">
    <w:name w:val="p0"/>
    <w:basedOn w:val="1"/>
    <w:qFormat/>
    <w:uiPriority w:val="0"/>
    <w:pPr>
      <w:widowControl/>
    </w:pPr>
    <w:rPr>
      <w:szCs w:val="21"/>
    </w:rPr>
  </w:style>
  <w:style w:type="paragraph" w:customStyle="1" w:styleId="222">
    <w:name w:val="正文空2格  1."/>
    <w:basedOn w:val="1"/>
    <w:qFormat/>
    <w:uiPriority w:val="0"/>
    <w:pPr>
      <w:ind w:firstLine="480"/>
    </w:pPr>
    <w:rPr>
      <w:rFonts w:cs="宋体"/>
      <w:sz w:val="28"/>
      <w:szCs w:val="20"/>
    </w:rPr>
  </w:style>
  <w:style w:type="paragraph" w:customStyle="1" w:styleId="223">
    <w:name w:val="段"/>
    <w:qFormat/>
    <w:uiPriority w:val="0"/>
    <w:pPr>
      <w:ind w:firstLine="200"/>
      <w:jc w:val="both"/>
    </w:pPr>
    <w:rPr>
      <w:rFonts w:hint="default" w:ascii="宋体" w:hAnsi="Times New Roman" w:eastAsia="宋体" w:cs="Times New Roman"/>
      <w:sz w:val="21"/>
    </w:rPr>
  </w:style>
  <w:style w:type="paragraph" w:customStyle="1" w:styleId="22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5">
    <w:name w:val="Char"/>
    <w:basedOn w:val="1"/>
    <w:qFormat/>
    <w:uiPriority w:val="0"/>
    <w:pPr>
      <w:tabs>
        <w:tab w:val="left" w:pos="360"/>
      </w:tabs>
      <w:ind w:firstLine="200"/>
    </w:pPr>
    <w:rPr>
      <w:sz w:val="28"/>
      <w:szCs w:val="30"/>
    </w:rPr>
  </w:style>
  <w:style w:type="paragraph" w:styleId="226">
    <w:name w:val="List Paragraph"/>
    <w:basedOn w:val="1"/>
    <w:qFormat/>
    <w:uiPriority w:val="34"/>
    <w:pPr>
      <w:ind w:firstLine="420"/>
    </w:pPr>
    <w:rPr>
      <w:szCs w:val="21"/>
    </w:rPr>
  </w:style>
  <w:style w:type="character" w:customStyle="1" w:styleId="227">
    <w:name w:val="标题 2 Char"/>
    <w:basedOn w:val="51"/>
    <w:link w:val="3"/>
    <w:qFormat/>
    <w:uiPriority w:val="0"/>
    <w:rPr>
      <w:rFonts w:asciiTheme="majorHAnsi" w:hAnsiTheme="majorHAnsi" w:eastAsiaTheme="majorEastAsia" w:cstheme="majorBidi"/>
      <w:b/>
      <w:bCs/>
      <w:sz w:val="32"/>
      <w:szCs w:val="32"/>
    </w:rPr>
  </w:style>
  <w:style w:type="character" w:customStyle="1" w:styleId="228">
    <w:name w:val="qowt-font2"/>
    <w:basedOn w:val="51"/>
    <w:qFormat/>
    <w:uiPriority w:val="0"/>
  </w:style>
  <w:style w:type="paragraph" w:customStyle="1" w:styleId="229">
    <w:name w:val="qowt-stl-正文"/>
    <w:basedOn w:val="1"/>
    <w:qFormat/>
    <w:uiPriority w:val="0"/>
    <w:pPr>
      <w:widowControl/>
      <w:spacing w:before="100" w:beforeAutospacing="1" w:after="100" w:afterAutospacing="1"/>
      <w:jc w:val="left"/>
    </w:pPr>
    <w:rPr>
      <w:rFonts w:ascii="宋体" w:hAnsi="宋体" w:cs="宋体"/>
      <w:sz w:val="24"/>
      <w:szCs w:val="24"/>
    </w:rPr>
  </w:style>
  <w:style w:type="character" w:customStyle="1" w:styleId="230">
    <w:name w:val="纯文本 Char1"/>
    <w:qFormat/>
    <w:uiPriority w:val="0"/>
    <w:rPr>
      <w:rFonts w:ascii="宋体" w:hAnsi="Courier New"/>
    </w:rPr>
  </w:style>
  <w:style w:type="character" w:customStyle="1" w:styleId="231">
    <w:name w:val="日期 Char"/>
    <w:basedOn w:val="51"/>
    <w:link w:val="24"/>
    <w:qFormat/>
    <w:uiPriority w:val="0"/>
    <w:rPr>
      <w:sz w:val="21"/>
      <w:szCs w:val="22"/>
    </w:rPr>
  </w:style>
  <w:style w:type="character" w:customStyle="1" w:styleId="232">
    <w:name w:val="NormalCharacter"/>
    <w:qFormat/>
    <w:uiPriority w:val="0"/>
    <w:rPr>
      <w:rFonts w:ascii="Calibri" w:hAnsi="Calibri" w:eastAsia="宋体" w:cs="Times New Roman"/>
      <w:sz w:val="21"/>
      <w:szCs w:val="22"/>
      <w:lang w:val="en-US" w:eastAsia="zh-CN" w:bidi="ar-SA"/>
    </w:rPr>
  </w:style>
  <w:style w:type="character" w:customStyle="1" w:styleId="233">
    <w:name w:val="正文首行缩进 2 Char"/>
    <w:basedOn w:val="207"/>
    <w:link w:val="48"/>
    <w:qFormat/>
    <w:uiPriority w:val="99"/>
    <w:rPr>
      <w:rFonts w:asciiTheme="minorHAnsi" w:hAnsiTheme="minorHAnsi" w:eastAsiaTheme="minorEastAsia" w:cstheme="minorBidi"/>
      <w:sz w:val="21"/>
      <w:szCs w:val="22"/>
      <w:lang w:bidi="ar-SA"/>
    </w:rPr>
  </w:style>
  <w:style w:type="paragraph" w:styleId="234">
    <w:name w:val="No Spacing"/>
    <w:qFormat/>
    <w:uiPriority w:val="99"/>
    <w:pPr>
      <w:widowControl w:val="0"/>
      <w:jc w:val="both"/>
    </w:pPr>
    <w:rPr>
      <w:rFonts w:hint="default" w:asciiTheme="minorHAnsi" w:hAnsiTheme="minorHAnsi" w:eastAsiaTheme="minorEastAsia" w:cstheme="minorBidi"/>
      <w:sz w:val="21"/>
      <w:szCs w:val="22"/>
    </w:rPr>
  </w:style>
  <w:style w:type="character" w:customStyle="1" w:styleId="235">
    <w:name w:val="标题 3 Char"/>
    <w:basedOn w:val="51"/>
    <w:link w:val="4"/>
    <w:qFormat/>
    <w:uiPriority w:val="0"/>
    <w:rPr>
      <w:b/>
      <w:bCs/>
      <w:sz w:val="32"/>
      <w:szCs w:val="32"/>
    </w:rPr>
  </w:style>
  <w:style w:type="character" w:customStyle="1" w:styleId="236">
    <w:name w:val="标题 5 Char"/>
    <w:basedOn w:val="51"/>
    <w:link w:val="7"/>
    <w:qFormat/>
    <w:uiPriority w:val="0"/>
    <w:rPr>
      <w:b/>
      <w:bCs/>
      <w:sz w:val="28"/>
      <w:szCs w:val="28"/>
    </w:rPr>
  </w:style>
  <w:style w:type="paragraph" w:customStyle="1" w:styleId="237">
    <w:name w:val="表格文字"/>
    <w:basedOn w:val="1"/>
    <w:qFormat/>
    <w:uiPriority w:val="0"/>
    <w:pPr>
      <w:jc w:val="left"/>
    </w:pPr>
    <w:rPr>
      <w:bCs/>
      <w:spacing w:val="10"/>
      <w:szCs w:val="20"/>
    </w:rPr>
  </w:style>
  <w:style w:type="paragraph" w:customStyle="1" w:styleId="238">
    <w:name w:val="正文111"/>
    <w:qFormat/>
    <w:uiPriority w:val="0"/>
    <w:pPr>
      <w:widowControl w:val="0"/>
      <w:jc w:val="both"/>
    </w:pPr>
    <w:rPr>
      <w:rFonts w:hint="default" w:ascii="Times New Roman" w:hAnsi="Times New Roman" w:eastAsia="宋体" w:cs="Times New Roman"/>
      <w:sz w:val="21"/>
      <w:szCs w:val="24"/>
    </w:rPr>
  </w:style>
  <w:style w:type="paragraph" w:customStyle="1" w:styleId="239">
    <w:name w:val="投标文件正文"/>
    <w:basedOn w:val="1"/>
    <w:qFormat/>
    <w:uiPriority w:val="0"/>
    <w:pPr>
      <w:spacing w:line="440" w:lineRule="exact"/>
      <w:ind w:firstLine="560"/>
    </w:pPr>
    <w:rPr>
      <w:rFonts w:ascii="仿宋_GB2312" w:hAnsi="Calibri" w:eastAsia="仿宋_GB2312"/>
      <w:bCs/>
      <w:sz w:val="28"/>
      <w:szCs w:val="28"/>
    </w:rPr>
  </w:style>
  <w:style w:type="paragraph" w:customStyle="1" w:styleId="240">
    <w:name w:val="Body text|1"/>
    <w:basedOn w:val="1"/>
    <w:qFormat/>
    <w:uiPriority w:val="0"/>
    <w:pPr>
      <w:spacing w:line="331" w:lineRule="auto"/>
    </w:pPr>
    <w:rPr>
      <w:rFonts w:ascii="宋体" w:hAnsi="宋体" w:cs="宋体"/>
      <w:sz w:val="20"/>
      <w:szCs w:val="20"/>
      <w:lang w:val="zh-TW" w:eastAsia="zh-TW" w:bidi="zh-TW"/>
    </w:rPr>
  </w:style>
  <w:style w:type="character" w:customStyle="1" w:styleId="241">
    <w:name w:val="正文文本 3 Char"/>
    <w:basedOn w:val="51"/>
    <w:link w:val="16"/>
    <w:qFormat/>
    <w:uiPriority w:val="0"/>
    <w:rPr>
      <w:rFonts w:ascii="仿宋_GB2312" w:hAnsi="Arial" w:eastAsia="仿宋_GB2312"/>
      <w:sz w:val="32"/>
    </w:rPr>
  </w:style>
  <w:style w:type="character" w:customStyle="1" w:styleId="242">
    <w:name w:val="正文文本缩进 2 Char"/>
    <w:basedOn w:val="51"/>
    <w:link w:val="25"/>
    <w:qFormat/>
    <w:uiPriority w:val="0"/>
    <w:rPr>
      <w:rFonts w:ascii="宋体" w:hAnsi="宋体"/>
      <w:sz w:val="28"/>
      <w:szCs w:val="24"/>
    </w:rPr>
  </w:style>
  <w:style w:type="character" w:customStyle="1" w:styleId="243">
    <w:name w:val="副标题 Char"/>
    <w:basedOn w:val="51"/>
    <w:link w:val="33"/>
    <w:qFormat/>
    <w:uiPriority w:val="0"/>
    <w:rPr>
      <w:rFonts w:ascii="Cambria" w:hAnsi="Cambria"/>
      <w:b/>
      <w:bCs/>
      <w:sz w:val="32"/>
      <w:szCs w:val="32"/>
    </w:rPr>
  </w:style>
  <w:style w:type="character" w:customStyle="1" w:styleId="244">
    <w:name w:val="正文文本缩进 3 Char"/>
    <w:basedOn w:val="51"/>
    <w:link w:val="37"/>
    <w:qFormat/>
    <w:uiPriority w:val="0"/>
    <w:rPr>
      <w:rFonts w:ascii="仿宋_GB2312" w:hAnsi="宋体" w:eastAsia="仿宋_GB2312"/>
      <w:sz w:val="24"/>
      <w:szCs w:val="24"/>
    </w:rPr>
  </w:style>
  <w:style w:type="character" w:customStyle="1" w:styleId="245">
    <w:name w:val="正文文本 2 Char"/>
    <w:basedOn w:val="51"/>
    <w:link w:val="41"/>
    <w:qFormat/>
    <w:uiPriority w:val="0"/>
    <w:rPr>
      <w:rFonts w:ascii="仿宋_GB2312" w:eastAsia="仿宋_GB2312"/>
      <w:sz w:val="44"/>
      <w:szCs w:val="24"/>
    </w:rPr>
  </w:style>
  <w:style w:type="character" w:customStyle="1" w:styleId="246">
    <w:name w:val="HTML 预设格式 Char"/>
    <w:basedOn w:val="51"/>
    <w:link w:val="42"/>
    <w:qFormat/>
    <w:uiPriority w:val="0"/>
    <w:rPr>
      <w:rFonts w:ascii="黑体" w:hAnsi="Courier New" w:eastAsia="黑体" w:cs="Courier New"/>
    </w:rPr>
  </w:style>
  <w:style w:type="character" w:customStyle="1" w:styleId="247">
    <w:name w:val="标题 Char"/>
    <w:basedOn w:val="51"/>
    <w:link w:val="45"/>
    <w:qFormat/>
    <w:uiPriority w:val="0"/>
    <w:rPr>
      <w:rFonts w:ascii="Cambria" w:hAnsi="Cambria" w:eastAsiaTheme="minorEastAsia"/>
      <w:b/>
      <w:bCs/>
      <w:sz w:val="32"/>
      <w:szCs w:val="32"/>
    </w:rPr>
  </w:style>
  <w:style w:type="character" w:customStyle="1" w:styleId="248">
    <w:name w:val="标题 1 字符"/>
    <w:basedOn w:val="51"/>
    <w:qFormat/>
    <w:uiPriority w:val="9"/>
    <w:rPr>
      <w:b/>
      <w:bCs/>
      <w:sz w:val="44"/>
      <w:szCs w:val="44"/>
    </w:rPr>
  </w:style>
  <w:style w:type="character" w:customStyle="1" w:styleId="249">
    <w:name w:val="标题 2 字符"/>
    <w:basedOn w:val="51"/>
    <w:qFormat/>
    <w:uiPriority w:val="0"/>
    <w:rPr>
      <w:rFonts w:asciiTheme="majorHAnsi" w:hAnsiTheme="majorHAnsi" w:eastAsiaTheme="majorEastAsia" w:cstheme="majorBidi"/>
      <w:b/>
      <w:bCs/>
      <w:sz w:val="32"/>
      <w:szCs w:val="32"/>
    </w:rPr>
  </w:style>
  <w:style w:type="character" w:customStyle="1" w:styleId="250">
    <w:name w:val="标题 4 字符"/>
    <w:basedOn w:val="51"/>
    <w:semiHidden/>
    <w:qFormat/>
    <w:uiPriority w:val="9"/>
    <w:rPr>
      <w:rFonts w:asciiTheme="majorHAnsi" w:hAnsiTheme="majorHAnsi" w:eastAsiaTheme="majorEastAsia" w:cstheme="majorBidi"/>
      <w:b/>
      <w:bCs/>
      <w:sz w:val="28"/>
      <w:szCs w:val="28"/>
    </w:rPr>
  </w:style>
  <w:style w:type="paragraph" w:customStyle="1" w:styleId="251">
    <w:name w:val="_Style 20"/>
    <w:qFormat/>
    <w:uiPriority w:val="99"/>
    <w:pPr>
      <w:widowControl w:val="0"/>
      <w:jc w:val="both"/>
    </w:pPr>
    <w:rPr>
      <w:rFonts w:hint="default" w:asciiTheme="minorHAnsi" w:hAnsiTheme="minorHAnsi" w:eastAsiaTheme="minorEastAsia" w:cstheme="minorBidi"/>
      <w:sz w:val="21"/>
      <w:szCs w:val="22"/>
    </w:rPr>
  </w:style>
  <w:style w:type="character" w:customStyle="1" w:styleId="252">
    <w:name w:val="jj1"/>
    <w:qFormat/>
    <w:uiPriority w:val="0"/>
    <w:rPr>
      <w:sz w:val="20"/>
      <w:szCs w:val="20"/>
      <w:u w:val="none"/>
    </w:rPr>
  </w:style>
  <w:style w:type="character" w:customStyle="1" w:styleId="253">
    <w:name w:val="标题2 Char"/>
    <w:qFormat/>
    <w:uiPriority w:val="0"/>
    <w:rPr>
      <w:rFonts w:ascii="方正楷体_GBK" w:hAnsi="Book Antiqua" w:eastAsia="方正楷体_GBK"/>
      <w:sz w:val="32"/>
      <w:lang w:val="en-US" w:eastAsia="zh-CN" w:bidi="ar-SA"/>
    </w:rPr>
  </w:style>
  <w:style w:type="character" w:customStyle="1" w:styleId="254">
    <w:name w:val="正文文本 字符"/>
    <w:basedOn w:val="51"/>
    <w:semiHidden/>
    <w:qFormat/>
    <w:uiPriority w:val="99"/>
  </w:style>
  <w:style w:type="character" w:customStyle="1" w:styleId="255">
    <w:name w:val="批注文字 字符"/>
    <w:basedOn w:val="51"/>
    <w:qFormat/>
    <w:uiPriority w:val="0"/>
  </w:style>
  <w:style w:type="character" w:customStyle="1" w:styleId="256">
    <w:name w:val="纯文本 字符"/>
    <w:basedOn w:val="51"/>
    <w:qFormat/>
    <w:uiPriority w:val="0"/>
    <w:rPr>
      <w:rFonts w:hAnsi="Courier New" w:cs="Courier New" w:asciiTheme="minorEastAsia"/>
    </w:rPr>
  </w:style>
  <w:style w:type="character" w:customStyle="1" w:styleId="257">
    <w:name w:val="日期 字符"/>
    <w:basedOn w:val="51"/>
    <w:qFormat/>
    <w:uiPriority w:val="0"/>
  </w:style>
  <w:style w:type="character" w:customStyle="1" w:styleId="258">
    <w:name w:val="批注主题 字符"/>
    <w:basedOn w:val="255"/>
    <w:semiHidden/>
    <w:qFormat/>
    <w:uiPriority w:val="99"/>
    <w:rPr>
      <w:b/>
      <w:bCs/>
    </w:rPr>
  </w:style>
  <w:style w:type="character" w:customStyle="1" w:styleId="259">
    <w:name w:val="标题 字符"/>
    <w:basedOn w:val="51"/>
    <w:qFormat/>
    <w:uiPriority w:val="10"/>
    <w:rPr>
      <w:rFonts w:asciiTheme="majorHAnsi" w:hAnsiTheme="majorHAnsi" w:eastAsiaTheme="majorEastAsia" w:cstheme="majorBidi"/>
      <w:b/>
      <w:bCs/>
      <w:sz w:val="32"/>
      <w:szCs w:val="32"/>
    </w:rPr>
  </w:style>
  <w:style w:type="paragraph" w:customStyle="1" w:styleId="260">
    <w:name w:val="Char Char Char Char1 Char Char"/>
    <w:basedOn w:val="1"/>
    <w:qFormat/>
    <w:uiPriority w:val="0"/>
    <w:pPr>
      <w:tabs>
        <w:tab w:val="left" w:pos="360"/>
      </w:tabs>
    </w:pPr>
    <w:rPr>
      <w:sz w:val="24"/>
      <w:szCs w:val="24"/>
    </w:rPr>
  </w:style>
  <w:style w:type="paragraph" w:customStyle="1" w:styleId="261">
    <w:name w:val="Char Char Char Char"/>
    <w:basedOn w:val="14"/>
    <w:qFormat/>
    <w:uiPriority w:val="0"/>
    <w:pPr>
      <w:shd w:val="clear" w:color="auto" w:fill="000080"/>
      <w:spacing w:line="360" w:lineRule="auto"/>
    </w:pPr>
    <w:rPr>
      <w:rFonts w:ascii="Tahoma" w:hAnsi="Tahoma"/>
      <w:sz w:val="24"/>
      <w:szCs w:val="24"/>
    </w:rPr>
  </w:style>
  <w:style w:type="paragraph" w:customStyle="1" w:styleId="262">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63">
    <w:name w:val="标题1"/>
    <w:basedOn w:val="1"/>
    <w:next w:val="1"/>
    <w:qFormat/>
    <w:uiPriority w:val="0"/>
    <w:pPr>
      <w:tabs>
        <w:tab w:val="left" w:pos="9193"/>
        <w:tab w:val="left" w:pos="9827"/>
      </w:tabs>
      <w:spacing w:line="700" w:lineRule="atLeast"/>
      <w:jc w:val="center"/>
    </w:pPr>
    <w:rPr>
      <w:rFonts w:eastAsia="方正小标宋_GBK"/>
      <w:sz w:val="44"/>
      <w:szCs w:val="24"/>
    </w:rPr>
  </w:style>
  <w:style w:type="paragraph" w:customStyle="1" w:styleId="264">
    <w:name w:val="默认段落字体 Para Char Char Char Char Char Char Char Char Char1 Char Char Char Char Char Char Char"/>
    <w:basedOn w:val="14"/>
    <w:qFormat/>
    <w:uiPriority w:val="0"/>
    <w:pPr>
      <w:shd w:val="clear" w:color="auto" w:fill="000080"/>
    </w:pPr>
    <w:rPr>
      <w:rFonts w:ascii="Tahoma" w:hAnsi="Tahoma"/>
      <w:sz w:val="24"/>
      <w:szCs w:val="24"/>
    </w:rPr>
  </w:style>
  <w:style w:type="paragraph" w:customStyle="1" w:styleId="26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66">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67">
    <w:name w:val="正文 1.1"/>
    <w:basedOn w:val="1"/>
    <w:next w:val="262"/>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68">
    <w:name w:val="标题2"/>
    <w:basedOn w:val="1"/>
    <w:next w:val="1"/>
    <w:qFormat/>
    <w:uiPriority w:val="0"/>
    <w:pPr>
      <w:jc w:val="center"/>
    </w:pPr>
    <w:rPr>
      <w:rFonts w:eastAsia="方正楷体_GBK"/>
      <w:szCs w:val="24"/>
    </w:rPr>
  </w:style>
  <w:style w:type="paragraph" w:customStyle="1" w:styleId="269">
    <w:name w:val="标书正文格式"/>
    <w:qFormat/>
    <w:uiPriority w:val="0"/>
    <w:pPr>
      <w:spacing w:line="360" w:lineRule="auto"/>
      <w:ind w:firstLine="200"/>
    </w:pPr>
    <w:rPr>
      <w:rFonts w:hint="default" w:ascii="Times New Roman" w:hAnsi="Times New Roman" w:eastAsia="楷体_GB2312" w:cs="Times New Roman"/>
      <w:sz w:val="24"/>
      <w:szCs w:val="24"/>
    </w:rPr>
  </w:style>
  <w:style w:type="paragraph" w:customStyle="1" w:styleId="270">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71">
    <w:name w:val="Coms Alinea"/>
    <w:qFormat/>
    <w:uiPriority w:val="0"/>
    <w:pPr>
      <w:widowControl w:val="0"/>
    </w:pPr>
    <w:rPr>
      <w:rFonts w:hint="default" w:ascii="Arial" w:hAnsi="Arial" w:eastAsia="宋体" w:cs="Arial"/>
    </w:rPr>
  </w:style>
  <w:style w:type="paragraph" w:customStyle="1" w:styleId="272">
    <w:name w:val="Char1"/>
    <w:basedOn w:val="1"/>
    <w:qFormat/>
    <w:uiPriority w:val="0"/>
    <w:rPr>
      <w:rFonts w:ascii="Tahoma" w:hAnsi="Tahoma"/>
      <w:sz w:val="24"/>
      <w:szCs w:val="20"/>
    </w:rPr>
  </w:style>
  <w:style w:type="paragraph" w:customStyle="1" w:styleId="273">
    <w:name w:val="正文 第一章"/>
    <w:basedOn w:val="1"/>
    <w:next w:val="267"/>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74">
    <w:name w:val="标题3"/>
    <w:basedOn w:val="1"/>
    <w:next w:val="1"/>
    <w:qFormat/>
    <w:uiPriority w:val="0"/>
    <w:rPr>
      <w:rFonts w:eastAsia="方正黑体_GBK"/>
      <w:szCs w:val="24"/>
    </w:rPr>
  </w:style>
  <w:style w:type="paragraph" w:customStyle="1" w:styleId="275">
    <w:name w:val="BioQuote Tekst"/>
    <w:basedOn w:val="1"/>
    <w:qFormat/>
    <w:uiPriority w:val="0"/>
    <w:pPr>
      <w:ind w:right="-1"/>
    </w:pPr>
    <w:rPr>
      <w:rFonts w:ascii="Arial" w:hAnsi="Arial"/>
      <w:sz w:val="22"/>
      <w:szCs w:val="20"/>
      <w:lang w:eastAsia="en-US"/>
    </w:rPr>
  </w:style>
  <w:style w:type="paragraph" w:customStyle="1" w:styleId="276">
    <w:name w:val="纯文本1"/>
    <w:basedOn w:val="1"/>
    <w:qFormat/>
    <w:uiPriority w:val="0"/>
    <w:rPr>
      <w:rFonts w:ascii="宋体" w:hAnsi="宋体" w:eastAsia="楷体_GB2312" w:cs="宋体"/>
      <w:sz w:val="28"/>
      <w:szCs w:val="20"/>
    </w:rPr>
  </w:style>
  <w:style w:type="paragraph" w:customStyle="1" w:styleId="277">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278">
    <w:name w:val="Char Char Char Char1 Char Char Char"/>
    <w:basedOn w:val="14"/>
    <w:qFormat/>
    <w:uiPriority w:val="0"/>
    <w:pPr>
      <w:shd w:val="clear" w:color="auto" w:fill="000080"/>
      <w:spacing w:line="360" w:lineRule="auto"/>
    </w:pPr>
    <w:rPr>
      <w:rFonts w:ascii="Tahoma" w:hAnsi="Tahoma"/>
      <w:sz w:val="24"/>
      <w:szCs w:val="24"/>
    </w:rPr>
  </w:style>
  <w:style w:type="paragraph" w:customStyle="1" w:styleId="279">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80">
    <w:name w:val="Table Text"/>
    <w:qFormat/>
    <w:uiPriority w:val="0"/>
    <w:pPr>
      <w:spacing w:after="80"/>
      <w:jc w:val="center"/>
    </w:pPr>
    <w:rPr>
      <w:rFonts w:hint="default" w:ascii="仿宋_GB2312" w:hAnsi="宋体" w:eastAsia="仿宋_GB2312" w:cs="Times New Roman"/>
      <w:sz w:val="24"/>
    </w:rPr>
  </w:style>
  <w:style w:type="paragraph" w:customStyle="1" w:styleId="281">
    <w:name w:val="正文1"/>
    <w:link w:val="288"/>
    <w:qFormat/>
    <w:uiPriority w:val="99"/>
    <w:pPr>
      <w:widowControl w:val="0"/>
      <w:spacing w:line="312" w:lineRule="atLeast"/>
      <w:jc w:val="both"/>
    </w:pPr>
    <w:rPr>
      <w:rFonts w:hint="default" w:ascii="宋体" w:hAnsi="Times New Roman" w:eastAsia="宋体" w:cs="Times New Roman"/>
      <w:sz w:val="34"/>
      <w:szCs w:val="34"/>
    </w:rPr>
  </w:style>
  <w:style w:type="paragraph" w:customStyle="1" w:styleId="282">
    <w:name w:val="Heading 2"/>
    <w:basedOn w:val="1"/>
    <w:next w:val="1"/>
    <w:qFormat/>
    <w:uiPriority w:val="0"/>
    <w:pPr>
      <w:keepNext/>
      <w:keepLines/>
      <w:widowControl/>
      <w:tabs>
        <w:tab w:val="left" w:pos="0"/>
      </w:tabs>
      <w:spacing w:line="720" w:lineRule="auto"/>
    </w:pPr>
    <w:rPr>
      <w:rFonts w:ascii="宋体" w:hAnsi="宋体"/>
      <w:sz w:val="28"/>
      <w:szCs w:val="20"/>
    </w:rPr>
  </w:style>
  <w:style w:type="paragraph" w:customStyle="1" w:styleId="283">
    <w:name w:val="Heading 3"/>
    <w:next w:val="1"/>
    <w:qFormat/>
    <w:uiPriority w:val="0"/>
    <w:pPr>
      <w:keepNext/>
      <w:keepLines/>
      <w:tabs>
        <w:tab w:val="left" w:pos="720"/>
      </w:tabs>
      <w:spacing w:before="260" w:after="260" w:line="416" w:lineRule="auto"/>
      <w:ind w:left="720" w:hanging="720"/>
    </w:pPr>
    <w:rPr>
      <w:rFonts w:hint="default" w:ascii="Arial" w:hAnsi="Arial" w:eastAsia="黑体" w:cs="Times New Roman"/>
      <w:sz w:val="30"/>
      <w:szCs w:val="32"/>
    </w:rPr>
  </w:style>
  <w:style w:type="paragraph" w:customStyle="1" w:styleId="284">
    <w:name w:val="Heading 4"/>
    <w:basedOn w:val="1"/>
    <w:next w:val="1"/>
    <w:link w:val="285"/>
    <w:qFormat/>
    <w:uiPriority w:val="0"/>
    <w:pPr>
      <w:widowControl/>
      <w:spacing w:before="280" w:after="290" w:line="377" w:lineRule="auto"/>
    </w:pPr>
    <w:rPr>
      <w:rFonts w:ascii="Arial" w:hAnsi="Arial" w:eastAsia="黑体"/>
      <w:sz w:val="28"/>
      <w:szCs w:val="28"/>
    </w:rPr>
  </w:style>
  <w:style w:type="character" w:customStyle="1" w:styleId="285">
    <w:name w:val="UserStyle_0"/>
    <w:link w:val="284"/>
    <w:qFormat/>
    <w:uiPriority w:val="0"/>
    <w:rPr>
      <w:rFonts w:ascii="Arial" w:hAnsi="Arial" w:eastAsia="黑体"/>
      <w:sz w:val="28"/>
      <w:szCs w:val="28"/>
    </w:rPr>
  </w:style>
  <w:style w:type="character" w:customStyle="1" w:styleId="286">
    <w:name w:val="UserStyle_16"/>
    <w:link w:val="287"/>
    <w:qFormat/>
    <w:uiPriority w:val="0"/>
    <w:rPr>
      <w:rFonts w:ascii="宋体" w:hAnsi="Courier New"/>
      <w:szCs w:val="21"/>
    </w:rPr>
  </w:style>
  <w:style w:type="paragraph" w:customStyle="1" w:styleId="287">
    <w:name w:val="PlainText"/>
    <w:basedOn w:val="1"/>
    <w:link w:val="286"/>
    <w:qFormat/>
    <w:uiPriority w:val="0"/>
    <w:pPr>
      <w:widowControl/>
    </w:pPr>
    <w:rPr>
      <w:rFonts w:ascii="宋体" w:hAnsi="Courier New"/>
      <w:sz w:val="20"/>
      <w:szCs w:val="21"/>
    </w:rPr>
  </w:style>
  <w:style w:type="character" w:customStyle="1" w:styleId="288">
    <w:name w:val="正文 Char"/>
    <w:link w:val="281"/>
    <w:qFormat/>
    <w:uiPriority w:val="99"/>
    <w:rPr>
      <w:rFonts w:ascii="宋体"/>
      <w:sz w:val="34"/>
      <w:szCs w:val="34"/>
    </w:rPr>
  </w:style>
  <w:style w:type="character" w:customStyle="1" w:styleId="289">
    <w:name w:val="font71"/>
    <w:qFormat/>
    <w:uiPriority w:val="0"/>
    <w:rPr>
      <w:rFonts w:hint="eastAsia" w:ascii="仿宋" w:hAnsi="仿宋" w:eastAsia="仿宋" w:cs="仿宋"/>
      <w:color w:val="000000"/>
      <w:sz w:val="22"/>
      <w:szCs w:val="22"/>
      <w:u w:val="none"/>
      <w:lang w:eastAsia="en-US"/>
    </w:rPr>
  </w:style>
  <w:style w:type="character" w:customStyle="1" w:styleId="290">
    <w:name w:val="font61"/>
    <w:qFormat/>
    <w:uiPriority w:val="0"/>
    <w:rPr>
      <w:rFonts w:hint="default" w:ascii="Times New Roman" w:hAnsi="Times New Roman" w:cs="Times New Roman"/>
      <w:color w:val="000000"/>
      <w:sz w:val="22"/>
      <w:szCs w:val="22"/>
      <w:u w:val="none"/>
      <w:lang w:eastAsia="en-US"/>
    </w:rPr>
  </w:style>
  <w:style w:type="paragraph" w:customStyle="1" w:styleId="291">
    <w:name w:val="列表段落1"/>
    <w:basedOn w:val="1"/>
    <w:qFormat/>
    <w:uiPriority w:val="34"/>
    <w:pPr>
      <w:ind w:firstLine="420"/>
    </w:pPr>
    <w:rPr>
      <w:rFonts w:ascii="Calibri" w:hAnsi="Calibri"/>
    </w:rPr>
  </w:style>
  <w:style w:type="character" w:customStyle="1" w:styleId="292">
    <w:name w:val="font21"/>
    <w:qFormat/>
    <w:uiPriority w:val="0"/>
    <w:rPr>
      <w:rFonts w:hint="default" w:ascii="微软雅黑" w:hAnsi="微软雅黑" w:eastAsia="微软雅黑" w:cs="微软雅黑"/>
      <w:color w:val="000000"/>
      <w:sz w:val="22"/>
      <w:szCs w:val="22"/>
      <w:u w:val="none"/>
    </w:rPr>
  </w:style>
  <w:style w:type="character" w:customStyle="1" w:styleId="293">
    <w:name w:val="font91"/>
    <w:qFormat/>
    <w:uiPriority w:val="0"/>
    <w:rPr>
      <w:rFonts w:hint="default" w:ascii="微软雅黑" w:hAnsi="微软雅黑" w:eastAsia="微软雅黑" w:cs="微软雅黑"/>
      <w:color w:val="000000"/>
      <w:sz w:val="22"/>
      <w:szCs w:val="22"/>
      <w:u w:val="none"/>
    </w:rPr>
  </w:style>
  <w:style w:type="character" w:customStyle="1" w:styleId="294">
    <w:name w:val="font11"/>
    <w:qFormat/>
    <w:uiPriority w:val="0"/>
    <w:rPr>
      <w:rFonts w:hint="eastAsia" w:ascii="宋体" w:hAnsi="宋体" w:eastAsia="宋体" w:cs="宋体"/>
      <w:color w:val="000000"/>
      <w:sz w:val="24"/>
      <w:szCs w:val="24"/>
      <w:u w:val="none"/>
    </w:rPr>
  </w:style>
  <w:style w:type="character" w:customStyle="1" w:styleId="295">
    <w:name w:val="font01"/>
    <w:qFormat/>
    <w:uiPriority w:val="0"/>
    <w:rPr>
      <w:rFonts w:ascii="Arial" w:hAnsi="Arial" w:cs="Arial"/>
      <w:color w:val="000000"/>
      <w:sz w:val="21"/>
      <w:szCs w:val="21"/>
      <w:u w:val="none"/>
    </w:rPr>
  </w:style>
  <w:style w:type="character" w:customStyle="1" w:styleId="296">
    <w:name w:val="font81"/>
    <w:qFormat/>
    <w:uiPriority w:val="0"/>
    <w:rPr>
      <w:rFonts w:hint="eastAsia" w:ascii="宋体" w:hAnsi="宋体" w:eastAsia="宋体" w:cs="宋体"/>
      <w:color w:val="000000"/>
      <w:sz w:val="20"/>
      <w:szCs w:val="20"/>
      <w:u w:val="none"/>
    </w:rPr>
  </w:style>
  <w:style w:type="paragraph" w:customStyle="1" w:styleId="29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29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9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300">
    <w:name w:val="xl93"/>
    <w:basedOn w:val="1"/>
    <w:qFormat/>
    <w:uiPriority w:val="0"/>
    <w:pPr>
      <w:widowControl/>
      <w:pBdr>
        <w:bottom w:val="single" w:color="auto" w:sz="4" w:space="0"/>
      </w:pBdr>
      <w:spacing w:before="100" w:beforeAutospacing="1" w:after="100" w:afterAutospacing="1"/>
      <w:jc w:val="center"/>
    </w:pPr>
    <w:rPr>
      <w:rFonts w:ascii="宋体" w:hAnsi="宋体" w:cs="宋体"/>
      <w:b/>
      <w:bCs/>
      <w:sz w:val="36"/>
      <w:szCs w:val="36"/>
    </w:rPr>
  </w:style>
  <w:style w:type="character" w:customStyle="1" w:styleId="301">
    <w:name w:val="纯文本 字符1"/>
    <w:semiHidden/>
    <w:qFormat/>
    <w:uiPriority w:val="99"/>
    <w:rPr>
      <w:rFonts w:ascii="等线" w:hAnsi="Courier New" w:cs="Courier New"/>
    </w:rPr>
  </w:style>
  <w:style w:type="paragraph" w:customStyle="1" w:styleId="302">
    <w:name w:val="xl83"/>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03">
    <w:name w:val="font7"/>
    <w:basedOn w:val="1"/>
    <w:qFormat/>
    <w:uiPriority w:val="0"/>
    <w:pPr>
      <w:widowControl/>
      <w:spacing w:before="100" w:beforeAutospacing="1" w:after="100" w:afterAutospacing="1"/>
      <w:jc w:val="left"/>
    </w:pPr>
    <w:rPr>
      <w:rFonts w:ascii="微软雅黑" w:hAnsi="微软雅黑" w:eastAsia="微软雅黑" w:cs="宋体"/>
      <w:color w:val="FF0000"/>
      <w:sz w:val="20"/>
      <w:szCs w:val="20"/>
    </w:rPr>
  </w:style>
  <w:style w:type="paragraph" w:customStyle="1" w:styleId="30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0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306">
    <w:name w:val="xl84"/>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0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308">
    <w:name w:val="xl85"/>
    <w:basedOn w:val="1"/>
    <w:qFormat/>
    <w:uiPriority w:val="0"/>
    <w:pPr>
      <w:widowControl/>
      <w:spacing w:before="100" w:beforeAutospacing="1" w:after="100" w:afterAutospacing="1"/>
      <w:jc w:val="left"/>
    </w:pPr>
    <w:rPr>
      <w:rFonts w:ascii="宋体" w:hAnsi="宋体" w:cs="宋体"/>
      <w:color w:val="FF0000"/>
      <w:sz w:val="24"/>
      <w:szCs w:val="24"/>
    </w:rPr>
  </w:style>
  <w:style w:type="paragraph" w:customStyle="1" w:styleId="309">
    <w:name w:val="正文文本缩进 3 Char Char"/>
    <w:basedOn w:val="1"/>
    <w:qFormat/>
    <w:uiPriority w:val="0"/>
    <w:pPr>
      <w:spacing w:line="220" w:lineRule="exact"/>
      <w:ind w:firstLine="306"/>
    </w:pPr>
    <w:rPr>
      <w:szCs w:val="20"/>
    </w:rPr>
  </w:style>
  <w:style w:type="paragraph" w:customStyle="1" w:styleId="31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1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character" w:customStyle="1" w:styleId="312">
    <w:name w:val="日期 字符1"/>
    <w:semiHidden/>
    <w:qFormat/>
    <w:uiPriority w:val="99"/>
    <w:rPr>
      <w:rFonts w:ascii="Times New Roman" w:hAnsi="Times New Roman" w:eastAsia="宋体" w:cs="Times New Roman"/>
    </w:rPr>
  </w:style>
  <w:style w:type="paragraph" w:customStyle="1" w:styleId="313">
    <w:name w:val="font6"/>
    <w:basedOn w:val="1"/>
    <w:qFormat/>
    <w:uiPriority w:val="0"/>
    <w:pPr>
      <w:widowControl/>
      <w:spacing w:before="100" w:beforeAutospacing="1" w:after="100" w:afterAutospacing="1"/>
      <w:jc w:val="left"/>
    </w:pPr>
    <w:rPr>
      <w:rFonts w:ascii="宋体" w:hAnsi="宋体" w:cs="宋体"/>
      <w:b/>
      <w:bCs/>
      <w:color w:val="FF0000"/>
      <w:sz w:val="20"/>
      <w:szCs w:val="20"/>
    </w:rPr>
  </w:style>
  <w:style w:type="paragraph" w:customStyle="1" w:styleId="314">
    <w:name w:val="xl86"/>
    <w:basedOn w:val="1"/>
    <w:qFormat/>
    <w:uiPriority w:val="0"/>
    <w:pPr>
      <w:widowControl/>
      <w:spacing w:before="100" w:beforeAutospacing="1" w:after="100" w:afterAutospacing="1"/>
      <w:jc w:val="left"/>
    </w:pPr>
    <w:rPr>
      <w:rFonts w:ascii="宋体" w:hAnsi="宋体" w:cs="宋体"/>
      <w:sz w:val="24"/>
      <w:szCs w:val="24"/>
    </w:rPr>
  </w:style>
  <w:style w:type="character" w:customStyle="1" w:styleId="315">
    <w:name w:val="批注文字 字符1"/>
    <w:semiHidden/>
    <w:qFormat/>
    <w:uiPriority w:val="99"/>
    <w:rPr>
      <w:rFonts w:ascii="Times New Roman" w:hAnsi="Times New Roman" w:eastAsia="宋体" w:cs="Times New Roman"/>
    </w:rPr>
  </w:style>
  <w:style w:type="paragraph" w:customStyle="1" w:styleId="316">
    <w:name w:val="正文 New New New New New"/>
    <w:qFormat/>
    <w:uiPriority w:val="0"/>
    <w:pPr>
      <w:widowControl w:val="0"/>
      <w:jc w:val="both"/>
    </w:pPr>
    <w:rPr>
      <w:rFonts w:hint="default" w:ascii="Times New Roman" w:hAnsi="Times New Roman" w:eastAsia="宋体" w:cs="Times New Roman"/>
      <w:sz w:val="21"/>
      <w:szCs w:val="24"/>
    </w:rPr>
  </w:style>
  <w:style w:type="paragraph" w:customStyle="1" w:styleId="31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character" w:customStyle="1" w:styleId="318">
    <w:name w:val="正文文本缩进 3 字符1"/>
    <w:semiHidden/>
    <w:qFormat/>
    <w:uiPriority w:val="99"/>
    <w:rPr>
      <w:rFonts w:ascii="Times New Roman" w:hAnsi="Times New Roman" w:eastAsia="宋体" w:cs="Times New Roman"/>
      <w:sz w:val="16"/>
      <w:szCs w:val="16"/>
    </w:rPr>
  </w:style>
  <w:style w:type="paragraph" w:customStyle="1" w:styleId="31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2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321">
    <w:name w:val="font5"/>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2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23">
    <w:name w:val="列出段落2"/>
    <w:basedOn w:val="1"/>
    <w:qFormat/>
    <w:uiPriority w:val="34"/>
    <w:pPr>
      <w:ind w:firstLine="420"/>
    </w:pPr>
  </w:style>
  <w:style w:type="paragraph" w:customStyle="1" w:styleId="32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32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32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2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sz w:val="20"/>
      <w:szCs w:val="20"/>
    </w:rPr>
  </w:style>
  <w:style w:type="paragraph" w:customStyle="1" w:styleId="329">
    <w:name w:val="普通文字"/>
    <w:basedOn w:val="1"/>
    <w:next w:val="1"/>
    <w:qFormat/>
    <w:uiPriority w:val="0"/>
    <w:rPr>
      <w:rFonts w:ascii="宋体"/>
      <w:sz w:val="24"/>
    </w:rPr>
  </w:style>
  <w:style w:type="paragraph" w:customStyle="1" w:styleId="33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331">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sz w:val="18"/>
      <w:szCs w:val="18"/>
    </w:rPr>
  </w:style>
  <w:style w:type="paragraph" w:customStyle="1" w:styleId="332">
    <w:name w:val="xl9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sz w:val="20"/>
      <w:szCs w:val="20"/>
    </w:rPr>
  </w:style>
  <w:style w:type="paragraph" w:customStyle="1" w:styleId="33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34">
    <w:name w:val="xl9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FF0000"/>
      <w:sz w:val="20"/>
      <w:szCs w:val="20"/>
    </w:rPr>
  </w:style>
  <w:style w:type="paragraph" w:customStyle="1" w:styleId="33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36">
    <w:name w:val="xl99"/>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3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4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34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34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4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44">
    <w:name w:val="xl10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4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4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4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49">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35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52">
    <w:name w:val="xl115"/>
    <w:basedOn w:val="1"/>
    <w:qFormat/>
    <w:uiPriority w:val="0"/>
    <w:pPr>
      <w:widowControl/>
      <w:spacing w:before="100" w:beforeAutospacing="1" w:after="100" w:afterAutospacing="1"/>
      <w:jc w:val="left"/>
    </w:pPr>
    <w:rPr>
      <w:rFonts w:ascii="宋体" w:hAnsi="宋体" w:cs="宋体"/>
      <w:sz w:val="20"/>
      <w:szCs w:val="20"/>
    </w:rPr>
  </w:style>
  <w:style w:type="paragraph" w:customStyle="1" w:styleId="353">
    <w:name w:val="xl11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6"/>
      <w:szCs w:val="36"/>
    </w:rPr>
  </w:style>
  <w:style w:type="paragraph" w:customStyle="1" w:styleId="354">
    <w:name w:val="xl117"/>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6"/>
      <w:szCs w:val="36"/>
    </w:rPr>
  </w:style>
  <w:style w:type="paragraph" w:customStyle="1" w:styleId="355">
    <w:name w:val="xl11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6"/>
      <w:szCs w:val="36"/>
    </w:rPr>
  </w:style>
  <w:style w:type="paragraph" w:customStyle="1" w:styleId="356">
    <w:name w:val="xl119"/>
    <w:basedOn w:val="1"/>
    <w:qFormat/>
    <w:uiPriority w:val="0"/>
    <w:pPr>
      <w:widowControl/>
      <w:spacing w:before="100" w:beforeAutospacing="1" w:after="100" w:afterAutospacing="1"/>
      <w:jc w:val="left"/>
    </w:pPr>
    <w:rPr>
      <w:rFonts w:ascii="宋体" w:hAnsi="宋体" w:cs="宋体"/>
      <w:sz w:val="28"/>
      <w:szCs w:val="28"/>
    </w:rPr>
  </w:style>
  <w:style w:type="paragraph" w:customStyle="1" w:styleId="357">
    <w:name w:val="xl120"/>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58">
    <w:name w:val="xl121"/>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359">
    <w:name w:val="xl12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360">
    <w:name w:val="xl123"/>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361">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362">
    <w:name w:val="xl1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3">
    <w:name w:val="xl1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4">
    <w:name w:val="xl12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5">
    <w:name w:val="xl12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6">
    <w:name w:val="xl129"/>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7">
    <w:name w:val="xl13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368">
    <w:name w:val="xl13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4"/>
      <w:szCs w:val="24"/>
    </w:rPr>
  </w:style>
  <w:style w:type="paragraph" w:customStyle="1" w:styleId="369">
    <w:name w:val="xl132"/>
    <w:basedOn w:val="1"/>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ascii="宋体" w:hAnsi="宋体" w:cs="宋体"/>
      <w:b/>
      <w:bCs/>
      <w:color w:val="000000"/>
      <w:sz w:val="32"/>
      <w:szCs w:val="32"/>
    </w:rPr>
  </w:style>
  <w:style w:type="paragraph" w:customStyle="1" w:styleId="370">
    <w:name w:val="xl133"/>
    <w:basedOn w:val="1"/>
    <w:qFormat/>
    <w:uiPriority w:val="0"/>
    <w:pPr>
      <w:widowControl/>
      <w:pBdr>
        <w:top w:val="single" w:color="auto" w:sz="8" w:space="0"/>
        <w:bottom w:val="single" w:color="auto" w:sz="4" w:space="0"/>
      </w:pBdr>
      <w:spacing w:before="100" w:beforeAutospacing="1" w:after="100" w:afterAutospacing="1"/>
      <w:jc w:val="center"/>
    </w:pPr>
    <w:rPr>
      <w:rFonts w:ascii="宋体" w:hAnsi="宋体" w:cs="宋体"/>
      <w:b/>
      <w:bCs/>
      <w:color w:val="000000"/>
      <w:sz w:val="32"/>
      <w:szCs w:val="32"/>
    </w:rPr>
  </w:style>
  <w:style w:type="paragraph" w:customStyle="1" w:styleId="371">
    <w:name w:val="xl134"/>
    <w:basedOn w:val="1"/>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ascii="宋体" w:hAnsi="宋体" w:cs="宋体"/>
      <w:b/>
      <w:bCs/>
      <w:color w:val="000000"/>
      <w:sz w:val="32"/>
      <w:szCs w:val="32"/>
    </w:rPr>
  </w:style>
  <w:style w:type="paragraph" w:customStyle="1" w:styleId="372">
    <w:name w:val="xl13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sz w:val="28"/>
      <w:szCs w:val="28"/>
    </w:rPr>
  </w:style>
  <w:style w:type="paragraph" w:customStyle="1" w:styleId="373">
    <w:name w:val="xl13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000000"/>
      <w:sz w:val="28"/>
      <w:szCs w:val="28"/>
    </w:rPr>
  </w:style>
  <w:style w:type="paragraph" w:customStyle="1" w:styleId="374">
    <w:name w:val="xl1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8"/>
      <w:szCs w:val="28"/>
    </w:rPr>
  </w:style>
  <w:style w:type="paragraph" w:customStyle="1" w:styleId="375">
    <w:name w:val="xl13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sz w:val="24"/>
      <w:szCs w:val="24"/>
    </w:rPr>
  </w:style>
  <w:style w:type="paragraph" w:customStyle="1" w:styleId="376">
    <w:name w:val="xl13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37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78">
    <w:name w:val="xl14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sz w:val="20"/>
      <w:szCs w:val="20"/>
    </w:rPr>
  </w:style>
  <w:style w:type="paragraph" w:customStyle="1" w:styleId="379">
    <w:name w:val="首行缩进"/>
    <w:basedOn w:val="1"/>
    <w:qFormat/>
    <w:uiPriority w:val="0"/>
    <w:pPr>
      <w:ind w:firstLine="480"/>
    </w:pPr>
    <w:rPr>
      <w:lang w:val="zh-CN"/>
    </w:rPr>
  </w:style>
  <w:style w:type="paragraph" w:customStyle="1" w:styleId="380">
    <w:name w:val="Table Paragraph"/>
    <w:basedOn w:val="1"/>
    <w:qFormat/>
    <w:uiPriority w:val="1"/>
    <w:pPr>
      <w:jc w:val="left"/>
    </w:pPr>
    <w:rPr>
      <w:rFonts w:ascii="Arial Unicode MS" w:hAnsi="Arial Unicode MS" w:eastAsia="Arial Unicode MS" w:cs="Arial Unicode MS"/>
      <w:sz w:val="22"/>
      <w:lang w:val="zh-CN" w:bidi="zh-CN"/>
    </w:rPr>
  </w:style>
  <w:style w:type="character" w:customStyle="1" w:styleId="381">
    <w:name w:val="正文首行缩进 Char"/>
    <w:basedOn w:val="215"/>
    <w:link w:val="47"/>
    <w:qFormat/>
    <w:uiPriority w:val="0"/>
    <w:rPr>
      <w:rFonts w:ascii="楷体_GB2312" w:hAnsi="Arial" w:eastAsia="楷体_GB2312"/>
      <w:sz w:val="21"/>
      <w:szCs w:val="24"/>
      <w:lang w:bidi="ar-SA"/>
    </w:rPr>
  </w:style>
  <w:style w:type="paragraph" w:customStyle="1" w:styleId="382">
    <w:name w:val="TOC 标题2"/>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383">
    <w:name w:val="正文 A"/>
    <w:qFormat/>
    <w:uiPriority w:val="0"/>
    <w:pPr>
      <w:widowControl w:val="0"/>
      <w:jc w:val="both"/>
    </w:pPr>
    <w:rPr>
      <w:rFonts w:hint="default" w:ascii="Times New Roman" w:hAnsi="Times New Roman" w:eastAsia="Times New Roman" w:cs="Times New Roman"/>
      <w:color w:val="000000"/>
      <w:sz w:val="21"/>
      <w:szCs w:val="21"/>
    </w:rPr>
  </w:style>
  <w:style w:type="paragraph" w:customStyle="1" w:styleId="384">
    <w:name w:val="Char Char Char Char Char Char Char"/>
    <w:basedOn w:val="1"/>
    <w:qFormat/>
    <w:uiPriority w:val="0"/>
    <w:pPr>
      <w:jc w:val="left"/>
    </w:pPr>
    <w:rPr>
      <w:rFonts w:ascii="Tahoma" w:hAnsi="Tahoma"/>
      <w:szCs w:val="20"/>
    </w:rPr>
  </w:style>
  <w:style w:type="paragraph" w:customStyle="1" w:styleId="385">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sz w:val="24"/>
      <w:szCs w:val="24"/>
    </w:rPr>
  </w:style>
  <w:style w:type="paragraph" w:customStyle="1" w:styleId="386">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387">
    <w:name w:val="xl68"/>
    <w:basedOn w:val="1"/>
    <w:qFormat/>
    <w:uiPriority w:val="0"/>
    <w:pPr>
      <w:widowControl/>
      <w:shd w:val="clear" w:color="000000" w:fill="FFFFFF"/>
      <w:spacing w:before="100" w:beforeAutospacing="1" w:after="100" w:afterAutospacing="1"/>
      <w:jc w:val="left"/>
    </w:pPr>
    <w:rPr>
      <w:rFonts w:ascii="宋体" w:hAnsi="宋体" w:cs="宋体"/>
      <w:b/>
      <w:bCs/>
      <w:sz w:val="24"/>
      <w:szCs w:val="24"/>
    </w:rPr>
  </w:style>
  <w:style w:type="paragraph" w:customStyle="1" w:styleId="388">
    <w:name w:val="xl69"/>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sz w:val="24"/>
      <w:szCs w:val="24"/>
    </w:rPr>
  </w:style>
  <w:style w:type="paragraph" w:customStyle="1" w:styleId="389">
    <w:name w:val="xl70"/>
    <w:basedOn w:val="1"/>
    <w:qFormat/>
    <w:uiPriority w:val="0"/>
    <w:pPr>
      <w:widowControl/>
      <w:pBdr>
        <w:bottom w:val="single" w:color="auto" w:sz="4" w:space="0"/>
      </w:pBdr>
      <w:shd w:val="clear" w:color="000000" w:fill="FFFFFF"/>
      <w:spacing w:before="100" w:beforeAutospacing="1" w:after="100" w:afterAutospacing="1"/>
      <w:jc w:val="center"/>
    </w:pPr>
    <w:rPr>
      <w:rFonts w:ascii="黑体" w:hAnsi="黑体" w:eastAsia="黑体" w:cs="宋体"/>
      <w:b/>
      <w:bCs/>
      <w:sz w:val="40"/>
      <w:szCs w:val="40"/>
    </w:rPr>
  </w:style>
  <w:style w:type="paragraph" w:customStyle="1" w:styleId="390">
    <w:name w:val="xl65"/>
    <w:basedOn w:val="1"/>
    <w:qFormat/>
    <w:uiPriority w:val="0"/>
    <w:pPr>
      <w:widowControl/>
      <w:spacing w:before="100" w:beforeAutospacing="1" w:after="100" w:afterAutospacing="1"/>
      <w:jc w:val="left"/>
    </w:pPr>
    <w:rPr>
      <w:rFonts w:ascii="宋体" w:hAnsi="宋体" w:cs="宋体"/>
      <w:sz w:val="20"/>
      <w:szCs w:val="20"/>
    </w:rPr>
  </w:style>
  <w:style w:type="paragraph" w:customStyle="1" w:styleId="391">
    <w:name w:val="标题 21"/>
    <w:basedOn w:val="392"/>
    <w:next w:val="1"/>
    <w:qFormat/>
    <w:uiPriority w:val="0"/>
    <w:pPr>
      <w:keepNext/>
      <w:keepLines/>
      <w:tabs>
        <w:tab w:val="left" w:pos="720"/>
      </w:tabs>
      <w:spacing w:before="260" w:after="260" w:line="416" w:lineRule="auto"/>
      <w:jc w:val="center"/>
      <w:outlineLvl w:val="1"/>
    </w:pPr>
    <w:rPr>
      <w:rFonts w:ascii="Cambria" w:hAnsi="Cambria"/>
      <w:b/>
      <w:bCs/>
      <w:sz w:val="28"/>
      <w:szCs w:val="32"/>
    </w:rPr>
  </w:style>
  <w:style w:type="paragraph" w:customStyle="1" w:styleId="392">
    <w:name w:val="正文11"/>
    <w:next w:val="39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正文首行缩进 21"/>
    <w:basedOn w:val="394"/>
    <w:next w:val="395"/>
    <w:qFormat/>
    <w:uiPriority w:val="0"/>
    <w:pPr>
      <w:spacing w:after="0" w:line="360" w:lineRule="auto"/>
      <w:ind w:left="0" w:firstLine="420"/>
    </w:pPr>
    <w:rPr>
      <w:rFonts w:ascii="宋体" w:hAnsi="宋体"/>
      <w:sz w:val="20"/>
      <w:szCs w:val="20"/>
    </w:rPr>
  </w:style>
  <w:style w:type="paragraph" w:customStyle="1" w:styleId="394">
    <w:name w:val="正文文本缩进1"/>
    <w:basedOn w:val="392"/>
    <w:next w:val="1"/>
    <w:qFormat/>
    <w:uiPriority w:val="0"/>
    <w:pPr>
      <w:spacing w:after="120"/>
      <w:ind w:left="420"/>
    </w:pPr>
  </w:style>
  <w:style w:type="paragraph" w:customStyle="1" w:styleId="395">
    <w:name w:val="正文缩进1"/>
    <w:basedOn w:val="392"/>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52</Pages>
  <Words>12773</Words>
  <Characters>14118</Characters>
  <TotalTime>24</TotalTime>
  <ScaleCrop>false</ScaleCrop>
  <LinksUpToDate>false</LinksUpToDate>
  <CharactersWithSpaces>15790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2022-09-01T00:48:00Z</dcterms:created>
  <dc:creator>Administrator</dc:creator>
  <cp:lastModifiedBy>好邻居</cp:lastModifiedBy>
  <dcterms:modified xsi:type="dcterms:W3CDTF">2026-07-27T08:28:50Z</dcterms:modified>
  <cp:revision>1608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A83B7BBFA62346198BDB46C3259B74A3_13</vt:lpwstr>
  </property>
  <property fmtid="{D5CDD505-2E9C-101B-9397-08002B2CF9AE}" pid="4" name="KSOTemplateDocerSaveRecord">
    <vt:lpwstr>eyJoZGlkIjoiYTEyYTFkNDY3YTQxMDhhMTczNjRjMzJiYzZjYjcwYmEiLCJ1c2VySWQiOiIzMzE5NTIzMzUifQ==</vt:lpwstr>
  </property>
</Properties>
</file>