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highlight w:val="none"/>
        </w:rPr>
      </w:r>
    </w:p>
    <w:p>
      <w:pPr>
        <w:pStyle w:val="869"/>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highlight w:val="none"/>
        </w:rPr>
      </w:r>
    </w:p>
    <w:p>
      <w:pPr>
        <w:pStyle w:val="871"/>
        <w:rPr>
          <w:rFonts w:hint="eastAsia"/>
          <w:color w:val="000000" w:themeColor="text1"/>
          <w:highlight w:val="none"/>
        </w:rPr>
      </w:pPr>
      <w:r>
        <w:rPr>
          <w:rFonts w:hint="eastAsia"/>
          <w:color w:val="000000" w:themeColor="text1"/>
          <w:highlight w:val="none"/>
        </w:rPr>
      </w:r>
      <w:r>
        <w:rPr>
          <w:color w:val="000000" w:themeColor="text1"/>
          <w:highlight w:val="none"/>
        </w:rPr>
      </w:r>
    </w:p>
    <w:p>
      <w:pPr>
        <w:jc w:val="center"/>
        <w:keepLines w:val="0"/>
        <w:keepNext w:val="0"/>
        <w:pageBreakBefore w:val="0"/>
        <w:spacing w:line="360" w:lineRule="auto"/>
        <w:widowControl w:val="off"/>
        <w:rPr>
          <w:rFonts w:hint="eastAsia" w:ascii="宋体" w:hAnsi="宋体" w:eastAsia="宋体" w:cs="宋体"/>
          <w:b/>
          <w:color w:val="000000" w:themeColor="text1"/>
          <w:sz w:val="112"/>
          <w:szCs w:val="112"/>
          <w:highlight w:val="none"/>
        </w:rPr>
      </w:pPr>
      <w:r>
        <w:rPr>
          <w:rFonts w:hint="eastAsia" w:ascii="宋体" w:hAnsi="宋体" w:eastAsia="宋体" w:cs="宋体"/>
          <w:b/>
          <w:color w:val="000000" w:themeColor="text1"/>
          <w:sz w:val="112"/>
          <w:szCs w:val="112"/>
          <w:highlight w:val="none"/>
        </w:rPr>
        <w:t xml:space="preserve">竞争性磋商文件</w:t>
      </w:r>
      <w:r>
        <w:rPr>
          <w:color w:val="000000" w:themeColor="text1"/>
          <w:highlight w:val="none"/>
        </w:rPr>
      </w:r>
    </w:p>
    <w:p>
      <w:pPr>
        <w:pStyle w:val="900"/>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highlight w:val="none"/>
        </w:rPr>
      </w:r>
    </w:p>
    <w:p>
      <w:pPr>
        <w:pStyle w:val="872"/>
        <w:ind w:left="0" w:firstLine="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87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ind w:left="-403" w:firstLine="1264"/>
        <w:jc w:val="both"/>
        <w:keepLines w:val="0"/>
        <w:keepNext w:val="0"/>
        <w:pageBreakBefore w:val="0"/>
        <w:spacing w:line="480" w:lineRule="auto"/>
        <w:widowControl w:val="off"/>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项目编号：</w:t>
      </w:r>
      <w:r>
        <w:rPr>
          <w:rFonts w:hint="eastAsia" w:ascii="宋体" w:hAnsi="宋体" w:eastAsia="宋体" w:cs="宋体"/>
          <w:b/>
          <w:bCs/>
          <w:color w:val="000000" w:themeColor="text1"/>
          <w:sz w:val="32"/>
          <w:szCs w:val="32"/>
          <w:highlight w:val="none"/>
          <w:lang w:eastAsia="zh-CN"/>
        </w:rPr>
        <w:t xml:space="preserve">JSZC-320322-BTXZ-C2026-0001</w:t>
      </w:r>
      <w:r>
        <w:rPr>
          <w:color w:val="000000" w:themeColor="text1"/>
          <w:highlight w:val="none"/>
        </w:rPr>
      </w:r>
    </w:p>
    <w:p>
      <w:pPr>
        <w:ind w:left="-403" w:firstLine="1264"/>
        <w:jc w:val="both"/>
        <w:keepLines w:val="0"/>
        <w:keepNext w:val="0"/>
        <w:pageBreakBefore w:val="0"/>
        <w:spacing w:line="480" w:lineRule="auto"/>
        <w:widowControl w:val="off"/>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项目名称：</w:t>
      </w:r>
      <w:r>
        <w:rPr>
          <w:rFonts w:hint="eastAsia" w:ascii="宋体" w:hAnsi="宋体" w:eastAsia="宋体" w:cs="宋体"/>
          <w:b/>
          <w:bCs/>
          <w:color w:val="000000" w:themeColor="text1"/>
          <w:sz w:val="32"/>
          <w:szCs w:val="32"/>
          <w:highlight w:val="none"/>
          <w:lang w:val="en-US" w:eastAsia="zh-CN"/>
        </w:rPr>
        <w:t xml:space="preserve">城区市政道路绿化及城市绿道建设(汉水路等)</w:t>
      </w:r>
      <w:r>
        <w:rPr>
          <w:color w:val="000000" w:themeColor="text1"/>
          <w:highlight w:val="none"/>
        </w:rPr>
      </w:r>
    </w:p>
    <w:p>
      <w:pPr>
        <w:ind w:left="-403" w:firstLine="1264"/>
        <w:jc w:val="both"/>
        <w:keepLines w:val="0"/>
        <w:keepNext w:val="0"/>
        <w:pageBreakBefore w:val="0"/>
        <w:spacing w:line="480" w:lineRule="auto"/>
        <w:widowControl w:val="off"/>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eastAsia="zh-CN"/>
        </w:rPr>
        <w:t xml:space="preserve">采购单位：沛县园林服务中心</w:t>
      </w:r>
      <w:r>
        <w:rPr>
          <w:color w:val="000000" w:themeColor="text1"/>
          <w:highlight w:val="none"/>
        </w:rPr>
      </w:r>
    </w:p>
    <w:p>
      <w:pPr>
        <w:pStyle w:val="90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highlight w:val="none"/>
        </w:rPr>
      </w:r>
    </w:p>
    <w:p>
      <w:pPr>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highlight w:val="none"/>
        </w:rPr>
      </w:r>
    </w:p>
    <w:p>
      <w:pPr>
        <w:pStyle w:val="900"/>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highlight w:val="none"/>
        </w:rPr>
      </w:r>
    </w:p>
    <w:p>
      <w:pPr>
        <w:pStyle w:val="900"/>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highlight w:val="none"/>
        </w:rPr>
      </w:r>
    </w:p>
    <w:p>
      <w:pPr>
        <w:ind w:left="-403" w:firstLine="1264"/>
        <w:jc w:val="center"/>
        <w:keepLines w:val="0"/>
        <w:keepNext w:val="0"/>
        <w:pageBreakBefore w:val="0"/>
        <w:spacing w:line="480" w:lineRule="auto"/>
        <w:widowControl w:val="off"/>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eastAsia="zh-CN"/>
        </w:rPr>
      </w:r>
      <w:r>
        <w:rPr>
          <w:color w:val="000000" w:themeColor="text1"/>
          <w:highlight w:val="none"/>
        </w:rPr>
      </w:r>
    </w:p>
    <w:p>
      <w:pPr>
        <w:ind w:left="-403" w:firstLine="1264"/>
        <w:jc w:val="center"/>
        <w:keepLines w:val="0"/>
        <w:keepNext w:val="0"/>
        <w:pageBreakBefore w:val="0"/>
        <w:spacing w:line="480" w:lineRule="auto"/>
        <w:widowControl w:val="off"/>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eastAsia="zh-CN"/>
        </w:rPr>
        <w:t xml:space="preserve">代理机构：徐州博通工程咨询有限公司</w:t>
      </w:r>
      <w:r>
        <w:rPr>
          <w:color w:val="000000" w:themeColor="text1"/>
          <w:highlight w:val="none"/>
        </w:rPr>
      </w:r>
    </w:p>
    <w:p>
      <w:pPr>
        <w:ind w:left="-403" w:firstLine="1264"/>
        <w:jc w:val="center"/>
        <w:keepLines w:val="0"/>
        <w:keepNext w:val="0"/>
        <w:pageBreakBefore w:val="0"/>
        <w:spacing w:line="480" w:lineRule="auto"/>
        <w:widowControl w:val="off"/>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eastAsia="zh-CN"/>
        </w:rPr>
      </w:r>
      <w:r>
        <w:rPr>
          <w:color w:val="000000" w:themeColor="text1"/>
          <w:highlight w:val="none"/>
        </w:rPr>
      </w:r>
    </w:p>
    <w:p>
      <w:pPr>
        <w:ind w:left="-403" w:firstLine="1264"/>
        <w:jc w:val="center"/>
        <w:keepLines w:val="0"/>
        <w:keepNext w:val="0"/>
        <w:pageBreakBefore w:val="0"/>
        <w:spacing w:line="480" w:lineRule="auto"/>
        <w:widowControl w:val="off"/>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eastAsia="zh-CN"/>
        </w:rPr>
        <w:t xml:space="preserve">二〇二六年</w:t>
      </w:r>
      <w:r>
        <w:rPr>
          <w:rFonts w:hint="eastAsia" w:ascii="宋体" w:hAnsi="宋体" w:eastAsia="宋体" w:cs="宋体"/>
          <w:b/>
          <w:bCs/>
          <w:color w:val="000000" w:themeColor="text1"/>
          <w:sz w:val="32"/>
          <w:szCs w:val="32"/>
          <w:highlight w:val="none"/>
          <w:lang w:eastAsia="zh-CN"/>
        </w:rPr>
        <w:t xml:space="preserve">八月</w:t>
      </w:r>
      <w:r>
        <w:rPr>
          <w:color w:val="000000" w:themeColor="text1"/>
          <w:highlight w:val="none"/>
        </w:rP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p>
    <w:p>
      <w:pPr>
        <w:pStyle w:val="900"/>
        <w:ind w:left="0" w:firstLine="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highlight w:val="none"/>
        </w:rPr>
      </w:r>
    </w:p>
    <w:p>
      <w:pPr>
        <w:pStyle w:val="919"/>
        <w:jc w:val="center"/>
        <w:keepLines w:val="0"/>
        <w:keepNext w:val="0"/>
        <w:pageBreakBefore w:val="0"/>
        <w:spacing w:line="360" w:lineRule="auto"/>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竞争性磋商文件</w:t>
      </w:r>
      <w:r>
        <w:rPr>
          <w:color w:val="000000" w:themeColor="text1"/>
          <w:highlight w:val="none"/>
        </w:rPr>
      </w:r>
    </w:p>
    <w:p>
      <w:pPr>
        <w:pStyle w:val="919"/>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项目编号：</w:t>
      </w:r>
      <w:r>
        <w:rPr>
          <w:rFonts w:hint="eastAsia" w:ascii="宋体" w:hAnsi="宋体" w:eastAsia="宋体" w:cs="宋体"/>
          <w:b/>
          <w:bCs/>
          <w:color w:val="000000" w:themeColor="text1"/>
          <w:sz w:val="24"/>
          <w:szCs w:val="24"/>
          <w:highlight w:val="none"/>
          <w:lang w:val="en-US" w:eastAsia="zh-CN"/>
        </w:rPr>
        <w:t xml:space="preserve">JSZC-320322-BTXZ-C2026-0001</w:t>
      </w:r>
      <w:r>
        <w:rPr>
          <w:color w:val="000000" w:themeColor="text1"/>
          <w:highlight w:val="none"/>
        </w:rPr>
      </w:r>
    </w:p>
    <w:p>
      <w:pPr>
        <w:pStyle w:val="919"/>
        <w:keepLines w:val="0"/>
        <w:keepNext w:val="0"/>
        <w:pageBreakBefore w:val="0"/>
        <w:spacing w:line="360" w:lineRule="auto"/>
        <w:widowControl w:val="off"/>
        <w:tabs>
          <w:tab w:val="left" w:pos="324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（供应商）：</w:t>
      </w:r>
      <w:r>
        <w:rPr>
          <w:color w:val="000000" w:themeColor="text1"/>
          <w:highlight w:val="none"/>
        </w:rPr>
      </w:r>
    </w:p>
    <w:p>
      <w:pPr>
        <w:pStyle w:val="919"/>
        <w:ind w:firstLine="480"/>
        <w:keepLines w:val="0"/>
        <w:keepNext w:val="0"/>
        <w:pageBreakBefore w:val="0"/>
        <w:spacing w:line="360" w:lineRule="auto"/>
        <w:widowControl w:val="off"/>
        <w:tabs>
          <w:tab w:val="left" w:pos="324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none"/>
          <w:lang w:eastAsia="zh-CN"/>
        </w:rPr>
        <w:t xml:space="preserve">按照《中华人民共和国政府采购法》、《中华人民共和国政府采购法实施条例》及《政府采购竞争性磋商采购方式管理暂行办法》的规定，</w:t>
      </w:r>
      <w:r>
        <w:rPr>
          <w:rFonts w:hint="eastAsia" w:ascii="宋体" w:hAnsi="宋体" w:eastAsia="宋体" w:cs="宋体"/>
          <w:color w:val="000000" w:themeColor="text1"/>
          <w:sz w:val="24"/>
          <w:szCs w:val="24"/>
          <w:highlight w:val="none"/>
          <w:u w:val="single"/>
          <w:lang w:eastAsia="zh-CN"/>
        </w:rPr>
        <w:t xml:space="preserve">徐州博通工程咨询有限公司</w:t>
      </w:r>
      <w:r>
        <w:rPr>
          <w:rFonts w:hint="eastAsia" w:ascii="宋体" w:hAnsi="宋体" w:eastAsia="宋体" w:cs="宋体"/>
          <w:color w:val="000000" w:themeColor="text1"/>
          <w:sz w:val="24"/>
          <w:szCs w:val="24"/>
          <w:highlight w:val="none"/>
        </w:rPr>
        <w:t xml:space="preserve">对</w:t>
      </w:r>
      <w:r>
        <w:rPr>
          <w:rFonts w:hint="eastAsia" w:ascii="宋体" w:hAnsi="宋体" w:eastAsia="宋体" w:cs="宋体"/>
          <w:color w:val="000000" w:themeColor="text1"/>
          <w:sz w:val="24"/>
          <w:szCs w:val="24"/>
          <w:highlight w:val="none"/>
          <w:u w:val="single"/>
          <w:lang w:val="en-US" w:eastAsia="zh-CN"/>
        </w:rPr>
        <w:t xml:space="preserve"> 城区市政道路绿化及城市绿道建设(汉水路等) </w:t>
      </w:r>
      <w:r>
        <w:rPr>
          <w:rFonts w:hint="eastAsia" w:ascii="宋体" w:hAnsi="宋体" w:eastAsia="宋体" w:cs="宋体"/>
          <w:color w:val="000000" w:themeColor="text1"/>
          <w:sz w:val="24"/>
          <w:szCs w:val="24"/>
          <w:highlight w:val="none"/>
        </w:rPr>
        <w:t xml:space="preserve">采取竞争性磋商采购方式进行采购，竞争性磋商文件（以下简称《磋商文件》）内容如下：</w:t>
      </w:r>
      <w:r>
        <w:rPr>
          <w:color w:val="000000" w:themeColor="text1"/>
          <w:highlight w:val="none"/>
        </w:rPr>
      </w:r>
    </w:p>
    <w:p>
      <w:pPr>
        <w:pStyle w:val="919"/>
        <w:numPr>
          <w:ilvl w:val="0"/>
          <w:numId w:val="18"/>
        </w:numPr>
        <w:ind w:firstLine="499"/>
        <w:jc w:val="center"/>
        <w:keepLines w:val="0"/>
        <w:keepNext w:val="0"/>
        <w:pageBreakBefore w:val="0"/>
        <w:spacing w:before="240"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项目说明</w:t>
      </w:r>
      <w:r>
        <w:rPr>
          <w:color w:val="000000" w:themeColor="text1"/>
          <w:highlight w:val="none"/>
        </w:rPr>
      </w:r>
    </w:p>
    <w:p>
      <w:pPr>
        <w:pStyle w:val="924"/>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一、采购人：</w:t>
      </w:r>
      <w:r>
        <w:rPr>
          <w:rFonts w:hint="eastAsia" w:ascii="宋体" w:hAnsi="宋体" w:eastAsia="宋体" w:cs="宋体"/>
          <w:color w:val="000000" w:themeColor="text1"/>
          <w:sz w:val="24"/>
          <w:szCs w:val="24"/>
          <w:highlight w:val="none"/>
          <w:lang w:eastAsia="zh-CN"/>
        </w:rPr>
        <w:t xml:space="preserve">沛县园林服务中心</w:t>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二、项目名称：</w:t>
      </w:r>
      <w:r>
        <w:rPr>
          <w:rFonts w:hint="eastAsia" w:ascii="宋体" w:hAnsi="宋体" w:eastAsia="宋体" w:cs="宋体"/>
          <w:color w:val="000000" w:themeColor="text1"/>
          <w:sz w:val="24"/>
          <w:szCs w:val="24"/>
          <w:highlight w:val="none"/>
          <w:lang w:val="en-US" w:eastAsia="zh-CN"/>
        </w:rPr>
        <w:t xml:space="preserve">城区市政道路绿化及城市绿道建设(汉水路等)</w:t>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三、项目编号：</w:t>
      </w:r>
      <w:r>
        <w:rPr>
          <w:rFonts w:hint="eastAsia" w:ascii="宋体" w:hAnsi="宋体" w:eastAsia="宋体" w:cs="宋体"/>
          <w:color w:val="000000" w:themeColor="text1"/>
          <w:sz w:val="24"/>
          <w:szCs w:val="24"/>
          <w:highlight w:val="none"/>
          <w:lang w:val="en-US" w:eastAsia="zh-CN"/>
        </w:rPr>
        <w:t xml:space="preserve">JSZC-320322-BTXZ-C2026-0001</w:t>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四、采购邀请：通过发布公告的方式邀请符合相应资格条件的供应商参与竞争性磋商采购活动。</w:t>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w:t>
      </w:r>
      <w:r>
        <w:rPr>
          <w:rFonts w:hint="eastAsia" w:ascii="宋体" w:hAnsi="宋体" w:eastAsia="宋体" w:cs="宋体"/>
          <w:color w:val="000000" w:themeColor="text1"/>
          <w:sz w:val="24"/>
          <w:szCs w:val="24"/>
          <w:highlight w:val="none"/>
          <w:lang w:val="en-US" w:eastAsia="zh-CN"/>
        </w:rPr>
        <w:t xml:space="preserve">采购方式：竞争性磋商采购方式</w:t>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六、</w:t>
      </w:r>
      <w:r>
        <w:rPr>
          <w:rFonts w:hint="eastAsia" w:ascii="宋体" w:hAnsi="宋体" w:eastAsia="宋体" w:cs="宋体"/>
          <w:color w:val="000000" w:themeColor="text1"/>
          <w:sz w:val="24"/>
          <w:szCs w:val="24"/>
          <w:highlight w:val="none"/>
        </w:rPr>
        <w:t xml:space="preserve">供应商资格条件：见竞争性磋商公告（项目编号：</w:t>
      </w:r>
      <w:r>
        <w:rPr>
          <w:rFonts w:hint="eastAsia" w:ascii="宋体" w:hAnsi="宋体" w:eastAsia="宋体" w:cs="宋体"/>
          <w:color w:val="000000" w:themeColor="text1"/>
          <w:sz w:val="24"/>
          <w:szCs w:val="24"/>
          <w:highlight w:val="none"/>
          <w:lang w:eastAsia="zh-CN"/>
        </w:rPr>
        <w:t xml:space="preserve">JSZC-320322-BTXZ-C2026-0001</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19"/>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七</w:t>
      </w:r>
      <w:r>
        <w:rPr>
          <w:rFonts w:hint="eastAsia" w:ascii="宋体" w:hAnsi="宋体" w:eastAsia="宋体" w:cs="宋体"/>
          <w:b/>
          <w:bCs/>
          <w:color w:val="000000" w:themeColor="text1"/>
          <w:sz w:val="24"/>
          <w:szCs w:val="24"/>
          <w:highlight w:val="none"/>
        </w:rPr>
        <w:t xml:space="preserve">、采购预算（采购项目预算金额）：见《磋商文件》附件2、《项目要求（采购需求）》。</w:t>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八</w:t>
      </w:r>
      <w:r>
        <w:rPr>
          <w:rFonts w:hint="eastAsia" w:ascii="宋体" w:hAnsi="宋体" w:eastAsia="宋体" w:cs="宋体"/>
          <w:color w:val="000000" w:themeColor="text1"/>
          <w:sz w:val="24"/>
          <w:szCs w:val="24"/>
          <w:highlight w:val="none"/>
        </w:rPr>
        <w:t xml:space="preserve">、采购需求：见《竞争性磋商文件》附件2、《项目要求（采购需求）》。</w:t>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九</w:t>
      </w:r>
      <w:r>
        <w:rPr>
          <w:rFonts w:hint="eastAsia" w:ascii="宋体" w:hAnsi="宋体" w:eastAsia="宋体" w:cs="宋体"/>
          <w:color w:val="000000" w:themeColor="text1"/>
          <w:sz w:val="24"/>
          <w:szCs w:val="24"/>
          <w:highlight w:val="none"/>
        </w:rPr>
        <w:t xml:space="preserve">、合同草案条款：见《竞争性磋商文件》附件8、《拟签订的合同文本》。</w:t>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十</w:t>
      </w:r>
      <w:r>
        <w:rPr>
          <w:rFonts w:hint="eastAsia" w:ascii="宋体" w:hAnsi="宋体" w:eastAsia="宋体" w:cs="宋体"/>
          <w:b/>
          <w:bCs/>
          <w:color w:val="000000" w:themeColor="text1"/>
          <w:sz w:val="24"/>
          <w:szCs w:val="24"/>
          <w:highlight w:val="none"/>
        </w:rPr>
        <w:t xml:space="preserve">、报价要求：</w:t>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1、供应商报价为要约，</w:t>
      </w:r>
      <w:r>
        <w:rPr>
          <w:rFonts w:hint="eastAsia" w:ascii="宋体" w:hAnsi="宋体" w:eastAsia="宋体" w:cs="宋体"/>
          <w:color w:val="000000" w:themeColor="text1"/>
          <w:sz w:val="24"/>
          <w:szCs w:val="24"/>
          <w:highlight w:val="none"/>
          <w:u w:val="single"/>
          <w:lang w:val="en-US" w:eastAsia="zh-CN"/>
        </w:rPr>
        <w:t xml:space="preserve">徐州博通工程咨询有限公司</w:t>
      </w:r>
      <w:r>
        <w:rPr>
          <w:rFonts w:hint="eastAsia" w:ascii="宋体" w:hAnsi="宋体" w:eastAsia="宋体" w:cs="宋体"/>
          <w:color w:val="000000" w:themeColor="text1"/>
          <w:sz w:val="24"/>
          <w:szCs w:val="24"/>
          <w:highlight w:val="none"/>
        </w:rPr>
        <w:t xml:space="preserve">无承诺表示时视为未成交，</w:t>
      </w:r>
      <w:r>
        <w:rPr>
          <w:rFonts w:hint="eastAsia" w:ascii="宋体" w:hAnsi="宋体" w:eastAsia="宋体" w:cs="宋体"/>
          <w:color w:val="000000" w:themeColor="text1"/>
          <w:sz w:val="24"/>
          <w:szCs w:val="24"/>
          <w:highlight w:val="none"/>
          <w:u w:val="single"/>
          <w:lang w:val="en-US" w:eastAsia="zh-CN"/>
        </w:rPr>
        <w:t xml:space="preserve">徐州博通工程咨询有限公司</w:t>
      </w:r>
      <w:r>
        <w:rPr>
          <w:rFonts w:hint="eastAsia" w:ascii="宋体" w:hAnsi="宋体" w:eastAsia="宋体" w:cs="宋体"/>
          <w:color w:val="000000" w:themeColor="text1"/>
          <w:sz w:val="24"/>
          <w:szCs w:val="24"/>
          <w:highlight w:val="none"/>
        </w:rPr>
        <w:t xml:space="preserve">认为必要时可重新进行竞争性磋商采购或采取其它方式</w:t>
      </w:r>
      <w:r>
        <w:rPr>
          <w:rFonts w:hint="eastAsia" w:ascii="宋体" w:hAnsi="宋体" w:eastAsia="宋体" w:cs="宋体"/>
          <w:color w:val="000000" w:themeColor="text1"/>
          <w:sz w:val="24"/>
          <w:szCs w:val="24"/>
          <w:highlight w:val="none"/>
          <w:lang w:val="en-US" w:eastAsia="zh-CN"/>
        </w:rPr>
        <w:t xml:space="preserve">采购。</w:t>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2、按照《磋商报价表》要求填写首次报价。</w:t>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3、报价包含本项目范围内的全部费用。供应商有漏报或不报的，采购人将视为有关费用已包括在本项目的报价中而不予支付。采购人不支付报价以外的任何费用。</w:t>
      </w:r>
      <w:r>
        <w:rPr>
          <w:color w:val="000000" w:themeColor="text1"/>
          <w:highlight w:val="none"/>
        </w:rPr>
      </w:r>
    </w:p>
    <w:p>
      <w:pPr>
        <w:pStyle w:val="919"/>
        <w:numPr>
          <w:ilvl w:val="0"/>
          <w:numId w:val="0"/>
        </w:numPr>
        <w:jc w:val="center"/>
        <w:keepLines w:val="0"/>
        <w:keepNext w:val="0"/>
        <w:pageBreakBefore w:val="0"/>
        <w:spacing w:before="240"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第二章 磋商保证金</w:t>
      </w:r>
      <w:r>
        <w:rPr>
          <w:color w:val="000000" w:themeColor="text1"/>
          <w:highlight w:val="none"/>
        </w:rPr>
      </w:r>
    </w:p>
    <w:p>
      <w:pPr>
        <w:pStyle w:val="92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19"/>
        <w:ind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十</w:t>
      </w:r>
      <w:r>
        <w:rPr>
          <w:rFonts w:hint="eastAsia" w:ascii="宋体" w:hAnsi="宋体" w:eastAsia="宋体" w:cs="宋体"/>
          <w:color w:val="000000" w:themeColor="text1"/>
          <w:sz w:val="24"/>
          <w:szCs w:val="24"/>
          <w:highlight w:val="none"/>
          <w:lang w:val="en-US" w:eastAsia="zh-CN"/>
        </w:rPr>
        <w:t xml:space="preserve">一</w:t>
      </w:r>
      <w:r>
        <w:rPr>
          <w:rFonts w:hint="eastAsia" w:ascii="宋体" w:hAnsi="宋体" w:eastAsia="宋体" w:cs="宋体"/>
          <w:color w:val="000000" w:themeColor="text1"/>
          <w:sz w:val="24"/>
          <w:szCs w:val="24"/>
          <w:highlight w:val="none"/>
        </w:rPr>
        <w:t xml:space="preserve">、供应商提交磋商保证金：</w:t>
      </w:r>
      <w:r>
        <w:rPr>
          <w:rFonts w:hint="eastAsia" w:ascii="宋体" w:hAnsi="宋体" w:eastAsia="宋体" w:cs="宋体"/>
          <w:color w:val="000000" w:themeColor="text1"/>
          <w:sz w:val="24"/>
          <w:szCs w:val="24"/>
          <w:highlight w:val="none"/>
          <w:lang w:val="en-US" w:eastAsia="zh-CN"/>
        </w:rPr>
        <w:t xml:space="preserve">不</w:t>
      </w:r>
      <w:r>
        <w:rPr>
          <w:rFonts w:hint="eastAsia" w:ascii="宋体" w:hAnsi="宋体" w:eastAsia="宋体" w:cs="宋体"/>
          <w:color w:val="000000" w:themeColor="text1"/>
          <w:sz w:val="24"/>
          <w:szCs w:val="24"/>
          <w:highlight w:val="none"/>
        </w:rPr>
        <w:t xml:space="preserve">需</w:t>
      </w:r>
      <w:r>
        <w:rPr>
          <w:rFonts w:hint="eastAsia" w:ascii="宋体" w:hAnsi="宋体" w:eastAsia="宋体" w:cs="宋体"/>
          <w:color w:val="000000" w:themeColor="text1"/>
          <w:sz w:val="24"/>
          <w:szCs w:val="24"/>
          <w:highlight w:val="none"/>
          <w:lang w:val="en-US" w:eastAsia="zh-CN"/>
        </w:rPr>
        <w:t xml:space="preserve">缴纳</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19"/>
        <w:numPr>
          <w:ilvl w:val="0"/>
          <w:numId w:val="0"/>
        </w:numPr>
        <w:jc w:val="center"/>
        <w:keepLines w:val="0"/>
        <w:keepNext w:val="0"/>
        <w:pageBreakBefore w:val="0"/>
        <w:spacing w:before="240"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第三章 响应文件</w:t>
      </w:r>
      <w:r>
        <w:rPr>
          <w:color w:val="000000" w:themeColor="text1"/>
          <w:highlight w:val="none"/>
        </w:rPr>
      </w:r>
    </w:p>
    <w:p>
      <w:pPr>
        <w:pStyle w:val="92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十二、提交响应文件要求：</w:t>
      </w:r>
      <w:r>
        <w:rPr>
          <w:color w:val="000000" w:themeColor="text1"/>
          <w:highlight w:val="none"/>
        </w:rPr>
      </w:r>
    </w:p>
    <w:p>
      <w:pPr>
        <w:pStyle w:val="90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（一）本项目通过“苏采云”系统进行电子采购，即供应商响应文件从政府采购客户端工具制作并通过“苏采云”系统提交。</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供应商应当通过“苏采云”系统提交数据电文形式的响应文件（即电子投标）。未进行线上响应文件提交并解密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因“苏采云”系统导致解密失败的除外</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的供应商，响应无效。</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“CA数字证书”的获取：供应商需办理CA锁，“苏采云”系统目前仅支持“苏采云”系统下的</w:t>
      </w:r>
      <w:r>
        <w:rPr>
          <w:rFonts w:hint="eastAsia" w:ascii="宋体" w:hAnsi="宋体" w:eastAsia="宋体" w:cs="宋体"/>
          <w:color w:val="000000" w:themeColor="text1"/>
          <w:sz w:val="24"/>
          <w:szCs w:val="24"/>
          <w:highlight w:val="none"/>
          <w:lang w:eastAsia="zh-CN"/>
        </w:rPr>
        <w:t xml:space="preserve">政务</w:t>
      </w:r>
      <w:r>
        <w:rPr>
          <w:rFonts w:hint="eastAsia" w:ascii="宋体" w:hAnsi="宋体" w:eastAsia="宋体" w:cs="宋体"/>
          <w:color w:val="000000" w:themeColor="text1"/>
          <w:sz w:val="24"/>
          <w:szCs w:val="24"/>
          <w:highlight w:val="none"/>
        </w:rPr>
        <w:t xml:space="preserve">CA，省内各地区办理的“苏采云”系统下的</w:t>
      </w:r>
      <w:r>
        <w:rPr>
          <w:rFonts w:hint="eastAsia" w:ascii="宋体" w:hAnsi="宋体" w:eastAsia="宋体" w:cs="宋体"/>
          <w:color w:val="000000" w:themeColor="text1"/>
          <w:sz w:val="24"/>
          <w:szCs w:val="24"/>
          <w:highlight w:val="none"/>
          <w:lang w:eastAsia="zh-CN"/>
        </w:rPr>
        <w:t xml:space="preserve">政务</w:t>
      </w:r>
      <w:r>
        <w:rPr>
          <w:rFonts w:hint="eastAsia" w:ascii="宋体" w:hAnsi="宋体" w:eastAsia="宋体" w:cs="宋体"/>
          <w:color w:val="000000" w:themeColor="text1"/>
          <w:sz w:val="24"/>
          <w:szCs w:val="24"/>
          <w:highlight w:val="none"/>
        </w:rPr>
        <w:t xml:space="preserve">CA全省通用。“CA数字证书”的办理方法详见“徐州政府采购网-</w:t>
      </w:r>
      <w:r>
        <w:rPr>
          <w:rFonts w:hint="eastAsia" w:ascii="宋体" w:hAnsi="宋体" w:eastAsia="宋体" w:cs="宋体"/>
          <w:color w:val="000000" w:themeColor="text1"/>
          <w:sz w:val="24"/>
          <w:szCs w:val="24"/>
          <w:highlight w:val="none"/>
          <w:lang w:val="en-US" w:eastAsia="zh-CN"/>
        </w:rPr>
        <w:t xml:space="preserve">办事指南</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资料下载”</w:t>
      </w:r>
      <w:r>
        <w:rPr>
          <w:rFonts w:hint="eastAsia" w:ascii="宋体" w:hAnsi="宋体" w:eastAsia="宋体" w:cs="宋体"/>
          <w:color w:val="000000" w:themeColor="text1"/>
          <w:sz w:val="24"/>
          <w:szCs w:val="24"/>
          <w:highlight w:val="none"/>
        </w:rPr>
        <w:t xml:space="preserve">《“苏采云”系统政务CA办理材料、操作手册及控件下载》。</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HYPERLINK "http://jszfcg.jsczt.cn/"</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lang w:eastAsia="zh-CN"/>
        </w:rPr>
        <w:t xml:space="preserve">https://jszfcg.jsczt.cn</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；或进入徐州政府采购网（网址：</w:t>
      </w:r>
      <w:r>
        <w:rPr>
          <w:rFonts w:hint="eastAsia" w:ascii="宋体" w:hAnsi="宋体" w:eastAsia="宋体" w:cs="宋体"/>
          <w:color w:val="000000" w:themeColor="text1"/>
          <w:sz w:val="24"/>
          <w:szCs w:val="24"/>
          <w:highlight w:val="none"/>
          <w:lang w:eastAsia="zh-CN"/>
        </w:rPr>
        <w:t xml:space="preserve">https://czj.xz.gov.cn/zfcg/index.html</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点击“苏采云”进入系统），按照要求通过互联网方式提交首次响应文件。</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“苏采云”系统使用要求：</w:t>
      </w:r>
      <w:r>
        <w:rPr>
          <w:color w:val="000000" w:themeColor="text1"/>
          <w:highlight w:val="none"/>
        </w:rPr>
      </w:r>
    </w:p>
    <w:p>
      <w:pPr>
        <w:pStyle w:val="903"/>
        <w:numPr>
          <w:ilvl w:val="0"/>
          <w:numId w:val="19"/>
        </w:numPr>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使用谷歌浏览器参与不见面开标及磋商环节。</w:t>
      </w:r>
      <w:r>
        <w:rPr>
          <w:color w:val="000000" w:themeColor="text1"/>
          <w:highlight w:val="none"/>
        </w:rPr>
      </w:r>
    </w:p>
    <w:p>
      <w:pPr>
        <w:pStyle w:val="903"/>
        <w:numPr>
          <w:ilvl w:val="0"/>
          <w:numId w:val="19"/>
        </w:numPr>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电脑需提前准备好麦克风、音箱，摄像头，提前检查保证能够正常使用。</w:t>
      </w:r>
      <w:r>
        <w:rPr>
          <w:color w:val="000000" w:themeColor="text1"/>
          <w:highlight w:val="none"/>
        </w:rPr>
      </w:r>
    </w:p>
    <w:p>
      <w:pPr>
        <w:pStyle w:val="903"/>
        <w:numPr>
          <w:ilvl w:val="0"/>
          <w:numId w:val="19"/>
        </w:numPr>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操作系统至少win7以上，建议使用win10操作系统。</w:t>
      </w:r>
      <w:r>
        <w:rPr>
          <w:color w:val="000000" w:themeColor="text1"/>
          <w:highlight w:val="none"/>
        </w:rPr>
      </w:r>
    </w:p>
    <w:p>
      <w:pPr>
        <w:pStyle w:val="903"/>
        <w:ind w:firstLine="480"/>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（二）首次响应文件提交的截止时间：</w:t>
      </w:r>
      <w:r>
        <w:rPr>
          <w:rFonts w:hint="eastAsia" w:ascii="宋体" w:hAnsi="宋体" w:eastAsia="宋体" w:cs="宋体"/>
          <w:b/>
          <w:bCs/>
          <w:i w:val="0"/>
          <w:iCs w:val="0"/>
          <w:caps w:val="0"/>
          <w:color w:val="000000" w:themeColor="text1"/>
          <w:spacing w:val="0"/>
          <w:sz w:val="24"/>
          <w:szCs w:val="24"/>
          <w:highlight w:val="none"/>
          <w:lang w:val="en-US" w:eastAsia="zh-CN" w:bidi="ar"/>
        </w:rPr>
        <w:t xml:space="preserve">2026年8月19日</w:t>
      </w:r>
      <w:r>
        <w:rPr>
          <w:rFonts w:hint="eastAsia" w:ascii="宋体" w:hAnsi="宋体" w:eastAsia="宋体" w:cs="宋体"/>
          <w:b/>
          <w:bCs/>
          <w:i w:val="0"/>
          <w:iCs w:val="0"/>
          <w:caps w:val="0"/>
          <w:color w:val="000000" w:themeColor="text1"/>
          <w:spacing w:val="0"/>
          <w:sz w:val="24"/>
          <w:szCs w:val="24"/>
          <w:highlight w:val="none"/>
          <w:lang w:val="en-US" w:eastAsia="zh-CN" w:bidi="ar"/>
        </w:rPr>
        <w:t xml:space="preserve">北京时间09:30</w:t>
      </w:r>
      <w:r>
        <w:rPr>
          <w:rFonts w:hint="eastAsia" w:ascii="宋体" w:hAnsi="宋体" w:eastAsia="宋体" w:cs="宋体"/>
          <w:b/>
          <w:bCs/>
          <w:color w:val="000000" w:themeColor="text1"/>
          <w:sz w:val="24"/>
          <w:szCs w:val="24"/>
          <w:highlight w:val="none"/>
        </w:rPr>
        <w:t xml:space="preserve">，在截止时间后提交的首次响应文件为无效文件，将被拒收。</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（三）首次响应文件提交时间、地点：</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1.提交时间</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首次响应文件提交的截止时间（</w:t>
      </w:r>
      <w:r>
        <w:rPr>
          <w:rFonts w:hint="eastAsia" w:ascii="宋体" w:hAnsi="宋体" w:eastAsia="宋体" w:cs="宋体"/>
          <w:b/>
          <w:bCs/>
          <w:i w:val="0"/>
          <w:iCs w:val="0"/>
          <w:caps w:val="0"/>
          <w:color w:val="000000" w:themeColor="text1"/>
          <w:spacing w:val="0"/>
          <w:sz w:val="24"/>
          <w:szCs w:val="24"/>
          <w:highlight w:val="none"/>
          <w:lang w:val="en-US" w:eastAsia="zh-CN" w:bidi="ar"/>
        </w:rPr>
        <w:t xml:space="preserve">2026年8月19日</w:t>
      </w:r>
      <w:r>
        <w:rPr>
          <w:rFonts w:hint="eastAsia" w:ascii="宋体" w:hAnsi="宋体" w:eastAsia="宋体" w:cs="宋体"/>
          <w:b/>
          <w:bCs/>
          <w:i w:val="0"/>
          <w:iCs w:val="0"/>
          <w:caps w:val="0"/>
          <w:color w:val="000000" w:themeColor="text1"/>
          <w:spacing w:val="0"/>
          <w:sz w:val="24"/>
          <w:szCs w:val="24"/>
          <w:highlight w:val="none"/>
          <w:lang w:val="en-US" w:eastAsia="zh-CN" w:bidi="ar"/>
        </w:rPr>
        <w:t xml:space="preserve">北京时间09:30</w:t>
      </w:r>
      <w:r>
        <w:rPr>
          <w:rFonts w:hint="eastAsia" w:ascii="宋体" w:hAnsi="宋体" w:eastAsia="宋体" w:cs="宋体"/>
          <w:b/>
          <w:bCs/>
          <w:color w:val="000000" w:themeColor="text1"/>
          <w:sz w:val="24"/>
          <w:szCs w:val="24"/>
          <w:highlight w:val="none"/>
        </w:rPr>
        <w:t xml:space="preserve">）前。</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2.提交地点：</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“苏采云”系统（网址：</w:t>
      </w:r>
      <w:r>
        <w:rPr>
          <w:rFonts w:hint="eastAsia" w:ascii="宋体" w:hAnsi="宋体" w:eastAsia="宋体" w:cs="宋体"/>
          <w:color w:val="000000" w:themeColor="text1"/>
          <w:sz w:val="24"/>
          <w:szCs w:val="24"/>
          <w:highlight w:val="none"/>
          <w:lang w:eastAsia="zh-CN"/>
        </w:rPr>
        <w:t xml:space="preserve">https://jszfcg.jsczt.cn</w:t>
      </w:r>
      <w:r>
        <w:rPr>
          <w:rFonts w:hint="eastAsia" w:ascii="宋体" w:hAnsi="宋体" w:eastAsia="宋体" w:cs="宋体"/>
          <w:color w:val="000000" w:themeColor="text1"/>
          <w:sz w:val="24"/>
          <w:szCs w:val="24"/>
          <w:highlight w:val="none"/>
        </w:rPr>
        <w:t xml:space="preserve">）“开标大厅”或进入徐州政府采购网（网址：https://czj.xz.gov.cn/zfcg/index.html）-业务工作-用户登录，点击“苏采云”进入系统“开标大厅”。 </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四</w:t>
      </w:r>
      <w:r>
        <w:rPr>
          <w:rFonts w:hint="eastAsia" w:ascii="宋体" w:hAnsi="宋体" w:eastAsia="宋体" w:cs="宋体"/>
          <w:b/>
          <w:bCs/>
          <w:color w:val="000000" w:themeColor="text1"/>
          <w:sz w:val="24"/>
          <w:szCs w:val="24"/>
          <w:highlight w:val="none"/>
        </w:rPr>
        <w:t xml:space="preserve">）首次响应文件开启时间：</w:t>
      </w:r>
      <w:r>
        <w:rPr>
          <w:rFonts w:hint="eastAsia" w:ascii="宋体" w:hAnsi="宋体" w:eastAsia="宋体" w:cs="宋体"/>
          <w:b/>
          <w:bCs/>
          <w:i w:val="0"/>
          <w:iCs w:val="0"/>
          <w:caps w:val="0"/>
          <w:color w:val="000000" w:themeColor="text1"/>
          <w:spacing w:val="0"/>
          <w:sz w:val="24"/>
          <w:szCs w:val="24"/>
          <w:highlight w:val="none"/>
          <w:lang w:val="en-US" w:eastAsia="zh-CN" w:bidi="ar"/>
        </w:rPr>
        <w:t xml:space="preserve">2026年8月19日</w:t>
      </w:r>
      <w:r>
        <w:rPr>
          <w:rFonts w:hint="eastAsia" w:ascii="宋体" w:hAnsi="宋体" w:eastAsia="宋体" w:cs="宋体"/>
          <w:b/>
          <w:bCs/>
          <w:i w:val="0"/>
          <w:iCs w:val="0"/>
          <w:caps w:val="0"/>
          <w:color w:val="000000" w:themeColor="text1"/>
          <w:spacing w:val="0"/>
          <w:sz w:val="24"/>
          <w:szCs w:val="24"/>
          <w:highlight w:val="none"/>
          <w:lang w:val="en-US" w:eastAsia="zh-CN" w:bidi="ar"/>
        </w:rPr>
        <w:t xml:space="preserve">北京时间09:30</w:t>
      </w:r>
      <w:r>
        <w:rPr>
          <w:rFonts w:hint="eastAsia" w:ascii="宋体" w:hAnsi="宋体" w:eastAsia="宋体" w:cs="宋体"/>
          <w:b/>
          <w:bCs/>
          <w:color w:val="000000" w:themeColor="text1"/>
          <w:sz w:val="24"/>
          <w:szCs w:val="24"/>
          <w:highlight w:val="none"/>
        </w:rPr>
        <w:t xml:space="preserve">。</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五</w:t>
      </w:r>
      <w:r>
        <w:rPr>
          <w:rFonts w:hint="eastAsia" w:ascii="宋体" w:hAnsi="宋体" w:eastAsia="宋体" w:cs="宋体"/>
          <w:b/>
          <w:bCs/>
          <w:color w:val="000000" w:themeColor="text1"/>
          <w:sz w:val="24"/>
          <w:szCs w:val="24"/>
          <w:highlight w:val="none"/>
        </w:rPr>
        <w:t xml:space="preserve">）首次响应文件开启地点：</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“苏采云”系统（网址：</w:t>
      </w:r>
      <w:r>
        <w:rPr>
          <w:rFonts w:hint="eastAsia" w:ascii="宋体" w:hAnsi="宋体" w:eastAsia="宋体" w:cs="宋体"/>
          <w:color w:val="000000" w:themeColor="text1"/>
          <w:sz w:val="24"/>
          <w:szCs w:val="24"/>
          <w:highlight w:val="none"/>
          <w:lang w:eastAsia="zh-CN"/>
        </w:rPr>
        <w:t xml:space="preserve">https://jszfcg.jsczt.cn</w:t>
      </w:r>
      <w:r>
        <w:rPr>
          <w:rFonts w:hint="eastAsia" w:ascii="宋体" w:hAnsi="宋体" w:eastAsia="宋体" w:cs="宋体"/>
          <w:color w:val="000000" w:themeColor="text1"/>
          <w:sz w:val="24"/>
          <w:szCs w:val="24"/>
          <w:highlight w:val="none"/>
        </w:rPr>
        <w:t xml:space="preserve">）“开标大厅”或进入徐州政府采购网（网址：</w:t>
      </w:r>
      <w:r>
        <w:rPr>
          <w:rFonts w:hint="eastAsia" w:ascii="宋体" w:hAnsi="宋体" w:eastAsia="宋体" w:cs="宋体"/>
          <w:color w:val="000000" w:themeColor="text1"/>
          <w:sz w:val="24"/>
          <w:szCs w:val="24"/>
          <w:highlight w:val="none"/>
          <w:lang w:eastAsia="zh-CN"/>
        </w:rPr>
        <w:t xml:space="preserve">https://czj.xz.gov.cn/zfcg/index.html</w:t>
      </w:r>
      <w:r>
        <w:rPr>
          <w:rFonts w:hint="eastAsia" w:ascii="宋体" w:hAnsi="宋体" w:eastAsia="宋体" w:cs="宋体"/>
          <w:color w:val="000000" w:themeColor="text1"/>
          <w:sz w:val="24"/>
          <w:szCs w:val="24"/>
          <w:highlight w:val="none"/>
        </w:rPr>
        <w:t xml:space="preserve">）-业务工作-用户登录，点击“苏采云”进入系统“开标大厅”。</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六</w:t>
      </w:r>
      <w:r>
        <w:rPr>
          <w:rFonts w:hint="eastAsia" w:ascii="宋体" w:hAnsi="宋体" w:eastAsia="宋体" w:cs="宋体"/>
          <w:color w:val="000000" w:themeColor="text1"/>
          <w:sz w:val="24"/>
          <w:szCs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七</w:t>
      </w:r>
      <w:r>
        <w:rPr>
          <w:rFonts w:hint="eastAsia" w:ascii="宋体" w:hAnsi="宋体" w:eastAsia="宋体" w:cs="宋体"/>
          <w:color w:val="000000" w:themeColor="text1"/>
          <w:sz w:val="24"/>
          <w:szCs w:val="24"/>
          <w:highlight w:val="none"/>
        </w:rPr>
        <w:t xml:space="preserve">）不接受不按要求加盖</w:t>
      </w:r>
      <w:r>
        <w:rPr>
          <w:rFonts w:hint="eastAsia" w:ascii="宋体" w:hAnsi="宋体" w:eastAsia="宋体" w:cs="宋体"/>
          <w:color w:val="000000" w:themeColor="text1"/>
          <w:sz w:val="24"/>
          <w:szCs w:val="24"/>
          <w:highlight w:val="none"/>
          <w:lang w:eastAsia="zh-CN"/>
        </w:rPr>
        <w:t xml:space="preserve">电子签章</w:t>
      </w:r>
      <w:r>
        <w:rPr>
          <w:rFonts w:hint="eastAsia" w:ascii="宋体" w:hAnsi="宋体" w:eastAsia="宋体" w:cs="宋体"/>
          <w:color w:val="000000" w:themeColor="text1"/>
          <w:sz w:val="24"/>
          <w:szCs w:val="24"/>
          <w:highlight w:val="none"/>
        </w:rPr>
        <w:t xml:space="preserve">（电子签章）的首次响应文件。电子签章相关要求见“苏采云”系统。</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八</w:t>
      </w:r>
      <w:r>
        <w:rPr>
          <w:rFonts w:hint="eastAsia" w:ascii="宋体" w:hAnsi="宋体" w:eastAsia="宋体" w:cs="宋体"/>
          <w:color w:val="000000" w:themeColor="text1"/>
          <w:sz w:val="24"/>
          <w:szCs w:val="24"/>
          <w:highlight w:val="none"/>
        </w:rPr>
        <w:t xml:space="preserve">）首次响应文件解密：</w:t>
      </w:r>
      <w:r>
        <w:rPr>
          <w:rFonts w:hint="eastAsia" w:ascii="宋体" w:hAnsi="宋体" w:eastAsia="宋体" w:cs="宋体"/>
          <w:bCs/>
          <w:color w:val="000000" w:themeColor="text1"/>
          <w:sz w:val="24"/>
          <w:szCs w:val="24"/>
          <w:highlight w:val="none"/>
        </w:rPr>
        <w:t xml:space="preserve">到达开启时间，</w:t>
      </w:r>
      <w:r>
        <w:rPr>
          <w:rFonts w:hint="eastAsia" w:ascii="宋体" w:hAnsi="宋体" w:eastAsia="宋体" w:cs="宋体"/>
          <w:color w:val="000000" w:themeColor="text1"/>
          <w:sz w:val="24"/>
          <w:szCs w:val="24"/>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000000" w:themeColor="text1"/>
          <w:sz w:val="24"/>
          <w:szCs w:val="24"/>
          <w:highlight w:val="none"/>
        </w:rPr>
        <w:t xml:space="preserve">开启时间后30分钟内</w:t>
      </w:r>
      <w:r>
        <w:rPr>
          <w:rFonts w:hint="eastAsia" w:ascii="宋体" w:hAnsi="宋体" w:eastAsia="宋体" w:cs="宋体"/>
          <w:color w:val="000000" w:themeColor="text1"/>
          <w:sz w:val="24"/>
          <w:szCs w:val="24"/>
          <w:highlight w:val="none"/>
        </w:rPr>
        <w:t xml:space="preserve">，通过“苏采云”系统（使用“CA数字证书”）解密。</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九</w:t>
      </w:r>
      <w:r>
        <w:rPr>
          <w:rFonts w:hint="eastAsia" w:ascii="宋体" w:hAnsi="宋体" w:eastAsia="宋体" w:cs="宋体"/>
          <w:color w:val="000000" w:themeColor="text1"/>
          <w:sz w:val="24"/>
          <w:szCs w:val="24"/>
          <w:highlight w:val="none"/>
        </w:rPr>
        <w:t xml:space="preserve">）采购文件（后缀名为“.kedt”）、供应商操作手册及政府采购客户端工具可通过“苏采云”系统（网址：</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HYPERLINK "http://jszfcg.jsczt.cn/"</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lang w:eastAsia="zh-CN"/>
        </w:rPr>
        <w:t xml:space="preserve">https://jszfcg.jsczt.cn</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已报名项目</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报名详情页面内相应链接进行下载；供应商操作手册及政府采购客户端工具也可通过徐州政府采购网</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业务工作</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快速服务</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下载专区，点击进入《江苏省政府采购管理交易系统（苏采云）供应商操作手册及政府采购客户端》，进行下载。</w:t>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十</w:t>
      </w:r>
      <w:r>
        <w:rPr>
          <w:rFonts w:hint="eastAsia" w:ascii="宋体" w:hAnsi="宋体" w:eastAsia="宋体" w:cs="宋体"/>
          <w:color w:val="000000" w:themeColor="text1"/>
          <w:sz w:val="24"/>
          <w:szCs w:val="24"/>
          <w:highlight w:val="none"/>
        </w:rPr>
        <w:t xml:space="preserve">）相关说明</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供应商在“苏采云”系统中提交首次响应文件的时间即为数据电文（响应文件，下同）的发送时间和接收时间。</w:t>
      </w:r>
      <w:r>
        <w:rPr>
          <w:color w:val="000000" w:themeColor="text1"/>
          <w:highlight w:val="none"/>
        </w:rPr>
      </w:r>
    </w:p>
    <w:p>
      <w:pPr>
        <w:pStyle w:val="919"/>
        <w:ind w:left="499"/>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十三、响应文件编制要求：</w:t>
      </w:r>
      <w:r>
        <w:rPr>
          <w:color w:val="000000" w:themeColor="text1"/>
          <w:highlight w:val="none"/>
        </w:rPr>
      </w:r>
    </w:p>
    <w:p>
      <w:pPr>
        <w:pStyle w:val="919"/>
        <w:ind w:left="499"/>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请按照以下要求（包括但不限于以下要求）制作：</w:t>
      </w:r>
      <w:r>
        <w:rPr>
          <w:color w:val="000000" w:themeColor="text1"/>
          <w:highlight w:val="none"/>
        </w:rPr>
      </w:r>
    </w:p>
    <w:p>
      <w:pPr>
        <w:pStyle w:val="903"/>
        <w:ind w:firstLine="425"/>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（一）基本目录</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1</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《磋商报价表》（加盖电子签章，格式见《磋商文件》附件。政府采购客户端工具输入报价自动生成）；</w:t>
      </w:r>
      <w:r>
        <w:rPr>
          <w:color w:val="000000" w:themeColor="text1"/>
          <w:highlight w:val="none"/>
        </w:rPr>
      </w:r>
    </w:p>
    <w:p>
      <w:pPr>
        <w:pStyle w:val="904"/>
        <w:ind w:firstLine="482"/>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w:t>
      </w:r>
      <w:r>
        <w:rPr>
          <w:rFonts w:hint="eastAsia" w:ascii="宋体" w:hAnsi="宋体" w:eastAsia="宋体" w:cs="宋体"/>
          <w:b w:val="0"/>
          <w:bCs/>
          <w:color w:val="000000" w:themeColor="text1"/>
          <w:sz w:val="24"/>
          <w:szCs w:val="24"/>
          <w:highlight w:val="none"/>
        </w:rPr>
        <w:t xml:space="preserve">供应商认为需要提供的其他资料的扫描件（如有）</w:t>
      </w:r>
      <w:r>
        <w:rPr>
          <w:rFonts w:hint="eastAsia" w:ascii="宋体" w:hAnsi="宋体" w:eastAsia="宋体" w:cs="宋体"/>
          <w:b w:val="0"/>
          <w:bCs/>
          <w:color w:val="000000" w:themeColor="text1"/>
          <w:sz w:val="24"/>
          <w:szCs w:val="24"/>
          <w:highlight w:val="none"/>
          <w:lang w:eastAsia="zh-CN"/>
        </w:rPr>
        <w:t xml:space="preserve">。</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  （二）</w:t>
      </w:r>
      <w:r>
        <w:rPr>
          <w:rFonts w:hint="eastAsia" w:ascii="宋体" w:hAnsi="宋体" w:eastAsia="宋体" w:cs="宋体"/>
          <w:b/>
          <w:bCs w:val="0"/>
          <w:color w:val="000000" w:themeColor="text1"/>
          <w:sz w:val="24"/>
          <w:szCs w:val="24"/>
          <w:highlight w:val="none"/>
        </w:rPr>
        <w:t xml:space="preserve">资格条件（</w:t>
      </w:r>
      <w:r>
        <w:rPr>
          <w:rFonts w:hint="eastAsia" w:ascii="宋体" w:hAnsi="宋体" w:eastAsia="宋体" w:cs="宋体"/>
          <w:b/>
          <w:bCs w:val="0"/>
          <w:color w:val="000000" w:themeColor="text1"/>
          <w:sz w:val="24"/>
          <w:szCs w:val="24"/>
          <w:highlight w:val="none"/>
          <w:lang w:val="en-US" w:eastAsia="zh-CN"/>
        </w:rPr>
        <w:t xml:space="preserve">1-6项</w:t>
      </w:r>
      <w:r>
        <w:rPr>
          <w:rFonts w:hint="eastAsia" w:ascii="宋体" w:hAnsi="宋体" w:eastAsia="宋体" w:cs="宋体"/>
          <w:b/>
          <w:bCs w:val="0"/>
          <w:color w:val="000000" w:themeColor="text1"/>
          <w:sz w:val="24"/>
          <w:szCs w:val="24"/>
          <w:highlight w:val="none"/>
        </w:rPr>
        <w:t xml:space="preserve">必须提供</w:t>
      </w:r>
      <w:r>
        <w:rPr>
          <w:rFonts w:hint="eastAsia" w:ascii="宋体" w:hAnsi="宋体" w:eastAsia="宋体" w:cs="宋体"/>
          <w:b/>
          <w:bCs w:val="0"/>
          <w:color w:val="000000" w:themeColor="text1"/>
          <w:sz w:val="24"/>
          <w:szCs w:val="24"/>
          <w:highlight w:val="none"/>
          <w:lang w:val="en-US" w:eastAsia="zh-CN"/>
        </w:rPr>
        <w:t xml:space="preserve">原件扫描件</w:t>
      </w:r>
      <w:r>
        <w:rPr>
          <w:rFonts w:hint="eastAsia" w:ascii="宋体" w:hAnsi="宋体" w:eastAsia="宋体" w:cs="宋体"/>
          <w:b/>
          <w:bCs w:val="0"/>
          <w:color w:val="000000" w:themeColor="text1"/>
          <w:sz w:val="24"/>
          <w:szCs w:val="24"/>
          <w:highlight w:val="none"/>
        </w:rPr>
        <w:t xml:space="preserve">，否则响应无效）</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投标人合法有效的法人或者其他组织的营业执照等证明文件。以上证明文件提供原件的扫描件。</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财务状况报告，</w:t>
      </w:r>
      <w:r>
        <w:rPr>
          <w:rFonts w:hint="eastAsia" w:ascii="宋体" w:hAnsi="宋体" w:eastAsia="宋体" w:cs="宋体"/>
          <w:bCs/>
          <w:color w:val="000000" w:themeColor="text1"/>
          <w:sz w:val="24"/>
          <w:szCs w:val="24"/>
          <w:highlight w:val="none"/>
          <w:lang w:val="en-US" w:eastAsia="zh-CN"/>
        </w:rPr>
        <w:t xml:space="preserve">至少提供：</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default" w:ascii="宋体" w:hAnsi="宋体" w:eastAsia="宋体" w:cs="宋体"/>
          <w:bCs/>
          <w:color w:val="000000" w:themeColor="text1"/>
          <w:sz w:val="24"/>
          <w:szCs w:val="24"/>
          <w:highlight w:val="none"/>
        </w:rPr>
        <w:t xml:space="preserve">①</w:t>
      </w:r>
      <w:r>
        <w:rPr>
          <w:rFonts w:hint="eastAsia" w:ascii="宋体" w:hAnsi="宋体" w:eastAsia="宋体" w:cs="宋体"/>
          <w:bCs/>
          <w:color w:val="000000" w:themeColor="text1"/>
          <w:sz w:val="24"/>
          <w:szCs w:val="24"/>
          <w:highlight w:val="none"/>
        </w:rPr>
        <w:t xml:space="preserve">供应商的“首次响应文件提交的截止时间”前6个月内任何1月（不含“首次响应文件提交的截止时间”当月）的资产负债表的扫描件1份；</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default" w:ascii="宋体" w:hAnsi="宋体" w:eastAsia="宋体" w:cs="宋体"/>
          <w:bCs/>
          <w:color w:val="000000" w:themeColor="text1"/>
          <w:sz w:val="24"/>
          <w:szCs w:val="24"/>
          <w:highlight w:val="none"/>
        </w:rPr>
        <w:t xml:space="preserve">②</w:t>
      </w:r>
      <w:r>
        <w:rPr>
          <w:rFonts w:hint="eastAsia" w:ascii="宋体" w:hAnsi="宋体" w:eastAsia="宋体" w:cs="宋体"/>
          <w:bCs/>
          <w:color w:val="000000" w:themeColor="text1"/>
          <w:sz w:val="24"/>
          <w:szCs w:val="24"/>
          <w:highlight w:val="none"/>
        </w:rPr>
        <w:t xml:space="preserve">供应商的“首次响应文件提交的截止时间”前6个月内任何1月（不含“首次响应文件提交的截止时间”当月）的利润表月报表的扫描件1份。或合法有效的经第三方机构审计的年度财务审计报告（复印件）（202</w:t>
      </w: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rPr>
        <w:t xml:space="preserve">年度，应包括审计报告正文、资产负债表、现金流量表、利润表）。</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具备履行合同所必需的设备和专业技术能力的</w:t>
      </w:r>
      <w:r>
        <w:rPr>
          <w:rFonts w:hint="eastAsia" w:ascii="宋体" w:hAnsi="宋体" w:eastAsia="宋体" w:cs="宋体"/>
          <w:bCs/>
          <w:color w:val="000000" w:themeColor="text1"/>
          <w:sz w:val="24"/>
          <w:szCs w:val="24"/>
          <w:highlight w:val="none"/>
          <w:lang w:val="en-US" w:eastAsia="zh-CN"/>
        </w:rPr>
        <w:t xml:space="preserve">书面声明</w:t>
      </w:r>
      <w:r>
        <w:rPr>
          <w:rFonts w:hint="eastAsia" w:ascii="宋体" w:hAnsi="宋体" w:eastAsia="宋体" w:cs="宋体"/>
          <w:bCs/>
          <w:color w:val="000000" w:themeColor="text1"/>
          <w:sz w:val="24"/>
          <w:szCs w:val="24"/>
          <w:highlight w:val="none"/>
        </w:rPr>
        <w:t xml:space="preserve">。响应文件中提供《具备履行合同所必需的设备和专业技术能力的书面声明》（加盖电子签章，格式见《磋商文件》附件）。</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rPr>
        <w:t xml:space="preserve">供应商参加政府采购活动前3年内在经营活动中没有重大违法记录的书面声明(格式见《磋商文件》附件)。</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
          <w:bCs w:val="0"/>
          <w:color w:val="000000" w:themeColor="text1"/>
          <w:sz w:val="24"/>
          <w:szCs w:val="24"/>
          <w:highlight w:val="none"/>
        </w:rPr>
        <w:t xml:space="preserve">供应商为中小企业（含中型、小型、微型企业，下同）的，提供《中小企业声明函》（本项目属于专门面向中小微企业采购的项目（必须提供，否则响应无效））</w:t>
      </w:r>
      <w:r>
        <w:rPr>
          <w:rFonts w:hint="eastAsia" w:ascii="宋体" w:hAnsi="宋体" w:eastAsia="宋体" w:cs="宋体"/>
          <w:bCs/>
          <w:color w:val="000000" w:themeColor="text1"/>
          <w:sz w:val="24"/>
          <w:szCs w:val="24"/>
          <w:highlight w:val="none"/>
        </w:rPr>
        <w:t xml:space="preserve">，加盖电子签章，填写完整，格式见《磋商文件》附件。“中小企业声明函” 查询渠道用微信搜索“中小企业规模类型自测小程序”。</w:t>
      </w:r>
      <w:r>
        <w:rPr>
          <w:color w:val="000000" w:themeColor="text1"/>
          <w:highlight w:val="none"/>
        </w:rPr>
      </w:r>
    </w:p>
    <w:p>
      <w:pPr>
        <w:pStyle w:val="904"/>
        <w:ind w:right="-334"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注：中小微企业，应当同时符合以下条件：</w:t>
      </w:r>
      <w:r>
        <w:rPr>
          <w:color w:val="000000" w:themeColor="text1"/>
          <w:highlight w:val="none"/>
        </w:rPr>
      </w:r>
    </w:p>
    <w:p>
      <w:pPr>
        <w:pStyle w:val="904"/>
        <w:ind w:right="-334"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color w:val="000000" w:themeColor="text1"/>
          <w:highlight w:val="none"/>
        </w:rPr>
      </w:r>
    </w:p>
    <w:p>
      <w:pPr>
        <w:pStyle w:val="904"/>
        <w:ind w:right="-334"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供应商为残疾人福利性单位的，视同小微企业，提供《残疾人福利性单位声明函》（电子签章，格式见附件》）。具体以《关于促进残疾人就业政府采购政策的通知》（财库〔2017〕141号）的规定为准。</w:t>
      </w:r>
      <w:r>
        <w:rPr>
          <w:color w:val="000000" w:themeColor="text1"/>
          <w:highlight w:val="none"/>
        </w:rPr>
      </w:r>
    </w:p>
    <w:p>
      <w:pPr>
        <w:pStyle w:val="904"/>
        <w:ind w:right="-334"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供应商为监狱企业的，视同小微企业，提供省级以上监狱管理局、戒毒管理局（含新疆生产建设兵团）出具的属于监狱企业的证明文件</w:t>
      </w:r>
      <w:r>
        <w:rPr>
          <w:rFonts w:hint="eastAsia" w:ascii="宋体" w:hAnsi="宋体" w:eastAsia="宋体" w:cs="宋体"/>
          <w:b w:val="0"/>
          <w:bCs/>
          <w:color w:val="000000" w:themeColor="text1"/>
          <w:sz w:val="24"/>
          <w:szCs w:val="24"/>
          <w:highlight w:val="none"/>
          <w:lang w:val="en-US" w:eastAsia="zh-CN"/>
        </w:rPr>
        <w:t xml:space="preserve">原件</w:t>
      </w:r>
      <w:r>
        <w:rPr>
          <w:rFonts w:hint="eastAsia" w:ascii="宋体" w:hAnsi="宋体" w:eastAsia="宋体" w:cs="宋体"/>
          <w:color w:val="000000" w:themeColor="text1"/>
          <w:sz w:val="24"/>
          <w:szCs w:val="24"/>
          <w:highlight w:val="none"/>
          <w:lang w:val="en-US" w:eastAsia="zh-CN"/>
        </w:rPr>
        <w:t xml:space="preserve">扫描件。具体以《财政部 司法部关于政府采购支持监狱企业发展有关问题的通知》（财库〔2014〕68号）的规定为准。</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（三）</w:t>
      </w:r>
      <w:r>
        <w:rPr>
          <w:rFonts w:hint="eastAsia" w:ascii="宋体" w:hAnsi="宋体" w:eastAsia="宋体" w:cs="宋体"/>
          <w:b/>
          <w:bCs/>
          <w:color w:val="000000" w:themeColor="text1"/>
          <w:sz w:val="24"/>
          <w:szCs w:val="24"/>
          <w:highlight w:val="none"/>
        </w:rPr>
        <w:t xml:space="preserve">符合条件（必须提供，否则响应无效）</w:t>
      </w:r>
      <w:r>
        <w:rPr>
          <w:color w:val="000000" w:themeColor="text1"/>
          <w:highlight w:val="none"/>
        </w:rPr>
      </w:r>
    </w:p>
    <w:p>
      <w:pPr>
        <w:ind w:left="0" w:right="0" w:firstLine="48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1.《承诺书》（加盖电子签章，格式见《磋商文件》附件）；</w:t>
      </w:r>
      <w:r>
        <w:rPr>
          <w:color w:val="000000" w:themeColor="text1"/>
          <w:highlight w:val="none"/>
        </w:rPr>
      </w:r>
    </w:p>
    <w:p>
      <w:pPr>
        <w:ind w:left="0" w:right="0" w:firstLine="480"/>
        <w:keepLines w:val="0"/>
        <w:keepNext w:val="0"/>
        <w:pageBreakBefore w:val="0"/>
        <w:spacing w:before="0" w:after="0" w:line="360" w:lineRule="auto"/>
        <w:widowControl w:val="off"/>
        <w:rPr>
          <w:rFonts w:hint="default"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bidi="ar-SA"/>
        </w:rPr>
        <w:t xml:space="preserve">2.《授权委托书》</w:t>
      </w:r>
      <w:r>
        <w:rPr>
          <w:rFonts w:hint="eastAsia" w:ascii="宋体" w:hAnsi="宋体" w:cs="宋体"/>
          <w:color w:val="000000" w:themeColor="text1"/>
          <w:sz w:val="24"/>
          <w:highlight w:val="none"/>
        </w:rPr>
        <w:t xml:space="preserve">（提供授权委托书及受托人身份证原件的扫描件，格式见《磋商文件》附件）；</w:t>
      </w:r>
      <w:r>
        <w:rPr>
          <w:rFonts w:hint="eastAsia" w:ascii="宋体" w:hAnsi="宋体" w:eastAsia="宋体" w:cs="宋体"/>
          <w:color w:val="000000" w:themeColor="text1"/>
          <w:sz w:val="24"/>
          <w:szCs w:val="24"/>
          <w:highlight w:val="none"/>
          <w:lang w:val="en-US" w:eastAsia="zh-CN" w:bidi="ar-SA"/>
        </w:rPr>
        <w:t xml:space="preserve">（加盖电子签章，格式见《磋商文件》附件）；</w:t>
      </w:r>
      <w:r>
        <w:rPr>
          <w:color w:val="000000" w:themeColor="text1"/>
          <w:highlight w:val="none"/>
        </w:rPr>
      </w:r>
    </w:p>
    <w:p>
      <w:pPr>
        <w:ind w:left="0" w:right="0" w:firstLine="48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2.《磋商报价表》（加盖电子签章，格式见《磋商文件》附件）；</w:t>
      </w:r>
      <w:r>
        <w:rPr>
          <w:color w:val="000000" w:themeColor="text1"/>
          <w:highlight w:val="none"/>
        </w:rPr>
      </w:r>
    </w:p>
    <w:p>
      <w:pPr>
        <w:ind w:left="0" w:right="0" w:firstLine="48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3.《分项价格表》（加盖电子签章，格式见《磋商文件》附件）；</w:t>
      </w:r>
      <w:r>
        <w:rPr>
          <w:color w:val="000000" w:themeColor="text1"/>
          <w:highlight w:val="none"/>
        </w:rPr>
      </w:r>
    </w:p>
    <w:p>
      <w:pPr>
        <w:ind w:left="0" w:right="0" w:firstLine="48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4.《偏离表》（加盖电子签章，格式见《磋商文件》附件）；</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（四）综合评审评分项</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.商务部分</w:t>
      </w:r>
      <w:r>
        <w:rPr>
          <w:color w:val="000000" w:themeColor="text1"/>
          <w:highlight w:val="none"/>
        </w:rPr>
      </w:r>
    </w:p>
    <w:p>
      <w:pPr>
        <w:ind w:left="0" w:right="0" w:firstLine="48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（1）业绩（要求见《磋商文件》附件：1.《评分细则》）</w:t>
      </w:r>
      <w:r>
        <w:rPr>
          <w:color w:val="000000" w:themeColor="text1"/>
          <w:highlight w:val="none"/>
        </w:rPr>
      </w:r>
    </w:p>
    <w:p>
      <w:pPr>
        <w:ind w:left="0" w:right="0" w:firstLine="48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（2）项目主要管理人员（要求见《磋商文件》附件：1.《评分细则》））</w:t>
      </w:r>
      <w:r>
        <w:rPr>
          <w:color w:val="000000" w:themeColor="text1"/>
          <w:highlight w:val="none"/>
        </w:rPr>
      </w:r>
    </w:p>
    <w:p>
      <w:pPr>
        <w:ind w:left="0" w:right="0" w:firstLine="48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2.技术部分</w:t>
      </w:r>
      <w:r>
        <w:rPr>
          <w:color w:val="000000" w:themeColor="text1"/>
          <w:highlight w:val="none"/>
        </w:rPr>
      </w:r>
    </w:p>
    <w:p>
      <w:pPr>
        <w:ind w:left="0" w:right="0" w:firstLine="48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（1）施工组织设计（要求见《磋商文件》附件：1.《评分细则》）</w:t>
      </w:r>
      <w:r>
        <w:rPr>
          <w:color w:val="000000" w:themeColor="text1"/>
          <w:highlight w:val="none"/>
        </w:rPr>
      </w:r>
    </w:p>
    <w:p>
      <w:pPr>
        <w:ind w:left="0" w:right="0" w:firstLine="48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（2）养护期方案及措施（要求见《磋商文件》附件：1.《评分细则》）</w:t>
      </w:r>
      <w:r>
        <w:rPr>
          <w:color w:val="000000" w:themeColor="text1"/>
          <w:highlight w:val="none"/>
        </w:rPr>
      </w:r>
    </w:p>
    <w:p>
      <w:pPr>
        <w:pStyle w:val="903"/>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（五）价格折扣文件格式</w:t>
      </w:r>
      <w:r>
        <w:rPr>
          <w:color w:val="000000" w:themeColor="text1"/>
          <w:highlight w:val="none"/>
        </w:rPr>
      </w:r>
    </w:p>
    <w:p>
      <w:pPr>
        <w:pStyle w:val="903"/>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1</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企业报价折扣证明：</w:t>
      </w:r>
      <w:r>
        <w:rPr>
          <w:rFonts w:hint="eastAsia" w:ascii="宋体" w:hAnsi="宋体" w:eastAsia="宋体" w:cs="宋体"/>
          <w:b/>
          <w:bCs/>
          <w:color w:val="000000" w:themeColor="text1"/>
          <w:sz w:val="24"/>
          <w:szCs w:val="24"/>
          <w:highlight w:val="none"/>
          <w:lang w:val="en-US" w:eastAsia="zh-CN"/>
        </w:rPr>
        <w:t xml:space="preserve">无</w:t>
      </w:r>
      <w:r>
        <w:rPr>
          <w:color w:val="000000" w:themeColor="text1"/>
          <w:highlight w:val="none"/>
        </w:rPr>
      </w:r>
    </w:p>
    <w:p>
      <w:pPr>
        <w:pStyle w:val="903"/>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（六）提交的首次响应文件的密封、签署、盖章要求：</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密封（加密）要求：</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签署要求：</w:t>
      </w:r>
      <w:r>
        <w:rPr>
          <w:rFonts w:hint="eastAsia" w:ascii="宋体" w:hAnsi="宋体" w:eastAsia="宋体" w:cs="宋体"/>
          <w:b w:val="0"/>
          <w:bCs w:val="0"/>
          <w:color w:val="000000" w:themeColor="text1"/>
          <w:sz w:val="24"/>
          <w:szCs w:val="24"/>
          <w:highlight w:val="none"/>
        </w:rPr>
        <w:t xml:space="preserve">见</w:t>
      </w:r>
      <w:r>
        <w:rPr>
          <w:rFonts w:hint="eastAsia" w:ascii="宋体" w:hAnsi="宋体" w:eastAsia="宋体" w:cs="宋体"/>
          <w:color w:val="000000" w:themeColor="text1"/>
          <w:sz w:val="24"/>
          <w:szCs w:val="24"/>
          <w:highlight w:val="none"/>
        </w:rPr>
        <w:t xml:space="preserve">《磋商文件》第九章附件中相关格式要求</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盖章要求：见《磋商文件》第九章附件中相关格式要求。供应商须通过“苏采云”系统提供的政府采购客户端工具（使用“CA数字证书”）加盖电子签章。</w:t>
      </w:r>
      <w:r>
        <w:rPr>
          <w:color w:val="000000" w:themeColor="text1"/>
          <w:highlight w:val="none"/>
        </w:rPr>
      </w:r>
    </w:p>
    <w:p>
      <w:pPr>
        <w:pStyle w:val="903"/>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（七）通过“苏采云”系统提交政府采购客户端工具导出加密的响应文件（后缀名为zip）。响应文件不得超过</w:t>
      </w:r>
      <w:r>
        <w:rPr>
          <w:rFonts w:hint="eastAsia" w:ascii="宋体" w:hAnsi="宋体" w:eastAsia="宋体" w:cs="宋体"/>
          <w:b/>
          <w:bCs/>
          <w:color w:val="000000" w:themeColor="text1"/>
          <w:sz w:val="24"/>
          <w:szCs w:val="24"/>
          <w:highlight w:val="none"/>
          <w:lang w:val="en-US" w:eastAsia="zh-CN"/>
        </w:rPr>
        <w:t xml:space="preserve">1</w:t>
      </w:r>
      <w:r>
        <w:rPr>
          <w:rFonts w:hint="eastAsia" w:ascii="宋体" w:hAnsi="宋体" w:eastAsia="宋体" w:cs="宋体"/>
          <w:b/>
          <w:bCs/>
          <w:color w:val="000000" w:themeColor="text1"/>
          <w:sz w:val="24"/>
          <w:szCs w:val="24"/>
          <w:highlight w:val="none"/>
          <w:lang w:eastAsia="zh-CN"/>
        </w:rPr>
        <w:t xml:space="preserve">50M</w:t>
      </w:r>
      <w:r>
        <w:rPr>
          <w:rFonts w:hint="eastAsia" w:ascii="宋体" w:hAnsi="宋体" w:eastAsia="宋体" w:cs="宋体"/>
          <w:b/>
          <w:bCs/>
          <w:color w:val="000000" w:themeColor="text1"/>
          <w:sz w:val="24"/>
          <w:szCs w:val="24"/>
          <w:highlight w:val="none"/>
        </w:rPr>
        <w:t xml:space="preserve">！（具体文件大小以苏彩云系统要求为准）</w:t>
      </w:r>
      <w:r>
        <w:rPr>
          <w:rFonts w:hint="eastAsia" w:ascii="宋体" w:hAnsi="宋体" w:eastAsia="宋体" w:cs="宋体"/>
          <w:b/>
          <w:bCs/>
          <w:color w:val="000000" w:themeColor="text1"/>
          <w:sz w:val="24"/>
          <w:szCs w:val="24"/>
          <w:highlight w:val="none"/>
          <w:lang w:eastAsia="zh-CN"/>
        </w:rPr>
        <w:t xml:space="preserve">。</w:t>
      </w:r>
      <w:r>
        <w:rPr>
          <w:color w:val="000000" w:themeColor="text1"/>
          <w:highlight w:val="none"/>
        </w:rPr>
      </w:r>
    </w:p>
    <w:p>
      <w:pPr>
        <w:pStyle w:val="903"/>
        <w:ind w:firstLine="497"/>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供应商应当按照《磋商文件》的要求编制响应文件，并对其提交的响应文件的真实性、合法性承担法律责任。</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2、采购人索取成交供应商的响应文件，须在双方签订政府采购合同后，由采购代理机构提供给采购人。</w:t>
      </w:r>
      <w:r>
        <w:rPr>
          <w:color w:val="000000" w:themeColor="text1"/>
          <w:highlight w:val="none"/>
        </w:rPr>
      </w:r>
    </w:p>
    <w:p>
      <w:pPr>
        <w:pStyle w:val="919"/>
        <w:numPr>
          <w:ilvl w:val="0"/>
          <w:numId w:val="20"/>
        </w:numPr>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outlineLvl w:val="2"/>
      </w:pPr>
      <w:r>
        <w:rPr>
          <w:rFonts w:hint="eastAsia" w:ascii="宋体" w:hAnsi="宋体" w:eastAsia="宋体" w:cs="宋体"/>
          <w:b/>
          <w:bCs/>
          <w:color w:val="000000" w:themeColor="text1"/>
          <w:sz w:val="24"/>
          <w:szCs w:val="24"/>
          <w:highlight w:val="none"/>
        </w:rPr>
        <w:t xml:space="preserve">磋商的相关说明</w:t>
      </w:r>
      <w:r>
        <w:rPr>
          <w:color w:val="000000" w:themeColor="text1"/>
          <w:highlight w:val="none"/>
        </w:rPr>
      </w:r>
    </w:p>
    <w:p>
      <w:pPr>
        <w:pStyle w:val="924"/>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十四、评审程序：</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（一）</w:t>
      </w:r>
      <w:r>
        <w:rPr>
          <w:rFonts w:hint="eastAsia" w:ascii="宋体" w:hAnsi="宋体" w:eastAsia="宋体" w:cs="宋体"/>
          <w:bCs/>
          <w:color w:val="000000" w:themeColor="text1"/>
          <w:sz w:val="24"/>
          <w:szCs w:val="24"/>
          <w:highlight w:val="none"/>
        </w:rPr>
        <w:t xml:space="preserve">磋商要求</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1.被邀请参与磋商的供应商需按本竞争性磋商文件要求的截止时间、方式（地点）提交首次响应文件，同时派人</w:t>
      </w:r>
      <w:r>
        <w:rPr>
          <w:rFonts w:hint="eastAsia" w:ascii="宋体" w:hAnsi="宋体" w:eastAsia="宋体" w:cs="宋体"/>
          <w:bCs/>
          <w:color w:val="000000" w:themeColor="text1"/>
          <w:sz w:val="24"/>
          <w:szCs w:val="24"/>
          <w:highlight w:val="none"/>
          <w:lang w:val="en-US" w:eastAsia="zh-CN"/>
        </w:rPr>
        <w:t xml:space="preserve">通过“苏采云”系统在“开标大厅”等待</w:t>
      </w:r>
      <w:r>
        <w:rPr>
          <w:rFonts w:hint="eastAsia" w:ascii="宋体" w:hAnsi="宋体" w:eastAsia="宋体" w:cs="宋体"/>
          <w:bCs/>
          <w:color w:val="000000" w:themeColor="text1"/>
          <w:sz w:val="24"/>
          <w:szCs w:val="24"/>
          <w:highlight w:val="none"/>
        </w:rPr>
        <w:t xml:space="preserve">磋商。</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bCs/>
          <w:color w:val="000000" w:themeColor="text1"/>
          <w:sz w:val="24"/>
          <w:szCs w:val="24"/>
          <w:highlight w:val="none"/>
        </w:rPr>
        <w:t xml:space="preserve">供应商可</w:t>
      </w:r>
      <w:r>
        <w:rPr>
          <w:rFonts w:hint="eastAsia" w:ascii="宋体" w:hAnsi="宋体" w:eastAsia="宋体" w:cs="宋体"/>
          <w:bCs/>
          <w:color w:val="000000" w:themeColor="text1"/>
          <w:sz w:val="24"/>
          <w:szCs w:val="24"/>
          <w:highlight w:val="none"/>
          <w:lang w:val="en-US" w:eastAsia="zh-CN"/>
        </w:rPr>
        <w:t xml:space="preserve">通过</w:t>
      </w:r>
      <w:r>
        <w:rPr>
          <w:rFonts w:hint="eastAsia" w:ascii="宋体" w:hAnsi="宋体" w:eastAsia="宋体" w:cs="宋体"/>
          <w:bCs/>
          <w:color w:val="000000" w:themeColor="text1"/>
          <w:sz w:val="24"/>
          <w:szCs w:val="24"/>
          <w:highlight w:val="none"/>
        </w:rPr>
        <w:t xml:space="preserve">CA数字证书，在首次响应文件开启时间后，使用CA数字证书</w:t>
      </w:r>
      <w:r>
        <w:rPr>
          <w:rFonts w:hint="eastAsia" w:ascii="宋体" w:hAnsi="宋体" w:eastAsia="宋体" w:cs="宋体"/>
          <w:bCs/>
          <w:color w:val="000000" w:themeColor="text1"/>
          <w:sz w:val="24"/>
          <w:szCs w:val="24"/>
          <w:highlight w:val="none"/>
          <w:lang w:val="en-US" w:eastAsia="zh-CN"/>
        </w:rPr>
        <w:t xml:space="preserve">在规定时间内</w:t>
      </w:r>
      <w:r>
        <w:rPr>
          <w:rFonts w:hint="eastAsia" w:ascii="宋体" w:hAnsi="宋体" w:eastAsia="宋体" w:cs="宋体"/>
          <w:bCs/>
          <w:color w:val="000000" w:themeColor="text1"/>
          <w:sz w:val="24"/>
          <w:szCs w:val="24"/>
          <w:highlight w:val="none"/>
        </w:rPr>
        <w:t xml:space="preserve">解密各自响应文件。</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b/>
          <w:bCs w:val="0"/>
          <w:color w:val="000000" w:themeColor="text1"/>
          <w:sz w:val="24"/>
          <w:szCs w:val="24"/>
          <w:highlight w:val="none"/>
        </w:rPr>
        <w:t xml:space="preserve">供应商的授权代表或法人须全程守候在“苏采云”系统开标大厅，并确保视频设备正常使用。授权代表或法人须携带授权委托书原件及身份证原件，经磋商小组核查后参与磋商活动。</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lang w:val="en-US" w:eastAsia="zh-CN"/>
        </w:rPr>
        <w:t xml:space="preserve">4.磋商顺序按照电子标书解密先后时间进行，解密时间相同的，不分先后顺序。</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5.磋商方式：</w:t>
      </w:r>
      <w:r>
        <w:rPr>
          <w:rFonts w:hint="eastAsia" w:ascii="宋体" w:hAnsi="宋体" w:eastAsia="宋体" w:cs="宋体"/>
          <w:b/>
          <w:bCs/>
          <w:color w:val="000000" w:themeColor="text1"/>
          <w:sz w:val="24"/>
          <w:szCs w:val="24"/>
          <w:highlight w:val="none"/>
        </w:rPr>
        <w:t xml:space="preserve">本次</w:t>
      </w:r>
      <w:r>
        <w:rPr>
          <w:rFonts w:hint="eastAsia" w:ascii="宋体" w:hAnsi="宋体" w:eastAsia="宋体" w:cs="宋体"/>
          <w:b/>
          <w:bCs/>
          <w:color w:val="000000" w:themeColor="text1"/>
          <w:sz w:val="24"/>
          <w:szCs w:val="24"/>
          <w:highlight w:val="none"/>
          <w:lang w:val="en-US" w:eastAsia="zh-CN"/>
        </w:rPr>
        <w:t xml:space="preserve">磋商</w:t>
      </w:r>
      <w:r>
        <w:rPr>
          <w:rFonts w:hint="eastAsia" w:ascii="宋体" w:hAnsi="宋体" w:eastAsia="宋体" w:cs="宋体"/>
          <w:b/>
          <w:bCs/>
          <w:color w:val="000000" w:themeColor="text1"/>
          <w:sz w:val="24"/>
          <w:szCs w:val="24"/>
          <w:highlight w:val="none"/>
        </w:rPr>
        <w:t xml:space="preserve">采用</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苏采云</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系统中的视频会议</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供应商</w:t>
      </w:r>
      <w:r>
        <w:rPr>
          <w:rFonts w:hint="eastAsia" w:ascii="宋体" w:hAnsi="宋体" w:eastAsia="宋体" w:cs="宋体"/>
          <w:b/>
          <w:bCs/>
          <w:color w:val="000000" w:themeColor="text1"/>
          <w:sz w:val="24"/>
          <w:szCs w:val="24"/>
          <w:highlight w:val="none"/>
        </w:rPr>
        <w:t xml:space="preserve">自行选择任意地点参加远程</w:t>
      </w:r>
      <w:r>
        <w:rPr>
          <w:rFonts w:hint="eastAsia" w:ascii="宋体" w:hAnsi="宋体" w:eastAsia="宋体" w:cs="宋体"/>
          <w:b/>
          <w:bCs/>
          <w:color w:val="000000" w:themeColor="text1"/>
          <w:sz w:val="24"/>
          <w:szCs w:val="24"/>
          <w:highlight w:val="none"/>
          <w:lang w:val="en-US" w:eastAsia="zh-CN"/>
        </w:rPr>
        <w:t xml:space="preserve">磋商</w:t>
      </w:r>
      <w:r>
        <w:rPr>
          <w:rFonts w:hint="eastAsia" w:ascii="宋体" w:hAnsi="宋体" w:eastAsia="宋体" w:cs="宋体"/>
          <w:b/>
          <w:bCs/>
          <w:color w:val="000000" w:themeColor="text1"/>
          <w:sz w:val="24"/>
          <w:szCs w:val="24"/>
          <w:highlight w:val="none"/>
        </w:rPr>
        <w:t xml:space="preserve">会议。请</w:t>
      </w:r>
      <w:r>
        <w:rPr>
          <w:rFonts w:hint="eastAsia" w:ascii="宋体" w:hAnsi="宋体" w:eastAsia="宋体" w:cs="宋体"/>
          <w:b/>
          <w:bCs/>
          <w:color w:val="000000" w:themeColor="text1"/>
          <w:sz w:val="24"/>
          <w:szCs w:val="24"/>
          <w:highlight w:val="none"/>
          <w:lang w:val="en-US" w:eastAsia="zh-CN"/>
        </w:rPr>
        <w:t xml:space="preserve">供应商</w:t>
      </w:r>
      <w:r>
        <w:rPr>
          <w:rFonts w:hint="eastAsia" w:ascii="宋体" w:hAnsi="宋体" w:eastAsia="宋体" w:cs="宋体"/>
          <w:b/>
          <w:bCs/>
          <w:color w:val="000000" w:themeColor="text1"/>
          <w:sz w:val="24"/>
          <w:szCs w:val="24"/>
          <w:highlight w:val="none"/>
        </w:rPr>
        <w:t xml:space="preserve">在</w:t>
      </w:r>
      <w:r>
        <w:rPr>
          <w:rFonts w:hint="eastAsia" w:ascii="宋体" w:hAnsi="宋体" w:eastAsia="宋体" w:cs="宋体"/>
          <w:b/>
          <w:bCs/>
          <w:color w:val="000000" w:themeColor="text1"/>
          <w:sz w:val="24"/>
          <w:szCs w:val="24"/>
          <w:highlight w:val="none"/>
          <w:lang w:val="en-US" w:eastAsia="zh-CN"/>
        </w:rPr>
        <w:t xml:space="preserve">磋商</w:t>
      </w:r>
      <w:r>
        <w:rPr>
          <w:rFonts w:hint="eastAsia" w:ascii="宋体" w:hAnsi="宋体" w:eastAsia="宋体" w:cs="宋体"/>
          <w:b/>
          <w:bCs/>
          <w:color w:val="000000" w:themeColor="text1"/>
          <w:sz w:val="24"/>
          <w:szCs w:val="24"/>
          <w:highlight w:val="none"/>
        </w:rPr>
        <w:t xml:space="preserve">前</w:t>
      </w:r>
      <w:r>
        <w:rPr>
          <w:rFonts w:hint="eastAsia" w:ascii="宋体" w:hAnsi="宋体" w:eastAsia="宋体" w:cs="宋体"/>
          <w:b/>
          <w:bCs/>
          <w:color w:val="000000" w:themeColor="text1"/>
          <w:sz w:val="24"/>
          <w:szCs w:val="24"/>
          <w:highlight w:val="none"/>
          <w:lang w:val="en-US" w:eastAsia="zh-CN"/>
        </w:rPr>
        <w:t xml:space="preserve">等候在开标大厅，随时接听磋商小组发出的磋商视频邀请</w:t>
      </w:r>
      <w:r>
        <w:rPr>
          <w:rFonts w:hint="eastAsia" w:ascii="宋体" w:hAnsi="宋体" w:eastAsia="宋体" w:cs="宋体"/>
          <w:b/>
          <w:color w:val="000000" w:themeColor="text1"/>
          <w:sz w:val="24"/>
          <w:szCs w:val="24"/>
          <w:highlight w:val="none"/>
        </w:rPr>
        <w:t xml:space="preserve">（所有邀请等待时间2分钟，2分钟内所邀请供应商无响应，视同放弃磋商的权利，由解密顺序下一家进行磋商，不再后补）</w:t>
      </w:r>
      <w:r>
        <w:rPr>
          <w:rFonts w:hint="eastAsia" w:ascii="宋体" w:hAnsi="宋体" w:eastAsia="宋体" w:cs="宋体"/>
          <w:b/>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磋商邀请程序以开标当天“苏采云”系统为准。</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6.未在规定时间内进行答疑澄清的，视同放弃澄清。</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7.未在规定时间内进行报价的，视为响应无效。</w:t>
      </w:r>
      <w:r>
        <w:rPr>
          <w:color w:val="000000" w:themeColor="text1"/>
          <w:highlight w:val="none"/>
        </w:rPr>
      </w:r>
    </w:p>
    <w:p>
      <w:pPr>
        <w:pStyle w:val="89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000000" w:themeColor="text1"/>
          <w:sz w:val="24"/>
          <w:szCs w:val="24"/>
          <w:highlight w:val="none"/>
        </w:rPr>
        <w:t xml:space="preserve">注：各供应商在未进行第二次报价前，请不要离开开标系统，随时接受评标委员会提出的二次报价，因供应商未能及时二次报价而引起的废标及损失，由供应商负责。</w:t>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.被邀请参与磋商的供应商如未按上述磋商要求执行，视同放弃磋商的权利。</w:t>
      </w:r>
      <w:r>
        <w:rPr>
          <w:color w:val="000000" w:themeColor="text1"/>
          <w:highlight w:val="none"/>
        </w:rPr>
      </w:r>
    </w:p>
    <w:p>
      <w:pPr>
        <w:pStyle w:val="903"/>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
          <w:bCs/>
          <w:color w:val="000000" w:themeColor="text1"/>
          <w:sz w:val="24"/>
          <w:szCs w:val="24"/>
          <w:highlight w:val="none"/>
        </w:rPr>
        <w:t xml:space="preserve">（二）评审程序</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经磋商确定最终采购需求和提交最后报价的供应商后，由磋商小组采用综合评分法对提交最后报价的供应商的响应文件和最后报价进行综合评分。</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hint="eastAsia" w:ascii="宋体" w:hAnsi="宋体" w:eastAsia="宋体" w:cs="宋体"/>
          <w:color w:val="000000" w:themeColor="text1"/>
          <w:sz w:val="24"/>
          <w:szCs w:val="24"/>
          <w:highlight w:val="none"/>
          <w:lang w:val="en-US" w:eastAsia="zh-CN"/>
        </w:rPr>
        <w:t xml:space="preserve">具体审查要求如下：</w:t>
      </w:r>
      <w:r>
        <w:rPr>
          <w:rFonts w:hint="eastAsia" w:ascii="宋体" w:hAnsi="宋体" w:eastAsia="宋体" w:cs="宋体"/>
          <w:b/>
          <w:bCs/>
          <w:color w:val="000000" w:themeColor="text1"/>
          <w:sz w:val="24"/>
          <w:szCs w:val="24"/>
          <w:highlight w:val="none"/>
          <w:lang w:val="en-US" w:eastAsia="zh-CN"/>
        </w:rPr>
        <w:t xml:space="preserve">磋商小组启动异常低价投标（响应）审查的情形和具体要求，包括：</w:t>
      </w:r>
      <w:r>
        <w:rPr>
          <w:color w:val="000000" w:themeColor="text1"/>
          <w:highlight w:val="none"/>
        </w:rPr>
      </w:r>
    </w:p>
    <w:p>
      <w:pPr>
        <w:pStyle w:val="903"/>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（1）评审过程中出现下列情形之一的，磋商小组应当启动异常低价投标（响应）审查程序：</w:t>
      </w:r>
      <w:r>
        <w:rPr>
          <w:color w:val="000000" w:themeColor="text1"/>
          <w:highlight w:val="none"/>
        </w:rPr>
      </w:r>
    </w:p>
    <w:p>
      <w:pPr>
        <w:pStyle w:val="903"/>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①投标（响应）报价低于全部通过符合性审查供应商投标（响应）报价平均值 50%的，即投标（响应）报价〈全部通过符合性审查供应商投标（响应）报价平均值×50%；</w:t>
      </w:r>
      <w:r>
        <w:rPr>
          <w:color w:val="000000" w:themeColor="text1"/>
          <w:highlight w:val="none"/>
        </w:rPr>
      </w:r>
    </w:p>
    <w:p>
      <w:pPr>
        <w:pStyle w:val="903"/>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②投标（响应）报价低于通过符合性审查的次低报价供应商投标（响应）报价 50%的，即投标（响应）报价〈通过符合性审查的次低报价供应商投标（响应）报价×50%；</w:t>
      </w:r>
      <w:r>
        <w:rPr>
          <w:color w:val="000000" w:themeColor="text1"/>
          <w:highlight w:val="none"/>
        </w:rPr>
      </w:r>
    </w:p>
    <w:p>
      <w:pPr>
        <w:pStyle w:val="903"/>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③投标（响应）报价低于采购项目最高限价45%的，即投标（响应）报价〈采购项目最高限价×45%；</w:t>
      </w:r>
      <w:r>
        <w:rPr>
          <w:color w:val="000000" w:themeColor="text1"/>
          <w:highlight w:val="none"/>
        </w:rPr>
      </w:r>
    </w:p>
    <w:p>
      <w:pPr>
        <w:pStyle w:val="903"/>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④评审委员会基于专业判断，认为供应商报价过低，有可能影响产品质量或者不能诚信履约的其他情形。</w:t>
      </w:r>
      <w:r>
        <w:rPr>
          <w:color w:val="000000" w:themeColor="text1"/>
          <w:highlight w:val="none"/>
        </w:rPr>
      </w:r>
    </w:p>
    <w:p>
      <w:pPr>
        <w:pStyle w:val="903"/>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2）启动异常低价投标（响应）审查后，磋商小组应当通过“苏采云”系统要求相关供应商在合理的时间内，提供项目具体成本测算等与报价合理性相关的书面说明及相关证明材料，包括但不限于原材料成本、人工成本、制造费用等，对投标（响应）价格作出解释，由磋商小</w:t>
      </w:r>
      <w:r>
        <w:rPr>
          <w:rFonts w:hint="eastAsia" w:ascii="宋体" w:hAnsi="宋体" w:eastAsia="宋体" w:cs="宋体"/>
          <w:b/>
          <w:bCs/>
          <w:color w:val="000000" w:themeColor="text1"/>
          <w:sz w:val="24"/>
          <w:szCs w:val="24"/>
          <w:highlight w:val="none"/>
          <w:lang w:val="en-US" w:eastAsia="zh-CN"/>
        </w:rPr>
        <w:t xml:space="preserve">组依据专业经验，参考同类项目中标（成交）价格、类似产品市场价格水平、行业人工费用标准、国家有关部门指导行业协会发布的行业平均成本等情况，对供应商报价合理性进行判断。供应商说明应当采用通过“苏采云”系统（使用“CA数字证书”，加盖电子签章）形式。供应商不提供书面说明及相关证明材料，或者提供的书面说明、证明材料不能证明其报价合理性的，磋商小组应当将其作为无效投标处理。审查相关情况应当在评标报告中进行记录。属于第3项情形，供应商已随投标（响应）文件一并提交相关书面说明及必要的证明材料的，在评审现场可不再重复提交。</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相关内容和要求见：《中华人民共和国政府采购法</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中华人民共和国政府采购法实施条例</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政府采购竞争性磋商采购方式管理暂行办法》</w:t>
      </w:r>
      <w:r>
        <w:rPr>
          <w:rFonts w:hint="eastAsia" w:ascii="宋体" w:hAnsi="宋体" w:eastAsia="宋体" w:cs="宋体"/>
          <w:color w:val="000000" w:themeColor="text1"/>
          <w:sz w:val="24"/>
          <w:szCs w:val="24"/>
          <w:highlight w:val="none"/>
          <w:lang w:val="en-US" w:eastAsia="zh-CN"/>
        </w:rPr>
        <w:t xml:space="preserve">及《徐州市财政局转发财政部关于推动解决政府采购异常低价问题的通知》（苏财购〔2026〕3号）</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3"/>
        <w:ind w:firstLine="240"/>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（三） 查询及使用供应商信用记录</w:t>
      </w:r>
      <w:r>
        <w:rPr>
          <w:color w:val="000000" w:themeColor="text1"/>
          <w:highlight w:val="none"/>
        </w:rPr>
      </w:r>
    </w:p>
    <w:p>
      <w:pPr>
        <w:pStyle w:val="903"/>
        <w:ind w:firstLine="482"/>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1.由采购人查询信用信息。</w:t>
      </w:r>
      <w:r>
        <w:rPr>
          <w:color w:val="000000" w:themeColor="text1"/>
          <w:highlight w:val="none"/>
        </w:rPr>
      </w:r>
    </w:p>
    <w:p>
      <w:pPr>
        <w:pStyle w:val="903"/>
        <w:ind w:firstLine="482"/>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2.查询渠道包括：</w:t>
      </w:r>
      <w:r>
        <w:rPr>
          <w:color w:val="000000" w:themeColor="text1"/>
          <w:highlight w:val="none"/>
        </w:rPr>
      </w:r>
    </w:p>
    <w:p>
      <w:pPr>
        <w:pStyle w:val="903"/>
        <w:ind w:firstLine="482"/>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（1）“信用中国”网（www.creditchina.gov.cn）；</w:t>
      </w:r>
      <w:r>
        <w:rPr>
          <w:color w:val="000000" w:themeColor="text1"/>
          <w:highlight w:val="none"/>
        </w:rPr>
      </w:r>
    </w:p>
    <w:p>
      <w:pPr>
        <w:pStyle w:val="903"/>
        <w:ind w:firstLine="482"/>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（2）中国政府采购网（www.ccgp.gov.cn）；</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（3）“信用江苏”网（http://credit.jiangsu.gov.cn</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3"/>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（4）“信用中国</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江苏徐州</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”网（http://www.xuzhoucredit.gov.cn）。</w:t>
      </w:r>
      <w:r>
        <w:rPr>
          <w:color w:val="000000" w:themeColor="text1"/>
          <w:highlight w:val="none"/>
        </w:rPr>
      </w:r>
    </w:p>
    <w:p>
      <w:pPr>
        <w:pStyle w:val="903"/>
        <w:ind w:firstLine="482"/>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3.截止时点（查询环节）：首次响应文件开启后资格审查结束前。</w:t>
      </w:r>
      <w:r>
        <w:rPr>
          <w:color w:val="000000" w:themeColor="text1"/>
          <w:highlight w:val="none"/>
        </w:rPr>
      </w:r>
    </w:p>
    <w:p>
      <w:pPr>
        <w:pStyle w:val="903"/>
        <w:ind w:firstLine="482"/>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4.信用信息查询记录和证据留存的具体方式：</w:t>
      </w:r>
      <w:r>
        <w:rPr>
          <w:color w:val="000000" w:themeColor="text1"/>
          <w:highlight w:val="none"/>
        </w:rPr>
      </w:r>
    </w:p>
    <w:p>
      <w:pPr>
        <w:pStyle w:val="903"/>
        <w:ind w:firstLine="482"/>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网页截屏打印，与其他采购文件一并保存。</w:t>
      </w:r>
      <w:r>
        <w:rPr>
          <w:color w:val="000000" w:themeColor="text1"/>
          <w:highlight w:val="none"/>
        </w:rPr>
      </w:r>
    </w:p>
    <w:p>
      <w:pPr>
        <w:pStyle w:val="903"/>
        <w:ind w:firstLine="482"/>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5.信用信息的使用规则：</w:t>
      </w:r>
      <w:r>
        <w:rPr>
          <w:color w:val="000000" w:themeColor="text1"/>
          <w:highlight w:val="none"/>
        </w:rPr>
      </w:r>
    </w:p>
    <w:p>
      <w:pPr>
        <w:pStyle w:val="903"/>
        <w:ind w:firstLine="482"/>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000000" w:themeColor="text1"/>
          <w:highlight w:val="none"/>
        </w:rPr>
      </w:r>
    </w:p>
    <w:p>
      <w:pPr>
        <w:pStyle w:val="919"/>
        <w:ind w:firstLine="477"/>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十五、评审方法和评审标准：</w:t>
      </w:r>
      <w:r>
        <w:rPr>
          <w:color w:val="000000" w:themeColor="text1"/>
          <w:highlight w:val="none"/>
        </w:rPr>
      </w:r>
    </w:p>
    <w:p>
      <w:pPr>
        <w:pStyle w:val="919"/>
        <w:ind w:firstLine="477"/>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1、评审方法：综合评分法</w:t>
      </w:r>
      <w:r>
        <w:rPr>
          <w:color w:val="000000" w:themeColor="text1"/>
          <w:highlight w:val="none"/>
        </w:rPr>
      </w:r>
    </w:p>
    <w:p>
      <w:pPr>
        <w:pStyle w:val="919"/>
        <w:ind w:left="2" w:right="29"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2、评审标准：详见《竞争性磋商文件》附件1、《评分细则》</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十六、</w:t>
      </w:r>
      <w:r>
        <w:rPr>
          <w:rFonts w:hint="eastAsia" w:ascii="宋体" w:hAnsi="宋体" w:eastAsia="宋体" w:cs="宋体"/>
          <w:b/>
          <w:bCs/>
          <w:color w:val="000000" w:themeColor="text1"/>
          <w:sz w:val="24"/>
          <w:szCs w:val="24"/>
          <w:highlight w:val="none"/>
        </w:rPr>
        <w:t xml:space="preserve">有下列情形之一的，其响应无效：</w:t>
      </w:r>
      <w:r>
        <w:rPr>
          <w:color w:val="000000" w:themeColor="text1"/>
          <w:highlight w:val="none"/>
        </w:rP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1、供应商未在规定时间内解密电子响应文件的； </w:t>
      </w:r>
      <w:r>
        <w:rPr>
          <w:color w:val="000000" w:themeColor="text1"/>
          <w:highlight w:val="none"/>
        </w:rP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2、电子响应文件未按磋商文件要求签章的； </w:t>
      </w:r>
      <w:r>
        <w:rPr>
          <w:color w:val="000000" w:themeColor="text1"/>
          <w:highlight w:val="none"/>
        </w:rP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3、供应商未在规定时间内进行二轮报价的； </w:t>
      </w:r>
      <w:r>
        <w:rPr>
          <w:color w:val="000000" w:themeColor="text1"/>
          <w:highlight w:val="none"/>
        </w:rP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4、供应商的法定代表人参加投标未提供法人资格证明的；授权代表无法定代表人授权委托书的； </w:t>
      </w:r>
      <w:r>
        <w:rPr>
          <w:color w:val="000000" w:themeColor="text1"/>
          <w:highlight w:val="none"/>
        </w:rP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5、不具备磋商文件中规定的资格要求或未按磋商文件规定的要求提供资格、资信证明文件的； </w:t>
      </w:r>
      <w:r>
        <w:rPr>
          <w:color w:val="000000" w:themeColor="text1"/>
          <w:highlight w:val="none"/>
        </w:rP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6、被列入“信用中国”网站（www.creditchina.gov.cn）失信被执行人、重大税收违法案件当事人名单、政府采购严重违法失信行为记录名单的； </w:t>
      </w:r>
      <w:r>
        <w:rPr>
          <w:color w:val="000000" w:themeColor="text1"/>
          <w:highlight w:val="none"/>
        </w:rP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7、响应文件未按磋商文件规定的内容和要求填写的；没有在系统指定位置上传对应文件、材料的；</w:t>
      </w:r>
      <w:r>
        <w:rPr>
          <w:color w:val="000000" w:themeColor="text1"/>
          <w:highlight w:val="none"/>
        </w:rP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8、响应文件含有采购人不能接受的附加条件的； </w:t>
      </w:r>
      <w:r>
        <w:rPr>
          <w:color w:val="000000" w:themeColor="text1"/>
          <w:highlight w:val="none"/>
        </w:rPr>
      </w:r>
    </w:p>
    <w:p>
      <w:pPr>
        <w:pStyle w:val="903"/>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9、磋商报价超过本项目（采购包）预算或最高限价的； </w:t>
      </w:r>
      <w:r>
        <w:rPr>
          <w:color w:val="000000" w:themeColor="text1"/>
          <w:highlight w:val="none"/>
        </w:rPr>
      </w:r>
    </w:p>
    <w:p>
      <w:pPr>
        <w:pStyle w:val="903"/>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10、响应文件中已标价工程量清单与磋商文件规定的暂估价、暂列金额及甲供材料价格不一致的； </w:t>
      </w:r>
      <w:r>
        <w:rPr>
          <w:color w:val="000000" w:themeColor="text1"/>
          <w:highlight w:val="none"/>
        </w:rPr>
      </w:r>
    </w:p>
    <w:p>
      <w:pPr>
        <w:pStyle w:val="903"/>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w:t>
      </w:r>
      <w:r>
        <w:rPr>
          <w:rFonts w:hint="eastAsia" w:ascii="宋体" w:hAnsi="宋体" w:eastAsia="宋体" w:cs="宋体"/>
          <w:color w:val="000000" w:themeColor="text1"/>
          <w:sz w:val="24"/>
          <w:szCs w:val="24"/>
          <w:highlight w:val="none"/>
          <w:lang w:eastAsia="zh-CN"/>
        </w:rPr>
        <w:t xml:space="preserve">响应文件</w:t>
      </w:r>
      <w:r>
        <w:rPr>
          <w:rFonts w:hint="eastAsia" w:ascii="宋体" w:hAnsi="宋体" w:eastAsia="宋体" w:cs="宋体"/>
          <w:color w:val="000000" w:themeColor="text1"/>
          <w:sz w:val="24"/>
          <w:szCs w:val="24"/>
          <w:highlight w:val="none"/>
        </w:rPr>
        <w:t xml:space="preserve">中已标价工程量清单与</w:t>
      </w:r>
      <w:r>
        <w:rPr>
          <w:rFonts w:hint="eastAsia" w:ascii="宋体" w:hAnsi="宋体" w:eastAsia="宋体" w:cs="宋体"/>
          <w:color w:val="000000" w:themeColor="text1"/>
          <w:sz w:val="24"/>
          <w:szCs w:val="24"/>
          <w:highlight w:val="none"/>
          <w:lang w:eastAsia="zh-CN"/>
        </w:rPr>
        <w:t xml:space="preserve">磋商文件</w:t>
      </w:r>
      <w:r>
        <w:rPr>
          <w:rFonts w:hint="eastAsia" w:ascii="宋体" w:hAnsi="宋体" w:eastAsia="宋体" w:cs="宋体"/>
          <w:color w:val="000000" w:themeColor="text1"/>
          <w:sz w:val="24"/>
          <w:szCs w:val="24"/>
          <w:highlight w:val="none"/>
        </w:rPr>
        <w:t xml:space="preserve">明确列出的不可竞争费用项目或费率或计算基础不一致的； </w:t>
      </w:r>
      <w:r>
        <w:rPr>
          <w:color w:val="000000" w:themeColor="text1"/>
          <w:highlight w:val="none"/>
        </w:rPr>
      </w:r>
    </w:p>
    <w:p>
      <w:pPr>
        <w:pStyle w:val="903"/>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w:t>
      </w:r>
      <w:r>
        <w:rPr>
          <w:rFonts w:hint="eastAsia" w:ascii="宋体" w:hAnsi="宋体" w:eastAsia="宋体" w:cs="宋体"/>
          <w:color w:val="000000" w:themeColor="text1"/>
          <w:sz w:val="24"/>
          <w:szCs w:val="24"/>
          <w:highlight w:val="none"/>
          <w:lang w:eastAsia="zh-CN"/>
        </w:rPr>
        <w:t xml:space="preserve">响应文件</w:t>
      </w:r>
      <w:r>
        <w:rPr>
          <w:rFonts w:hint="eastAsia" w:ascii="宋体" w:hAnsi="宋体" w:eastAsia="宋体" w:cs="宋体"/>
          <w:color w:val="000000" w:themeColor="text1"/>
          <w:sz w:val="24"/>
          <w:szCs w:val="24"/>
          <w:highlight w:val="none"/>
        </w:rPr>
        <w:t xml:space="preserve">的已标价工程量清单与</w:t>
      </w:r>
      <w:r>
        <w:rPr>
          <w:rFonts w:hint="eastAsia" w:ascii="宋体" w:hAnsi="宋体" w:eastAsia="宋体" w:cs="宋体"/>
          <w:color w:val="000000" w:themeColor="text1"/>
          <w:sz w:val="24"/>
          <w:szCs w:val="24"/>
          <w:highlight w:val="none"/>
          <w:lang w:eastAsia="zh-CN"/>
        </w:rPr>
        <w:t xml:space="preserve">磋商文件</w:t>
      </w:r>
      <w:r>
        <w:rPr>
          <w:rFonts w:hint="eastAsia" w:ascii="宋体" w:hAnsi="宋体" w:eastAsia="宋体" w:cs="宋体"/>
          <w:color w:val="000000" w:themeColor="text1"/>
          <w:sz w:val="24"/>
          <w:szCs w:val="24"/>
          <w:highlight w:val="none"/>
        </w:rPr>
        <w:t xml:space="preserve">提供的工程量清单中的</w:t>
      </w:r>
      <w:r>
        <w:rPr>
          <w:rFonts w:hint="eastAsia" w:ascii="宋体" w:hAnsi="宋体" w:eastAsia="宋体" w:cs="宋体"/>
          <w:b/>
          <w:bCs/>
          <w:color w:val="000000" w:themeColor="text1"/>
          <w:sz w:val="24"/>
          <w:szCs w:val="24"/>
          <w:highlight w:val="none"/>
        </w:rPr>
        <w:t xml:space="preserve">项目编码</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rPr>
        <w:t xml:space="preserve">项目名称、项目特征、计量单位、工程量不一致的</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3"/>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、不同供应商的响应文件以及响应文件制作过程出现了磋商小组认为不应当雷同的情况的；</w:t>
      </w:r>
      <w:r>
        <w:rPr>
          <w:color w:val="000000" w:themeColor="text1"/>
          <w:highlight w:val="none"/>
        </w:rPr>
      </w:r>
    </w:p>
    <w:p>
      <w:pPr>
        <w:pStyle w:val="904"/>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、不同供应商委托同一单位或者个人办理磋商事宜的。</w:t>
      </w:r>
      <w:r>
        <w:rPr>
          <w:color w:val="000000" w:themeColor="text1"/>
          <w:highlight w:val="none"/>
        </w:rP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15、响应文件内容不全或不符合磋商文件中规定的其它实质性要求的； </w:t>
      </w:r>
      <w:r>
        <w:rPr>
          <w:color w:val="000000" w:themeColor="text1"/>
          <w:highlight w:val="none"/>
        </w:rP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16、磋商小组认定供应商的报价明显低于其他通过符合性审查供应商的报价，有可能影响</w:t>
      </w:r>
      <w:r>
        <w:rPr>
          <w:rFonts w:hint="eastAsia" w:ascii="宋体" w:hAnsi="宋体" w:eastAsia="宋体" w:cs="宋体"/>
          <w:color w:val="000000" w:themeColor="text1"/>
          <w:sz w:val="24"/>
          <w:szCs w:val="24"/>
          <w:highlight w:val="none"/>
          <w:lang w:val="en-US" w:eastAsia="zh-CN"/>
        </w:rPr>
        <w:t xml:space="preserve">工程</w:t>
      </w:r>
      <w:r>
        <w:rPr>
          <w:rFonts w:hint="eastAsia" w:ascii="宋体" w:hAnsi="宋体" w:eastAsia="宋体" w:cs="宋体"/>
          <w:color w:val="000000" w:themeColor="text1"/>
          <w:sz w:val="24"/>
          <w:szCs w:val="24"/>
          <w:highlight w:val="none"/>
        </w:rPr>
        <w:t xml:space="preserve">质量或者不能诚信履约，且供应商不能应磋商小组要求在评审过程中要求的合理时间内提供书面说明（必要时磋商小组可要求供应商提交相关证明材料）证明其报价合理性的</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p>
    <w:p>
      <w:pPr>
        <w:pStyle w:val="903"/>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17、法律法规和磋商文件规定的其它无效情形。</w:t>
      </w:r>
      <w:r>
        <w:rPr>
          <w:color w:val="000000" w:themeColor="text1"/>
          <w:highlight w:val="none"/>
        </w:rPr>
      </w:r>
    </w:p>
    <w:p>
      <w:pPr>
        <w:pStyle w:val="919"/>
        <w:ind w:left="2" w:right="29"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十</w:t>
      </w:r>
      <w:r>
        <w:rPr>
          <w:rFonts w:hint="eastAsia" w:ascii="宋体" w:hAnsi="宋体" w:eastAsia="宋体" w:cs="宋体"/>
          <w:b w:val="0"/>
          <w:bCs w:val="0"/>
          <w:color w:val="000000" w:themeColor="text1"/>
          <w:sz w:val="24"/>
          <w:szCs w:val="24"/>
          <w:highlight w:val="none"/>
          <w:lang w:val="en-US" w:eastAsia="zh-CN"/>
        </w:rPr>
        <w:t xml:space="preserve">七</w:t>
      </w:r>
      <w:r>
        <w:rPr>
          <w:rFonts w:hint="eastAsia" w:ascii="宋体" w:hAnsi="宋体" w:eastAsia="宋体" w:cs="宋体"/>
          <w:b w:val="0"/>
          <w:bCs w:val="0"/>
          <w:color w:val="000000" w:themeColor="text1"/>
          <w:sz w:val="24"/>
          <w:szCs w:val="24"/>
          <w:highlight w:val="none"/>
        </w:rPr>
        <w:t xml:space="preserve">、磋商过程中可能实质性变动的内容：在磋商过程中，磋商小组可以根据《磋商文件》和磋商情况实质性变动采购需求中的技术、服务要求以及合同草案条款。</w:t>
      </w:r>
      <w:r>
        <w:rPr>
          <w:color w:val="000000" w:themeColor="text1"/>
          <w:highlight w:val="none"/>
        </w:rPr>
      </w:r>
    </w:p>
    <w:p>
      <w:pPr>
        <w:pStyle w:val="919"/>
        <w:ind w:left="2" w:right="29"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十</w:t>
      </w:r>
      <w:r>
        <w:rPr>
          <w:rFonts w:hint="eastAsia" w:ascii="宋体" w:hAnsi="宋体" w:eastAsia="宋体" w:cs="宋体"/>
          <w:b w:val="0"/>
          <w:bCs w:val="0"/>
          <w:color w:val="000000" w:themeColor="text1"/>
          <w:sz w:val="24"/>
          <w:szCs w:val="24"/>
          <w:highlight w:val="none"/>
          <w:lang w:val="en-US" w:eastAsia="zh-CN"/>
        </w:rPr>
        <w:t xml:space="preserve">八</w:t>
      </w:r>
      <w:r>
        <w:rPr>
          <w:rFonts w:hint="eastAsia" w:ascii="宋体" w:hAnsi="宋体" w:eastAsia="宋体" w:cs="宋体"/>
          <w:b w:val="0"/>
          <w:bCs w:val="0"/>
          <w:color w:val="000000" w:themeColor="text1"/>
          <w:sz w:val="24"/>
          <w:szCs w:val="24"/>
          <w:highlight w:val="none"/>
        </w:rPr>
        <w:t xml:space="preserve">、采购人有权对供应商的响应文件的真实性进行核实，如供应商不能在采购人规定的时间内向采</w:t>
      </w:r>
      <w:r>
        <w:rPr>
          <w:rFonts w:hint="eastAsia" w:ascii="宋体" w:hAnsi="宋体" w:eastAsia="宋体" w:cs="宋体"/>
          <w:color w:val="000000" w:themeColor="text1"/>
          <w:sz w:val="24"/>
          <w:szCs w:val="24"/>
          <w:highlight w:val="none"/>
        </w:rPr>
        <w:t xml:space="preserve">购人提供有效的证明文件，将被采购人认定为具有《中华人民共和国政府采购法》第七十七条所规定的“提供虚假材料谋取中标、成交的”情形，并承担相应的法律责任。</w:t>
      </w:r>
      <w:r>
        <w:rPr>
          <w:color w:val="000000" w:themeColor="text1"/>
          <w:highlight w:val="none"/>
        </w:rPr>
      </w:r>
    </w:p>
    <w:p>
      <w:pPr>
        <w:pStyle w:val="919"/>
        <w:ind w:left="2" w:right="29" w:firstLine="480"/>
        <w:jc w:val="center"/>
        <w:keepLines w:val="0"/>
        <w:keepNext w:val="0"/>
        <w:pageBreakBefore w:val="0"/>
        <w:spacing w:before="240" w:after="240"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第五章 确定成交供应商及合同签订等</w:t>
      </w:r>
      <w:r>
        <w:rPr>
          <w:color w:val="000000" w:themeColor="text1"/>
          <w:highlight w:val="none"/>
        </w:rPr>
      </w:r>
    </w:p>
    <w:p>
      <w:pPr>
        <w:pStyle w:val="919"/>
        <w:ind w:firstLine="482"/>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十</w:t>
      </w:r>
      <w:r>
        <w:rPr>
          <w:rFonts w:hint="eastAsia" w:ascii="宋体" w:hAnsi="宋体" w:eastAsia="宋体" w:cs="宋体"/>
          <w:b w:val="0"/>
          <w:bCs w:val="0"/>
          <w:color w:val="000000" w:themeColor="text1"/>
          <w:sz w:val="24"/>
          <w:szCs w:val="24"/>
          <w:highlight w:val="none"/>
          <w:lang w:val="en-US" w:eastAsia="zh-CN"/>
        </w:rPr>
        <w:t xml:space="preserve">九</w:t>
      </w:r>
      <w:r>
        <w:rPr>
          <w:rFonts w:hint="eastAsia" w:ascii="宋体" w:hAnsi="宋体" w:eastAsia="宋体" w:cs="宋体"/>
          <w:b w:val="0"/>
          <w:bCs w:val="0"/>
          <w:color w:val="000000" w:themeColor="text1"/>
          <w:sz w:val="24"/>
          <w:szCs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rPr>
          <w:color w:val="000000" w:themeColor="text1"/>
          <w:highlight w:val="none"/>
        </w:rPr>
      </w:r>
    </w:p>
    <w:p>
      <w:pPr>
        <w:pStyle w:val="919"/>
        <w:ind w:firstLine="482"/>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二十</w:t>
      </w:r>
      <w:r>
        <w:rPr>
          <w:rFonts w:hint="eastAsia" w:ascii="宋体" w:hAnsi="宋体" w:eastAsia="宋体" w:cs="宋体"/>
          <w:b w:val="0"/>
          <w:bCs w:val="0"/>
          <w:color w:val="000000" w:themeColor="text1"/>
          <w:sz w:val="24"/>
          <w:szCs w:val="24"/>
          <w:highlight w:val="none"/>
        </w:rPr>
        <w:t xml:space="preserve">、采购人与成交供应商应当在成交通知书发出之日起30日内，按照</w:t>
      </w:r>
      <w:r>
        <w:rPr>
          <w:rFonts w:hint="eastAsia" w:ascii="宋体" w:hAnsi="宋体" w:eastAsia="宋体" w:cs="宋体"/>
          <w:color w:val="000000" w:themeColor="text1"/>
          <w:sz w:val="24"/>
          <w:szCs w:val="24"/>
          <w:highlight w:val="none"/>
        </w:rPr>
        <w:t xml:space="preserve">《磋商文件》确定的合同文本以及采购标的、规格型号、采购金额、采购数量、技术和服务要求等事项签订政府采购合同。</w:t>
      </w:r>
      <w:r>
        <w:rPr>
          <w:color w:val="000000" w:themeColor="text1"/>
          <w:highlight w:val="none"/>
        </w:rPr>
      </w:r>
    </w:p>
    <w:p>
      <w:pPr>
        <w:pStyle w:val="919"/>
        <w:ind w:firstLine="482"/>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特别说明： 按照《</w:t>
      </w:r>
      <w:r>
        <w:rPr>
          <w:rFonts w:hint="eastAsia" w:ascii="宋体" w:hAnsi="宋体" w:eastAsia="宋体" w:cs="宋体"/>
          <w:color w:val="000000" w:themeColor="text1"/>
          <w:sz w:val="24"/>
          <w:szCs w:val="24"/>
          <w:highlight w:val="none"/>
          <w:lang w:eastAsia="zh-CN"/>
        </w:rPr>
        <w:t xml:space="preserve">中华人民共和国政府采购法</w:t>
      </w:r>
      <w:r>
        <w:rPr>
          <w:rFonts w:hint="eastAsia" w:ascii="宋体" w:hAnsi="宋体" w:eastAsia="宋体" w:cs="宋体"/>
          <w:color w:val="000000" w:themeColor="text1"/>
          <w:sz w:val="24"/>
          <w:szCs w:val="24"/>
          <w:highlight w:val="none"/>
        </w:rPr>
        <w:t xml:space="preserve">》及其实施条例以及相关规定，中标或者成交后无正当理由拒不与采购人签订政府采购合同的</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 在一至三年内禁止参加政府采购活动，列入政府采购严重违法失信行为记录名单。</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二十</w:t>
      </w:r>
      <w:r>
        <w:rPr>
          <w:rFonts w:hint="eastAsia" w:ascii="宋体" w:hAnsi="宋体" w:eastAsia="宋体" w:cs="宋体"/>
          <w:b/>
          <w:bCs/>
          <w:color w:val="000000" w:themeColor="text1"/>
          <w:sz w:val="24"/>
          <w:szCs w:val="24"/>
          <w:highlight w:val="none"/>
          <w:lang w:val="en-US" w:eastAsia="zh-CN"/>
        </w:rPr>
        <w:t xml:space="preserve">一</w:t>
      </w:r>
      <w:r>
        <w:rPr>
          <w:rFonts w:hint="eastAsia" w:ascii="宋体" w:hAnsi="宋体" w:eastAsia="宋体" w:cs="宋体"/>
          <w:b/>
          <w:bCs/>
          <w:color w:val="000000" w:themeColor="text1"/>
          <w:sz w:val="24"/>
          <w:szCs w:val="24"/>
          <w:highlight w:val="none"/>
        </w:rPr>
        <w:t xml:space="preserve">、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rPr>
          <w:color w:val="000000" w:themeColor="text1"/>
          <w:highlight w:val="none"/>
        </w:rPr>
      </w:r>
    </w:p>
    <w:p>
      <w:pPr>
        <w:pStyle w:val="919"/>
        <w:ind w:firstLine="480"/>
        <w:jc w:val="center"/>
        <w:keepLines w:val="0"/>
        <w:keepNext w:val="0"/>
        <w:pageBreakBefore w:val="0"/>
        <w:spacing w:before="240" w:after="240"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第六章 磋商文件的澄清或者修改</w:t>
      </w:r>
      <w:r>
        <w:rPr>
          <w:color w:val="000000" w:themeColor="text1"/>
          <w:highlight w:val="none"/>
        </w:rPr>
      </w:r>
    </w:p>
    <w:p>
      <w:pPr>
        <w:pStyle w:val="919"/>
        <w:ind w:firstLine="482"/>
        <w:jc w:val="left"/>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二十</w:t>
      </w:r>
      <w:r>
        <w:rPr>
          <w:rFonts w:hint="eastAsia" w:ascii="宋体" w:hAnsi="宋体" w:eastAsia="宋体" w:cs="宋体"/>
          <w:b/>
          <w:bCs/>
          <w:color w:val="000000" w:themeColor="text1"/>
          <w:sz w:val="24"/>
          <w:szCs w:val="24"/>
          <w:highlight w:val="none"/>
          <w:lang w:val="en-US" w:eastAsia="zh-CN"/>
        </w:rPr>
        <w:t xml:space="preserve">二</w:t>
      </w:r>
      <w:r>
        <w:rPr>
          <w:rFonts w:hint="eastAsia" w:ascii="宋体" w:hAnsi="宋体" w:eastAsia="宋体" w:cs="宋体"/>
          <w:b/>
          <w:bCs/>
          <w:color w:val="000000" w:themeColor="text1"/>
          <w:sz w:val="24"/>
          <w:szCs w:val="24"/>
          <w:highlight w:val="none"/>
        </w:rPr>
        <w:t xml:space="preserve">、《磋商文件》的澄清或者修改：</w:t>
      </w:r>
      <w:r>
        <w:rPr>
          <w:color w:val="000000" w:themeColor="text1"/>
          <w:highlight w:val="none"/>
        </w:rPr>
      </w:r>
    </w:p>
    <w:p>
      <w:pPr>
        <w:pStyle w:val="919"/>
        <w:ind w:firstLine="482"/>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提交首次响应文件截止之日（即“首次响应文件提交的截止时间”）前，采购人或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w:t>
      </w:r>
      <w:r>
        <w:rPr>
          <w:rFonts w:hint="eastAsia" w:ascii="宋体" w:hAnsi="宋体" w:eastAsia="宋体" w:cs="宋体"/>
          <w:color w:val="000000" w:themeColor="text1"/>
          <w:sz w:val="24"/>
          <w:szCs w:val="24"/>
          <w:highlight w:val="none"/>
          <w:lang w:eastAsia="zh-CN"/>
        </w:rPr>
        <w:t xml:space="preserve">敬请</w:t>
      </w:r>
      <w:r>
        <w:rPr>
          <w:rFonts w:hint="eastAsia" w:ascii="宋体" w:hAnsi="宋体" w:eastAsia="宋体" w:cs="宋体"/>
          <w:color w:val="000000" w:themeColor="text1"/>
          <w:sz w:val="24"/>
          <w:szCs w:val="24"/>
          <w:highlight w:val="none"/>
        </w:rPr>
        <w:t xml:space="preserve">所有获取《磋商文件》的供应商关注本项目的“更正公告”及附件，否则，将自行承担相应的风险。</w:t>
      </w:r>
      <w:r>
        <w:rPr>
          <w:color w:val="000000" w:themeColor="text1"/>
          <w:highlight w:val="none"/>
        </w:rPr>
      </w:r>
    </w:p>
    <w:p>
      <w:pPr>
        <w:pStyle w:val="919"/>
        <w:ind w:firstLine="480"/>
        <w:jc w:val="center"/>
        <w:keepLines w:val="0"/>
        <w:keepNext w:val="0"/>
        <w:pageBreakBefore w:val="0"/>
        <w:spacing w:before="240" w:after="240"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第七章 询问和质疑</w:t>
      </w:r>
      <w:r>
        <w:rPr>
          <w:color w:val="000000" w:themeColor="text1"/>
          <w:highlight w:val="none"/>
        </w:rPr>
      </w:r>
    </w:p>
    <w:p>
      <w:pPr>
        <w:pStyle w:val="919"/>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二十</w:t>
      </w:r>
      <w:r>
        <w:rPr>
          <w:rFonts w:hint="eastAsia" w:ascii="宋体" w:hAnsi="宋体" w:eastAsia="宋体" w:cs="宋体"/>
          <w:b w:val="0"/>
          <w:bCs w:val="0"/>
          <w:color w:val="000000" w:themeColor="text1"/>
          <w:sz w:val="24"/>
          <w:szCs w:val="24"/>
          <w:highlight w:val="none"/>
          <w:lang w:val="en-US" w:eastAsia="zh-CN"/>
        </w:rPr>
        <w:t xml:space="preserve">三</w:t>
      </w:r>
      <w:r>
        <w:rPr>
          <w:rFonts w:hint="eastAsia" w:ascii="宋体" w:hAnsi="宋体" w:eastAsia="宋体" w:cs="宋体"/>
          <w:b w:val="0"/>
          <w:bCs w:val="0"/>
          <w:color w:val="000000" w:themeColor="text1"/>
          <w:sz w:val="24"/>
          <w:szCs w:val="24"/>
          <w:highlight w:val="none"/>
        </w:rPr>
        <w:t xml:space="preserve">、询问和质疑：</w:t>
      </w:r>
      <w:r>
        <w:rPr>
          <w:color w:val="000000" w:themeColor="text1"/>
          <w:highlight w:val="none"/>
        </w:rPr>
      </w:r>
    </w:p>
    <w:p>
      <w:pPr>
        <w:pStyle w:val="919"/>
        <w:ind w:firstLine="20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color w:val="000000" w:themeColor="text1"/>
          <w:highlight w:val="none"/>
        </w:rPr>
      </w:r>
    </w:p>
    <w:p>
      <w:pPr>
        <w:pStyle w:val="919"/>
        <w:ind w:firstLine="20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2、质疑和投诉按《政府采购质疑和投诉办法》执行。</w:t>
      </w:r>
      <w:r>
        <w:rPr>
          <w:color w:val="000000" w:themeColor="text1"/>
          <w:highlight w:val="none"/>
        </w:rPr>
      </w:r>
    </w:p>
    <w:p>
      <w:pPr>
        <w:pStyle w:val="919"/>
        <w:ind w:firstLine="20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3、供应商对同一采购程序环节的质疑应在质疑期内一次性提出。</w:t>
      </w:r>
      <w:r>
        <w:rPr>
          <w:color w:val="000000" w:themeColor="text1"/>
          <w:highlight w:val="none"/>
        </w:rPr>
      </w:r>
    </w:p>
    <w:p>
      <w:pPr>
        <w:pStyle w:val="919"/>
        <w:ind w:firstLine="20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4、接收质疑函的方式：供应商直接送交或供应商通过EMS邮寄。</w:t>
      </w:r>
      <w:r>
        <w:rPr>
          <w:color w:val="000000" w:themeColor="text1"/>
          <w:highlight w:val="none"/>
        </w:rPr>
      </w:r>
    </w:p>
    <w:p>
      <w:pPr>
        <w:pStyle w:val="919"/>
        <w:ind w:firstLine="20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质疑接收人：</w:t>
      </w:r>
      <w:r>
        <w:rPr>
          <w:rFonts w:hint="eastAsia" w:ascii="宋体" w:hAnsi="宋体" w:eastAsia="宋体" w:cs="宋体"/>
          <w:color w:val="000000" w:themeColor="text1"/>
          <w:sz w:val="24"/>
          <w:szCs w:val="24"/>
          <w:highlight w:val="none"/>
          <w:lang w:val="en-US" w:eastAsia="zh-CN"/>
        </w:rPr>
        <w:t xml:space="preserve">魏楚词</w:t>
      </w:r>
      <w:r>
        <w:rPr>
          <w:rFonts w:hint="eastAsia" w:ascii="宋体" w:hAnsi="宋体" w:eastAsia="宋体" w:cs="宋体"/>
          <w:color w:val="000000" w:themeColor="text1"/>
          <w:sz w:val="24"/>
          <w:szCs w:val="24"/>
          <w:highlight w:val="none"/>
        </w:rPr>
        <w:t xml:space="preserve">       联系电话：</w:t>
      </w:r>
      <w:r>
        <w:rPr>
          <w:rFonts w:hint="eastAsia" w:ascii="宋体" w:hAnsi="宋体" w:eastAsia="宋体" w:cs="宋体"/>
          <w:color w:val="000000" w:themeColor="text1"/>
          <w:sz w:val="24"/>
          <w:szCs w:val="24"/>
          <w:highlight w:val="none"/>
          <w:lang w:eastAsia="zh-CN"/>
        </w:rPr>
        <w:t xml:space="preserve">13023516572</w:t>
      </w:r>
      <w:r>
        <w:rPr>
          <w:color w:val="000000" w:themeColor="text1"/>
          <w:highlight w:val="none"/>
        </w:rPr>
      </w:r>
    </w:p>
    <w:p>
      <w:pPr>
        <w:pStyle w:val="919"/>
        <w:ind w:firstLine="200"/>
        <w:keepLines w:val="0"/>
        <w:keepNext w:val="0"/>
        <w:pageBreakBefore w:val="0"/>
        <w:spacing w:line="360" w:lineRule="auto"/>
        <w:widowControl w:val="off"/>
        <w:rPr>
          <w:rFonts w:hint="eastAsia" w:ascii="宋体" w:hAnsi="宋体" w:eastAsia="宋体" w:cs="宋体"/>
          <w:i w:val="0"/>
          <w:iCs w:val="0"/>
          <w:caps w:val="0"/>
          <w:color w:val="000000" w:themeColor="text1"/>
          <w:spacing w:val="0"/>
          <w:sz w:val="24"/>
          <w:szCs w:val="24"/>
          <w:highlight w:val="none"/>
        </w:rPr>
      </w:pPr>
      <w:r>
        <w:rPr>
          <w:rFonts w:hint="eastAsia" w:ascii="宋体" w:hAnsi="宋体" w:eastAsia="宋体" w:cs="宋体"/>
          <w:color w:val="000000" w:themeColor="text1"/>
          <w:sz w:val="24"/>
          <w:szCs w:val="24"/>
          <w:highlight w:val="none"/>
        </w:rPr>
        <w:t xml:space="preserve">地址：</w:t>
      </w:r>
      <w:r>
        <w:rPr>
          <w:rFonts w:hint="eastAsia" w:ascii="宋体" w:hAnsi="宋体" w:cs="宋体"/>
          <w:i w:val="0"/>
          <w:iCs w:val="0"/>
          <w:caps w:val="0"/>
          <w:color w:val="000000" w:themeColor="text1"/>
          <w:spacing w:val="0"/>
          <w:sz w:val="24"/>
          <w:szCs w:val="24"/>
          <w:highlight w:val="none"/>
          <w:lang w:val="en-US" w:eastAsia="zh-CN" w:bidi="ar"/>
        </w:rPr>
        <w:t xml:space="preserve">江苏省徐州市邳州市东湖街道珑玺湾(南地块)小区06幢1单元308号</w:t>
      </w:r>
      <w:r>
        <w:rPr>
          <w:color w:val="000000" w:themeColor="text1"/>
          <w:highlight w:val="none"/>
        </w:rPr>
      </w:r>
    </w:p>
    <w:p>
      <w:pPr>
        <w:pStyle w:val="92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3"/>
        <w:numPr>
          <w:ilvl w:val="0"/>
          <w:numId w:val="21"/>
        </w:numPr>
        <w:ind w:firstLine="480"/>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其他</w:t>
      </w:r>
      <w:r>
        <w:rPr>
          <w:color w:val="000000" w:themeColor="text1"/>
          <w:highlight w:val="none"/>
        </w:rPr>
      </w:r>
    </w:p>
    <w:p>
      <w:pPr>
        <w:pStyle w:val="921"/>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1、代理服务费由成交人领取成交通知书时向采购代理机构支付，收取标准见附件。</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2、成交结果在徐州政府采购网</w:t>
      </w:r>
      <w:r>
        <w:rPr>
          <w:rFonts w:hint="eastAsia" w:ascii="宋体" w:hAnsi="宋体" w:eastAsia="宋体" w:cs="宋体"/>
          <w:color w:val="000000" w:themeColor="text1"/>
          <w:sz w:val="24"/>
          <w:szCs w:val="24"/>
          <w:highlight w:val="none"/>
          <w:lang w:eastAsia="zh-CN"/>
        </w:rPr>
        <w:t xml:space="preserve">https://czj.xz.gov.cn/zfcg/index.html?kw=xxgk</w:t>
      </w:r>
      <w:r>
        <w:rPr>
          <w:rFonts w:hint="eastAsia" w:ascii="宋体" w:hAnsi="宋体" w:eastAsia="宋体" w:cs="宋体"/>
          <w:color w:val="000000" w:themeColor="text1"/>
          <w:sz w:val="24"/>
          <w:szCs w:val="24"/>
          <w:highlight w:val="none"/>
        </w:rPr>
        <w:t xml:space="preserve">上</w:t>
      </w:r>
      <w:r>
        <w:rPr>
          <w:rFonts w:hint="eastAsia" w:ascii="宋体" w:hAnsi="宋体" w:eastAsia="宋体" w:cs="宋体"/>
          <w:color w:val="000000" w:themeColor="text1"/>
          <w:sz w:val="24"/>
          <w:szCs w:val="24"/>
          <w:highlight w:val="none"/>
        </w:rPr>
        <w:t xml:space="preserve">公布。</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、采购人信息</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名称</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沛县园林服务中心</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地址：</w:t>
      </w:r>
      <w:r>
        <w:rPr>
          <w:rFonts w:hint="eastAsia" w:ascii="宋体" w:hAnsi="宋体" w:cs="宋体"/>
          <w:color w:val="000000" w:themeColor="text1"/>
          <w:sz w:val="24"/>
          <w:szCs w:val="24"/>
          <w:highlight w:val="none"/>
          <w:lang w:val="en-US" w:eastAsia="zh-CN"/>
        </w:rPr>
        <w:t xml:space="preserve">沛县沛公路1号政府西五楼</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联系人：</w:t>
      </w:r>
      <w:r>
        <w:rPr>
          <w:rFonts w:hint="eastAsia" w:ascii="宋体" w:hAnsi="宋体" w:cs="宋体"/>
          <w:color w:val="000000" w:themeColor="text1"/>
          <w:sz w:val="24"/>
          <w:szCs w:val="24"/>
          <w:highlight w:val="none"/>
          <w:lang w:val="en-US" w:eastAsia="zh-CN"/>
        </w:rPr>
        <w:t xml:space="preserve">蒋加轩</w:t>
      </w:r>
      <w:r>
        <w:rPr>
          <w:rFonts w:hint="eastAsia" w:ascii="宋体" w:hAnsi="宋体" w:eastAsia="宋体" w:cs="宋体"/>
          <w:color w:val="000000" w:themeColor="text1"/>
          <w:sz w:val="24"/>
          <w:szCs w:val="24"/>
          <w:highlight w:val="none"/>
          <w:lang w:val="en-US" w:eastAsia="zh-CN"/>
        </w:rPr>
        <w:t xml:space="preserve"> </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联系电话：</w:t>
      </w:r>
      <w:r>
        <w:rPr>
          <w:rFonts w:hint="eastAsia" w:ascii="宋体" w:hAnsi="宋体" w:cs="宋体"/>
          <w:color w:val="000000" w:themeColor="text1"/>
          <w:sz w:val="24"/>
          <w:szCs w:val="24"/>
          <w:highlight w:val="none"/>
          <w:lang w:val="en-US" w:eastAsia="zh-CN"/>
        </w:rPr>
        <w:t xml:space="preserve">18209203283</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、采购代理机构信息</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名称</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eastAsia="zh-CN"/>
        </w:rPr>
        <w:t xml:space="preserve">徐州博通工程咨询有限公司</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w:t>
      </w:r>
      <w:r>
        <w:rPr>
          <w:rFonts w:hint="eastAsia" w:ascii="宋体" w:hAnsi="宋体" w:cs="宋体"/>
          <w:color w:val="000000" w:themeColor="text1"/>
          <w:sz w:val="24"/>
          <w:szCs w:val="24"/>
          <w:highlight w:val="none"/>
          <w:lang w:eastAsia="zh-CN"/>
        </w:rPr>
        <w:t xml:space="preserve">江苏省徐州市邳州市东湖街道珑玺湾(南地块)小区06幢1单元308号</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联系人：</w:t>
      </w:r>
      <w:r>
        <w:rPr>
          <w:rFonts w:hint="eastAsia" w:ascii="宋体" w:hAnsi="宋体" w:eastAsia="宋体" w:cs="宋体"/>
          <w:color w:val="000000" w:themeColor="text1"/>
          <w:sz w:val="24"/>
          <w:szCs w:val="24"/>
          <w:highlight w:val="none"/>
          <w:lang w:val="en-US" w:eastAsia="zh-CN"/>
        </w:rPr>
        <w:t xml:space="preserve">魏楚词</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  话：</w:t>
      </w:r>
      <w:r>
        <w:rPr>
          <w:rFonts w:hint="eastAsia" w:ascii="宋体" w:hAnsi="宋体" w:eastAsia="宋体" w:cs="宋体"/>
          <w:color w:val="000000" w:themeColor="text1"/>
          <w:sz w:val="24"/>
          <w:szCs w:val="24"/>
          <w:highlight w:val="none"/>
          <w:lang w:eastAsia="zh-CN"/>
        </w:rPr>
        <w:t xml:space="preserve">13023516572</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highlight w:val="none"/>
        </w:rPr>
      </w:r>
    </w:p>
    <w:p>
      <w:pPr>
        <w:pStyle w:val="904"/>
        <w:numPr>
          <w:ilvl w:val="0"/>
          <w:numId w:val="21"/>
        </w:numPr>
        <w:ind w:left="0" w:firstLine="480"/>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附件</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1、《评分细则》</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2、《项目要求（采购需求）》</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3、《磋商报价表》</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4、《分项价格表》</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、《偏离表》</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、《拟签订的合同文本（合同草案条款）》</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、《承诺书》</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、《授权委托书》</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、《中小企业声明函》及自测小程序</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、《供应商参加政府采购活动前3年内在经营活动中没有重大违法记录的书面声明》</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、《具备履行合同所必需的设备和专业技术能力的书面声明》</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、《残疾人福利性单位声明函》</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、《预付款保函支付条款模板》</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、《代理服务收费标准》</w:t>
      </w:r>
      <w:r>
        <w:rPr>
          <w:color w:val="000000" w:themeColor="text1"/>
          <w:highlight w:val="none"/>
        </w:rPr>
      </w:r>
    </w:p>
    <w:p>
      <w:pPr>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19"/>
        <w:numPr>
          <w:ilvl w:val="0"/>
          <w:numId w:val="22"/>
        </w:numPr>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b/>
          <w:color w:val="000000" w:themeColor="text1"/>
          <w:sz w:val="28"/>
          <w:szCs w:val="28"/>
          <w:highlight w:val="none"/>
        </w:rPr>
        <w:t xml:space="preserve">评分细则</w:t>
      </w:r>
      <w:r>
        <w:rPr>
          <w:color w:val="000000" w:themeColor="text1"/>
          <w:highlight w:val="none"/>
        </w:rPr>
      </w:r>
    </w:p>
    <w:tbl>
      <w:tblPr>
        <w:tblStyle w:val="868"/>
        <w:tblW w:w="92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8"/>
        <w:gridCol w:w="1449"/>
        <w:gridCol w:w="6425"/>
      </w:tblGrid>
      <w:tr>
        <w:trPr>
          <w:jc w:val="center"/>
          <w:trHeight w:val="567"/>
        </w:trPr>
        <w:tc>
          <w:tcPr>
            <w:gridSpan w:val="2"/>
            <w:tcW w:w="2787" w:type="dxa"/>
            <w:vAlign w:val="center"/>
            <w:textDirection w:val="lrTb"/>
            <w:noWrap w:val="false"/>
          </w:tcPr>
          <w:p>
            <w:pPr>
              <w:pStyle w:val="1251"/>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w:t>
            </w:r>
            <w:r>
              <w:rPr>
                <w:color w:val="000000" w:themeColor="text1"/>
                <w:highlight w:val="none"/>
              </w:rPr>
            </w:r>
          </w:p>
        </w:tc>
        <w:tc>
          <w:tcPr>
            <w:tcW w:w="6425" w:type="dxa"/>
            <w:vAlign w:val="center"/>
            <w:textDirection w:val="lrTb"/>
            <w:noWrap w:val="false"/>
          </w:tcPr>
          <w:p>
            <w:pPr>
              <w:pStyle w:val="1251"/>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评分细则</w:t>
            </w:r>
            <w:r>
              <w:rPr>
                <w:color w:val="000000" w:themeColor="text1"/>
                <w:highlight w:val="none"/>
              </w:rPr>
            </w:r>
          </w:p>
        </w:tc>
      </w:tr>
      <w:tr>
        <w:trPr>
          <w:jc w:val="center"/>
          <w:trHeight w:val="567"/>
        </w:trPr>
        <w:tc>
          <w:tcPr>
            <w:tcW w:w="1338" w:type="dxa"/>
            <w:vAlign w:val="center"/>
            <w:textDirection w:val="lrTb"/>
            <w:noWrap w:val="false"/>
          </w:tcPr>
          <w:p>
            <w:pPr>
              <w:pStyle w:val="1251"/>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价格部分</w:t>
            </w:r>
            <w:r>
              <w:rPr>
                <w:color w:val="000000" w:themeColor="text1"/>
                <w:highlight w:val="none"/>
              </w:rPr>
            </w:r>
          </w:p>
          <w:p>
            <w:pPr>
              <w:pStyle w:val="1251"/>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0分)</w:t>
            </w:r>
            <w:r>
              <w:rPr>
                <w:color w:val="000000" w:themeColor="text1"/>
                <w:highlight w:val="none"/>
              </w:rPr>
            </w:r>
          </w:p>
        </w:tc>
        <w:tc>
          <w:tcPr>
            <w:tcW w:w="1449" w:type="dxa"/>
            <w:vAlign w:val="center"/>
            <w:textDirection w:val="lrTb"/>
            <w:noWrap w:val="false"/>
          </w:tcPr>
          <w:p>
            <w:pPr>
              <w:pStyle w:val="1251"/>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价格</w:t>
            </w:r>
            <w:r>
              <w:rPr>
                <w:color w:val="000000" w:themeColor="text1"/>
                <w:highlight w:val="none"/>
              </w:rPr>
            </w:r>
          </w:p>
          <w:p>
            <w:pPr>
              <w:pStyle w:val="1251"/>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0分)</w:t>
            </w:r>
            <w:r>
              <w:rPr>
                <w:color w:val="000000" w:themeColor="text1"/>
                <w:highlight w:val="none"/>
              </w:rPr>
            </w:r>
          </w:p>
        </w:tc>
        <w:tc>
          <w:tcPr>
            <w:tcW w:w="6425" w:type="dxa"/>
            <w:vAlign w:val="center"/>
            <w:textDirection w:val="lrTb"/>
            <w:noWrap w:val="false"/>
          </w:tcPr>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采用低价优先法计算，即满足磋商文件要求且最后报价最低的供应商的价格为磋商基准价，其价格分为满分。其他供应商的价格分统一按照下列公式计算：</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磋商报价得分=（磋商基准价/最后磋商报价）×</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0</w:t>
            </w:r>
            <w:r>
              <w:rPr>
                <w:color w:val="000000" w:themeColor="text1"/>
                <w:highlight w:val="none"/>
              </w:rPr>
            </w:r>
          </w:p>
        </w:tc>
      </w:tr>
      <w:tr>
        <w:trPr>
          <w:jc w:val="center"/>
          <w:trHeight w:val="1478"/>
        </w:trPr>
        <w:tc>
          <w:tcPr>
            <w:tcW w:w="1338" w:type="dxa"/>
            <w:vAlign w:val="center"/>
            <w:vMerge w:val="restart"/>
            <w:textDirection w:val="lrTb"/>
            <w:noWrap w:val="false"/>
          </w:tcPr>
          <w:p>
            <w:pPr>
              <w:pStyle w:val="1251"/>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商务部分（</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分）</w:t>
            </w:r>
            <w:r>
              <w:rPr>
                <w:color w:val="000000" w:themeColor="text1"/>
                <w:highlight w:val="none"/>
              </w:rPr>
            </w:r>
          </w:p>
        </w:tc>
        <w:tc>
          <w:tcPr>
            <w:tcW w:w="1449" w:type="dxa"/>
            <w:vAlign w:val="center"/>
            <w:textDirection w:val="lrTb"/>
            <w:noWrap w:val="false"/>
          </w:tcPr>
          <w:p>
            <w:pPr>
              <w:pStyle w:val="1251"/>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业绩</w:t>
            </w:r>
            <w:r>
              <w:rPr>
                <w:color w:val="000000" w:themeColor="text1"/>
                <w:highlight w:val="none"/>
              </w:rPr>
            </w:r>
          </w:p>
          <w:p>
            <w:pPr>
              <w:pStyle w:val="1251"/>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（4分）</w:t>
            </w:r>
            <w:r>
              <w:rPr>
                <w:color w:val="000000" w:themeColor="text1"/>
                <w:highlight w:val="none"/>
              </w:rPr>
            </w:r>
          </w:p>
        </w:tc>
        <w:tc>
          <w:tcPr>
            <w:tcW w:w="6425" w:type="dxa"/>
            <w:vAlign w:val="center"/>
            <w:textDirection w:val="lrTb"/>
            <w:noWrap w:val="false"/>
          </w:tcPr>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供应商自202</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月1日（以竣工验收时间为准）以来承接过的</w:t>
            </w:r>
            <w:r>
              <w:rPr>
                <w:rFonts w:hint="eastAsia" w:ascii="宋体" w:hAnsi="宋体" w:eastAsia="宋体" w:cs="宋体"/>
                <w:color w:val="000000" w:themeColor="text1"/>
                <w:sz w:val="24"/>
                <w:szCs w:val="24"/>
                <w:highlight w:val="none"/>
                <w:lang w:val="en-US" w:eastAsia="zh-CN"/>
              </w:rPr>
              <w:t xml:space="preserve">类似</w:t>
            </w:r>
            <w:r>
              <w:rPr>
                <w:rFonts w:hint="eastAsia" w:ascii="宋体" w:hAnsi="宋体" w:eastAsia="宋体" w:cs="宋体"/>
                <w:color w:val="000000" w:themeColor="text1"/>
                <w:sz w:val="24"/>
                <w:szCs w:val="24"/>
                <w:highlight w:val="none"/>
              </w:rPr>
              <w:t xml:space="preserve">工程业绩</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合同内容中至少包含园林绿化</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，以网上中标公告截图、中标通知书、施工合同及竣工验收合格证明（直接发包项目以网上直接发包截图、施工合同及竣工验收合格证明）</w:t>
            </w:r>
            <w:r>
              <w:rPr>
                <w:rFonts w:hint="eastAsia" w:ascii="宋体" w:hAnsi="宋体" w:eastAsia="宋体" w:cs="宋体"/>
                <w:color w:val="000000" w:themeColor="text1"/>
                <w:sz w:val="24"/>
                <w:szCs w:val="24"/>
                <w:highlight w:val="none"/>
              </w:rPr>
              <w:t xml:space="preserve">为准，必须同时具备。每提供一份得2分，本项最高得4分。</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注：响应文件中提供扫描件，原件中标后核查。</w:t>
            </w:r>
            <w:r>
              <w:rPr>
                <w:color w:val="000000" w:themeColor="text1"/>
                <w:highlight w:val="none"/>
              </w:rPr>
            </w:r>
          </w:p>
        </w:tc>
      </w:tr>
      <w:tr>
        <w:trPr>
          <w:jc w:val="center"/>
          <w:trHeight w:val="1198"/>
        </w:trPr>
        <w:tc>
          <w:tcPr>
            <w:tcW w:w="1338" w:type="dxa"/>
            <w:vAlign w:val="center"/>
            <w:vMerge w:val="continue"/>
            <w:textDirection w:val="lrTb"/>
            <w:noWrap w:val="false"/>
          </w:tcPr>
          <w:p>
            <w:pPr>
              <w:pStyle w:val="1251"/>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49" w:type="dxa"/>
            <w:vAlign w:val="center"/>
            <w:textDirection w:val="lrTb"/>
            <w:noWrap w:val="false"/>
          </w:tcPr>
          <w:p>
            <w:pPr>
              <w:pStyle w:val="906"/>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项目主要管理人员</w:t>
            </w:r>
            <w:r>
              <w:rPr>
                <w:color w:val="000000" w:themeColor="text1"/>
                <w:highlight w:val="none"/>
              </w:rPr>
            </w:r>
          </w:p>
          <w:p>
            <w:pPr>
              <w:pStyle w:val="906"/>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（5分）</w:t>
            </w:r>
            <w:r>
              <w:rPr>
                <w:color w:val="000000" w:themeColor="text1"/>
                <w:highlight w:val="none"/>
              </w:rPr>
            </w:r>
          </w:p>
        </w:tc>
        <w:tc>
          <w:tcPr>
            <w:tcW w:w="6425" w:type="dxa"/>
            <w:vAlign w:val="center"/>
            <w:textDirection w:val="lrTb"/>
            <w:noWrap w:val="false"/>
          </w:tcPr>
          <w:p>
            <w:pPr>
              <w:pStyle w:val="906"/>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园林绿化类专业中级职称（如职称证书反映不出园林绿化专业则必须提供园林绿化专业毕业证书或职称评审表），并提供其在供应商本单位近6个月</w:t>
            </w:r>
            <w:r>
              <w:rPr>
                <w:rFonts w:hint="eastAsia" w:ascii="宋体" w:hAnsi="宋体" w:eastAsia="宋体" w:cs="宋体"/>
                <w:color w:val="000000" w:themeColor="text1"/>
                <w:sz w:val="24"/>
                <w:szCs w:val="24"/>
                <w:highlight w:val="none"/>
              </w:rPr>
              <w:t xml:space="preserve">(202</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月至202</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rPr>
              <w:t xml:space="preserve">的任意一个月的社保。</w:t>
            </w:r>
            <w:bookmarkStart w:id="813" w:name="_GoBack"/>
            <w:r>
              <w:rPr>
                <w:color w:val="000000" w:themeColor="text1"/>
                <w:highlight w:val="none"/>
              </w:rPr>
            </w:r>
            <w:bookmarkEnd w:id="813"/>
            <w:r>
              <w:rPr>
                <w:color w:val="000000" w:themeColor="text1"/>
                <w:highlight w:val="none"/>
              </w:rPr>
            </w:r>
            <w:r>
              <w:rPr>
                <w:color w:val="000000" w:themeColor="text1"/>
                <w:highlight w:val="none"/>
              </w:rPr>
            </w:r>
          </w:p>
          <w:p>
            <w:pPr>
              <w:pStyle w:val="906"/>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注：响应文件中提供扫描件，原件中标后核查。</w:t>
            </w:r>
            <w:r>
              <w:rPr>
                <w:color w:val="000000" w:themeColor="text1"/>
                <w:highlight w:val="none"/>
              </w:rPr>
            </w:r>
          </w:p>
        </w:tc>
      </w:tr>
      <w:tr>
        <w:trPr>
          <w:jc w:val="center"/>
          <w:trHeight w:val="737"/>
        </w:trPr>
        <w:tc>
          <w:tcPr>
            <w:tcW w:w="1338" w:type="dxa"/>
            <w:vAlign w:val="center"/>
            <w:vMerge w:val="restart"/>
            <w:textDirection w:val="lrTb"/>
            <w:noWrap w:val="false"/>
          </w:tcPr>
          <w:p>
            <w:pPr>
              <w:pStyle w:val="1251"/>
              <w:ind w:firstLine="24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技术</w:t>
            </w:r>
            <w:r>
              <w:rPr>
                <w:color w:val="000000" w:themeColor="text1"/>
                <w:highlight w:val="none"/>
              </w:rPr>
            </w:r>
          </w:p>
          <w:p>
            <w:pPr>
              <w:pStyle w:val="1251"/>
              <w:ind w:firstLine="24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部分</w:t>
            </w:r>
            <w:r>
              <w:rPr>
                <w:color w:val="000000" w:themeColor="text1"/>
                <w:highlight w:val="none"/>
              </w:rPr>
            </w:r>
          </w:p>
          <w:p>
            <w:pPr>
              <w:pStyle w:val="1251"/>
              <w:ind w:firstLine="24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w:t>
            </w:r>
            <w:r>
              <w:rPr>
                <w:color w:val="000000" w:themeColor="text1"/>
                <w:highlight w:val="none"/>
              </w:rPr>
            </w:r>
          </w:p>
        </w:tc>
        <w:tc>
          <w:tcPr>
            <w:tcW w:w="1449" w:type="dxa"/>
            <w:vAlign w:val="center"/>
            <w:vMerge w:val="restart"/>
            <w:textDirection w:val="lrTb"/>
            <w:noWrap w:val="false"/>
          </w:tcPr>
          <w:p>
            <w:pPr>
              <w:pStyle w:val="1251"/>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施工组织设计</w:t>
            </w:r>
            <w:r>
              <w:rPr>
                <w:color w:val="000000" w:themeColor="text1"/>
                <w:highlight w:val="none"/>
              </w:rPr>
            </w:r>
          </w:p>
          <w:p>
            <w:pPr>
              <w:pStyle w:val="1251"/>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57</w:t>
            </w:r>
            <w:r>
              <w:rPr>
                <w:rFonts w:hint="eastAsia" w:ascii="宋体" w:hAnsi="宋体" w:eastAsia="宋体" w:cs="宋体"/>
                <w:color w:val="000000" w:themeColor="text1"/>
                <w:sz w:val="24"/>
                <w:szCs w:val="24"/>
                <w:highlight w:val="none"/>
              </w:rPr>
              <w:t xml:space="preserve">分)</w:t>
            </w:r>
            <w:r>
              <w:rPr>
                <w:color w:val="000000" w:themeColor="text1"/>
                <w:highlight w:val="none"/>
              </w:rPr>
            </w:r>
          </w:p>
        </w:tc>
        <w:tc>
          <w:tcPr>
            <w:tcW w:w="6425" w:type="dxa"/>
            <w:vAlign w:val="center"/>
            <w:textDirection w:val="lrTb"/>
            <w:noWrap w:val="false"/>
          </w:tcPr>
          <w:p>
            <w:pPr>
              <w:pStyle w:val="904"/>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总体概述:施工组织总体设想（9分）</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全面性(3分)：全面详实的得3分，基本具备的得2分，欠缺的得1分；</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可行性(3分)：可行性强的得3分，可行性一般的得2分，可行性不强的得1分；</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针对性(3分)：针对性强的得3分，针对性一般的得2分，针对性不强的得1分；</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未提供的得0分，本项最高得9分，最低得0分。</w:t>
            </w:r>
            <w:r>
              <w:rPr>
                <w:color w:val="000000" w:themeColor="text1"/>
                <w:highlight w:val="none"/>
              </w:rPr>
            </w:r>
          </w:p>
        </w:tc>
      </w:tr>
      <w:tr>
        <w:trPr>
          <w:jc w:val="center"/>
          <w:trHeight w:val="1220"/>
        </w:trPr>
        <w:tc>
          <w:tcPr>
            <w:tcW w:w="1338" w:type="dxa"/>
            <w:vAlign w:val="center"/>
            <w:vMerge w:val="continue"/>
            <w:textDirection w:val="lrTb"/>
            <w:noWrap w:val="false"/>
          </w:tcPr>
          <w:p>
            <w:pPr>
              <w:pStyle w:val="1251"/>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49" w:type="dxa"/>
            <w:vAlign w:val="center"/>
            <w:vMerge w:val="continue"/>
            <w:textDirection w:val="lrTb"/>
            <w:noWrap w:val="false"/>
          </w:tcPr>
          <w:p>
            <w:pPr>
              <w:pStyle w:val="1251"/>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6425" w:type="dxa"/>
            <w:vAlign w:val="center"/>
            <w:textDirection w:val="lrTb"/>
            <w:noWrap w:val="false"/>
          </w:tcPr>
          <w:p>
            <w:pPr>
              <w:pStyle w:val="904"/>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施工现场临时设施、临时道路布置（9分）</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全面性(3分)：全面详实的得3分，基本具备的得2分，欠缺的得1分；</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可行性(3分)：可行性强的得3分，可行性一般的得2分，可行性不强的得1分；</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针对性(3分)：针对性强的得3分，针对性一般的得2分，针对性不强的得1分；</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未提供的得0分，本项最高得9分，最低得0分。</w:t>
            </w:r>
            <w:r>
              <w:rPr>
                <w:color w:val="000000" w:themeColor="text1"/>
                <w:highlight w:val="none"/>
              </w:rPr>
            </w:r>
          </w:p>
        </w:tc>
      </w:tr>
      <w:tr>
        <w:trPr>
          <w:jc w:val="center"/>
          <w:trHeight w:val="737"/>
        </w:trPr>
        <w:tc>
          <w:tcPr>
            <w:tcW w:w="1338" w:type="dxa"/>
            <w:vAlign w:val="center"/>
            <w:vMerge w:val="continue"/>
            <w:textDirection w:val="lrTb"/>
            <w:noWrap w:val="false"/>
          </w:tcPr>
          <w:p>
            <w:pPr>
              <w:pStyle w:val="1251"/>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49" w:type="dxa"/>
            <w:vAlign w:val="center"/>
            <w:vMerge w:val="continue"/>
            <w:textDirection w:val="lrTb"/>
            <w:noWrap w:val="false"/>
          </w:tcPr>
          <w:p>
            <w:pPr>
              <w:pStyle w:val="904"/>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6425" w:type="dxa"/>
            <w:vAlign w:val="center"/>
            <w:textDirection w:val="lrTb"/>
            <w:noWrap w:val="false"/>
          </w:tcPr>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施工进度计划及保证措施（</w:t>
            </w:r>
            <w:r>
              <w:rPr>
                <w:rFonts w:hint="eastAsia" w:ascii="宋体" w:hAnsi="宋体" w:eastAsia="宋体" w:cs="宋体"/>
                <w:b/>
                <w:bCs/>
                <w:color w:val="000000" w:themeColor="text1"/>
                <w:sz w:val="24"/>
                <w:szCs w:val="24"/>
                <w:highlight w:val="none"/>
                <w:lang w:val="en-US" w:eastAsia="zh-CN"/>
              </w:rPr>
              <w:t xml:space="preserve">9</w:t>
            </w:r>
            <w:r>
              <w:rPr>
                <w:rFonts w:hint="eastAsia" w:ascii="宋体" w:hAnsi="宋体" w:eastAsia="宋体" w:cs="宋体"/>
                <w:b/>
                <w:bCs/>
                <w:color w:val="000000" w:themeColor="text1"/>
                <w:sz w:val="24"/>
                <w:szCs w:val="24"/>
                <w:highlight w:val="none"/>
              </w:rPr>
              <w:t xml:space="preserve">分）</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全面性(</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分)：全面详实的得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分，基本具备的得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分，欠缺的得1分；</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可行性(</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分)：可行性强的得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分，可行性一般的得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分，可行性不强的得1分；</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针对性(</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分)：针对性强的得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，针对性一般的得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分，针对性不强的得1分；</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未提供的得0分，本项最高得</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分，最低得0分。</w:t>
            </w:r>
            <w:r>
              <w:rPr>
                <w:color w:val="000000" w:themeColor="text1"/>
                <w:highlight w:val="none"/>
              </w:rPr>
            </w:r>
          </w:p>
        </w:tc>
      </w:tr>
      <w:tr>
        <w:trPr>
          <w:jc w:val="center"/>
          <w:trHeight w:val="737"/>
        </w:trPr>
        <w:tc>
          <w:tcPr>
            <w:tcW w:w="1338" w:type="dxa"/>
            <w:vAlign w:val="center"/>
            <w:vMerge w:val="continue"/>
            <w:textDirection w:val="lrTb"/>
            <w:noWrap w:val="false"/>
          </w:tcPr>
          <w:p>
            <w:pPr>
              <w:pStyle w:val="1251"/>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49" w:type="dxa"/>
            <w:vAlign w:val="center"/>
            <w:vMerge w:val="continue"/>
            <w:textDirection w:val="lrTb"/>
            <w:noWrap w:val="false"/>
          </w:tcPr>
          <w:p>
            <w:pPr>
              <w:pStyle w:val="1251"/>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6425" w:type="dxa"/>
            <w:vAlign w:val="center"/>
            <w:textDirection w:val="lrTb"/>
            <w:noWrap w:val="false"/>
          </w:tcPr>
          <w:p>
            <w:pPr>
              <w:pStyle w:val="904"/>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关键施工技术、施工工艺（</w:t>
            </w:r>
            <w:r>
              <w:rPr>
                <w:rFonts w:hint="eastAsia" w:ascii="宋体" w:hAnsi="宋体" w:eastAsia="宋体" w:cs="宋体"/>
                <w:b/>
                <w:bCs/>
                <w:color w:val="000000" w:themeColor="text1"/>
                <w:sz w:val="24"/>
                <w:szCs w:val="24"/>
                <w:highlight w:val="none"/>
                <w:lang w:val="en-US" w:eastAsia="zh-CN"/>
              </w:rPr>
              <w:t xml:space="preserve">9</w:t>
            </w:r>
            <w:r>
              <w:rPr>
                <w:rFonts w:hint="eastAsia" w:ascii="宋体" w:hAnsi="宋体" w:eastAsia="宋体" w:cs="宋体"/>
                <w:b/>
                <w:bCs/>
                <w:color w:val="000000" w:themeColor="text1"/>
                <w:sz w:val="24"/>
                <w:szCs w:val="24"/>
                <w:highlight w:val="none"/>
              </w:rPr>
              <w:t xml:space="preserve">分）</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全面性(</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分)：全面详实的得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分，基本具备的得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分，欠缺的得1分；</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可行性(</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分)：可行性强的得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分，可行性一般的得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分，可行性不强的得1分；</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针对性(</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分)：针对性强的得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分，针对性一般的得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分，针对性不强的得1分；</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未提供的得0分，本项最高得</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分，最低得0分。</w:t>
            </w:r>
            <w:r>
              <w:rPr>
                <w:color w:val="000000" w:themeColor="text1"/>
                <w:highlight w:val="none"/>
              </w:rPr>
            </w:r>
          </w:p>
        </w:tc>
      </w:tr>
      <w:tr>
        <w:trPr>
          <w:jc w:val="center"/>
          <w:trHeight w:val="737"/>
        </w:trPr>
        <w:tc>
          <w:tcPr>
            <w:tcW w:w="1338" w:type="dxa"/>
            <w:vAlign w:val="center"/>
            <w:vMerge w:val="continue"/>
            <w:textDirection w:val="lrTb"/>
            <w:noWrap w:val="false"/>
          </w:tcPr>
          <w:p>
            <w:pPr>
              <w:pStyle w:val="1251"/>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49" w:type="dxa"/>
            <w:vAlign w:val="center"/>
            <w:vMerge w:val="continue"/>
            <w:textDirection w:val="lrTb"/>
            <w:noWrap w:val="false"/>
          </w:tcPr>
          <w:p>
            <w:pPr>
              <w:pStyle w:val="1251"/>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6425" w:type="dxa"/>
            <w:vAlign w:val="center"/>
            <w:textDirection w:val="lrTb"/>
            <w:noWrap w:val="false"/>
          </w:tcPr>
          <w:p>
            <w:pPr>
              <w:pStyle w:val="904"/>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工程项目实施的重点、难点和解决方案（12分）</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全面性(4分)：全面详实的得4分，基本具备的得3分，欠缺的得1分；</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可行性(4分)：可行性强的得4分，可行性一般的得3分，可行性不强的得1分；</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针对性(4分)：针对性强的得4分，针对性一般的得3分，针对性不强的得1分；</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未提供的得0分，本项最高得12分，最低得0分。</w:t>
            </w:r>
            <w:r>
              <w:rPr>
                <w:color w:val="000000" w:themeColor="text1"/>
                <w:highlight w:val="none"/>
              </w:rPr>
            </w:r>
          </w:p>
        </w:tc>
      </w:tr>
      <w:tr>
        <w:trPr>
          <w:jc w:val="center"/>
          <w:trHeight w:val="737"/>
        </w:trPr>
        <w:tc>
          <w:tcPr>
            <w:tcW w:w="1338" w:type="dxa"/>
            <w:vAlign w:val="center"/>
            <w:vMerge w:val="continue"/>
            <w:textDirection w:val="lrTb"/>
            <w:noWrap w:val="false"/>
          </w:tcPr>
          <w:p>
            <w:pPr>
              <w:pStyle w:val="1251"/>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49" w:type="dxa"/>
            <w:vAlign w:val="center"/>
            <w:vMerge w:val="continue"/>
            <w:textDirection w:val="lrTb"/>
            <w:noWrap w:val="false"/>
          </w:tcPr>
          <w:p>
            <w:pPr>
              <w:pStyle w:val="1251"/>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6425" w:type="dxa"/>
            <w:vAlign w:val="center"/>
            <w:textDirection w:val="lrTb"/>
            <w:noWrap w:val="false"/>
          </w:tcPr>
          <w:p>
            <w:pPr>
              <w:pStyle w:val="904"/>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新技术、新产品、新工艺、新材料应用（9分）</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全面性(3分)：全面详实的得3分，基本具备的得2分，欠缺的得1分；</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可行性(3分)：可行性强的得3分，可行性一般的得2分，可行性不强的得1分；</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针对性(3分)：针对性强的得3分，针对性一般的得2分，针对性不强的得1分；</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未提供的得0分，本项最高得9分，最低得0分。</w:t>
            </w:r>
            <w:r>
              <w:rPr>
                <w:color w:val="000000" w:themeColor="text1"/>
                <w:highlight w:val="none"/>
              </w:rPr>
            </w:r>
          </w:p>
        </w:tc>
      </w:tr>
      <w:tr>
        <w:trPr>
          <w:jc w:val="center"/>
          <w:trHeight w:val="567"/>
        </w:trPr>
        <w:tc>
          <w:tcPr>
            <w:tcW w:w="1338" w:type="dxa"/>
            <w:vAlign w:val="center"/>
            <w:vMerge w:val="continue"/>
            <w:textDirection w:val="lrTb"/>
            <w:noWrap w:val="false"/>
          </w:tcPr>
          <w:p>
            <w:pPr>
              <w:pStyle w:val="906"/>
              <w:jc w:val="center"/>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W w:w="1449" w:type="dxa"/>
            <w:vAlign w:val="center"/>
            <w:textDirection w:val="lrTb"/>
            <w:noWrap w:val="false"/>
          </w:tcPr>
          <w:p>
            <w:pPr>
              <w:pStyle w:val="906"/>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养护期方案及措施（14分）</w:t>
            </w:r>
            <w:r>
              <w:rPr>
                <w:color w:val="000000" w:themeColor="text1"/>
                <w:highlight w:val="none"/>
              </w:rPr>
            </w:r>
          </w:p>
        </w:tc>
        <w:tc>
          <w:tcPr>
            <w:tcW w:w="6425" w:type="dxa"/>
            <w:vAlign w:val="center"/>
            <w:textDirection w:val="lrTb"/>
            <w:noWrap w:val="false"/>
          </w:tcPr>
          <w:p>
            <w:pPr>
              <w:pStyle w:val="1251"/>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依据响应文件中的苗木的养护期方案及措施进行综合评分（14分）</w:t>
            </w:r>
            <w:r>
              <w:rPr>
                <w:color w:val="000000" w:themeColor="text1"/>
                <w:highlight w:val="none"/>
              </w:rPr>
            </w:r>
          </w:p>
          <w:p>
            <w:pPr>
              <w:pStyle w:val="1251"/>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全面性(4分)：全面详实的得4分，基本具备的得2分，欠缺的得1分；</w:t>
            </w:r>
            <w:r>
              <w:rPr>
                <w:color w:val="000000" w:themeColor="text1"/>
                <w:highlight w:val="none"/>
              </w:rPr>
            </w:r>
          </w:p>
          <w:p>
            <w:pPr>
              <w:pStyle w:val="1251"/>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可行性(5分)：可行性强的得5分，可行性一般的得3分，可行性不强的得1分；</w:t>
            </w:r>
            <w:r>
              <w:rPr>
                <w:color w:val="000000" w:themeColor="text1"/>
                <w:highlight w:val="none"/>
              </w:rPr>
            </w:r>
          </w:p>
          <w:p>
            <w:pPr>
              <w:pStyle w:val="1251"/>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针对性(5分)：针对性强的得5分，针对性一般的得3分，针对性不强的得1分；</w:t>
            </w:r>
            <w:r>
              <w:rPr>
                <w:color w:val="000000" w:themeColor="text1"/>
                <w:highlight w:val="none"/>
              </w:rPr>
            </w:r>
          </w:p>
          <w:p>
            <w:pPr>
              <w:pStyle w:val="1251"/>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提供的得0分，本项最高得14分，最低得0分。</w:t>
            </w:r>
            <w:r>
              <w:rPr>
                <w:color w:val="000000" w:themeColor="text1"/>
                <w:highlight w:val="none"/>
              </w:rPr>
            </w:r>
          </w:p>
        </w:tc>
      </w:tr>
    </w:tbl>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4"/>
        <w:contextualSpacing/>
        <w:ind w:firstLine="480"/>
        <w:jc w:val="left"/>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说明：本项目采用综合评分法。（保留小数点后二位）</w:t>
      </w:r>
      <w:r>
        <w:rPr>
          <w:color w:val="000000" w:themeColor="text1"/>
          <w:highlight w:val="none"/>
        </w:rPr>
      </w:r>
    </w:p>
    <w:p>
      <w:pPr>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br w:type="page" w:clear="all"/>
      </w:r>
      <w:r>
        <w:rPr>
          <w:color w:val="000000" w:themeColor="text1"/>
          <w:highlight w:val="none"/>
        </w:rPr>
      </w:r>
    </w:p>
    <w:p>
      <w:pPr>
        <w:pStyle w:val="919"/>
        <w:numPr>
          <w:ilvl w:val="0"/>
          <w:numId w:val="0"/>
        </w:numPr>
        <w:jc w:val="center"/>
        <w:keepLines w:val="0"/>
        <w:keepNext w:val="0"/>
        <w:pageBreakBefore w:val="0"/>
        <w:spacing w:line="360" w:lineRule="auto"/>
        <w:widowControl w:val="off"/>
        <w:rPr>
          <w:rFonts w:hint="eastAsia" w:ascii="宋体" w:hAnsi="宋体" w:eastAsia="宋体" w:cs="宋体"/>
          <w:color w:val="000000" w:themeColor="text1"/>
          <w:sz w:val="28"/>
          <w:szCs w:val="28"/>
          <w:highlight w:val="none"/>
        </w:rPr>
      </w:pPr>
      <w:r>
        <w:rPr>
          <w:rFonts w:hint="eastAsia" w:ascii="宋体" w:hAnsi="宋体" w:eastAsia="宋体" w:cs="宋体"/>
          <w:b/>
          <w:color w:val="000000" w:themeColor="text1"/>
          <w:sz w:val="28"/>
          <w:szCs w:val="28"/>
          <w:highlight w:val="none"/>
          <w:lang w:val="en-US" w:eastAsia="zh-CN" w:bidi="ar-SA"/>
        </w:rPr>
        <w:t xml:space="preserve">2、</w:t>
      </w:r>
      <w:r>
        <w:rPr>
          <w:rFonts w:hint="eastAsia" w:ascii="宋体" w:hAnsi="宋体" w:eastAsia="宋体" w:cs="宋体"/>
          <w:b/>
          <w:color w:val="000000" w:themeColor="text1"/>
          <w:sz w:val="28"/>
          <w:szCs w:val="28"/>
          <w:highlight w:val="none"/>
        </w:rPr>
        <w:t xml:space="preserve">采购需求</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一、项目名称</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城区市政道路绿化及城市绿道建设(汉水路等)</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lang w:val="en-US" w:eastAsia="zh-CN"/>
        </w:rPr>
        <w:t xml:space="preserve">二</w:t>
      </w:r>
      <w:r>
        <w:rPr>
          <w:rFonts w:hint="eastAsia" w:ascii="宋体" w:hAnsi="宋体" w:eastAsia="宋体" w:cs="宋体"/>
          <w:b/>
          <w:bCs w:val="0"/>
          <w:color w:val="000000" w:themeColor="text1"/>
          <w:sz w:val="24"/>
          <w:szCs w:val="24"/>
          <w:highlight w:val="none"/>
        </w:rPr>
        <w:t xml:space="preserve">、</w:t>
      </w:r>
      <w:r>
        <w:rPr>
          <w:rFonts w:hint="eastAsia" w:ascii="宋体" w:hAnsi="宋体" w:cs="宋体"/>
          <w:b/>
          <w:bCs w:val="0"/>
          <w:color w:val="000000" w:themeColor="text1"/>
          <w:sz w:val="24"/>
          <w:szCs w:val="24"/>
          <w:highlight w:val="none"/>
          <w:lang w:val="en-US" w:eastAsia="zh-CN"/>
        </w:rPr>
        <w:t xml:space="preserve">项目报价</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本项目不接受超过</w:t>
      </w:r>
      <w:r>
        <w:rPr>
          <w:rFonts w:hint="eastAsia" w:ascii="宋体" w:hAnsi="宋体" w:eastAsia="宋体" w:cs="宋体"/>
          <w:b/>
          <w:bCs w:val="0"/>
          <w:color w:val="000000" w:themeColor="text1"/>
          <w:sz w:val="24"/>
          <w:szCs w:val="24"/>
          <w:highlight w:val="none"/>
          <w:u w:val="single"/>
        </w:rPr>
        <w:t xml:space="preserve">169.237978</w:t>
      </w:r>
      <w:r>
        <w:rPr>
          <w:rFonts w:hint="eastAsia" w:ascii="宋体" w:hAnsi="宋体" w:eastAsia="宋体" w:cs="宋体"/>
          <w:b/>
          <w:bCs w:val="0"/>
          <w:color w:val="000000" w:themeColor="text1"/>
          <w:sz w:val="24"/>
          <w:szCs w:val="24"/>
          <w:highlight w:val="none"/>
        </w:rPr>
        <w:t xml:space="preserve">万元人民币（采购项目预算金额）的磋商报价。（首次和最后报价），报价包括为完成本工程所有施工、验收、售后服务等全部费用，采购人不再支付报价以外的任何费用。</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lang w:val="en-US" w:eastAsia="zh-CN"/>
        </w:rPr>
        <w:t xml:space="preserve">三</w:t>
      </w:r>
      <w:r>
        <w:rPr>
          <w:rFonts w:hint="eastAsia" w:ascii="宋体" w:hAnsi="宋体" w:eastAsia="宋体" w:cs="宋体"/>
          <w:b/>
          <w:bCs w:val="0"/>
          <w:color w:val="000000" w:themeColor="text1"/>
          <w:sz w:val="24"/>
          <w:szCs w:val="24"/>
          <w:highlight w:val="none"/>
        </w:rPr>
        <w:t xml:space="preserve">、项目</w:t>
      </w:r>
      <w:r>
        <w:rPr>
          <w:rFonts w:hint="eastAsia" w:ascii="宋体" w:hAnsi="宋体" w:cs="宋体"/>
          <w:b/>
          <w:bCs w:val="0"/>
          <w:color w:val="000000" w:themeColor="text1"/>
          <w:sz w:val="24"/>
          <w:szCs w:val="24"/>
          <w:highlight w:val="none"/>
          <w:lang w:val="en-US" w:eastAsia="zh-CN"/>
        </w:rPr>
        <w:t xml:space="preserve">概况</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1、项目名称：</w:t>
      </w:r>
      <w:r>
        <w:rPr>
          <w:rFonts w:hint="eastAsia" w:ascii="宋体" w:hAnsi="宋体" w:eastAsia="宋体" w:cs="宋体"/>
          <w:bCs/>
          <w:color w:val="000000" w:themeColor="text1"/>
          <w:sz w:val="24"/>
          <w:szCs w:val="24"/>
          <w:highlight w:val="none"/>
          <w:lang w:eastAsia="zh-CN"/>
        </w:rPr>
        <w:t xml:space="preserve">城区市政道路绿化及城市绿道建设(汉水路等)</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2、建设地点：</w:t>
      </w:r>
      <w:r>
        <w:rPr>
          <w:rFonts w:hint="eastAsia" w:ascii="宋体" w:hAnsi="宋体" w:eastAsia="宋体" w:cs="宋体"/>
          <w:bCs/>
          <w:color w:val="000000" w:themeColor="text1"/>
          <w:sz w:val="24"/>
          <w:szCs w:val="24"/>
          <w:highlight w:val="none"/>
          <w:lang w:eastAsia="zh-CN"/>
        </w:rPr>
        <w:t xml:space="preserve">沛县</w:t>
      </w:r>
      <w:r>
        <w:rPr>
          <w:rFonts w:hint="eastAsia" w:ascii="宋体" w:hAnsi="宋体" w:eastAsia="宋体" w:cs="宋体"/>
          <w:bCs/>
          <w:color w:val="000000" w:themeColor="text1"/>
          <w:sz w:val="24"/>
          <w:szCs w:val="24"/>
          <w:highlight w:val="none"/>
        </w:rPr>
        <w:t xml:space="preserve">。</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3、标段划分：本招标工程共分一个标段</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4、工程规模：造价约</w:t>
      </w:r>
      <w:r>
        <w:rPr>
          <w:rFonts w:hint="eastAsia" w:ascii="宋体" w:hAnsi="宋体" w:eastAsia="宋体" w:cs="宋体"/>
          <w:bCs/>
          <w:color w:val="000000" w:themeColor="text1"/>
          <w:sz w:val="24"/>
          <w:szCs w:val="24"/>
          <w:highlight w:val="none"/>
          <w:u w:val="single"/>
        </w:rPr>
        <w:t xml:space="preserve">169.237978</w:t>
      </w:r>
      <w:r>
        <w:rPr>
          <w:rFonts w:hint="eastAsia" w:ascii="宋体" w:hAnsi="宋体" w:eastAsia="宋体" w:cs="宋体"/>
          <w:bCs/>
          <w:color w:val="000000" w:themeColor="text1"/>
          <w:sz w:val="24"/>
          <w:szCs w:val="24"/>
          <w:highlight w:val="none"/>
        </w:rPr>
        <w:t xml:space="preserve">万元。</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供应商资格条件：</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投标人合法有效的法人或者其他组织的营业执照等证明文件。以上证明文件提供原件的扫描件。</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财务状况报告，</w:t>
      </w:r>
      <w:r>
        <w:rPr>
          <w:rFonts w:hint="eastAsia" w:ascii="宋体" w:hAnsi="宋体" w:eastAsia="宋体" w:cs="宋体"/>
          <w:bCs/>
          <w:color w:val="000000" w:themeColor="text1"/>
          <w:sz w:val="24"/>
          <w:szCs w:val="24"/>
          <w:highlight w:val="none"/>
          <w:lang w:val="en-US" w:eastAsia="zh-CN"/>
        </w:rPr>
        <w:t xml:space="preserve">至少提供</w:t>
      </w:r>
      <w:r>
        <w:rPr>
          <w:rFonts w:hint="default" w:ascii="宋体" w:hAnsi="宋体" w:eastAsia="宋体" w:cs="宋体"/>
          <w:bCs/>
          <w:color w:val="000000" w:themeColor="text1"/>
          <w:sz w:val="24"/>
          <w:szCs w:val="24"/>
          <w:highlight w:val="none"/>
        </w:rPr>
        <w:t xml:space="preserve">①</w:t>
      </w:r>
      <w:r>
        <w:rPr>
          <w:rFonts w:hint="eastAsia" w:ascii="宋体" w:hAnsi="宋体" w:eastAsia="宋体" w:cs="宋体"/>
          <w:bCs/>
          <w:color w:val="000000" w:themeColor="text1"/>
          <w:sz w:val="24"/>
          <w:szCs w:val="24"/>
          <w:highlight w:val="none"/>
        </w:rPr>
        <w:t xml:space="preserve">供应商的“首次响应文件提交的截止时间”前6个月内任何1月（不含“首次响应文件提交的截止时间”当月）的资产负债表的扫描件1份；</w:t>
      </w:r>
      <w:r>
        <w:rPr>
          <w:rFonts w:hint="default" w:ascii="宋体" w:hAnsi="宋体" w:eastAsia="宋体" w:cs="宋体"/>
          <w:bCs/>
          <w:color w:val="000000" w:themeColor="text1"/>
          <w:sz w:val="24"/>
          <w:szCs w:val="24"/>
          <w:highlight w:val="none"/>
        </w:rPr>
        <w:t xml:space="preserve">②</w:t>
      </w:r>
      <w:r>
        <w:rPr>
          <w:rFonts w:hint="eastAsia" w:ascii="宋体" w:hAnsi="宋体" w:eastAsia="宋体" w:cs="宋体"/>
          <w:bCs/>
          <w:color w:val="000000" w:themeColor="text1"/>
          <w:sz w:val="24"/>
          <w:szCs w:val="24"/>
          <w:highlight w:val="none"/>
        </w:rPr>
        <w:t xml:space="preserve">供应商的“首次响应文件提交的截止时间”前6个月内任何1月（不含“首次响应文件提交的截止时间”当月）的利润表月报表的扫描件1份。或合法有效的经第三方机构审计的年度财务审计报告（复印件）（202</w:t>
      </w: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rPr>
        <w:t xml:space="preserve">年度，应包括审计报告正文、资产负债表、现金流量表、利润表）。</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具备履行合同所必需的设备和专业技术能力的</w:t>
      </w:r>
      <w:r>
        <w:rPr>
          <w:rFonts w:hint="eastAsia" w:ascii="宋体" w:hAnsi="宋体" w:eastAsia="宋体" w:cs="宋体"/>
          <w:bCs/>
          <w:color w:val="000000" w:themeColor="text1"/>
          <w:sz w:val="24"/>
          <w:szCs w:val="24"/>
          <w:highlight w:val="none"/>
          <w:lang w:val="en-US" w:eastAsia="zh-CN"/>
        </w:rPr>
        <w:t xml:space="preserve">书面声明</w:t>
      </w:r>
      <w:r>
        <w:rPr>
          <w:rFonts w:hint="eastAsia" w:ascii="宋体" w:hAnsi="宋体" w:eastAsia="宋体" w:cs="宋体"/>
          <w:bCs/>
          <w:color w:val="000000" w:themeColor="text1"/>
          <w:sz w:val="24"/>
          <w:szCs w:val="24"/>
          <w:highlight w:val="none"/>
        </w:rPr>
        <w:t xml:space="preserve">。响应文件中提供《具备履行合同所必需的设备和专业技术能力的书面声明》（加盖电子签章，格式见《磋商文件》附件）。</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5</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供应商参加政府采购活动前3年内在经营活动中没有重大违法记录的书面声明(格式见《磋商文件》附件)。</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供应商为中小企业（含中型、小型、微型企业，下同）的，提供《中小企业声明函》（本项目属于专门面向中小微企业采购的项目（必须提供，否则响应无效）），加盖电子签章，填写完整，格式见《磋商文件》附件。“中小企业声明函” 查询渠道用微信搜索“中小企业规模类型自测小程序”。</w:t>
      </w:r>
      <w:r>
        <w:rPr>
          <w:color w:val="000000" w:themeColor="text1"/>
          <w:highlight w:val="none"/>
        </w:rPr>
      </w:r>
    </w:p>
    <w:p>
      <w:pPr>
        <w:pStyle w:val="906"/>
        <w:ind w:firstLine="560"/>
        <w:spacing w:line="360" w:lineRule="auto"/>
        <w:rPr>
          <w:rFonts w:hint="eastAsia" w:ascii="宋体" w:hAnsi="宋体"/>
          <w:b w:val="0"/>
          <w:bCs w:val="0"/>
          <w:color w:val="000000" w:themeColor="text1"/>
          <w:sz w:val="24"/>
          <w:highlight w:val="none"/>
        </w:rPr>
      </w:pPr>
      <w:r>
        <w:rPr>
          <w:rFonts w:hint="eastAsia" w:ascii="宋体" w:hAnsi="宋体"/>
          <w:b w:val="0"/>
          <w:bCs w:val="0"/>
          <w:color w:val="000000" w:themeColor="text1"/>
          <w:sz w:val="24"/>
          <w:highlight w:val="none"/>
          <w:lang w:val="en-US" w:eastAsia="zh-CN"/>
        </w:rPr>
        <w:t xml:space="preserve">6、</w:t>
      </w:r>
      <w:r>
        <w:rPr>
          <w:rFonts w:hint="eastAsia" w:ascii="宋体" w:hAnsi="宋体"/>
          <w:b w:val="0"/>
          <w:bCs w:val="0"/>
          <w:color w:val="000000" w:themeColor="text1"/>
          <w:sz w:val="24"/>
          <w:highlight w:val="none"/>
        </w:rPr>
        <w:t xml:space="preserve">工程内容：主要对</w:t>
      </w:r>
      <w:r>
        <w:rPr>
          <w:rFonts w:hint="eastAsia" w:ascii="宋体" w:hAnsi="宋体" w:eastAsia="宋体" w:cs="宋体"/>
          <w:bCs/>
          <w:color w:val="000000" w:themeColor="text1"/>
          <w:sz w:val="24"/>
          <w:szCs w:val="24"/>
          <w:highlight w:val="none"/>
          <w:lang w:eastAsia="zh-CN"/>
        </w:rPr>
        <w:t xml:space="preserve">城区市政道路绿化及城市绿道建设(汉水路等)</w:t>
      </w:r>
      <w:r>
        <w:rPr>
          <w:rFonts w:hint="eastAsia" w:ascii="宋体" w:hAnsi="宋体"/>
          <w:b w:val="0"/>
          <w:bCs w:val="0"/>
          <w:color w:val="000000" w:themeColor="text1"/>
          <w:sz w:val="24"/>
          <w:highlight w:val="none"/>
        </w:rPr>
        <w:t xml:space="preserve">等进行绿化建设。</w:t>
      </w:r>
      <w:r>
        <w:rPr>
          <w:color w:val="000000" w:themeColor="text1"/>
          <w:highlight w:val="none"/>
        </w:rPr>
      </w:r>
    </w:p>
    <w:p>
      <w:pPr>
        <w:pStyle w:val="906"/>
        <w:ind w:firstLine="560"/>
        <w:spacing w:line="360" w:lineRule="auto"/>
        <w:rPr>
          <w:rFonts w:hint="eastAsia" w:ascii="宋体" w:hAnsi="宋体"/>
          <w:b w:val="0"/>
          <w:bCs w:val="0"/>
          <w:color w:val="000000" w:themeColor="text1"/>
          <w:sz w:val="24"/>
          <w:highlight w:val="none"/>
        </w:rPr>
      </w:pPr>
      <w:r>
        <w:rPr>
          <w:rFonts w:hint="eastAsia" w:ascii="宋体" w:hAnsi="宋体"/>
          <w:b w:val="0"/>
          <w:bCs w:val="0"/>
          <w:color w:val="000000" w:themeColor="text1"/>
          <w:sz w:val="24"/>
          <w:highlight w:val="none"/>
          <w:lang w:val="en-US" w:eastAsia="zh-CN"/>
        </w:rPr>
        <w:t xml:space="preserve">7</w:t>
      </w:r>
      <w:r>
        <w:rPr>
          <w:rFonts w:ascii="宋体" w:hAnsi="宋体"/>
          <w:b w:val="0"/>
          <w:bCs w:val="0"/>
          <w:color w:val="000000" w:themeColor="text1"/>
          <w:sz w:val="24"/>
          <w:highlight w:val="none"/>
        </w:rPr>
        <w:t xml:space="preserve">、要求工期：</w:t>
      </w:r>
      <w:r>
        <w:rPr>
          <w:rFonts w:hint="eastAsia" w:ascii="宋体" w:hAnsi="宋体"/>
          <w:b w:val="0"/>
          <w:bCs w:val="0"/>
          <w:color w:val="000000" w:themeColor="text1"/>
          <w:sz w:val="24"/>
          <w:highlight w:val="none"/>
          <w:lang w:val="en-US" w:eastAsia="zh-CN"/>
        </w:rPr>
        <w:t xml:space="preserve">自项目开工之日起30日历天，苗木养护期二年三级养护。</w:t>
      </w:r>
      <w:r>
        <w:rPr>
          <w:color w:val="000000" w:themeColor="text1"/>
          <w:highlight w:val="none"/>
        </w:rPr>
      </w:r>
    </w:p>
    <w:p>
      <w:pPr>
        <w:pStyle w:val="906"/>
        <w:ind w:firstLine="560"/>
        <w:spacing w:line="360" w:lineRule="auto"/>
        <w:rPr>
          <w:rFonts w:ascii="宋体" w:hAnsi="宋体"/>
          <w:b w:val="0"/>
          <w:bCs w:val="0"/>
          <w:color w:val="000000" w:themeColor="text1"/>
          <w:sz w:val="24"/>
          <w:highlight w:val="none"/>
        </w:rPr>
      </w:pPr>
      <w:r>
        <w:rPr>
          <w:rFonts w:hint="eastAsia" w:ascii="宋体" w:hAnsi="宋体"/>
          <w:b w:val="0"/>
          <w:bCs w:val="0"/>
          <w:color w:val="000000" w:themeColor="text1"/>
          <w:sz w:val="24"/>
          <w:highlight w:val="none"/>
          <w:lang w:val="en-US" w:eastAsia="zh-CN"/>
        </w:rPr>
        <w:t xml:space="preserve">8</w:t>
      </w:r>
      <w:r>
        <w:rPr>
          <w:rFonts w:ascii="宋体" w:hAnsi="宋体"/>
          <w:b w:val="0"/>
          <w:bCs w:val="0"/>
          <w:color w:val="000000" w:themeColor="text1"/>
          <w:sz w:val="24"/>
          <w:highlight w:val="none"/>
        </w:rPr>
        <w:t xml:space="preserve">、质量要求标准：合格，通过相关部门验收。</w:t>
      </w:r>
      <w:r>
        <w:rPr>
          <w:color w:val="000000" w:themeColor="text1"/>
          <w:highlight w:val="none"/>
        </w:rPr>
      </w:r>
    </w:p>
    <w:p>
      <w:pPr>
        <w:pStyle w:val="906"/>
        <w:ind w:firstLine="560"/>
        <w:spacing w:line="360" w:lineRule="auto"/>
        <w:rPr>
          <w:rFonts w:ascii="宋体" w:hAnsi="宋体"/>
          <w:b w:val="0"/>
          <w:bCs w:val="0"/>
          <w:color w:val="000000" w:themeColor="text1"/>
          <w:sz w:val="24"/>
          <w:highlight w:val="none"/>
        </w:rPr>
      </w:pPr>
      <w:r>
        <w:rPr>
          <w:rFonts w:hint="eastAsia" w:ascii="宋体" w:hAnsi="宋体"/>
          <w:b w:val="0"/>
          <w:bCs w:val="0"/>
          <w:color w:val="000000" w:themeColor="text1"/>
          <w:sz w:val="24"/>
          <w:highlight w:val="none"/>
          <w:lang w:val="en-US" w:eastAsia="zh-CN"/>
        </w:rPr>
        <w:t xml:space="preserve">9</w:t>
      </w:r>
      <w:r>
        <w:rPr>
          <w:rFonts w:ascii="宋体" w:hAnsi="宋体"/>
          <w:b w:val="0"/>
          <w:bCs w:val="0"/>
          <w:color w:val="000000" w:themeColor="text1"/>
          <w:sz w:val="24"/>
          <w:highlight w:val="none"/>
        </w:rPr>
        <w:t xml:space="preserve">、承包方式：包工包料。</w:t>
      </w:r>
      <w:r>
        <w:rPr>
          <w:color w:val="000000" w:themeColor="text1"/>
          <w:highlight w:val="none"/>
        </w:rPr>
      </w:r>
    </w:p>
    <w:p>
      <w:pPr>
        <w:pStyle w:val="906"/>
        <w:ind w:firstLine="560"/>
        <w:spacing w:line="360" w:lineRule="auto"/>
        <w:rPr>
          <w:rFonts w:ascii="宋体" w:hAnsi="宋体"/>
          <w:b w:val="0"/>
          <w:bCs w:val="0"/>
          <w:color w:val="000000" w:themeColor="text1"/>
          <w:sz w:val="24"/>
          <w:highlight w:val="none"/>
        </w:rPr>
      </w:pPr>
      <w:r>
        <w:rPr>
          <w:rFonts w:hint="eastAsia" w:ascii="宋体" w:hAnsi="宋体"/>
          <w:b w:val="0"/>
          <w:bCs w:val="0"/>
          <w:color w:val="000000" w:themeColor="text1"/>
          <w:sz w:val="24"/>
          <w:highlight w:val="none"/>
          <w:lang w:val="en-US" w:eastAsia="zh-CN"/>
        </w:rPr>
        <w:t xml:space="preserve">10</w:t>
      </w:r>
      <w:r>
        <w:rPr>
          <w:rFonts w:ascii="宋体" w:hAnsi="宋体"/>
          <w:b w:val="0"/>
          <w:bCs w:val="0"/>
          <w:color w:val="000000" w:themeColor="text1"/>
          <w:sz w:val="24"/>
          <w:highlight w:val="none"/>
        </w:rPr>
        <w:t xml:space="preserve">、采用的技术规范：</w:t>
      </w:r>
      <w:r>
        <w:rPr>
          <w:rFonts w:hint="eastAsia" w:ascii="宋体" w:hAnsi="宋体"/>
          <w:b w:val="0"/>
          <w:bCs w:val="0"/>
          <w:color w:val="000000" w:themeColor="text1"/>
          <w:sz w:val="24"/>
          <w:highlight w:val="none"/>
          <w:lang w:val="en-US" w:eastAsia="zh-CN"/>
        </w:rPr>
        <w:t xml:space="preserve">符合现行国家技术、施工及验收规范规程标准，对施工工艺的特殊要求按设计图纸及国家有关规定执行。</w:t>
      </w:r>
      <w:r>
        <w:rPr>
          <w:color w:val="000000" w:themeColor="text1"/>
          <w:highlight w:val="none"/>
        </w:rPr>
      </w:r>
    </w:p>
    <w:p>
      <w:pPr>
        <w:pStyle w:val="906"/>
        <w:ind w:firstLine="560"/>
        <w:spacing w:line="360" w:lineRule="auto"/>
        <w:rPr>
          <w:rFonts w:ascii="宋体" w:hAnsi="宋体"/>
          <w:b w:val="0"/>
          <w:bCs w:val="0"/>
          <w:color w:val="000000" w:themeColor="text1"/>
          <w:sz w:val="24"/>
          <w:highlight w:val="none"/>
        </w:rPr>
      </w:pPr>
      <w:r>
        <w:rPr>
          <w:rFonts w:hint="eastAsia" w:ascii="宋体" w:hAnsi="宋体"/>
          <w:b w:val="0"/>
          <w:bCs w:val="0"/>
          <w:color w:val="000000" w:themeColor="text1"/>
          <w:sz w:val="24"/>
          <w:highlight w:val="none"/>
          <w:lang w:val="en-US" w:eastAsia="zh-CN"/>
        </w:rPr>
        <w:t xml:space="preserve">11</w:t>
      </w:r>
      <w:r>
        <w:rPr>
          <w:rFonts w:ascii="宋体" w:hAnsi="宋体"/>
          <w:b w:val="0"/>
          <w:bCs w:val="0"/>
          <w:color w:val="000000" w:themeColor="text1"/>
          <w:sz w:val="24"/>
          <w:highlight w:val="none"/>
        </w:rPr>
        <w:t xml:space="preserve">、现场自然及施工条件：建议供应商对项目现场和周围环境进行实地踏勘，以</w:t>
      </w:r>
      <w:r>
        <w:rPr>
          <w:rFonts w:ascii="宋体" w:hAnsi="宋体"/>
          <w:b w:val="0"/>
          <w:bCs w:val="0"/>
          <w:color w:val="000000" w:themeColor="text1"/>
          <w:sz w:val="24"/>
          <w:highlight w:val="none"/>
          <w:lang w:val="zh-CN"/>
        </w:rPr>
        <w:t xml:space="preserve">了解现场的施工环境、施工范围、技术要求及相关服务，</w:t>
      </w:r>
      <w:r>
        <w:rPr>
          <w:rFonts w:ascii="宋体" w:hAnsi="宋体"/>
          <w:b w:val="0"/>
          <w:bCs w:val="0"/>
          <w:color w:val="000000" w:themeColor="text1"/>
          <w:sz w:val="24"/>
          <w:highlight w:val="none"/>
        </w:rPr>
        <w:t xml:space="preserve">供应商应承担现场踏勘的责任和风险，费用由供应商自己承担。成交</w:t>
      </w:r>
      <w:r>
        <w:rPr>
          <w:rFonts w:ascii="宋体" w:hAnsi="宋体"/>
          <w:b w:val="0"/>
          <w:bCs w:val="0"/>
          <w:color w:val="000000" w:themeColor="text1"/>
          <w:sz w:val="24"/>
          <w:highlight w:val="none"/>
          <w:lang w:val="zh-CN"/>
        </w:rPr>
        <w:t xml:space="preserve">后不得以未踏勘现场或不了解现场为由提出任何增加费用的要求。</w:t>
      </w:r>
      <w:r>
        <w:rPr>
          <w:color w:val="000000" w:themeColor="text1"/>
          <w:highlight w:val="none"/>
        </w:rPr>
      </w:r>
    </w:p>
    <w:p>
      <w:pPr>
        <w:pStyle w:val="906"/>
        <w:ind w:firstLine="560"/>
        <w:spacing w:line="360" w:lineRule="auto"/>
        <w:rPr>
          <w:rFonts w:hint="eastAsia"/>
          <w:color w:val="000000" w:themeColor="text1"/>
          <w:highlight w:val="none"/>
        </w:rPr>
      </w:pPr>
      <w:r>
        <w:rPr>
          <w:rFonts w:hint="eastAsia" w:ascii="宋体" w:hAnsi="宋体"/>
          <w:b/>
          <w:bCs/>
          <w:color w:val="000000" w:themeColor="text1"/>
          <w:sz w:val="24"/>
          <w:highlight w:val="none"/>
        </w:rPr>
        <w:t xml:space="preserve">四</w:t>
      </w:r>
      <w:r>
        <w:rPr>
          <w:rFonts w:ascii="宋体" w:hAnsi="宋体"/>
          <w:b/>
          <w:bCs/>
          <w:color w:val="000000" w:themeColor="text1"/>
          <w:sz w:val="24"/>
          <w:highlight w:val="none"/>
        </w:rPr>
        <w:t xml:space="preserve">、《已标价的工程量清单》要求</w:t>
      </w:r>
      <w:r>
        <w:rPr>
          <w:color w:val="000000" w:themeColor="text1"/>
          <w:highlight w:val="none"/>
        </w:rPr>
      </w:r>
    </w:p>
    <w:p>
      <w:pPr>
        <w:pStyle w:val="906"/>
        <w:ind w:firstLine="560"/>
        <w:spacing w:line="360" w:lineRule="auto"/>
        <w:rPr>
          <w:rFonts w:ascii="宋体" w:hAnsi="宋体"/>
          <w:b w:val="0"/>
          <w:bCs w:val="0"/>
          <w:color w:val="000000" w:themeColor="text1"/>
          <w:sz w:val="24"/>
          <w:highlight w:val="none"/>
        </w:rPr>
      </w:pPr>
      <w:r>
        <w:rPr>
          <w:rFonts w:ascii="宋体" w:hAnsi="宋体"/>
          <w:b w:val="0"/>
          <w:bCs w:val="0"/>
          <w:color w:val="000000" w:themeColor="text1"/>
          <w:sz w:val="24"/>
          <w:highlight w:val="none"/>
        </w:rPr>
        <w:t xml:space="preserve">（一）工程量清单：详见本项目磋商公告附件《工程量清单》</w:t>
      </w:r>
      <w:r>
        <w:rPr>
          <w:color w:val="000000" w:themeColor="text1"/>
          <w:highlight w:val="none"/>
        </w:rPr>
      </w:r>
    </w:p>
    <w:p>
      <w:pPr>
        <w:pStyle w:val="906"/>
        <w:ind w:firstLine="560"/>
        <w:spacing w:line="360" w:lineRule="auto"/>
        <w:rPr>
          <w:rFonts w:ascii="宋体" w:hAnsi="宋体"/>
          <w:b w:val="0"/>
          <w:bCs w:val="0"/>
          <w:color w:val="000000" w:themeColor="text1"/>
          <w:sz w:val="24"/>
          <w:highlight w:val="none"/>
        </w:rPr>
      </w:pPr>
      <w:r>
        <w:rPr>
          <w:rFonts w:ascii="宋体" w:hAnsi="宋体"/>
          <w:b w:val="0"/>
          <w:bCs w:val="0"/>
          <w:color w:val="000000" w:themeColor="text1"/>
          <w:sz w:val="24"/>
          <w:highlight w:val="none"/>
        </w:rPr>
        <w:t xml:space="preserve">（二）《已标价的工程量清单》报价要求</w:t>
      </w:r>
      <w:r>
        <w:rPr>
          <w:color w:val="000000" w:themeColor="text1"/>
          <w:highlight w:val="none"/>
        </w:rPr>
      </w:r>
    </w:p>
    <w:p>
      <w:pPr>
        <w:pStyle w:val="906"/>
        <w:ind w:firstLine="560"/>
        <w:spacing w:line="360" w:lineRule="auto"/>
        <w:rPr>
          <w:rFonts w:ascii="宋体" w:hAnsi="宋体"/>
          <w:b w:val="0"/>
          <w:bCs w:val="0"/>
          <w:color w:val="000000" w:themeColor="text1"/>
          <w:sz w:val="24"/>
          <w:highlight w:val="none"/>
        </w:rPr>
      </w:pPr>
      <w:r>
        <w:rPr>
          <w:rFonts w:ascii="宋体" w:hAnsi="宋体"/>
          <w:b w:val="0"/>
          <w:bCs w:val="0"/>
          <w:color w:val="000000" w:themeColor="text1"/>
          <w:sz w:val="24"/>
          <w:highlight w:val="none"/>
        </w:rPr>
        <w:t xml:space="preserve">1、响应报价应包括磋商文件所确定的招标范围内工程量清单中所含施工图项目的全部内容，以及为完成上述内容所需的全部费用，其根据为供应商提交的已标价的工程量清单及附表，并含现场清理垃圾及外运、平整场地、地基处理等全部内容，采购人不再额外支付任何费用。</w:t>
      </w:r>
      <w:r>
        <w:rPr>
          <w:color w:val="000000" w:themeColor="text1"/>
          <w:highlight w:val="none"/>
        </w:rPr>
      </w:r>
    </w:p>
    <w:p>
      <w:pPr>
        <w:pStyle w:val="906"/>
        <w:ind w:firstLine="560"/>
        <w:spacing w:line="360" w:lineRule="auto"/>
        <w:rPr>
          <w:rFonts w:ascii="宋体" w:hAnsi="宋体"/>
          <w:b w:val="0"/>
          <w:bCs w:val="0"/>
          <w:color w:val="000000" w:themeColor="text1"/>
          <w:sz w:val="24"/>
          <w:highlight w:val="none"/>
        </w:rPr>
      </w:pPr>
      <w:r>
        <w:rPr>
          <w:rFonts w:ascii="宋体" w:hAnsi="宋体"/>
          <w:b w:val="0"/>
          <w:bCs w:val="0"/>
          <w:color w:val="000000" w:themeColor="text1"/>
          <w:sz w:val="24"/>
          <w:highlight w:val="none"/>
        </w:rPr>
        <w:t xml:space="preserve">2、供应商应按采购人提供的工程量清单填报价格。填写的项目编码、项目名称、项目特征、计量单位、工程量必须与采购人提供的一致。</w:t>
      </w:r>
      <w:r>
        <w:rPr>
          <w:color w:val="000000" w:themeColor="text1"/>
          <w:highlight w:val="none"/>
        </w:rPr>
      </w:r>
    </w:p>
    <w:p>
      <w:pPr>
        <w:pStyle w:val="906"/>
        <w:ind w:firstLine="560"/>
        <w:spacing w:line="360" w:lineRule="auto"/>
        <w:rPr>
          <w:rFonts w:ascii="宋体" w:hAnsi="宋体"/>
          <w:b w:val="0"/>
          <w:bCs w:val="0"/>
          <w:color w:val="000000" w:themeColor="text1"/>
          <w:sz w:val="24"/>
          <w:highlight w:val="none"/>
        </w:rPr>
      </w:pPr>
      <w:r>
        <w:rPr>
          <w:rFonts w:ascii="宋体" w:hAnsi="宋体"/>
          <w:b w:val="0"/>
          <w:bCs w:val="0"/>
          <w:color w:val="000000" w:themeColor="text1"/>
          <w:sz w:val="24"/>
          <w:highlight w:val="none"/>
        </w:rPr>
        <w:t xml:space="preserve">3、实行工程量清单招标的工程建设项目，量的风险由采购人承担，价的风险在约定风险范围内的，由投标人承担，风险范围以外的按合同约定。</w:t>
      </w:r>
      <w:r>
        <w:rPr>
          <w:color w:val="000000" w:themeColor="text1"/>
          <w:highlight w:val="none"/>
        </w:rPr>
      </w:r>
    </w:p>
    <w:p>
      <w:pPr>
        <w:pStyle w:val="906"/>
        <w:ind w:firstLine="560"/>
        <w:spacing w:line="360" w:lineRule="auto"/>
        <w:rPr>
          <w:rFonts w:ascii="宋体" w:hAnsi="宋体"/>
          <w:b w:val="0"/>
          <w:bCs w:val="0"/>
          <w:color w:val="000000" w:themeColor="text1"/>
          <w:sz w:val="24"/>
          <w:highlight w:val="none"/>
        </w:rPr>
      </w:pPr>
      <w:r>
        <w:rPr>
          <w:rFonts w:ascii="宋体" w:hAnsi="宋体"/>
          <w:b w:val="0"/>
          <w:bCs w:val="0"/>
          <w:color w:val="000000" w:themeColor="text1"/>
          <w:sz w:val="24"/>
          <w:highlight w:val="none"/>
        </w:rPr>
        <w:t xml:space="preserve">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rPr>
          <w:color w:val="000000" w:themeColor="text1"/>
          <w:highlight w:val="none"/>
        </w:rPr>
      </w:r>
    </w:p>
    <w:p>
      <w:pPr>
        <w:pStyle w:val="906"/>
        <w:ind w:firstLine="560"/>
        <w:spacing w:line="360" w:lineRule="auto"/>
        <w:rPr>
          <w:rFonts w:ascii="宋体" w:hAnsi="宋体"/>
          <w:b w:val="0"/>
          <w:bCs w:val="0"/>
          <w:color w:val="000000" w:themeColor="text1"/>
          <w:sz w:val="24"/>
          <w:highlight w:val="none"/>
        </w:rPr>
      </w:pPr>
      <w:r>
        <w:rPr>
          <w:rFonts w:ascii="宋体" w:hAnsi="宋体"/>
          <w:b w:val="0"/>
          <w:bCs w:val="0"/>
          <w:color w:val="000000" w:themeColor="text1"/>
          <w:sz w:val="24"/>
          <w:highlight w:val="none"/>
        </w:rPr>
        <w:t xml:space="preserve">5、施工组织设计所描述的技术措施所发生的费用，视为已体现在供应商响应报价的非实体性消耗所发生的费用中。</w:t>
      </w:r>
      <w:r>
        <w:rPr>
          <w:color w:val="000000" w:themeColor="text1"/>
          <w:highlight w:val="none"/>
        </w:rPr>
      </w:r>
    </w:p>
    <w:p>
      <w:pPr>
        <w:pStyle w:val="906"/>
        <w:ind w:firstLine="560"/>
        <w:spacing w:line="360" w:lineRule="auto"/>
        <w:rPr>
          <w:rFonts w:ascii="宋体" w:hAnsi="宋体"/>
          <w:b w:val="0"/>
          <w:bCs w:val="0"/>
          <w:color w:val="000000" w:themeColor="text1"/>
          <w:sz w:val="24"/>
          <w:highlight w:val="none"/>
        </w:rPr>
      </w:pPr>
      <w:r>
        <w:rPr>
          <w:rFonts w:ascii="宋体" w:hAnsi="宋体"/>
          <w:b w:val="0"/>
          <w:bCs w:val="0"/>
          <w:color w:val="000000" w:themeColor="text1"/>
          <w:sz w:val="24"/>
          <w:highlight w:val="none"/>
        </w:rPr>
        <w:t xml:space="preserve">6、本工程采用固定单价合同（除另有规定外）。供应商应充分考虑施工期间各类建材及苗木的市场风险，并计入总报价，供应商在计算报价时应考虑一定的风险系数。</w:t>
      </w:r>
      <w:r>
        <w:rPr>
          <w:color w:val="000000" w:themeColor="text1"/>
          <w:highlight w:val="none"/>
        </w:rPr>
      </w:r>
    </w:p>
    <w:p>
      <w:pPr>
        <w:pStyle w:val="906"/>
        <w:ind w:firstLine="560"/>
        <w:spacing w:line="360" w:lineRule="auto"/>
        <w:rPr>
          <w:rFonts w:ascii="宋体" w:hAnsi="宋体"/>
          <w:b w:val="0"/>
          <w:bCs w:val="0"/>
          <w:color w:val="000000" w:themeColor="text1"/>
          <w:sz w:val="24"/>
          <w:highlight w:val="none"/>
        </w:rPr>
      </w:pPr>
      <w:r>
        <w:rPr>
          <w:rFonts w:ascii="宋体" w:hAnsi="宋体"/>
          <w:b w:val="0"/>
          <w:bCs w:val="0"/>
          <w:color w:val="000000" w:themeColor="text1"/>
          <w:sz w:val="24"/>
          <w:highlight w:val="none"/>
        </w:rPr>
        <w:t xml:space="preserve">7、供应商报价需考虑工程位置原有建筑、设施、邻近建筑物、工地情况、开挖的土质，通路、储存空间、起卸限制、及任何其它足以影响报价的情况，成交供应商须按接收工地日的现况，接收工地及自费清理任何遗留在工地上之废物，施工过程中因工地特殊情况而引起二次搬运、安全防护等，采购人不接受供应商关于此类费用的任何诉讼或索赔。</w:t>
      </w:r>
      <w:r>
        <w:rPr>
          <w:color w:val="000000" w:themeColor="text1"/>
          <w:highlight w:val="none"/>
        </w:rPr>
      </w:r>
    </w:p>
    <w:p>
      <w:pPr>
        <w:pStyle w:val="906"/>
        <w:ind w:firstLine="560"/>
        <w:spacing w:line="360" w:lineRule="auto"/>
        <w:rPr>
          <w:rFonts w:ascii="宋体" w:hAnsi="宋体"/>
          <w:b w:val="0"/>
          <w:bCs w:val="0"/>
          <w:color w:val="000000" w:themeColor="text1"/>
          <w:sz w:val="24"/>
          <w:highlight w:val="none"/>
        </w:rPr>
      </w:pPr>
      <w:r>
        <w:rPr>
          <w:rFonts w:ascii="宋体" w:hAnsi="宋体"/>
          <w:b w:val="0"/>
          <w:bCs w:val="0"/>
          <w:color w:val="000000" w:themeColor="text1"/>
          <w:sz w:val="24"/>
          <w:highlight w:val="none"/>
        </w:rPr>
        <w:t xml:space="preserve">8、安全文明施工是供应商的责任，采购人不接受任何由于供应商施工而导致的扰民或民扰引起的诉讼或索赔。供应商应在其投标时充分考虑因扰民与民扰而造成的工期影响与费用增加，在报价予以考虑，采购人不接受任何由于供应商考虑不周为由而提出的任何索赔。</w:t>
      </w:r>
      <w:r>
        <w:rPr>
          <w:color w:val="000000" w:themeColor="text1"/>
          <w:highlight w:val="none"/>
        </w:rPr>
      </w:r>
    </w:p>
    <w:p>
      <w:pPr>
        <w:pStyle w:val="906"/>
        <w:ind w:firstLine="560"/>
        <w:spacing w:line="360" w:lineRule="auto"/>
        <w:rPr>
          <w:rFonts w:ascii="宋体" w:hAnsi="宋体"/>
          <w:b w:val="0"/>
          <w:bCs w:val="0"/>
          <w:color w:val="000000" w:themeColor="text1"/>
          <w:sz w:val="24"/>
          <w:highlight w:val="none"/>
        </w:rPr>
      </w:pPr>
      <w:r>
        <w:rPr>
          <w:rFonts w:ascii="宋体" w:hAnsi="宋体"/>
          <w:b w:val="0"/>
          <w:bCs w:val="0"/>
          <w:color w:val="000000" w:themeColor="text1"/>
          <w:sz w:val="24"/>
          <w:highlight w:val="none"/>
        </w:rPr>
        <w:t xml:space="preserve">9、由供应商负责办理相关建设、城管、市政、安全、环保等部门的手续，施工供应商在投标时应考虑这些因素，费用包含在响应报价中，采购人不接受供应商关于此类费用的任何诉讼或索赔。</w:t>
      </w:r>
      <w:r>
        <w:rPr>
          <w:color w:val="000000" w:themeColor="text1"/>
          <w:highlight w:val="none"/>
        </w:rPr>
      </w:r>
    </w:p>
    <w:p>
      <w:pPr>
        <w:pStyle w:val="906"/>
        <w:ind w:firstLine="560"/>
        <w:spacing w:line="360" w:lineRule="auto"/>
        <w:rPr>
          <w:rFonts w:ascii="宋体" w:hAnsi="宋体"/>
          <w:b w:val="0"/>
          <w:bCs w:val="0"/>
          <w:color w:val="000000" w:themeColor="text1"/>
          <w:sz w:val="24"/>
          <w:highlight w:val="none"/>
        </w:rPr>
      </w:pPr>
      <w:r>
        <w:rPr>
          <w:rFonts w:ascii="宋体" w:hAnsi="宋体"/>
          <w:b w:val="0"/>
          <w:bCs w:val="0"/>
          <w:color w:val="000000" w:themeColor="text1"/>
          <w:sz w:val="24"/>
          <w:highlight w:val="none"/>
        </w:rPr>
        <w:t xml:space="preserve">10、垃圾外运，运距及运输方式供应商自行考虑。</w:t>
      </w:r>
      <w:r>
        <w:rPr>
          <w:color w:val="000000" w:themeColor="text1"/>
          <w:highlight w:val="none"/>
        </w:rPr>
      </w:r>
    </w:p>
    <w:p>
      <w:pPr>
        <w:pStyle w:val="906"/>
        <w:ind w:firstLine="560"/>
        <w:spacing w:line="360" w:lineRule="auto"/>
        <w:rPr>
          <w:rFonts w:ascii="宋体" w:hAnsi="宋体"/>
          <w:b w:val="0"/>
          <w:bCs w:val="0"/>
          <w:color w:val="000000" w:themeColor="text1"/>
          <w:sz w:val="24"/>
          <w:highlight w:val="none"/>
        </w:rPr>
      </w:pPr>
      <w:r>
        <w:rPr>
          <w:rFonts w:ascii="宋体" w:hAnsi="宋体"/>
          <w:b w:val="0"/>
          <w:bCs w:val="0"/>
          <w:color w:val="000000" w:themeColor="text1"/>
          <w:sz w:val="24"/>
          <w:highlight w:val="none"/>
        </w:rPr>
        <w:t xml:space="preserve">11、本工程要求养护期为二年三级养护，因此产生的各项费用视为投标人已自行考虑在报价中。</w:t>
      </w:r>
      <w:r>
        <w:rPr>
          <w:color w:val="000000" w:themeColor="text1"/>
          <w:highlight w:val="none"/>
        </w:rPr>
      </w:r>
    </w:p>
    <w:p>
      <w:pPr>
        <w:pStyle w:val="906"/>
        <w:ind w:firstLine="560"/>
        <w:spacing w:line="360" w:lineRule="auto"/>
        <w:rPr>
          <w:rFonts w:ascii="宋体" w:hAnsi="宋体"/>
          <w:b w:val="0"/>
          <w:bCs w:val="0"/>
          <w:color w:val="000000" w:themeColor="text1"/>
          <w:sz w:val="24"/>
          <w:highlight w:val="none"/>
        </w:rPr>
      </w:pPr>
      <w:r>
        <w:rPr>
          <w:rFonts w:ascii="宋体" w:hAnsi="宋体"/>
          <w:b w:val="0"/>
          <w:bCs w:val="0"/>
          <w:color w:val="000000" w:themeColor="text1"/>
          <w:sz w:val="24"/>
          <w:highlight w:val="none"/>
        </w:rPr>
        <w:t xml:space="preserve">12、养护期内若出现死苗，成交供应商需补植，补植后的苗木养护期重新计算，补植的所有费用不再支付（采购人特别通知另行补植的苗木除外）。</w:t>
      </w:r>
      <w:r>
        <w:rPr>
          <w:color w:val="000000" w:themeColor="text1"/>
          <w:highlight w:val="none"/>
        </w:rPr>
      </w:r>
    </w:p>
    <w:p>
      <w:pPr>
        <w:pStyle w:val="906"/>
        <w:ind w:firstLine="560"/>
        <w:spacing w:line="360" w:lineRule="auto"/>
        <w:rPr>
          <w:rFonts w:ascii="宋体" w:hAnsi="宋体"/>
          <w:b w:val="0"/>
          <w:bCs w:val="0"/>
          <w:color w:val="000000" w:themeColor="text1"/>
          <w:sz w:val="24"/>
          <w:highlight w:val="none"/>
        </w:rPr>
      </w:pPr>
      <w:r>
        <w:rPr>
          <w:rFonts w:ascii="宋体" w:hAnsi="宋体"/>
          <w:b w:val="0"/>
          <w:bCs w:val="0"/>
          <w:color w:val="000000" w:themeColor="text1"/>
          <w:sz w:val="24"/>
          <w:highlight w:val="none"/>
        </w:rPr>
        <w:t xml:space="preserve">13、绿化苗木的综合单价应包括种植穴开挖、更换种植土、苗木种植、苗木购置、运输、装卸、施肥浇水、缠草绳、搭扶木、病虫害的防治、二年三级养护费、现场安全文明施工措施费、社会保障费、住房公积金、税金应缴的各项费用、政策性文件规定及施工进程中包含的所有风险、责任等各项应有费用。个别规格品种不全时，须经采购人同意后可选其他规格苗木替代，发生的费用增减等问题另行协商。</w:t>
      </w:r>
      <w:r>
        <w:rPr>
          <w:color w:val="000000" w:themeColor="text1"/>
          <w:highlight w:val="none"/>
        </w:rPr>
      </w:r>
    </w:p>
    <w:p>
      <w:pPr>
        <w:pStyle w:val="906"/>
        <w:ind w:firstLine="560"/>
        <w:spacing w:line="360" w:lineRule="auto"/>
        <w:rPr>
          <w:rFonts w:ascii="宋体" w:hAnsi="宋体"/>
          <w:b w:val="0"/>
          <w:bCs w:val="0"/>
          <w:color w:val="000000" w:themeColor="text1"/>
          <w:sz w:val="24"/>
          <w:highlight w:val="none"/>
        </w:rPr>
      </w:pPr>
      <w:r>
        <w:rPr>
          <w:rFonts w:ascii="宋体" w:hAnsi="宋体"/>
          <w:b w:val="0"/>
          <w:bCs w:val="0"/>
          <w:color w:val="000000" w:themeColor="text1"/>
          <w:sz w:val="24"/>
          <w:highlight w:val="none"/>
        </w:rPr>
        <w:t xml:space="preserve">（三）本工程对于工程价款调整约定如下：</w:t>
      </w:r>
      <w:r>
        <w:rPr>
          <w:color w:val="000000" w:themeColor="text1"/>
          <w:highlight w:val="none"/>
        </w:rPr>
      </w:r>
    </w:p>
    <w:p>
      <w:pPr>
        <w:pStyle w:val="906"/>
        <w:ind w:firstLine="560"/>
        <w:spacing w:line="360" w:lineRule="auto"/>
        <w:rPr>
          <w:rFonts w:ascii="宋体" w:hAnsi="宋体"/>
          <w:b w:val="0"/>
          <w:bCs w:val="0"/>
          <w:color w:val="000000" w:themeColor="text1"/>
          <w:sz w:val="24"/>
          <w:highlight w:val="none"/>
        </w:rPr>
      </w:pPr>
      <w:r>
        <w:rPr>
          <w:rFonts w:ascii="宋体" w:hAnsi="宋体"/>
          <w:b w:val="0"/>
          <w:bCs w:val="0"/>
          <w:color w:val="000000" w:themeColor="text1"/>
          <w:sz w:val="24"/>
          <w:highlight w:val="none"/>
        </w:rPr>
        <w:t xml:space="preserve">1、因设计变更、清单错误、现场签证引起新增工程量清单项目，其相应综合单价按本磋商文件规定的招标预算价计价编制办法计算，再乘以投标报价浮动比率结算。</w:t>
      </w:r>
      <w:r>
        <w:rPr>
          <w:color w:val="000000" w:themeColor="text1"/>
          <w:highlight w:val="none"/>
        </w:rPr>
      </w:r>
    </w:p>
    <w:p>
      <w:pPr>
        <w:pStyle w:val="906"/>
        <w:ind w:firstLine="560"/>
        <w:spacing w:line="360" w:lineRule="auto"/>
        <w:rPr>
          <w:rFonts w:ascii="宋体" w:hAnsi="宋体"/>
          <w:b w:val="0"/>
          <w:bCs w:val="0"/>
          <w:color w:val="000000" w:themeColor="text1"/>
          <w:sz w:val="24"/>
          <w:highlight w:val="none"/>
        </w:rPr>
      </w:pPr>
      <w:r>
        <w:rPr>
          <w:rFonts w:ascii="宋体" w:hAnsi="宋体"/>
          <w:b w:val="0"/>
          <w:bCs w:val="0"/>
          <w:color w:val="000000" w:themeColor="text1"/>
          <w:sz w:val="24"/>
          <w:highlight w:val="none"/>
        </w:rPr>
        <w:t xml:space="preserve">2、因设计变更、清单错误、现场签证引起的已有清单工程量增减，其相应综合单价执行投标报价的综合单价，但不得高于招标控制价的综合单价。</w:t>
      </w:r>
      <w:r>
        <w:rPr>
          <w:color w:val="000000" w:themeColor="text1"/>
          <w:highlight w:val="none"/>
        </w:rPr>
      </w:r>
    </w:p>
    <w:p>
      <w:pPr>
        <w:pStyle w:val="906"/>
        <w:ind w:firstLine="560"/>
        <w:spacing w:line="360" w:lineRule="auto"/>
        <w:rPr>
          <w:rFonts w:ascii="宋体" w:hAnsi="宋体"/>
          <w:b w:val="0"/>
          <w:bCs w:val="0"/>
          <w:color w:val="000000" w:themeColor="text1"/>
          <w:sz w:val="24"/>
          <w:highlight w:val="none"/>
        </w:rPr>
      </w:pPr>
      <w:r>
        <w:rPr>
          <w:rFonts w:ascii="宋体" w:hAnsi="宋体"/>
          <w:b w:val="0"/>
          <w:bCs w:val="0"/>
          <w:color w:val="000000" w:themeColor="text1"/>
          <w:sz w:val="24"/>
          <w:highlight w:val="none"/>
        </w:rPr>
        <w:t xml:space="preserve">3、投标报价浮动比率=【1-（中标价-专业工程暂估价-暂列金额）/（招标控制价-专业工程暂估价-暂列金额）】*100%。以上变更及工程量签证，必须由发、承包双方、现场监理工程师共同确认。</w:t>
      </w:r>
      <w:r>
        <w:rPr>
          <w:color w:val="000000" w:themeColor="text1"/>
          <w:highlight w:val="none"/>
        </w:rPr>
      </w:r>
    </w:p>
    <w:p>
      <w:pPr>
        <w:pStyle w:val="906"/>
        <w:ind w:firstLine="560"/>
        <w:spacing w:line="360" w:lineRule="auto"/>
        <w:rPr>
          <w:rFonts w:ascii="宋体" w:hAnsi="宋体"/>
          <w:b w:val="0"/>
          <w:bCs w:val="0"/>
          <w:color w:val="000000" w:themeColor="text1"/>
          <w:sz w:val="24"/>
          <w:highlight w:val="none"/>
        </w:rPr>
      </w:pPr>
      <w:r>
        <w:rPr>
          <w:rFonts w:ascii="宋体" w:hAnsi="宋体"/>
          <w:b w:val="0"/>
          <w:bCs w:val="0"/>
          <w:color w:val="000000" w:themeColor="text1"/>
          <w:sz w:val="24"/>
          <w:highlight w:val="none"/>
        </w:rPr>
        <w:t xml:space="preserve">清单项目中特征描述不全的工序，如图纸已明确或已指明引用的规范、图集等或是常规工艺必须的工序，应包括在报价中。采购人保留在施工过程中增加或取消工程内容及相应费用的权利，供应商须无条件配合。</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五、编</w:t>
      </w:r>
      <w:r>
        <w:rPr>
          <w:rFonts w:hint="eastAsia" w:ascii="宋体" w:hAnsi="宋体" w:eastAsia="宋体" w:cs="宋体"/>
          <w:b/>
          <w:bCs w:val="0"/>
          <w:color w:val="000000" w:themeColor="text1"/>
          <w:sz w:val="24"/>
          <w:szCs w:val="24"/>
          <w:highlight w:val="none"/>
          <w:lang w:val="zh-CN" w:eastAsia="zh-CN"/>
        </w:rPr>
        <w:t xml:space="preserve">制依据</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《江苏省建设工程估算指标》、</w:t>
      </w:r>
      <w:r>
        <w:rPr>
          <w:rFonts w:hint="eastAsia" w:ascii="宋体" w:hAnsi="宋体" w:eastAsia="宋体" w:cs="宋体"/>
          <w:bCs/>
          <w:color w:val="000000" w:themeColor="text1"/>
          <w:sz w:val="24"/>
          <w:szCs w:val="24"/>
          <w:highlight w:val="none"/>
          <w:lang w:val="zh-CN" w:eastAsia="zh-CN"/>
        </w:rPr>
        <w:t xml:space="preserve">《建设工程工程量清单计价规范》（GB50500-2013）、《房屋建筑与装饰工程工程量计算规范》（GB50854-2013）、《通用安装工程工程量计算规范》（GB50856-2013）、《江苏省建筑与装饰工程计价定额》（2014）、《江苏省安装工程计价定额》（2014）、《江苏省</w:t>
      </w:r>
      <w:r>
        <w:rPr>
          <w:rFonts w:hint="eastAsia" w:ascii="宋体" w:hAnsi="宋体" w:eastAsia="宋体" w:cs="宋体"/>
          <w:bCs/>
          <w:color w:val="000000" w:themeColor="text1"/>
          <w:sz w:val="24"/>
          <w:szCs w:val="24"/>
          <w:highlight w:val="none"/>
          <w:lang w:val="en-US" w:eastAsia="zh-CN"/>
        </w:rPr>
        <w:t xml:space="preserve">房屋修缮工程计价表</w:t>
      </w:r>
      <w:r>
        <w:rPr>
          <w:rFonts w:hint="eastAsia" w:ascii="宋体" w:hAnsi="宋体" w:eastAsia="宋体" w:cs="宋体"/>
          <w:bCs/>
          <w:color w:val="000000" w:themeColor="text1"/>
          <w:sz w:val="24"/>
          <w:szCs w:val="24"/>
          <w:highlight w:val="none"/>
          <w:lang w:val="zh-CN" w:eastAsia="zh-CN"/>
        </w:rPr>
        <w:t xml:space="preserve">》（20</w:t>
      </w:r>
      <w:r>
        <w:rPr>
          <w:rFonts w:hint="eastAsia" w:ascii="宋体" w:hAnsi="宋体" w:eastAsia="宋体" w:cs="宋体"/>
          <w:bCs/>
          <w:color w:val="000000" w:themeColor="text1"/>
          <w:sz w:val="24"/>
          <w:szCs w:val="24"/>
          <w:highlight w:val="none"/>
          <w:lang w:val="en-US" w:eastAsia="zh-CN"/>
        </w:rPr>
        <w:t xml:space="preserve">09</w:t>
      </w:r>
      <w:r>
        <w:rPr>
          <w:rFonts w:hint="eastAsia" w:ascii="宋体" w:hAnsi="宋体" w:eastAsia="宋体" w:cs="宋体"/>
          <w:bCs/>
          <w:color w:val="000000" w:themeColor="text1"/>
          <w:sz w:val="24"/>
          <w:szCs w:val="24"/>
          <w:highlight w:val="none"/>
          <w:lang w:val="zh-CN" w:eastAsia="zh-CN"/>
        </w:rPr>
        <w:t xml:space="preserve">）、《江苏省市政工程计价定额》(2014）、《江苏省仿古建筑与园林工程计价表》(20</w:t>
      </w:r>
      <w:r>
        <w:rPr>
          <w:rFonts w:hint="eastAsia" w:ascii="宋体" w:hAnsi="宋体" w:eastAsia="宋体" w:cs="宋体"/>
          <w:bCs/>
          <w:color w:val="000000" w:themeColor="text1"/>
          <w:sz w:val="24"/>
          <w:szCs w:val="24"/>
          <w:highlight w:val="none"/>
          <w:lang w:val="en-US" w:eastAsia="zh-CN"/>
        </w:rPr>
        <w:t xml:space="preserve">07</w:t>
      </w:r>
      <w:r>
        <w:rPr>
          <w:rFonts w:hint="eastAsia" w:ascii="宋体" w:hAnsi="宋体" w:eastAsia="宋体" w:cs="宋体"/>
          <w:bCs/>
          <w:color w:val="000000" w:themeColor="text1"/>
          <w:sz w:val="24"/>
          <w:szCs w:val="24"/>
          <w:highlight w:val="none"/>
          <w:lang w:val="zh-CN" w:eastAsia="zh-CN"/>
        </w:rPr>
        <w:t xml:space="preserve">）《江苏省建设工程费用定额》（2014）营改增</w:t>
      </w:r>
      <w:r>
        <w:rPr>
          <w:rFonts w:hint="eastAsia" w:ascii="宋体" w:hAnsi="宋体" w:eastAsia="宋体" w:cs="宋体"/>
          <w:bCs/>
          <w:color w:val="000000" w:themeColor="text1"/>
          <w:sz w:val="24"/>
          <w:szCs w:val="24"/>
          <w:highlight w:val="none"/>
          <w:lang w:val="en-US" w:eastAsia="zh-CN"/>
        </w:rPr>
        <w:t xml:space="preserve">相关</w:t>
      </w:r>
      <w:r>
        <w:rPr>
          <w:rFonts w:hint="eastAsia" w:ascii="宋体" w:hAnsi="宋体" w:eastAsia="宋体" w:cs="宋体"/>
          <w:bCs/>
          <w:color w:val="000000" w:themeColor="text1"/>
          <w:sz w:val="24"/>
          <w:szCs w:val="24"/>
          <w:highlight w:val="none"/>
          <w:lang w:val="zh-CN" w:eastAsia="zh-CN"/>
        </w:rPr>
        <w:t xml:space="preserve">文件、施工图纸、</w:t>
      </w:r>
      <w:r>
        <w:rPr>
          <w:rFonts w:hint="eastAsia" w:ascii="宋体" w:hAnsi="宋体" w:eastAsia="宋体" w:cs="宋体"/>
          <w:bCs/>
          <w:color w:val="000000" w:themeColor="text1"/>
          <w:sz w:val="24"/>
          <w:szCs w:val="24"/>
          <w:highlight w:val="none"/>
          <w:lang w:val="en-US" w:eastAsia="zh-CN"/>
        </w:rPr>
        <w:t xml:space="preserve">苏价服[2004]26号、苏财综[2004]11号等标准收费文件及</w:t>
      </w:r>
      <w:r>
        <w:rPr>
          <w:rFonts w:hint="eastAsia" w:ascii="宋体" w:hAnsi="宋体" w:eastAsia="宋体" w:cs="宋体"/>
          <w:bCs/>
          <w:color w:val="000000" w:themeColor="text1"/>
          <w:sz w:val="24"/>
          <w:szCs w:val="24"/>
          <w:highlight w:val="none"/>
          <w:lang w:val="zh-CN" w:eastAsia="zh-CN"/>
        </w:rPr>
        <w:t xml:space="preserve">有关文件规定。</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lang w:val="en-US" w:eastAsia="zh-CN"/>
        </w:rPr>
        <w:t xml:space="preserve">（一）</w:t>
      </w:r>
      <w:r>
        <w:rPr>
          <w:rFonts w:hint="eastAsia" w:ascii="宋体" w:hAnsi="宋体" w:eastAsia="宋体" w:cs="宋体"/>
          <w:b/>
          <w:bCs w:val="0"/>
          <w:color w:val="000000" w:themeColor="text1"/>
          <w:sz w:val="24"/>
          <w:szCs w:val="24"/>
          <w:highlight w:val="none"/>
          <w:lang w:val="zh-CN" w:eastAsia="zh-CN"/>
        </w:rPr>
        <w:t xml:space="preserve">工程质量要求</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eastAsia="zh-CN"/>
        </w:rPr>
        <w:t xml:space="preserve">合格。</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lang w:val="en-US" w:eastAsia="zh-CN"/>
        </w:rPr>
        <w:t xml:space="preserve">（二）</w:t>
      </w:r>
      <w:r>
        <w:rPr>
          <w:rFonts w:hint="eastAsia" w:ascii="宋体" w:hAnsi="宋体" w:eastAsia="宋体" w:cs="宋体"/>
          <w:b/>
          <w:bCs w:val="0"/>
          <w:color w:val="000000" w:themeColor="text1"/>
          <w:sz w:val="24"/>
          <w:szCs w:val="24"/>
          <w:highlight w:val="none"/>
          <w:lang w:val="zh-CN" w:eastAsia="zh-CN"/>
        </w:rPr>
        <w:t xml:space="preserve">分部分项工程工程费</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eastAsia="zh-CN"/>
        </w:rPr>
        <w:t xml:space="preserve">执行现行国家标准《建设工程工程量清单计价规范》（GB50500-2013）、《江苏省建筑与装饰工程计价定额》（2014）、《江苏省安装工程计价定额》（2014）、《江苏省</w:t>
      </w:r>
      <w:r>
        <w:rPr>
          <w:rFonts w:hint="eastAsia" w:ascii="宋体" w:hAnsi="宋体" w:eastAsia="宋体" w:cs="宋体"/>
          <w:bCs/>
          <w:color w:val="000000" w:themeColor="text1"/>
          <w:sz w:val="24"/>
          <w:szCs w:val="24"/>
          <w:highlight w:val="none"/>
          <w:lang w:val="en-US" w:eastAsia="zh-CN"/>
        </w:rPr>
        <w:t xml:space="preserve">房屋修缮工程计价表</w:t>
      </w:r>
      <w:r>
        <w:rPr>
          <w:rFonts w:hint="eastAsia" w:ascii="宋体" w:hAnsi="宋体" w:eastAsia="宋体" w:cs="宋体"/>
          <w:bCs/>
          <w:color w:val="000000" w:themeColor="text1"/>
          <w:sz w:val="24"/>
          <w:szCs w:val="24"/>
          <w:highlight w:val="none"/>
          <w:lang w:val="zh-CN" w:eastAsia="zh-CN"/>
        </w:rPr>
        <w:t xml:space="preserve">》（20</w:t>
      </w:r>
      <w:r>
        <w:rPr>
          <w:rFonts w:hint="eastAsia" w:ascii="宋体" w:hAnsi="宋体" w:eastAsia="宋体" w:cs="宋体"/>
          <w:bCs/>
          <w:color w:val="000000" w:themeColor="text1"/>
          <w:sz w:val="24"/>
          <w:szCs w:val="24"/>
          <w:highlight w:val="none"/>
          <w:lang w:val="en-US" w:eastAsia="zh-CN"/>
        </w:rPr>
        <w:t xml:space="preserve">09</w:t>
      </w:r>
      <w:r>
        <w:rPr>
          <w:rFonts w:hint="eastAsia" w:ascii="宋体" w:hAnsi="宋体" w:eastAsia="宋体" w:cs="宋体"/>
          <w:bCs/>
          <w:color w:val="000000" w:themeColor="text1"/>
          <w:sz w:val="24"/>
          <w:szCs w:val="24"/>
          <w:highlight w:val="none"/>
          <w:lang w:val="zh-CN" w:eastAsia="zh-CN"/>
        </w:rPr>
        <w:t xml:space="preserve">）、《江苏省市政工程计价定额》(2014）、《江苏省仿古建筑与园林工程计价表》(20</w:t>
      </w:r>
      <w:r>
        <w:rPr>
          <w:rFonts w:hint="eastAsia" w:ascii="宋体" w:hAnsi="宋体" w:eastAsia="宋体" w:cs="宋体"/>
          <w:bCs/>
          <w:color w:val="000000" w:themeColor="text1"/>
          <w:sz w:val="24"/>
          <w:szCs w:val="24"/>
          <w:highlight w:val="none"/>
          <w:lang w:val="en-US" w:eastAsia="zh-CN"/>
        </w:rPr>
        <w:t xml:space="preserve">07</w:t>
      </w:r>
      <w:r>
        <w:rPr>
          <w:rFonts w:hint="eastAsia" w:ascii="宋体" w:hAnsi="宋体" w:eastAsia="宋体" w:cs="宋体"/>
          <w:bCs/>
          <w:color w:val="000000" w:themeColor="text1"/>
          <w:sz w:val="24"/>
          <w:szCs w:val="24"/>
          <w:highlight w:val="none"/>
          <w:lang w:val="zh-CN" w:eastAsia="zh-CN"/>
        </w:rPr>
        <w:t xml:space="preserve">）、《江苏省建设工程费用定额》（2014）、营改增等规范定额文件。</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lang w:val="en-US" w:eastAsia="zh-CN"/>
        </w:rPr>
        <w:t xml:space="preserve">（三）</w:t>
      </w:r>
      <w:r>
        <w:rPr>
          <w:rFonts w:hint="eastAsia" w:ascii="宋体" w:hAnsi="宋体" w:eastAsia="宋体" w:cs="宋体"/>
          <w:b/>
          <w:bCs w:val="0"/>
          <w:color w:val="000000" w:themeColor="text1"/>
          <w:sz w:val="24"/>
          <w:szCs w:val="24"/>
          <w:highlight w:val="none"/>
          <w:lang w:val="zh-CN" w:eastAsia="zh-CN"/>
        </w:rPr>
        <w:t xml:space="preserve">措施项目费</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lang w:val="zh-CN" w:eastAsia="zh-CN"/>
        </w:rPr>
        <w:t xml:space="preserve">1、通用措施项目：</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eastAsia="zh-CN"/>
        </w:rPr>
        <w:t xml:space="preserve">现场安全文明施工措施费：</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eastAsia="zh-CN"/>
        </w:rPr>
        <w:t xml:space="preserve">安全文明施工基本费：土建按</w:t>
      </w:r>
      <w:r>
        <w:rPr>
          <w:rFonts w:hint="eastAsia" w:ascii="宋体" w:hAnsi="宋体" w:eastAsia="宋体" w:cs="宋体"/>
          <w:bCs/>
          <w:color w:val="000000" w:themeColor="text1"/>
          <w:sz w:val="24"/>
          <w:szCs w:val="24"/>
          <w:highlight w:val="none"/>
          <w:lang w:val="en-US" w:eastAsia="zh-CN"/>
        </w:rPr>
        <w:t xml:space="preserve">3.1</w:t>
      </w:r>
      <w:r>
        <w:rPr>
          <w:rFonts w:hint="eastAsia" w:ascii="宋体" w:hAnsi="宋体" w:eastAsia="宋体" w:cs="宋体"/>
          <w:bCs/>
          <w:color w:val="000000" w:themeColor="text1"/>
          <w:sz w:val="24"/>
          <w:szCs w:val="24"/>
          <w:highlight w:val="none"/>
          <w:lang w:val="zh-CN" w:eastAsia="zh-CN"/>
        </w:rPr>
        <w:t xml:space="preserve">%计取；安装按</w:t>
      </w:r>
      <w:r>
        <w:rPr>
          <w:rFonts w:hint="eastAsia" w:ascii="宋体" w:hAnsi="宋体" w:eastAsia="宋体" w:cs="宋体"/>
          <w:bCs/>
          <w:color w:val="000000" w:themeColor="text1"/>
          <w:sz w:val="24"/>
          <w:szCs w:val="24"/>
          <w:highlight w:val="none"/>
          <w:lang w:val="en-US" w:eastAsia="zh-CN"/>
        </w:rPr>
        <w:t xml:space="preserve">1.5%计取；市政按1.5%计取；园林按1.0%计取；景观按3.1%计取；</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eastAsia="zh-CN"/>
        </w:rPr>
        <w:t xml:space="preserve">扬尘污染防治增加费土建：按</w:t>
      </w:r>
      <w:r>
        <w:rPr>
          <w:rFonts w:hint="eastAsia" w:ascii="宋体" w:hAnsi="宋体" w:eastAsia="宋体" w:cs="宋体"/>
          <w:bCs/>
          <w:color w:val="000000" w:themeColor="text1"/>
          <w:sz w:val="24"/>
          <w:szCs w:val="24"/>
          <w:highlight w:val="none"/>
          <w:lang w:val="en-US" w:eastAsia="zh-CN"/>
        </w:rPr>
        <w:t xml:space="preserve">0.31%</w:t>
      </w:r>
      <w:r>
        <w:rPr>
          <w:rFonts w:hint="eastAsia" w:ascii="宋体" w:hAnsi="宋体" w:eastAsia="宋体" w:cs="宋体"/>
          <w:bCs/>
          <w:color w:val="000000" w:themeColor="text1"/>
          <w:sz w:val="24"/>
          <w:szCs w:val="24"/>
          <w:highlight w:val="none"/>
          <w:lang w:val="zh-CN" w:eastAsia="zh-CN"/>
        </w:rPr>
        <w:t xml:space="preserve">计取；安装按</w:t>
      </w:r>
      <w:r>
        <w:rPr>
          <w:rFonts w:hint="eastAsia" w:ascii="宋体" w:hAnsi="宋体" w:eastAsia="宋体" w:cs="宋体"/>
          <w:bCs/>
          <w:color w:val="000000" w:themeColor="text1"/>
          <w:sz w:val="24"/>
          <w:szCs w:val="24"/>
          <w:highlight w:val="none"/>
          <w:lang w:val="en-US" w:eastAsia="zh-CN"/>
        </w:rPr>
        <w:t xml:space="preserve">0.21%计取；市政按0.31%计取；园林按0.21%计取；景观按0.31%计取；</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eastAsia="zh-CN"/>
        </w:rPr>
        <w:t xml:space="preserve">临时设施费：土建按1</w:t>
      </w:r>
      <w:r>
        <w:rPr>
          <w:rFonts w:hint="eastAsia" w:ascii="宋体" w:hAnsi="宋体" w:eastAsia="宋体" w:cs="宋体"/>
          <w:bCs/>
          <w:color w:val="000000" w:themeColor="text1"/>
          <w:sz w:val="24"/>
          <w:szCs w:val="24"/>
          <w:highlight w:val="none"/>
          <w:lang w:val="en-US" w:eastAsia="zh-CN"/>
        </w:rPr>
        <w:t xml:space="preserve">.65</w:t>
      </w:r>
      <w:r>
        <w:rPr>
          <w:rFonts w:hint="eastAsia" w:ascii="宋体" w:hAnsi="宋体" w:eastAsia="宋体" w:cs="宋体"/>
          <w:bCs/>
          <w:color w:val="000000" w:themeColor="text1"/>
          <w:sz w:val="24"/>
          <w:szCs w:val="24"/>
          <w:highlight w:val="none"/>
          <w:lang w:val="zh-CN" w:eastAsia="zh-CN"/>
        </w:rPr>
        <w:t xml:space="preserve">%计取，安装按</w:t>
      </w:r>
      <w:r>
        <w:rPr>
          <w:rFonts w:hint="eastAsia" w:ascii="宋体" w:hAnsi="宋体" w:eastAsia="宋体" w:cs="宋体"/>
          <w:bCs/>
          <w:color w:val="000000" w:themeColor="text1"/>
          <w:sz w:val="24"/>
          <w:szCs w:val="24"/>
          <w:highlight w:val="none"/>
          <w:lang w:val="en-US" w:eastAsia="zh-CN"/>
        </w:rPr>
        <w:t xml:space="preserve">1.1%计取；市政按1.65%计取；园林按0.55%计取；景观按1.65%计取；</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eastAsia="zh-CN"/>
        </w:rPr>
        <w:t xml:space="preserve">建筑工人实名制费用：土建按0.05%计取；安装按</w:t>
      </w:r>
      <w:r>
        <w:rPr>
          <w:rFonts w:hint="eastAsia" w:ascii="宋体" w:hAnsi="宋体" w:eastAsia="宋体" w:cs="宋体"/>
          <w:bCs/>
          <w:color w:val="000000" w:themeColor="text1"/>
          <w:sz w:val="24"/>
          <w:szCs w:val="24"/>
          <w:highlight w:val="none"/>
          <w:lang w:val="en-US" w:eastAsia="zh-CN"/>
        </w:rPr>
        <w:t xml:space="preserve">0.03%计取；市政按0.03%计取；园林按0.04%计取；景观按0.05%计取；</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lang w:val="zh-CN" w:eastAsia="zh-CN"/>
        </w:rPr>
        <w:t xml:space="preserve">规费：</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eastAsia="zh-CN"/>
        </w:rPr>
        <w:t xml:space="preserve">环境保护费：不计取。</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eastAsia="zh-CN"/>
        </w:rPr>
        <w:t xml:space="preserve">社会保险费：土建按3.2%计取，安装按</w:t>
      </w:r>
      <w:r>
        <w:rPr>
          <w:rFonts w:hint="eastAsia" w:ascii="宋体" w:hAnsi="宋体" w:eastAsia="宋体" w:cs="宋体"/>
          <w:bCs/>
          <w:color w:val="000000" w:themeColor="text1"/>
          <w:sz w:val="24"/>
          <w:szCs w:val="24"/>
          <w:highlight w:val="none"/>
          <w:lang w:val="en-US" w:eastAsia="zh-CN"/>
        </w:rPr>
        <w:t xml:space="preserve">2.4%计取，市政按2计取；园林按3.3%计取；景观按3.2%计取；</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eastAsia="zh-CN"/>
        </w:rPr>
        <w:t xml:space="preserve">住房公积金：土建按0.53%计取，安装按</w:t>
      </w:r>
      <w:r>
        <w:rPr>
          <w:rFonts w:hint="eastAsia" w:ascii="宋体" w:hAnsi="宋体" w:eastAsia="宋体" w:cs="宋体"/>
          <w:bCs/>
          <w:color w:val="000000" w:themeColor="text1"/>
          <w:sz w:val="24"/>
          <w:szCs w:val="24"/>
          <w:highlight w:val="none"/>
          <w:lang w:val="en-US" w:eastAsia="zh-CN"/>
        </w:rPr>
        <w:t xml:space="preserve">0.42计取；市政按0.34计取；</w:t>
      </w:r>
      <w:r>
        <w:rPr>
          <w:rFonts w:hint="eastAsia" w:ascii="宋体" w:hAnsi="宋体" w:eastAsia="宋体" w:cs="宋体"/>
          <w:bCs/>
          <w:color w:val="000000" w:themeColor="text1"/>
          <w:sz w:val="24"/>
          <w:szCs w:val="24"/>
          <w:highlight w:val="none"/>
          <w:lang w:val="zh-CN" w:eastAsia="zh-CN"/>
        </w:rPr>
        <w:t xml:space="preserve">园林按0.</w:t>
      </w:r>
      <w:r>
        <w:rPr>
          <w:rFonts w:hint="eastAsia" w:ascii="宋体" w:hAnsi="宋体" w:eastAsia="宋体" w:cs="宋体"/>
          <w:bCs/>
          <w:color w:val="000000" w:themeColor="text1"/>
          <w:sz w:val="24"/>
          <w:szCs w:val="24"/>
          <w:highlight w:val="none"/>
          <w:lang w:val="en-US" w:eastAsia="zh-CN"/>
        </w:rPr>
        <w:t xml:space="preserve">55</w:t>
      </w:r>
      <w:r>
        <w:rPr>
          <w:rFonts w:hint="eastAsia" w:ascii="宋体" w:hAnsi="宋体" w:eastAsia="宋体" w:cs="宋体"/>
          <w:bCs/>
          <w:color w:val="000000" w:themeColor="text1"/>
          <w:sz w:val="24"/>
          <w:szCs w:val="24"/>
          <w:highlight w:val="none"/>
          <w:lang w:val="zh-CN" w:eastAsia="zh-CN"/>
        </w:rPr>
        <w:t xml:space="preserve">%计取；</w:t>
      </w:r>
      <w:r>
        <w:rPr>
          <w:rFonts w:hint="eastAsia" w:ascii="宋体" w:hAnsi="宋体" w:eastAsia="宋体" w:cs="宋体"/>
          <w:bCs/>
          <w:color w:val="000000" w:themeColor="text1"/>
          <w:sz w:val="24"/>
          <w:szCs w:val="24"/>
          <w:highlight w:val="none"/>
          <w:lang w:val="en-US" w:eastAsia="zh-CN"/>
        </w:rPr>
        <w:t xml:space="preserve">景观按0.53%计取；</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eastAsia="zh-CN"/>
        </w:rPr>
        <w:t xml:space="preserve">税金：按9%计取。</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lang w:val="en-US" w:eastAsia="zh-CN"/>
        </w:rPr>
        <w:t xml:space="preserve">（四）</w:t>
      </w:r>
      <w:r>
        <w:rPr>
          <w:rFonts w:hint="eastAsia" w:ascii="宋体" w:hAnsi="宋体" w:eastAsia="宋体" w:cs="宋体"/>
          <w:b/>
          <w:bCs w:val="0"/>
          <w:color w:val="000000" w:themeColor="text1"/>
          <w:sz w:val="24"/>
          <w:szCs w:val="24"/>
          <w:highlight w:val="none"/>
        </w:rPr>
        <w:t xml:space="preserve">编制说明</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1、本工程园建及绿化工程按照：园林绿化三类工程取费：安装工程按照：安装三类取费。建筑按照：三类取费。</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、本工程</w:t>
      </w:r>
      <w:r>
        <w:rPr>
          <w:rFonts w:hint="eastAsia" w:ascii="宋体" w:hAnsi="宋体" w:eastAsia="宋体" w:cs="宋体"/>
          <w:bCs/>
          <w:color w:val="000000" w:themeColor="text1"/>
          <w:sz w:val="24"/>
          <w:szCs w:val="24"/>
          <w:highlight w:val="none"/>
          <w:lang w:val="en-US" w:eastAsia="zh-CN"/>
        </w:rPr>
        <w:t xml:space="preserve">概算</w:t>
      </w:r>
      <w:r>
        <w:rPr>
          <w:rFonts w:hint="eastAsia" w:ascii="宋体" w:hAnsi="宋体" w:eastAsia="宋体" w:cs="宋体"/>
          <w:bCs/>
          <w:color w:val="000000" w:themeColor="text1"/>
          <w:sz w:val="24"/>
          <w:szCs w:val="24"/>
          <w:highlight w:val="none"/>
        </w:rPr>
        <w:t xml:space="preserve">人工费按苏建价站〔20</w:t>
      </w:r>
      <w:r>
        <w:rPr>
          <w:rFonts w:hint="eastAsia" w:ascii="宋体" w:hAnsi="宋体" w:eastAsia="宋体" w:cs="宋体"/>
          <w:bCs/>
          <w:color w:val="000000" w:themeColor="text1"/>
          <w:sz w:val="24"/>
          <w:szCs w:val="24"/>
          <w:highlight w:val="none"/>
          <w:lang w:val="en-US" w:eastAsia="zh-CN"/>
        </w:rPr>
        <w:t xml:space="preserve">25</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273</w:t>
      </w:r>
      <w:r>
        <w:rPr>
          <w:rFonts w:hint="eastAsia" w:ascii="宋体" w:hAnsi="宋体" w:eastAsia="宋体" w:cs="宋体"/>
          <w:bCs/>
          <w:color w:val="000000" w:themeColor="text1"/>
          <w:sz w:val="24"/>
          <w:szCs w:val="24"/>
          <w:highlight w:val="none"/>
        </w:rPr>
        <w:t xml:space="preserve">号文件执行。</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3、材料价格：材料价格</w:t>
      </w:r>
      <w:r>
        <w:rPr>
          <w:rFonts w:hint="eastAsia" w:ascii="宋体" w:hAnsi="宋体" w:eastAsia="宋体" w:cs="宋体"/>
          <w:bCs/>
          <w:color w:val="000000" w:themeColor="text1"/>
          <w:sz w:val="24"/>
          <w:szCs w:val="24"/>
          <w:highlight w:val="none"/>
          <w:lang w:val="en-US" w:eastAsia="zh-CN"/>
        </w:rPr>
        <w:t xml:space="preserve">按</w:t>
      </w:r>
      <w:r>
        <w:rPr>
          <w:rFonts w:hint="eastAsia" w:ascii="宋体" w:hAnsi="宋体" w:eastAsia="宋体" w:cs="宋体"/>
          <w:bCs/>
          <w:color w:val="000000" w:themeColor="text1"/>
          <w:sz w:val="24"/>
          <w:szCs w:val="24"/>
          <w:highlight w:val="none"/>
        </w:rPr>
        <w:t xml:space="preserve">照</w:t>
      </w:r>
      <w:r>
        <w:rPr>
          <w:rFonts w:hint="eastAsia" w:ascii="宋体" w:hAnsi="宋体" w:eastAsia="宋体" w:cs="宋体"/>
          <w:bCs/>
          <w:color w:val="000000" w:themeColor="text1"/>
          <w:sz w:val="24"/>
          <w:szCs w:val="24"/>
          <w:highlight w:val="none"/>
          <w:lang w:val="en-US" w:eastAsia="zh-CN"/>
        </w:rPr>
        <w:t xml:space="preserve">徐州市2026年2</w:t>
      </w:r>
      <w:r>
        <w:rPr>
          <w:rFonts w:hint="eastAsia" w:ascii="宋体" w:hAnsi="宋体" w:eastAsia="宋体" w:cs="宋体"/>
          <w:bCs/>
          <w:color w:val="000000" w:themeColor="text1"/>
          <w:sz w:val="24"/>
          <w:szCs w:val="24"/>
          <w:highlight w:val="none"/>
        </w:rPr>
        <w:t xml:space="preserve">期《</w:t>
      </w:r>
      <w:r>
        <w:rPr>
          <w:rFonts w:hint="eastAsia" w:ascii="宋体" w:hAnsi="宋体" w:eastAsia="宋体" w:cs="宋体"/>
          <w:bCs/>
          <w:color w:val="000000" w:themeColor="text1"/>
          <w:sz w:val="24"/>
          <w:szCs w:val="24"/>
          <w:highlight w:val="none"/>
          <w:lang w:val="en-US" w:eastAsia="zh-CN"/>
        </w:rPr>
        <w:t xml:space="preserve">徐州市</w:t>
      </w:r>
      <w:r>
        <w:rPr>
          <w:rFonts w:hint="eastAsia" w:ascii="宋体" w:hAnsi="宋体" w:eastAsia="宋体" w:cs="宋体"/>
          <w:bCs/>
          <w:color w:val="000000" w:themeColor="text1"/>
          <w:sz w:val="24"/>
          <w:szCs w:val="24"/>
          <w:highlight w:val="none"/>
        </w:rPr>
        <w:t xml:space="preserve">建设工程造价信息》指导价执行；</w:t>
      </w:r>
      <w:r>
        <w:rPr>
          <w:rFonts w:hint="eastAsia" w:ascii="宋体" w:hAnsi="宋体" w:eastAsia="宋体" w:cs="宋体"/>
          <w:bCs/>
          <w:color w:val="000000" w:themeColor="text1"/>
          <w:sz w:val="24"/>
          <w:szCs w:val="24"/>
          <w:highlight w:val="none"/>
          <w:lang w:val="en-US" w:eastAsia="zh-CN"/>
        </w:rPr>
        <w:t xml:space="preserve">苗木价格按照徐州市2026年第1季度园林苗木市场价，</w:t>
      </w:r>
      <w:r>
        <w:rPr>
          <w:rFonts w:hint="eastAsia" w:ascii="宋体" w:hAnsi="宋体" w:eastAsia="宋体" w:cs="宋体"/>
          <w:bCs/>
          <w:color w:val="000000" w:themeColor="text1"/>
          <w:sz w:val="24"/>
          <w:szCs w:val="24"/>
          <w:highlight w:val="none"/>
        </w:rPr>
        <w:t xml:space="preserve">其他造价信息没有的材料价格参照市场价格执行。</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rFonts w:hint="eastAsia" w:ascii="宋体" w:hAnsi="宋体" w:eastAsia="宋体" w:cs="宋体"/>
          <w:bCs/>
          <w:color w:val="000000" w:themeColor="text1"/>
          <w:sz w:val="24"/>
          <w:szCs w:val="24"/>
          <w:highlight w:val="none"/>
          <w:lang w:val="en-US" w:eastAsia="zh-CN"/>
        </w:rPr>
        <w:t xml:space="preserve">总价措施费</w:t>
      </w:r>
      <w:r>
        <w:rPr>
          <w:rFonts w:hint="eastAsia" w:ascii="宋体" w:hAnsi="宋体" w:eastAsia="宋体" w:cs="宋体"/>
          <w:bCs/>
          <w:color w:val="000000" w:themeColor="text1"/>
          <w:sz w:val="24"/>
          <w:szCs w:val="24"/>
          <w:highlight w:val="none"/>
        </w:rPr>
        <w:t xml:space="preserve">：</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安全文明措施费基本费、工程扬尘污染防治增加费及建筑工人实名制</w:t>
      </w:r>
      <w:r>
        <w:rPr>
          <w:rFonts w:hint="eastAsia" w:ascii="宋体" w:hAnsi="宋体" w:eastAsia="宋体" w:cs="宋体"/>
          <w:bCs/>
          <w:color w:val="000000" w:themeColor="text1"/>
          <w:sz w:val="24"/>
          <w:szCs w:val="24"/>
          <w:highlight w:val="none"/>
          <w:lang w:val="en-US" w:eastAsia="zh-CN"/>
        </w:rPr>
        <w:t xml:space="preserve">按规定计取，</w:t>
      </w:r>
      <w:r>
        <w:rPr>
          <w:rFonts w:hint="eastAsia" w:ascii="宋体" w:hAnsi="宋体" w:eastAsia="宋体" w:cs="宋体"/>
          <w:bCs/>
          <w:color w:val="000000" w:themeColor="text1"/>
          <w:sz w:val="24"/>
          <w:szCs w:val="24"/>
          <w:highlight w:val="none"/>
          <w:lang w:eastAsia="zh-CN"/>
        </w:rPr>
        <w:t xml:space="preserve">智慧工地费用、</w:t>
      </w:r>
      <w:r>
        <w:rPr>
          <w:rFonts w:hint="eastAsia" w:ascii="宋体" w:hAnsi="宋体" w:eastAsia="宋体" w:cs="宋体"/>
          <w:bCs/>
          <w:color w:val="000000" w:themeColor="text1"/>
          <w:sz w:val="24"/>
          <w:szCs w:val="24"/>
          <w:highlight w:val="none"/>
          <w:lang w:val="en-US" w:eastAsia="zh-CN"/>
        </w:rPr>
        <w:t xml:space="preserve">临时设施费按费率中值计取，其他总价措施费不计。</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5、规费（</w:t>
      </w:r>
      <w:r>
        <w:rPr>
          <w:rFonts w:hint="eastAsia" w:ascii="宋体" w:hAnsi="宋体" w:eastAsia="宋体" w:cs="宋体"/>
          <w:bCs/>
          <w:color w:val="000000" w:themeColor="text1"/>
          <w:sz w:val="24"/>
          <w:szCs w:val="24"/>
          <w:highlight w:val="none"/>
          <w:lang w:val="en-US" w:eastAsia="zh-CN"/>
        </w:rPr>
        <w:t xml:space="preserve">执行苏建价〔2016〕154号文件</w:t>
      </w:r>
      <w:r>
        <w:rPr>
          <w:rFonts w:hint="eastAsia" w:ascii="宋体" w:hAnsi="宋体" w:eastAsia="宋体" w:cs="宋体"/>
          <w:bCs/>
          <w:color w:val="000000" w:themeColor="text1"/>
          <w:sz w:val="24"/>
          <w:szCs w:val="24"/>
          <w:highlight w:val="none"/>
        </w:rPr>
        <w:t xml:space="preserve">）</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 环境保护税：</w:t>
      </w:r>
      <w:r>
        <w:rPr>
          <w:rFonts w:hint="eastAsia" w:ascii="宋体" w:hAnsi="宋体" w:eastAsia="宋体" w:cs="宋体"/>
          <w:bCs/>
          <w:color w:val="000000" w:themeColor="text1"/>
          <w:sz w:val="24"/>
          <w:szCs w:val="24"/>
          <w:highlight w:val="none"/>
          <w:lang w:val="en-US" w:eastAsia="zh-CN"/>
        </w:rPr>
        <w:t xml:space="preserve">不计</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（2）社保费及住房公积金按规定计取</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 税金：</w:t>
      </w:r>
      <w:bookmarkStart w:id="0" w:name="OLE_LINK2"/>
      <w:r>
        <w:rPr>
          <w:rFonts w:hint="eastAsia" w:ascii="宋体" w:hAnsi="宋体" w:eastAsia="宋体" w:cs="宋体"/>
          <w:bCs/>
          <w:color w:val="000000" w:themeColor="text1"/>
          <w:sz w:val="24"/>
          <w:szCs w:val="24"/>
          <w:highlight w:val="none"/>
        </w:rPr>
        <w:t xml:space="preserve">按（分部分项工程费+措施项目费+其他项目费+规费-（除税甲供材料费+除税甲供设备费）/1.01）*</w:t>
      </w:r>
      <w:r>
        <w:rPr>
          <w:rFonts w:hint="eastAsia" w:ascii="宋体" w:hAnsi="宋体" w:eastAsia="宋体" w:cs="宋体"/>
          <w:bCs/>
          <w:color w:val="000000" w:themeColor="text1"/>
          <w:sz w:val="24"/>
          <w:szCs w:val="24"/>
          <w:highlight w:val="none"/>
          <w:lang w:val="en-US" w:eastAsia="zh-CN"/>
        </w:rPr>
        <w:t xml:space="preserve">9</w:t>
      </w:r>
      <w:r>
        <w:rPr>
          <w:rFonts w:hint="eastAsia" w:ascii="宋体" w:hAnsi="宋体" w:eastAsia="宋体" w:cs="宋体"/>
          <w:bCs/>
          <w:color w:val="000000" w:themeColor="text1"/>
          <w:sz w:val="24"/>
          <w:szCs w:val="24"/>
          <w:highlight w:val="none"/>
        </w:rPr>
        <w:t xml:space="preserve">%计取。</w:t>
      </w:r>
      <w:bookmarkEnd w:id="0"/>
      <w:r>
        <w:rPr>
          <w:color w:val="000000" w:themeColor="text1"/>
          <w:highlight w:val="none"/>
        </w:rPr>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本编制说明未提及部分按常规考虑。</w:t>
      </w:r>
      <w:r>
        <w:rPr>
          <w:color w:val="000000" w:themeColor="text1"/>
          <w:highlight w:val="none"/>
        </w:rPr>
      </w:r>
    </w:p>
    <w:p>
      <w:pPr>
        <w:pStyle w:val="916"/>
        <w:ind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（五）低于成本报价</w:t>
      </w:r>
      <w:r>
        <w:rPr>
          <w:color w:val="000000" w:themeColor="text1"/>
          <w:highlight w:val="none"/>
        </w:rPr>
      </w:r>
    </w:p>
    <w:p>
      <w:pPr>
        <w:pStyle w:val="903"/>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磋商小组启动异常低价投标（响应）审查的情形和具体要求，包括：</w:t>
      </w:r>
      <w:r>
        <w:rPr>
          <w:color w:val="000000" w:themeColor="text1"/>
          <w:highlight w:val="none"/>
        </w:rPr>
      </w:r>
    </w:p>
    <w:p>
      <w:pPr>
        <w:pStyle w:val="903"/>
        <w:ind w:firstLine="482"/>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（1）评审过程中出现下列情形之一的，磋商小组应当启动异常低价投标（响应）审查程序：</w:t>
      </w:r>
      <w:r>
        <w:rPr>
          <w:color w:val="000000" w:themeColor="text1"/>
          <w:highlight w:val="none"/>
        </w:rPr>
      </w:r>
    </w:p>
    <w:p>
      <w:pPr>
        <w:pStyle w:val="903"/>
        <w:ind w:firstLine="482"/>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①投标（响应）报价低于全部通过符合性审查供应商投标（响应）报价平均值 50%的，即投标（响应）报价〈全部通过符合性审查供应商投标（响应）报价平均值×50%；</w:t>
      </w:r>
      <w:r>
        <w:rPr>
          <w:color w:val="000000" w:themeColor="text1"/>
          <w:highlight w:val="none"/>
        </w:rPr>
      </w:r>
    </w:p>
    <w:p>
      <w:pPr>
        <w:pStyle w:val="903"/>
        <w:ind w:firstLine="482"/>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②投标（响应）报价低于通过符合性审查的次低报价供应商投标（响应）报价 50%的，即投标（响应）报价〈通过符合性审查的次低报价供应商投标（响应）报价×50%；</w:t>
      </w:r>
      <w:r>
        <w:rPr>
          <w:color w:val="000000" w:themeColor="text1"/>
          <w:highlight w:val="none"/>
        </w:rPr>
      </w:r>
    </w:p>
    <w:p>
      <w:pPr>
        <w:pStyle w:val="903"/>
        <w:ind w:firstLine="482"/>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③投标（响应）报价低于采购项目最高限价45%的，即投标（响应）报价〈采购项目最高限价×45%；</w:t>
      </w:r>
      <w:r>
        <w:rPr>
          <w:color w:val="000000" w:themeColor="text1"/>
          <w:highlight w:val="none"/>
        </w:rPr>
      </w:r>
    </w:p>
    <w:p>
      <w:pPr>
        <w:pStyle w:val="903"/>
        <w:ind w:firstLine="482"/>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④评审委员会基于专业判断，认为供应商报价过低，有可能影响产品质量或者不能诚信履约的其他情形。</w:t>
      </w:r>
      <w:r>
        <w:rPr>
          <w:color w:val="000000" w:themeColor="text1"/>
          <w:highlight w:val="none"/>
        </w:rPr>
      </w:r>
    </w:p>
    <w:p>
      <w:pPr>
        <w:pStyle w:val="903"/>
        <w:ind w:firstLine="482"/>
        <w:keepLines w:val="0"/>
        <w:keepNext w:val="0"/>
        <w:pageBreakBefore w:val="0"/>
        <w:spacing w:line="360" w:lineRule="auto"/>
        <w:widowControl w:val="off"/>
        <w:rPr>
          <w:rFonts w:hint="eastAsia"/>
          <w:color w:val="000000" w:themeColor="text1"/>
          <w:highlight w:val="none"/>
        </w:rPr>
      </w:pPr>
      <w:r>
        <w:rPr>
          <w:rFonts w:hint="eastAsia" w:ascii="宋体" w:hAnsi="宋体" w:eastAsia="宋体" w:cs="宋体"/>
          <w:b w:val="0"/>
          <w:bCs w:val="0"/>
          <w:color w:val="000000" w:themeColor="text1"/>
          <w:sz w:val="24"/>
          <w:szCs w:val="24"/>
          <w:highlight w:val="none"/>
          <w:lang w:val="en-US" w:eastAsia="zh-CN"/>
        </w:rPr>
        <w:t xml:space="preserve">（2）启动异常低价投标（响应）审查后，磋商小组应当通过“苏采云”系统要求相关供应商在合理的时间内，提供项目具体成本测算等与报价合理性相关的书面说明及相关证明材料，包括但不限于原材料成本、人工成本、制造费用等，对投标（响应）价格作出解释，由磋商小</w:t>
      </w:r>
      <w:r>
        <w:rPr>
          <w:rFonts w:hint="eastAsia" w:ascii="宋体" w:hAnsi="宋体" w:eastAsia="宋体" w:cs="宋体"/>
          <w:b w:val="0"/>
          <w:bCs w:val="0"/>
          <w:color w:val="000000" w:themeColor="text1"/>
          <w:sz w:val="24"/>
          <w:szCs w:val="24"/>
          <w:highlight w:val="none"/>
          <w:lang w:val="en-US" w:eastAsia="zh-CN"/>
        </w:rPr>
        <w:t xml:space="preserve">组依据专业经验，参考同类项目中标（成交）价格、类似产品市场价格水平、行业人工费用标准、国家有关部门指导行业协会发布的行业平均成本等情况，对供应商报价合理性进行判断。供应商说明应当采用通过“苏采云”系统（使用“CA数字证书”，加盖电子签章）形式。供应商不提供书面说明及相关证明材料，或者提供的书面说明、证明材料不能证明其报价合理性的，磋商小组应当将其作为无效投标处理。审查相关情况应当在评标报告中进行记录。属于第3项情形，供应商已随投标（响应）文件一并提交相关书面说明及必要的证明材料的，在评审现场可不再重复提交。</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五</w:t>
      </w:r>
      <w:r>
        <w:rPr>
          <w:rFonts w:hint="eastAsia" w:ascii="宋体" w:hAnsi="宋体" w:eastAsia="宋体" w:cs="宋体"/>
          <w:b/>
          <w:bCs/>
          <w:color w:val="000000" w:themeColor="text1"/>
          <w:sz w:val="24"/>
          <w:szCs w:val="24"/>
          <w:highlight w:val="none"/>
        </w:rPr>
        <w:t xml:space="preserve">、其他要求：</w:t>
      </w:r>
      <w:r>
        <w:rPr>
          <w:rFonts w:hint="eastAsia" w:ascii="宋体" w:hAnsi="宋体" w:eastAsia="宋体" w:cs="宋体"/>
          <w:b/>
          <w:color w:val="000000" w:themeColor="text1"/>
          <w:sz w:val="24"/>
          <w:szCs w:val="24"/>
          <w:highlight w:val="none"/>
        </w:rPr>
        <w:t xml:space="preserve">见《磋商文件》附件：</w:t>
      </w:r>
      <w:r>
        <w:rPr>
          <w:rFonts w:hint="eastAsia" w:ascii="宋体" w:hAnsi="宋体" w:eastAsia="宋体" w:cs="宋体"/>
          <w:b/>
          <w:color w:val="000000" w:themeColor="text1"/>
          <w:sz w:val="24"/>
          <w:szCs w:val="24"/>
          <w:highlight w:val="none"/>
          <w:lang w:val="en-US" w:eastAsia="zh-CN"/>
        </w:rPr>
        <w:t xml:space="preserve">7</w:t>
      </w:r>
      <w:r>
        <w:rPr>
          <w:rFonts w:hint="eastAsia" w:ascii="宋体" w:hAnsi="宋体" w:eastAsia="宋体" w:cs="宋体"/>
          <w:b/>
          <w:color w:val="000000" w:themeColor="text1"/>
          <w:sz w:val="24"/>
          <w:szCs w:val="24"/>
          <w:highlight w:val="none"/>
        </w:rPr>
        <w:t xml:space="preserve">、《合同草案条款》。</w:t>
      </w:r>
      <w:r>
        <w:rPr>
          <w:rStyle w:val="1301"/>
          <w:rFonts w:hint="eastAsia" w:ascii="宋体" w:hAnsi="宋体" w:eastAsia="宋体" w:cs="宋体"/>
          <w:color w:val="000000" w:themeColor="text1"/>
          <w:sz w:val="24"/>
          <w:szCs w:val="24"/>
          <w:highlight w:val="none"/>
        </w:rPr>
        <w:br w:type="page" w:clear="all"/>
      </w:r>
      <w:r>
        <w:rPr>
          <w:color w:val="000000" w:themeColor="text1"/>
          <w:highlight w:val="none"/>
        </w:rPr>
      </w:r>
    </w:p>
    <w:p>
      <w:pPr>
        <w:pStyle w:val="919"/>
        <w:numPr>
          <w:ilvl w:val="0"/>
          <w:numId w:val="0"/>
        </w:numPr>
        <w:ind w:left="0" w:firstLine="0"/>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3、</w:t>
      </w:r>
      <w:r>
        <w:rPr>
          <w:rFonts w:hint="eastAsia" w:ascii="宋体" w:hAnsi="宋体" w:eastAsia="宋体" w:cs="宋体"/>
          <w:b/>
          <w:color w:val="000000" w:themeColor="text1"/>
          <w:sz w:val="24"/>
          <w:szCs w:val="24"/>
          <w:highlight w:val="none"/>
        </w:rPr>
        <w:t xml:space="preserve">磋商</w:t>
      </w:r>
      <w:r>
        <w:rPr>
          <w:rFonts w:hint="eastAsia" w:ascii="宋体" w:hAnsi="宋体" w:eastAsia="宋体" w:cs="宋体"/>
          <w:b/>
          <w:bCs/>
          <w:color w:val="000000" w:themeColor="text1"/>
          <w:sz w:val="24"/>
          <w:szCs w:val="24"/>
          <w:highlight w:val="none"/>
        </w:rPr>
        <w:t xml:space="preserve">报价表</w:t>
      </w:r>
      <w:r>
        <w:rPr>
          <w:color w:val="000000" w:themeColor="text1"/>
          <w:highlight w:val="none"/>
        </w:rPr>
      </w:r>
    </w:p>
    <w:p>
      <w:pPr>
        <w:pStyle w:val="924"/>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4"/>
        <w:jc w:val="left"/>
        <w:keepLines w:val="0"/>
        <w:keepNext w:val="0"/>
        <w:pageBreakBefore w:val="0"/>
        <w:spacing w:line="360" w:lineRule="auto"/>
        <w:widowControl w:val="off"/>
        <w:rPr>
          <w:rStyle w:val="130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（本次为首次报价）                              </w:t>
      </w:r>
      <w:r>
        <w:rPr>
          <w:color w:val="000000" w:themeColor="text1"/>
          <w:highlight w:val="none"/>
        </w:rPr>
      </w:r>
    </w:p>
    <w:p>
      <w:pPr>
        <w:pStyle w:val="904"/>
        <w:jc w:val="left"/>
        <w:keepLines w:val="0"/>
        <w:keepNext w:val="0"/>
        <w:pageBreakBefore w:val="0"/>
        <w:spacing w:line="360" w:lineRule="auto"/>
        <w:widowControl w:val="off"/>
        <w:rPr>
          <w:rStyle w:val="1301"/>
          <w:rFonts w:hint="eastAsia" w:ascii="宋体" w:hAnsi="宋体" w:eastAsia="宋体" w:cs="宋体"/>
          <w:color w:val="000000" w:themeColor="text1"/>
          <w:sz w:val="24"/>
          <w:szCs w:val="24"/>
          <w:highlight w:val="none"/>
        </w:rPr>
      </w:pPr>
      <w:r>
        <w:rPr>
          <w:rStyle w:val="1301"/>
          <w:rFonts w:hint="eastAsia" w:ascii="宋体" w:hAnsi="宋体" w:eastAsia="宋体" w:cs="宋体"/>
          <w:color w:val="000000" w:themeColor="text1"/>
          <w:sz w:val="24"/>
          <w:szCs w:val="24"/>
          <w:highlight w:val="none"/>
        </w:rPr>
        <w:t xml:space="preserve">项目编号：JSZC-320322-BTXZ-C2026-0001                    货币单位：人民币元</w:t>
      </w:r>
      <w:r>
        <w:rPr>
          <w:color w:val="000000" w:themeColor="text1"/>
          <w:highlight w:val="none"/>
        </w:rPr>
      </w:r>
    </w:p>
    <w:tbl>
      <w:tblPr>
        <w:tblStyle w:val="868"/>
        <w:tblpPr w:horzAnchor="page" w:tblpX="1170" w:vertAnchor="text" w:tblpY="476" w:leftFromText="180" w:topFromText="0" w:rightFromText="180" w:bottomFromText="0"/>
        <w:tblW w:w="9437" w:type="dxa"/>
        <w:tblInd w:w="0" w:type="dxa"/>
        <w:tblLayout w:type="fixed"/>
        <w:tblCellMar>
          <w:left w:w="108" w:type="dxa"/>
          <w:top w:w="0" w:type="dxa"/>
          <w:right w:w="108" w:type="dxa"/>
          <w:bottom w:w="0" w:type="dxa"/>
        </w:tblCellMar>
        <w:tblLook w:val="04A0" w:firstRow="1" w:lastRow="0" w:firstColumn="1" w:lastColumn="0" w:noHBand="0" w:noVBand="1"/>
      </w:tblPr>
      <w:tblGrid>
        <w:gridCol w:w="1832"/>
        <w:gridCol w:w="1543"/>
        <w:gridCol w:w="1448"/>
        <w:gridCol w:w="1471"/>
        <w:gridCol w:w="1501"/>
        <w:gridCol w:w="1642"/>
      </w:tblGrid>
      <w:tr>
        <w:trPr>
          <w:trHeight w:val="1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项目名称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项目内容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8" w:type="dxa"/>
            <w:vAlign w:val="center"/>
            <w:textDirection w:val="lrTb"/>
            <w:noWrap w:val="false"/>
          </w:tcPr>
          <w:p>
            <w:pPr>
              <w:ind w:left="440" w:hanging="48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总价</w:t>
            </w:r>
            <w:r>
              <w:rPr>
                <w:color w:val="000000" w:themeColor="text1"/>
                <w:highlight w:val="none"/>
              </w:rPr>
            </w:r>
          </w:p>
          <w:p>
            <w:pPr>
              <w:ind w:left="440" w:hanging="48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（小写）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工期</w:t>
            </w:r>
            <w:r>
              <w:rPr>
                <w:color w:val="000000" w:themeColor="text1"/>
                <w:highlight w:val="none"/>
              </w:rPr>
            </w:r>
          </w:p>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（日历天）</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质量标准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w:t>
            </w:r>
            <w:r>
              <w:rPr>
                <w:color w:val="000000" w:themeColor="text1"/>
                <w:highlight w:val="none"/>
              </w:rPr>
            </w:r>
          </w:p>
        </w:tc>
      </w:tr>
      <w:tr>
        <w:trPr>
          <w:trHeight w:val="162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城区市政道路绿化及城市绿道建设(汉水路等)</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详见响应文件</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42"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报价为《分项价格表（已标价的工程量清单）》的总价。</w:t>
            </w:r>
            <w:r>
              <w:rPr>
                <w:color w:val="000000" w:themeColor="text1"/>
                <w:highlight w:val="none"/>
              </w:rPr>
            </w:r>
          </w:p>
        </w:tc>
      </w:tr>
      <w:tr>
        <w:trPr>
          <w:trHeight w:val="19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总价（大写）：</w:t>
            </w:r>
            <w:r>
              <w:rPr>
                <w:color w:val="000000" w:themeColor="text1"/>
                <w:highlight w:val="none"/>
              </w:rPr>
            </w:r>
          </w:p>
        </w:tc>
        <w:tc>
          <w:tcPr>
            <w:gridSpan w:val="4"/>
            <w:tcBorders>
              <w:top w:val="single" w:color="000000" w:sz="4" w:space="0"/>
              <w:left w:val="single" w:color="000000" w:sz="4" w:space="0"/>
              <w:bottom w:val="single" w:color="000000" w:sz="4" w:space="0"/>
              <w:right w:val="single" w:color="000000" w:sz="4" w:space="0"/>
            </w:tcBorders>
            <w:tcW w:w="59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42" w:type="dxa"/>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4"/>
        <w:ind w:firstLine="480"/>
        <w:jc w:val="left"/>
        <w:keepLines w:val="0"/>
        <w:keepNext w:val="0"/>
        <w:pageBreakBefore w:val="0"/>
        <w:spacing w:line="360" w:lineRule="auto"/>
        <w:widowControl w:val="off"/>
        <w:rPr>
          <w:rStyle w:val="1301"/>
          <w:rFonts w:hint="eastAsia" w:ascii="宋体" w:hAnsi="宋体" w:eastAsia="宋体" w:cs="宋体"/>
          <w:color w:val="000000" w:themeColor="text1"/>
          <w:sz w:val="24"/>
          <w:szCs w:val="24"/>
          <w:highlight w:val="none"/>
        </w:rPr>
      </w:pPr>
      <w:r>
        <w:rPr>
          <w:rStyle w:val="1301"/>
          <w:rFonts w:hint="eastAsia" w:ascii="宋体" w:hAnsi="宋体" w:eastAsia="宋体" w:cs="宋体"/>
          <w:color w:val="000000" w:themeColor="text1"/>
          <w:sz w:val="24"/>
          <w:szCs w:val="24"/>
          <w:highlight w:val="none"/>
        </w:rPr>
        <w:t xml:space="preserve">供应商承诺：  1、本报价（总价）为供应商本企业提供的服务。</w:t>
      </w:r>
      <w:r>
        <w:rPr>
          <w:color w:val="000000" w:themeColor="text1"/>
          <w:highlight w:val="none"/>
        </w:rPr>
      </w:r>
    </w:p>
    <w:p>
      <w:pPr>
        <w:pStyle w:val="904"/>
        <w:jc w:val="left"/>
        <w:keepLines w:val="0"/>
        <w:keepNext w:val="0"/>
        <w:pageBreakBefore w:val="0"/>
        <w:spacing w:line="360" w:lineRule="auto"/>
        <w:widowControl w:val="off"/>
        <w:rPr>
          <w:rStyle w:val="130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、根据相关标准、规范进行试验、检测并承担所有费用。</w:t>
      </w:r>
      <w:r>
        <w:rPr>
          <w:color w:val="000000" w:themeColor="text1"/>
          <w:highlight w:val="none"/>
        </w:rPr>
      </w:r>
    </w:p>
    <w:p>
      <w:pPr>
        <w:pStyle w:val="904"/>
        <w:jc w:val="left"/>
        <w:keepLines w:val="0"/>
        <w:keepNext w:val="0"/>
        <w:pageBreakBefore w:val="0"/>
        <w:spacing w:line="360" w:lineRule="auto"/>
        <w:widowControl w:val="off"/>
        <w:rPr>
          <w:rStyle w:val="1301"/>
          <w:rFonts w:hint="eastAsia" w:ascii="宋体" w:hAnsi="宋体" w:eastAsia="宋体" w:cs="宋体"/>
          <w:color w:val="000000" w:themeColor="text1"/>
          <w:sz w:val="24"/>
          <w:szCs w:val="24"/>
          <w:highlight w:val="none"/>
        </w:rPr>
      </w:pPr>
      <w:r>
        <w:rPr>
          <w:rStyle w:val="1301"/>
          <w:rFonts w:hint="eastAsia" w:ascii="宋体" w:hAnsi="宋体" w:eastAsia="宋体" w:cs="宋体"/>
          <w:color w:val="000000" w:themeColor="text1"/>
          <w:sz w:val="24"/>
          <w:szCs w:val="24"/>
          <w:highlight w:val="none"/>
        </w:rPr>
        <w:t xml:space="preserve">报价说明：</w:t>
      </w:r>
      <w:r>
        <w:rPr>
          <w:color w:val="000000" w:themeColor="text1"/>
          <w:highlight w:val="none"/>
        </w:rPr>
      </w:r>
    </w:p>
    <w:p>
      <w:pPr>
        <w:pStyle w:val="904"/>
        <w:ind w:firstLine="480"/>
        <w:jc w:val="left"/>
        <w:keepLines w:val="0"/>
        <w:keepNext w:val="0"/>
        <w:pageBreakBefore w:val="0"/>
        <w:spacing w:line="360" w:lineRule="auto"/>
        <w:widowControl w:val="off"/>
        <w:rPr>
          <w:rStyle w:val="1301"/>
          <w:rFonts w:hint="eastAsia" w:ascii="宋体" w:hAnsi="宋体" w:eastAsia="宋体" w:cs="宋体"/>
          <w:color w:val="000000" w:themeColor="text1"/>
          <w:sz w:val="24"/>
          <w:szCs w:val="24"/>
          <w:highlight w:val="none"/>
        </w:rPr>
      </w:pPr>
      <w:r>
        <w:rPr>
          <w:rStyle w:val="1301"/>
          <w:rFonts w:hint="eastAsia" w:ascii="宋体" w:hAnsi="宋体" w:eastAsia="宋体" w:cs="宋体"/>
          <w:color w:val="000000" w:themeColor="text1"/>
          <w:sz w:val="24"/>
          <w:szCs w:val="24"/>
          <w:highlight w:val="none"/>
        </w:rPr>
        <w:t xml:space="preserve">1、报价包括完成项目的所有费用。采购人不再支付报价以外的任何费用。</w:t>
      </w:r>
      <w:r>
        <w:rPr>
          <w:color w:val="000000" w:themeColor="text1"/>
          <w:highlight w:val="none"/>
        </w:rPr>
      </w:r>
    </w:p>
    <w:p>
      <w:pPr>
        <w:pStyle w:val="904"/>
        <w:ind w:firstLine="480"/>
        <w:jc w:val="left"/>
        <w:keepLines w:val="0"/>
        <w:keepNext w:val="0"/>
        <w:pageBreakBefore w:val="0"/>
        <w:spacing w:line="360" w:lineRule="auto"/>
        <w:widowControl w:val="off"/>
        <w:rPr>
          <w:rStyle w:val="1301"/>
          <w:rFonts w:hint="eastAsia" w:ascii="宋体" w:hAnsi="宋体" w:eastAsia="宋体" w:cs="宋体"/>
          <w:color w:val="000000" w:themeColor="text1"/>
          <w:sz w:val="24"/>
          <w:szCs w:val="24"/>
          <w:highlight w:val="none"/>
        </w:rPr>
      </w:pPr>
      <w:r>
        <w:rPr>
          <w:rStyle w:val="1301"/>
          <w:rFonts w:hint="eastAsia" w:ascii="宋体" w:hAnsi="宋体" w:eastAsia="宋体" w:cs="宋体"/>
          <w:color w:val="000000" w:themeColor="text1"/>
          <w:sz w:val="24"/>
          <w:szCs w:val="24"/>
          <w:highlight w:val="none"/>
        </w:rPr>
        <w:t xml:space="preserve">2、报价以总价为准，大小写不一致以大写为准；</w:t>
      </w:r>
      <w:r>
        <w:rPr>
          <w:color w:val="000000" w:themeColor="text1"/>
          <w:highlight w:val="none"/>
        </w:rPr>
      </w:r>
    </w:p>
    <w:p>
      <w:pPr>
        <w:pStyle w:val="904"/>
        <w:ind w:firstLine="480"/>
        <w:jc w:val="left"/>
        <w:keepLines w:val="0"/>
        <w:keepNext w:val="0"/>
        <w:pageBreakBefore w:val="0"/>
        <w:spacing w:line="360" w:lineRule="auto"/>
        <w:widowControl w:val="off"/>
        <w:rPr>
          <w:rStyle w:val="1301"/>
          <w:rFonts w:hint="eastAsia" w:ascii="宋体" w:hAnsi="宋体" w:eastAsia="宋体" w:cs="宋体"/>
          <w:color w:val="000000" w:themeColor="text1"/>
          <w:sz w:val="24"/>
          <w:szCs w:val="24"/>
          <w:highlight w:val="none"/>
        </w:rPr>
      </w:pPr>
      <w:r>
        <w:rPr>
          <w:rStyle w:val="1301"/>
          <w:rFonts w:hint="eastAsia" w:ascii="宋体" w:hAnsi="宋体" w:eastAsia="宋体" w:cs="宋体"/>
          <w:color w:val="000000" w:themeColor="text1"/>
          <w:sz w:val="24"/>
          <w:szCs w:val="24"/>
          <w:highlight w:val="none"/>
        </w:rPr>
        <w:t xml:space="preserve">3、偏离说明：详见《偏离表》；</w:t>
      </w:r>
      <w:r>
        <w:rPr>
          <w:color w:val="000000" w:themeColor="text1"/>
          <w:highlight w:val="none"/>
        </w:rPr>
      </w:r>
    </w:p>
    <w:p>
      <w:pPr>
        <w:pStyle w:val="904"/>
        <w:ind w:firstLine="482"/>
        <w:jc w:val="left"/>
        <w:keepLines w:val="0"/>
        <w:keepNext w:val="0"/>
        <w:pageBreakBefore w:val="0"/>
        <w:spacing w:line="360" w:lineRule="auto"/>
        <w:widowControl w:val="off"/>
        <w:rPr>
          <w:rStyle w:val="1301"/>
          <w:rFonts w:hint="eastAsia" w:ascii="宋体" w:hAnsi="宋体" w:eastAsia="宋体" w:cs="宋体"/>
          <w:color w:val="000000" w:themeColor="text1"/>
          <w:sz w:val="24"/>
          <w:szCs w:val="24"/>
          <w:highlight w:val="none"/>
        </w:rPr>
      </w:pPr>
      <w:r>
        <w:rPr>
          <w:rStyle w:val="1301"/>
          <w:rFonts w:hint="eastAsia" w:ascii="宋体" w:hAnsi="宋体" w:eastAsia="宋体" w:cs="宋体"/>
          <w:color w:val="000000" w:themeColor="text1"/>
          <w:sz w:val="24"/>
          <w:szCs w:val="24"/>
          <w:highlight w:val="none"/>
        </w:rPr>
        <w:t xml:space="preserve">4、如最后报价未列明单价，则最后所报各项单价计算方法为：（最后总价/最初总价）* 各项最初报价的单价。</w:t>
      </w:r>
      <w:r>
        <w:rPr>
          <w:color w:val="000000" w:themeColor="text1"/>
          <w:highlight w:val="none"/>
        </w:rPr>
      </w:r>
    </w:p>
    <w:p>
      <w:pPr>
        <w:ind w:right="29" w:firstLine="396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ind w:left="3950" w:right="29"/>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（电子签章） </w:t>
      </w:r>
      <w:r>
        <w:rPr>
          <w:color w:val="000000" w:themeColor="text1"/>
          <w:highlight w:val="none"/>
        </w:rPr>
      </w:r>
    </w:p>
    <w:p>
      <w:pPr>
        <w:ind w:left="3950" w:right="29"/>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w:t>
      </w:r>
      <w:r>
        <w:rPr>
          <w:rFonts w:hint="eastAsia" w:ascii="宋体" w:hAnsi="宋体" w:eastAsia="宋体" w:cs="宋体"/>
          <w:color w:val="000000" w:themeColor="text1"/>
          <w:sz w:val="24"/>
          <w:szCs w:val="24"/>
          <w:highlight w:val="none"/>
          <w:lang w:val="en-US" w:eastAsia="zh-CN"/>
        </w:rPr>
        <w:t xml:space="preserve"> 年  月  日</w:t>
      </w:r>
      <w:r>
        <w:rPr>
          <w:color w:val="000000" w:themeColor="text1"/>
          <w:highlight w:val="none"/>
        </w:rPr>
      </w:r>
    </w:p>
    <w:p>
      <w:pPr>
        <w:ind w:left="3950" w:right="29"/>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878"/>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19"/>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p>
    <w:p>
      <w:pPr>
        <w:pStyle w:val="919"/>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4、</w:t>
      </w:r>
      <w:r>
        <w:rPr>
          <w:rFonts w:hint="eastAsia" w:ascii="宋体" w:hAnsi="宋体" w:eastAsia="宋体" w:cs="宋体"/>
          <w:b/>
          <w:bCs/>
          <w:color w:val="000000" w:themeColor="text1"/>
          <w:sz w:val="24"/>
          <w:szCs w:val="24"/>
          <w:highlight w:val="none"/>
          <w:lang w:val="en-US" w:eastAsia="zh-CN"/>
        </w:rPr>
        <w:t xml:space="preserve">分项价格表</w:t>
      </w:r>
      <w:r>
        <w:rPr>
          <w:color w:val="000000" w:themeColor="text1"/>
          <w:highlight w:val="none"/>
        </w:rPr>
      </w:r>
    </w:p>
    <w:p>
      <w:pPr>
        <w:pStyle w:val="923"/>
        <w:jc w:val="center"/>
        <w:keepLines w:val="0"/>
        <w:keepNext w:val="0"/>
        <w:pageBreakBefore w:val="0"/>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（已标价的工程量清单）</w:t>
      </w:r>
      <w:r>
        <w:rPr>
          <w:color w:val="000000" w:themeColor="text1"/>
          <w:highlight w:val="none"/>
        </w:rPr>
      </w:r>
    </w:p>
    <w:p>
      <w:pPr>
        <w:pStyle w:val="923"/>
        <w:keepLines w:val="0"/>
        <w:keepNext w:val="0"/>
        <w:pageBreakBefore w:val="0"/>
        <w:spacing w:after="0" w:line="360" w:lineRule="auto"/>
        <w:widowControl w:val="off"/>
        <w:rPr>
          <w:rFonts w:hint="eastAsia" w:ascii="宋体" w:hAnsi="宋体" w:eastAsia="宋体" w:cs="宋体"/>
          <w:color w:val="000000" w:themeColor="text1"/>
          <w:sz w:val="24"/>
          <w:szCs w:val="24"/>
          <w:highlight w:val="none"/>
        </w:rPr>
      </w:pPr>
      <w:r>
        <w:rPr>
          <w:color w:val="000000" w:themeColor="text1"/>
          <w:highlight w:val="none"/>
        </w:rPr>
      </w:r>
      <w:bookmarkStart w:id="1" w:name="_Hlk105167482"/>
      <w:r>
        <w:rPr>
          <w:color w:val="000000" w:themeColor="text1"/>
          <w:highlight w:val="none"/>
        </w:rPr>
      </w:r>
      <w:r>
        <w:rPr>
          <w:color w:val="000000" w:themeColor="text1"/>
          <w:highlight w:val="none"/>
        </w:rPr>
      </w:r>
    </w:p>
    <w:p>
      <w:pPr>
        <w:pStyle w:val="923"/>
        <w:keepLines w:val="0"/>
        <w:keepNext w:val="0"/>
        <w:pageBreakBefore w:val="0"/>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（本次为首次报价）</w:t>
      </w:r>
      <w:bookmarkEnd w:id="1"/>
      <w:r>
        <w:rPr>
          <w:color w:val="000000" w:themeColor="text1"/>
          <w:highlight w:val="none"/>
        </w:rPr>
      </w:r>
      <w:r>
        <w:rPr>
          <w:color w:val="000000" w:themeColor="text1"/>
          <w:highlight w:val="none"/>
        </w:rPr>
      </w:r>
    </w:p>
    <w:p>
      <w:pPr>
        <w:pStyle w:val="919"/>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项目名称：</w:t>
      </w:r>
      <w:r>
        <w:rPr>
          <w:rFonts w:hint="eastAsia" w:ascii="宋体" w:hAnsi="宋体" w:eastAsia="宋体" w:cs="宋体"/>
          <w:color w:val="000000" w:themeColor="text1"/>
          <w:sz w:val="24"/>
          <w:szCs w:val="24"/>
          <w:highlight w:val="none"/>
          <w:lang w:eastAsia="zh-CN"/>
        </w:rPr>
        <w:t xml:space="preserve">城区市政道路绿化及城市绿道建设(汉水路等)</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p>
    <w:p>
      <w:pPr>
        <w:pStyle w:val="919"/>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项目编号：</w:t>
      </w:r>
      <w:r>
        <w:rPr>
          <w:rFonts w:hint="eastAsia" w:ascii="宋体" w:hAnsi="宋体" w:eastAsia="宋体" w:cs="宋体"/>
          <w:color w:val="000000" w:themeColor="text1"/>
          <w:sz w:val="24"/>
          <w:szCs w:val="24"/>
          <w:highlight w:val="none"/>
          <w:lang w:eastAsia="zh-CN"/>
        </w:rPr>
        <w:t xml:space="preserve">JSZC-320322-BTXZ-C2026-0001</w:t>
      </w:r>
      <w:r>
        <w:rPr>
          <w:rFonts w:hint="eastAsia" w:ascii="宋体" w:hAnsi="宋体" w:eastAsia="宋体" w:cs="宋体"/>
          <w:color w:val="000000" w:themeColor="text1"/>
          <w:sz w:val="24"/>
          <w:szCs w:val="24"/>
          <w:highlight w:val="none"/>
        </w:rPr>
        <w:t xml:space="preserve">                 货币单位：人民币元</w:t>
      </w:r>
      <w:r>
        <w:rPr>
          <w:color w:val="000000" w:themeColor="text1"/>
          <w:highlight w:val="none"/>
        </w:rPr>
      </w:r>
    </w:p>
    <w:p>
      <w:pPr>
        <w:pStyle w:val="919"/>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1"/>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rPr>
        <w:t xml:space="preserve">根据</w:t>
      </w:r>
      <w:r>
        <w:rPr>
          <w:rFonts w:hint="eastAsia" w:ascii="宋体" w:hAnsi="宋体" w:eastAsia="宋体" w:cs="宋体"/>
          <w:b/>
          <w:bCs/>
          <w:color w:val="000000" w:themeColor="text1"/>
          <w:sz w:val="24"/>
          <w:szCs w:val="24"/>
          <w:highlight w:val="none"/>
          <w:lang w:val="en-US" w:eastAsia="zh-CN"/>
        </w:rPr>
        <w:t xml:space="preserve"> </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工程量清单</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进行编制</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19"/>
        <w:ind w:firstLine="480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（电子签章）</w:t>
      </w:r>
      <w:r>
        <w:rPr>
          <w:color w:val="000000" w:themeColor="text1"/>
          <w:highlight w:val="none"/>
        </w:rPr>
      </w:r>
    </w:p>
    <w:p>
      <w:pPr>
        <w:pStyle w:val="919"/>
        <w:ind w:firstLine="480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 期</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 年  月   日</w:t>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注：1.</w:t>
      </w:r>
      <w:r>
        <w:rPr>
          <w:rFonts w:hint="eastAsia" w:ascii="宋体" w:hAnsi="宋体" w:eastAsia="宋体" w:cs="宋体"/>
          <w:b/>
          <w:color w:val="000000" w:themeColor="text1"/>
          <w:sz w:val="24"/>
          <w:szCs w:val="24"/>
          <w:highlight w:val="none"/>
        </w:rPr>
        <w:t xml:space="preserve">如果不提供《</w:t>
      </w:r>
      <w:r>
        <w:rPr>
          <w:rFonts w:hint="eastAsia" w:ascii="宋体" w:hAnsi="宋体" w:eastAsia="宋体" w:cs="宋体"/>
          <w:b/>
          <w:color w:val="000000" w:themeColor="text1"/>
          <w:sz w:val="24"/>
          <w:szCs w:val="24"/>
          <w:highlight w:val="none"/>
          <w:lang w:val="en-US" w:eastAsia="zh-CN"/>
        </w:rPr>
        <w:t xml:space="preserve">分项价格表</w:t>
      </w:r>
      <w:r>
        <w:rPr>
          <w:rFonts w:hint="eastAsia" w:ascii="宋体" w:hAnsi="宋体" w:eastAsia="宋体" w:cs="宋体"/>
          <w:b/>
          <w:color w:val="000000" w:themeColor="text1"/>
          <w:sz w:val="24"/>
          <w:szCs w:val="24"/>
          <w:highlight w:val="none"/>
        </w:rPr>
        <w:t xml:space="preserve">》将视为没有实质性响应</w:t>
      </w:r>
      <w:r>
        <w:rPr>
          <w:rFonts w:hint="eastAsia" w:ascii="宋体" w:hAnsi="宋体" w:eastAsia="宋体" w:cs="宋体"/>
          <w:b/>
          <w:color w:val="000000" w:themeColor="text1"/>
          <w:sz w:val="24"/>
          <w:szCs w:val="24"/>
          <w:highlight w:val="none"/>
          <w:lang w:eastAsia="zh-CN"/>
        </w:rPr>
        <w:t xml:space="preserve">磋商文件</w:t>
      </w:r>
      <w:r>
        <w:rPr>
          <w:rFonts w:hint="eastAsia" w:ascii="宋体" w:hAnsi="宋体" w:eastAsia="宋体" w:cs="宋体"/>
          <w:b/>
          <w:color w:val="000000" w:themeColor="text1"/>
          <w:sz w:val="24"/>
          <w:szCs w:val="24"/>
          <w:highlight w:val="none"/>
        </w:rPr>
        <w:t xml:space="preserve">。</w:t>
      </w:r>
      <w:r>
        <w:rPr>
          <w:color w:val="000000" w:themeColor="text1"/>
          <w:highlight w:val="none"/>
        </w:rPr>
      </w:r>
    </w:p>
    <w:p>
      <w:pPr>
        <w:pStyle w:val="919"/>
        <w:ind w:firstLine="96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2.供应商对以上数据的真实性负责。</w:t>
      </w:r>
      <w:r>
        <w:rPr>
          <w:color w:val="000000" w:themeColor="text1"/>
          <w:highlight w:val="none"/>
        </w:rPr>
      </w:r>
    </w:p>
    <w:p>
      <w:pPr>
        <w:pStyle w:val="919"/>
        <w:ind w:firstLine="96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3.报价应包括项目涉及的一切税、费等。</w:t>
      </w:r>
      <w:r>
        <w:rPr>
          <w:color w:val="000000" w:themeColor="text1"/>
          <w:highlight w:val="none"/>
        </w:rPr>
      </w:r>
    </w:p>
    <w:p>
      <w:pPr>
        <w:pStyle w:val="919"/>
        <w:ind w:firstLine="106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u w:val="single"/>
          <w:lang w:eastAsia="zh-CN"/>
        </w:rPr>
        <w:t xml:space="preserve">采购人</w:t>
      </w:r>
      <w:r>
        <w:rPr>
          <w:rFonts w:hint="eastAsia" w:ascii="宋体" w:hAnsi="宋体" w:eastAsia="宋体" w:cs="宋体"/>
          <w:b/>
          <w:color w:val="000000" w:themeColor="text1"/>
          <w:sz w:val="24"/>
          <w:szCs w:val="24"/>
          <w:highlight w:val="none"/>
          <w:u w:val="single"/>
        </w:rPr>
        <w:t xml:space="preserve">或采购代理机构有权将以上内容进行公示。</w:t>
      </w:r>
      <w:r>
        <w:rPr>
          <w:color w:val="000000" w:themeColor="text1"/>
          <w:highlight w:val="none"/>
        </w:rPr>
      </w:r>
    </w:p>
    <w:p>
      <w:pPr>
        <w:pStyle w:val="919"/>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sectPr>
          <w:footerReference w:type="default" r:id="rId11"/>
          <w:footnotePr/>
          <w:endnotePr/>
          <w:type w:val="nextPage"/>
          <w:pgSz w:w="11906" w:h="16838" w:orient="portrait"/>
          <w:pgMar w:top="1440" w:right="913" w:bottom="1440" w:left="913" w:header="851" w:footer="992" w:gutter="0"/>
          <w:cols w:num="1" w:sep="0" w:space="1701" w:equalWidth="1"/>
          <w:docGrid w:linePitch="360"/>
        </w:sectPr>
      </w:pPr>
      <w:r>
        <w:rPr>
          <w:rFonts w:hint="eastAsia" w:ascii="宋体" w:hAnsi="宋体" w:eastAsia="宋体" w:cs="宋体"/>
          <w:b/>
          <w:bCs/>
          <w:color w:val="000000" w:themeColor="text1"/>
          <w:sz w:val="24"/>
          <w:szCs w:val="24"/>
          <w:highlight w:val="none"/>
        </w:rPr>
      </w:r>
      <w:r>
        <w:rPr>
          <w:color w:val="000000" w:themeColor="text1"/>
          <w:highlight w:val="none"/>
        </w:rPr>
      </w:r>
    </w:p>
    <w:p>
      <w:pPr>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5</w:t>
      </w:r>
      <w:r>
        <w:rPr>
          <w:rFonts w:hint="eastAsia" w:ascii="宋体" w:hAnsi="宋体" w:eastAsia="宋体" w:cs="宋体"/>
          <w:b/>
          <w:bCs/>
          <w:color w:val="000000" w:themeColor="text1"/>
          <w:sz w:val="24"/>
          <w:szCs w:val="24"/>
          <w:highlight w:val="none"/>
        </w:rPr>
        <w:t xml:space="preserve">、偏离表</w:t>
      </w:r>
      <w:r>
        <w:rPr>
          <w:color w:val="000000" w:themeColor="text1"/>
          <w:highlight w:val="none"/>
        </w:rP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项目名称：</w:t>
      </w:r>
      <w:r>
        <w:rPr>
          <w:rFonts w:hint="eastAsia" w:ascii="宋体" w:hAnsi="宋体" w:eastAsia="宋体" w:cs="宋体"/>
          <w:color w:val="000000" w:themeColor="text1"/>
          <w:sz w:val="24"/>
          <w:szCs w:val="24"/>
          <w:highlight w:val="none"/>
          <w:lang w:eastAsia="zh-CN"/>
        </w:rPr>
        <w:t xml:space="preserve">城区市政道路绿化及城市绿道建设(汉水路等)</w:t>
      </w:r>
      <w:r>
        <w:rPr>
          <w:color w:val="000000" w:themeColor="text1"/>
          <w:highlight w:val="none"/>
        </w:rP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项目编号：</w:t>
      </w:r>
      <w:r>
        <w:rPr>
          <w:rFonts w:hint="eastAsia" w:ascii="宋体" w:hAnsi="宋体" w:eastAsia="宋体" w:cs="宋体"/>
          <w:color w:val="000000" w:themeColor="text1"/>
          <w:sz w:val="24"/>
          <w:szCs w:val="24"/>
          <w:highlight w:val="none"/>
          <w:lang w:eastAsia="zh-CN"/>
        </w:rPr>
        <w:t xml:space="preserve">JSZC-320322-BTXZ-C2026-0001</w:t>
      </w:r>
      <w:r>
        <w:rPr>
          <w:color w:val="000000" w:themeColor="text1"/>
          <w:highlight w:val="none"/>
        </w:rPr>
      </w:r>
    </w:p>
    <w:tbl>
      <w:tblPr>
        <w:tblStyle w:val="868"/>
        <w:tblW w:w="9214" w:type="dxa"/>
        <w:jc w:val="center"/>
        <w:tblLayout w:type="fixed"/>
        <w:tblCellMar>
          <w:left w:w="108" w:type="dxa"/>
          <w:top w:w="0" w:type="dxa"/>
          <w:right w:w="108" w:type="dxa"/>
          <w:bottom w:w="0" w:type="dxa"/>
        </w:tblCellMar>
        <w:tblLook w:val="04A0" w:firstRow="1" w:lastRow="0" w:firstColumn="1" w:lastColumn="0" w:noHBand="0" w:noVBand="1"/>
      </w:tblPr>
      <w:tblGrid>
        <w:gridCol w:w="847"/>
        <w:gridCol w:w="847"/>
        <w:gridCol w:w="3685"/>
        <w:gridCol w:w="1417"/>
        <w:gridCol w:w="1560"/>
        <w:gridCol w:w="858"/>
      </w:tblGrid>
      <w:tr>
        <w:trPr>
          <w:jc w:val="center"/>
          <w:trHeight w:val="41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t xml:space="preserve">序号</w:t>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t xml:space="preserve">偏离内容</w:t>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000000" w:themeColor="text1"/>
                <w:sz w:val="24"/>
                <w:szCs w:val="24"/>
                <w:highlight w:val="none"/>
              </w:rPr>
            </w:pPr>
            <w:r>
              <w:rPr>
                <w:rFonts w:hint="eastAsia" w:ascii="宋体" w:hAnsi="宋体" w:eastAsia="宋体" w:cs="宋体"/>
                <w:color w:val="000000" w:themeColor="text1"/>
                <w:sz w:val="24"/>
                <w:szCs w:val="24"/>
                <w:highlight w:val="none"/>
              </w:rPr>
              <w:t xml:space="preserve">竞争性磋商文件（含竞争性磋商文件的澄清或者修改）的要求</w:t>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000000" w:themeColor="text1"/>
                <w:sz w:val="24"/>
                <w:szCs w:val="24"/>
                <w:highlight w:val="none"/>
              </w:rPr>
            </w:pPr>
            <w:r>
              <w:rPr>
                <w:rFonts w:hint="eastAsia" w:ascii="宋体" w:hAnsi="宋体" w:eastAsia="宋体" w:cs="宋体"/>
                <w:color w:val="000000" w:themeColor="text1"/>
                <w:sz w:val="24"/>
                <w:szCs w:val="24"/>
                <w:highlight w:val="none"/>
              </w:rPr>
              <w:t xml:space="preserve">首次响应文件中的内容</w:t>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t xml:space="preserve">（正/负/无）偏离</w:t>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t xml:space="preserve">说明</w:t>
            </w:r>
            <w:r>
              <w:rPr>
                <w:color w:val="000000" w:themeColor="text1"/>
                <w:highlight w:val="none"/>
              </w:rP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r>
            <w:r>
              <w:rPr>
                <w:color w:val="000000" w:themeColor="text1"/>
                <w:highlight w:val="none"/>
              </w:rP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bl>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注：供应商的首次响应文件中的内容与竞争性磋商文件（含竞争性磋商文件的澄清或者修改，下同）的要求不同时，逐条列在偏离表中，否则将认为供应商接受竞争性磋商文件的要求。</w:t>
      </w:r>
      <w:r>
        <w:rPr>
          <w:color w:val="000000" w:themeColor="text1"/>
          <w:highlight w:val="none"/>
        </w:rP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ind w:left="3950" w:right="29"/>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（电子签章） </w:t>
      </w:r>
      <w:r>
        <w:rPr>
          <w:color w:val="000000" w:themeColor="text1"/>
          <w:highlight w:val="none"/>
        </w:rPr>
      </w:r>
    </w:p>
    <w:p>
      <w:pPr>
        <w:ind w:left="3950" w:right="29"/>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w:t>
      </w:r>
      <w:r>
        <w:rPr>
          <w:rFonts w:hint="eastAsia" w:ascii="宋体" w:hAnsi="宋体" w:eastAsia="宋体" w:cs="宋体"/>
          <w:color w:val="000000" w:themeColor="text1"/>
          <w:sz w:val="24"/>
          <w:szCs w:val="24"/>
          <w:highlight w:val="none"/>
          <w:lang w:val="en-US" w:eastAsia="zh-CN"/>
        </w:rPr>
        <w:t xml:space="preserve"> 年  月  日</w:t>
      </w:r>
      <w:r>
        <w:rPr>
          <w:color w:val="000000" w:themeColor="text1"/>
          <w:highlight w:val="none"/>
        </w:rPr>
      </w:r>
    </w:p>
    <w:p>
      <w:pPr>
        <w:ind w:left="3950" w:right="29"/>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highlight w:val="none"/>
        </w:rPr>
      </w:r>
    </w:p>
    <w:p>
      <w:pPr>
        <w:ind w:left="3950" w:right="29"/>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highlight w:val="none"/>
        </w:rPr>
      </w:r>
    </w:p>
    <w:p>
      <w:pPr>
        <w:ind w:left="3950" w:right="29"/>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highlight w:val="none"/>
        </w:rPr>
      </w:r>
    </w:p>
    <w:p>
      <w:pPr>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6、拟签订的合同文本</w:t>
      </w:r>
      <w:r>
        <w:rPr>
          <w:color w:val="000000" w:themeColor="text1"/>
          <w:highlight w:val="none"/>
        </w:rPr>
      </w:r>
    </w:p>
    <w:p>
      <w:pPr>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de-DE"/>
        </w:rPr>
        <w:t xml:space="preserve">（合同草案条款）</w:t>
      </w:r>
      <w:r>
        <w:rPr>
          <w:color w:val="000000" w:themeColor="text1"/>
          <w:highlight w:val="none"/>
        </w:rPr>
      </w:r>
    </w:p>
    <w:p>
      <w:pPr>
        <w:ind w:firstLine="482"/>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（以采购人与成交供应商最终签订版本为准）</w:t>
      </w:r>
      <w:r>
        <w:rPr>
          <w:color w:val="000000" w:themeColor="text1"/>
          <w:highlight w:val="none"/>
        </w:rPr>
      </w:r>
    </w:p>
    <w:p>
      <w:pPr>
        <w:pStyle w:val="925"/>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jc w:val="center"/>
        <w:keepLines w:val="0"/>
        <w:keepNext w:val="0"/>
        <w:pageBreakBefore w:val="0"/>
        <w:spacing w:line="360" w:lineRule="auto"/>
        <w:widowControl w:val="off"/>
        <w:rPr>
          <w:rFonts w:hint="eastAsia" w:ascii="宋体" w:hAnsi="宋体" w:eastAsia="宋体" w:cs="宋体"/>
          <w:b/>
          <w:bCs/>
          <w:color w:val="000000" w:themeColor="text1"/>
          <w:sz w:val="40"/>
          <w:szCs w:val="40"/>
          <w:highlight w:val="none"/>
        </w:rPr>
      </w:pPr>
      <w:r>
        <w:rPr>
          <w:rFonts w:hint="eastAsia" w:ascii="宋体" w:hAnsi="宋体" w:eastAsia="宋体" w:cs="宋体"/>
          <w:b/>
          <w:bCs/>
          <w:color w:val="000000" w:themeColor="text1"/>
          <w:sz w:val="40"/>
          <w:szCs w:val="40"/>
          <w:highlight w:val="none"/>
        </w:rPr>
        <w:t xml:space="preserve">政</w:t>
      </w:r>
      <w:r>
        <w:rPr>
          <w:color w:val="000000" w:themeColor="text1"/>
          <w:highlight w:val="none"/>
        </w:rPr>
      </w:r>
    </w:p>
    <w:p>
      <w:pPr>
        <w:jc w:val="center"/>
        <w:keepLines w:val="0"/>
        <w:keepNext w:val="0"/>
        <w:pageBreakBefore w:val="0"/>
        <w:spacing w:line="360" w:lineRule="auto"/>
        <w:widowControl w:val="off"/>
        <w:rPr>
          <w:rFonts w:hint="eastAsia" w:ascii="宋体" w:hAnsi="宋体" w:eastAsia="宋体" w:cs="宋体"/>
          <w:b/>
          <w:bCs/>
          <w:color w:val="000000" w:themeColor="text1"/>
          <w:sz w:val="40"/>
          <w:szCs w:val="40"/>
          <w:highlight w:val="none"/>
        </w:rPr>
      </w:pPr>
      <w:r>
        <w:rPr>
          <w:rFonts w:hint="eastAsia" w:ascii="宋体" w:hAnsi="宋体" w:eastAsia="宋体" w:cs="宋体"/>
          <w:b/>
          <w:bCs/>
          <w:color w:val="000000" w:themeColor="text1"/>
          <w:sz w:val="40"/>
          <w:szCs w:val="40"/>
          <w:highlight w:val="none"/>
        </w:rPr>
        <w:t xml:space="preserve">府</w:t>
      </w:r>
      <w:r>
        <w:rPr>
          <w:color w:val="000000" w:themeColor="text1"/>
          <w:highlight w:val="none"/>
        </w:rPr>
      </w:r>
    </w:p>
    <w:p>
      <w:pPr>
        <w:jc w:val="center"/>
        <w:keepLines w:val="0"/>
        <w:keepNext w:val="0"/>
        <w:pageBreakBefore w:val="0"/>
        <w:spacing w:line="360" w:lineRule="auto"/>
        <w:widowControl w:val="off"/>
        <w:rPr>
          <w:rFonts w:hint="eastAsia" w:ascii="宋体" w:hAnsi="宋体" w:eastAsia="宋体" w:cs="宋体"/>
          <w:b/>
          <w:bCs/>
          <w:color w:val="000000" w:themeColor="text1"/>
          <w:sz w:val="40"/>
          <w:szCs w:val="40"/>
          <w:highlight w:val="none"/>
        </w:rPr>
      </w:pPr>
      <w:r>
        <w:rPr>
          <w:rFonts w:hint="eastAsia" w:ascii="宋体" w:hAnsi="宋体" w:eastAsia="宋体" w:cs="宋体"/>
          <w:b/>
          <w:bCs/>
          <w:color w:val="000000" w:themeColor="text1"/>
          <w:sz w:val="40"/>
          <w:szCs w:val="40"/>
          <w:highlight w:val="none"/>
        </w:rPr>
        <w:t xml:space="preserve">采</w:t>
      </w:r>
      <w:r>
        <w:rPr>
          <w:color w:val="000000" w:themeColor="text1"/>
          <w:highlight w:val="none"/>
        </w:rPr>
      </w:r>
    </w:p>
    <w:p>
      <w:pPr>
        <w:jc w:val="center"/>
        <w:keepLines w:val="0"/>
        <w:keepNext w:val="0"/>
        <w:pageBreakBefore w:val="0"/>
        <w:spacing w:line="360" w:lineRule="auto"/>
        <w:widowControl w:val="off"/>
        <w:rPr>
          <w:rFonts w:hint="eastAsia" w:ascii="宋体" w:hAnsi="宋体" w:eastAsia="宋体" w:cs="宋体"/>
          <w:b/>
          <w:bCs/>
          <w:color w:val="000000" w:themeColor="text1"/>
          <w:sz w:val="40"/>
          <w:szCs w:val="40"/>
          <w:highlight w:val="none"/>
        </w:rPr>
      </w:pPr>
      <w:r>
        <w:rPr>
          <w:rFonts w:hint="eastAsia" w:ascii="宋体" w:hAnsi="宋体" w:eastAsia="宋体" w:cs="宋体"/>
          <w:b/>
          <w:bCs/>
          <w:color w:val="000000" w:themeColor="text1"/>
          <w:sz w:val="40"/>
          <w:szCs w:val="40"/>
          <w:highlight w:val="none"/>
        </w:rPr>
        <w:t xml:space="preserve">购</w:t>
      </w:r>
      <w:r>
        <w:rPr>
          <w:color w:val="000000" w:themeColor="text1"/>
          <w:highlight w:val="none"/>
        </w:rPr>
      </w:r>
    </w:p>
    <w:p>
      <w:pPr>
        <w:jc w:val="center"/>
        <w:keepLines w:val="0"/>
        <w:keepNext w:val="0"/>
        <w:pageBreakBefore w:val="0"/>
        <w:spacing w:line="360" w:lineRule="auto"/>
        <w:widowControl w:val="off"/>
        <w:rPr>
          <w:rFonts w:hint="eastAsia" w:ascii="宋体" w:hAnsi="宋体" w:eastAsia="宋体" w:cs="宋体"/>
          <w:b/>
          <w:bCs/>
          <w:color w:val="000000" w:themeColor="text1"/>
          <w:sz w:val="40"/>
          <w:szCs w:val="40"/>
          <w:highlight w:val="none"/>
        </w:rPr>
      </w:pPr>
      <w:r>
        <w:rPr>
          <w:rFonts w:hint="eastAsia" w:ascii="宋体" w:hAnsi="宋体" w:eastAsia="宋体" w:cs="宋体"/>
          <w:b/>
          <w:bCs/>
          <w:color w:val="000000" w:themeColor="text1"/>
          <w:sz w:val="40"/>
          <w:szCs w:val="40"/>
          <w:highlight w:val="none"/>
        </w:rPr>
        <w:t xml:space="preserve">合</w:t>
      </w:r>
      <w:r>
        <w:rPr>
          <w:color w:val="000000" w:themeColor="text1"/>
          <w:highlight w:val="none"/>
        </w:rPr>
      </w:r>
    </w:p>
    <w:p>
      <w:pPr>
        <w:jc w:val="center"/>
        <w:keepLines w:val="0"/>
        <w:keepNext w:val="0"/>
        <w:pageBreakBefore w:val="0"/>
        <w:spacing w:line="360" w:lineRule="auto"/>
        <w:widowControl w:val="off"/>
        <w:rPr>
          <w:rFonts w:hint="eastAsia" w:ascii="宋体" w:hAnsi="宋体" w:eastAsia="宋体" w:cs="宋体"/>
          <w:color w:val="000000" w:themeColor="text1"/>
          <w:sz w:val="40"/>
          <w:szCs w:val="40"/>
          <w:highlight w:val="none"/>
        </w:rPr>
      </w:pPr>
      <w:r>
        <w:rPr>
          <w:rFonts w:hint="eastAsia" w:ascii="宋体" w:hAnsi="宋体" w:eastAsia="宋体" w:cs="宋体"/>
          <w:b/>
          <w:bCs/>
          <w:color w:val="000000" w:themeColor="text1"/>
          <w:sz w:val="40"/>
          <w:szCs w:val="40"/>
          <w:highlight w:val="none"/>
        </w:rPr>
        <w:t xml:space="preserve">同</w:t>
      </w:r>
      <w:r>
        <w:rPr>
          <w:color w:val="000000" w:themeColor="text1"/>
          <w:highlight w:val="none"/>
        </w:rPr>
      </w:r>
    </w:p>
    <w:p>
      <w:pPr>
        <w:pStyle w:val="904"/>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23"/>
        <w:ind w:left="800"/>
        <w:keepLines w:val="0"/>
        <w:keepNext w:val="0"/>
        <w:pageBreakBefore w:val="0"/>
        <w:spacing w:after="0"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项目名称：</w:t>
      </w:r>
      <w:r>
        <w:rPr>
          <w:rFonts w:hint="eastAsia" w:ascii="宋体" w:hAnsi="宋体" w:eastAsia="宋体" w:cs="宋体"/>
          <w:color w:val="000000" w:themeColor="text1"/>
          <w:sz w:val="24"/>
          <w:szCs w:val="24"/>
          <w:highlight w:val="none"/>
          <w:lang w:eastAsia="zh-CN"/>
        </w:rPr>
        <w:t xml:space="preserve">城区市政道路绿化及城市绿道建设(汉水路等)</w:t>
      </w:r>
      <w:r>
        <w:rPr>
          <w:color w:val="000000" w:themeColor="text1"/>
          <w:highlight w:val="none"/>
        </w:rPr>
      </w:r>
    </w:p>
    <w:p>
      <w:pPr>
        <w:pStyle w:val="923"/>
        <w:ind w:left="800"/>
        <w:keepLines w:val="0"/>
        <w:keepNext w:val="0"/>
        <w:pageBreakBefore w:val="0"/>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项目编号：</w:t>
      </w:r>
      <w:r>
        <w:rPr>
          <w:rFonts w:hint="eastAsia" w:ascii="宋体" w:hAnsi="宋体" w:eastAsia="宋体" w:cs="宋体"/>
          <w:bCs/>
          <w:color w:val="000000" w:themeColor="text1"/>
          <w:sz w:val="24"/>
          <w:szCs w:val="24"/>
          <w:highlight w:val="none"/>
          <w:lang w:eastAsia="zh-CN"/>
        </w:rPr>
        <w:t xml:space="preserve">JSZC-320322-BTXZ-C2026-0001</w:t>
      </w:r>
      <w:r>
        <w:rPr>
          <w:color w:val="000000" w:themeColor="text1"/>
          <w:highlight w:val="none"/>
        </w:rPr>
      </w:r>
    </w:p>
    <w:p>
      <w:pPr>
        <w:pStyle w:val="923"/>
        <w:ind w:left="800"/>
        <w:jc w:val="left"/>
        <w:keepLines w:val="0"/>
        <w:keepNext w:val="0"/>
        <w:pageBreakBefore w:val="0"/>
        <w:spacing w:after="0"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采购单位</w:t>
      </w:r>
      <w:r>
        <w:rPr>
          <w:rFonts w:hint="eastAsia" w:ascii="宋体" w:hAnsi="宋体" w:eastAsia="宋体" w:cs="宋体"/>
          <w:bCs/>
          <w:color w:val="000000" w:themeColor="text1"/>
          <w:sz w:val="24"/>
          <w:szCs w:val="24"/>
          <w:highlight w:val="none"/>
        </w:rPr>
        <w:t xml:space="preserve">（全称）：</w:t>
      </w:r>
      <w:r>
        <w:rPr>
          <w:rFonts w:hint="eastAsia" w:ascii="宋体" w:hAnsi="宋体" w:eastAsia="宋体" w:cs="宋体"/>
          <w:bCs/>
          <w:color w:val="000000" w:themeColor="text1"/>
          <w:sz w:val="24"/>
          <w:szCs w:val="24"/>
          <w:highlight w:val="none"/>
          <w:u w:val="none"/>
          <w:lang w:eastAsia="zh-CN"/>
        </w:rPr>
        <w:t xml:space="preserve">沛县园林服务中心</w:t>
      </w:r>
      <w:r>
        <w:rPr>
          <w:rFonts w:hint="eastAsia" w:ascii="宋体" w:hAnsi="宋体" w:eastAsia="宋体" w:cs="宋体"/>
          <w:bCs/>
          <w:color w:val="000000" w:themeColor="text1"/>
          <w:sz w:val="24"/>
          <w:szCs w:val="24"/>
          <w:highlight w:val="none"/>
          <w:u w:val="none"/>
        </w:rPr>
        <w:t xml:space="preserve"> </w:t>
      </w:r>
      <w:r>
        <w:rPr>
          <w:color w:val="000000" w:themeColor="text1"/>
          <w:highlight w:val="none"/>
        </w:rPr>
      </w:r>
    </w:p>
    <w:p>
      <w:pPr>
        <w:pStyle w:val="923"/>
        <w:ind w:left="800"/>
        <w:jc w:val="left"/>
        <w:keepLines w:val="0"/>
        <w:keepNext w:val="0"/>
        <w:pageBreakBefore w:val="0"/>
        <w:spacing w:after="0" w:line="360" w:lineRule="auto"/>
        <w:widowControl w:val="off"/>
        <w:rPr>
          <w:rFonts w:hint="eastAsia" w:ascii="宋体" w:hAnsi="宋体" w:eastAsia="宋体" w:cs="宋体"/>
          <w:b/>
          <w:color w:val="000000" w:themeColor="text1"/>
          <w:sz w:val="24"/>
          <w:szCs w:val="24"/>
          <w:highlight w:val="none"/>
          <w:u w:val="single"/>
        </w:rPr>
      </w:pPr>
      <w:r>
        <w:rPr>
          <w:rFonts w:hint="eastAsia" w:ascii="宋体" w:hAnsi="宋体" w:eastAsia="宋体" w:cs="宋体"/>
          <w:bCs/>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rPr>
        <w:t xml:space="preserve">（全称）：</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
          <w:color w:val="000000" w:themeColor="text1"/>
          <w:sz w:val="24"/>
          <w:szCs w:val="24"/>
          <w:highlight w:val="none"/>
          <w:u w:val="single"/>
        </w:rPr>
        <w:t xml:space="preserve">            </w:t>
      </w:r>
      <w:r>
        <w:rPr>
          <w:color w:val="000000" w:themeColor="text1"/>
          <w:highlight w:val="none"/>
        </w:rPr>
      </w:r>
    </w:p>
    <w:p>
      <w:pPr>
        <w:pStyle w:val="923"/>
        <w:ind w:left="600" w:firstLine="2640"/>
        <w:jc w:val="left"/>
        <w:keepLines w:val="0"/>
        <w:keepNext w:val="0"/>
        <w:pageBreakBefore w:val="0"/>
        <w:spacing w:after="0"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签订日期：   年   月   日</w:t>
      </w:r>
      <w:r>
        <w:rPr>
          <w:color w:val="000000" w:themeColor="text1"/>
          <w:highlight w:val="none"/>
        </w:rPr>
      </w:r>
    </w:p>
    <w:p>
      <w:pPr>
        <w:pStyle w:val="904"/>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友情提醒：采购人与中标、成交供应商应当在中标、成交通知书发出之日起</w:t>
      </w:r>
      <w:r>
        <w:rPr>
          <w:rFonts w:hint="eastAsia" w:ascii="宋体" w:hAnsi="宋体" w:eastAsia="宋体" w:cs="宋体"/>
          <w:bCs/>
          <w:color w:val="000000" w:themeColor="text1"/>
          <w:sz w:val="24"/>
          <w:szCs w:val="24"/>
          <w:highlight w:val="none"/>
          <w:lang w:val="en-US" w:eastAsia="zh-CN"/>
        </w:rPr>
        <w:t xml:space="preserve">30</w:t>
      </w:r>
      <w:r>
        <w:rPr>
          <w:rFonts w:hint="eastAsia" w:ascii="宋体" w:hAnsi="宋体" w:eastAsia="宋体" w:cs="宋体"/>
          <w:bCs/>
          <w:color w:val="000000" w:themeColor="text1"/>
          <w:sz w:val="24"/>
          <w:szCs w:val="24"/>
          <w:highlight w:val="none"/>
        </w:rPr>
        <w:t xml:space="preserve">日内，按照采购文件确定的事项签订政府采购合同。</w:t>
      </w:r>
      <w:r>
        <w:rPr>
          <w:color w:val="000000" w:themeColor="text1"/>
          <w:highlight w:val="none"/>
        </w:rPr>
      </w:r>
    </w:p>
    <w:p>
      <w:pPr>
        <w:pStyle w:val="904"/>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color w:val="000000" w:themeColor="text1"/>
          <w:highlight w:val="none"/>
        </w:rPr>
      </w:r>
    </w:p>
    <w:p>
      <w:pPr>
        <w:pStyle w:val="905"/>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p>
    <w:p>
      <w:pPr>
        <w:pStyle w:val="1087"/>
        <w:numPr>
          <w:ilvl w:val="0"/>
          <w:numId w:val="0"/>
        </w:numPr>
        <w:ind w:left="3402"/>
        <w:jc w:val="both"/>
        <w:keepLines w:val="0"/>
        <w:keepNext w:val="0"/>
        <w:pageBreakBefore w:val="0"/>
        <w:spacing w:before="260" w:after="260"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2" w:name="_Toc498006744"/>
      <w:r>
        <w:rPr>
          <w:color w:val="000000" w:themeColor="text1"/>
          <w:highlight w:val="none"/>
        </w:rPr>
      </w:r>
      <w:bookmarkEnd w:id="2"/>
      <w:r>
        <w:rPr>
          <w:color w:val="000000" w:themeColor="text1"/>
          <w:highlight w:val="none"/>
        </w:rPr>
      </w:r>
      <w:bookmarkStart w:id="3" w:name="_Toc2128344692"/>
      <w:r>
        <w:rPr>
          <w:color w:val="000000" w:themeColor="text1"/>
          <w:highlight w:val="none"/>
        </w:rPr>
      </w:r>
      <w:bookmarkStart w:id="4" w:name="_Toc2143857470"/>
      <w:r>
        <w:rPr>
          <w:color w:val="000000" w:themeColor="text1"/>
          <w:highlight w:val="none"/>
        </w:rPr>
      </w:r>
      <w:bookmarkStart w:id="5" w:name="_Toc509499434"/>
      <w:r>
        <w:rPr>
          <w:color w:val="000000" w:themeColor="text1"/>
          <w:highlight w:val="none"/>
        </w:rPr>
      </w:r>
      <w:r>
        <w:rPr>
          <w:color w:val="000000" w:themeColor="text1"/>
          <w:highlight w:val="none"/>
        </w:rPr>
      </w:r>
    </w:p>
    <w:p>
      <w:pPr>
        <w:pStyle w:val="1087"/>
        <w:numPr>
          <w:ilvl w:val="0"/>
          <w:numId w:val="0"/>
        </w:numPr>
        <w:ind w:left="3402"/>
        <w:jc w:val="both"/>
        <w:keepLines/>
        <w:keepNext w:val="0"/>
        <w:pageBreakBefore w:val="0"/>
        <w:spacing w:before="260" w:after="260" w:line="360" w:lineRule="auto"/>
        <w:widowControl w:val="off"/>
        <w:rPr>
          <w:rFonts w:hint="eastAsia"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rPr>
        <w:t xml:space="preserve">第一部分 合同协议书</w:t>
      </w:r>
      <w:bookmarkEnd w:id="3"/>
      <w:r>
        <w:rPr>
          <w:color w:val="000000" w:themeColor="text1"/>
          <w:highlight w:val="none"/>
        </w:rPr>
      </w:r>
      <w:bookmarkEnd w:id="4"/>
      <w:r>
        <w:rPr>
          <w:color w:val="000000" w:themeColor="text1"/>
          <w:highlight w:val="none"/>
        </w:rPr>
      </w:r>
      <w:bookmarkEnd w:id="5"/>
      <w:r>
        <w:rPr>
          <w:color w:val="000000" w:themeColor="text1"/>
          <w:highlight w:val="none"/>
        </w:rPr>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bCs/>
          <w:color w:val="000000" w:themeColor="text1"/>
          <w:sz w:val="24"/>
          <w:szCs w:val="24"/>
          <w:highlight w:val="none"/>
          <w:u w:val="single"/>
        </w:rPr>
      </w:pPr>
      <w:r>
        <w:rPr>
          <w:rFonts w:hint="eastAsia" w:ascii="宋体" w:hAnsi="宋体" w:eastAsia="宋体" w:cs="宋体"/>
          <w:bCs/>
          <w:color w:val="000000" w:themeColor="text1"/>
          <w:sz w:val="24"/>
          <w:szCs w:val="24"/>
          <w:highlight w:val="none"/>
        </w:rPr>
        <w:t xml:space="preserve">发包人（全称）：</w:t>
      </w:r>
      <w:r>
        <w:rPr>
          <w:rFonts w:hint="eastAsia" w:ascii="宋体" w:hAnsi="宋体" w:eastAsia="宋体" w:cs="宋体"/>
          <w:bCs/>
          <w:color w:val="000000" w:themeColor="text1"/>
          <w:sz w:val="24"/>
          <w:szCs w:val="24"/>
          <w:highlight w:val="none"/>
          <w:u w:val="single"/>
        </w:rPr>
        <w:t xml:space="preserve">     沛县园林服务中心      </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bCs/>
          <w:color w:val="000000" w:themeColor="text1"/>
          <w:sz w:val="24"/>
          <w:szCs w:val="24"/>
          <w:highlight w:val="none"/>
          <w:u w:val="single"/>
        </w:rPr>
      </w:pPr>
      <w:r>
        <w:rPr>
          <w:rFonts w:hint="eastAsia" w:ascii="宋体" w:hAnsi="宋体" w:eastAsia="宋体" w:cs="宋体"/>
          <w:bCs/>
          <w:color w:val="000000" w:themeColor="text1"/>
          <w:sz w:val="24"/>
          <w:szCs w:val="24"/>
          <w:highlight w:val="none"/>
        </w:rPr>
        <w:t xml:space="preserve">承包人（全称）：</w:t>
      </w:r>
      <w:r>
        <w:rPr>
          <w:rFonts w:hint="eastAsia" w:ascii="宋体" w:hAnsi="宋体" w:eastAsia="宋体" w:cs="宋体"/>
          <w:bCs/>
          <w:color w:val="000000" w:themeColor="text1"/>
          <w:sz w:val="24"/>
          <w:szCs w:val="24"/>
          <w:highlight w:val="none"/>
          <w:u w:val="single"/>
        </w:rPr>
        <w:t xml:space="preserve">                          </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根据《中华人民共和国民法典》《中华人民共和国建筑法》《中华人民共和国政府采购法》及有关法律规定，遵循平等、自愿、公平和诚实信用的原则，双方就</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工程施工及有关事项协商一致，共同达成如下协议：</w:t>
      </w:r>
      <w:r>
        <w:rPr>
          <w:color w:val="000000" w:themeColor="text1"/>
          <w:highlight w:val="none"/>
        </w:rPr>
      </w:r>
    </w:p>
    <w:p>
      <w:pPr>
        <w:pStyle w:val="910"/>
        <w:numPr>
          <w:ilvl w:val="0"/>
          <w:numId w:val="0"/>
        </w:numPr>
        <w:ind w:left="704" w:hanging="420"/>
        <w:keepLines/>
        <w:keepNext w:val="0"/>
        <w:pageBreakBefore w:val="0"/>
        <w:spacing w:before="0" w:after="0"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6" w:name="_Toc1433341455"/>
      <w:r>
        <w:rPr>
          <w:color w:val="000000" w:themeColor="text1"/>
          <w:highlight w:val="none"/>
        </w:rPr>
      </w:r>
      <w:bookmarkStart w:id="7" w:name="_Toc445784615"/>
      <w:r>
        <w:rPr>
          <w:rFonts w:hint="eastAsia" w:ascii="宋体" w:hAnsi="宋体" w:eastAsia="宋体" w:cs="宋体"/>
          <w:b w:val="0"/>
          <w:color w:val="000000" w:themeColor="text1"/>
          <w:sz w:val="24"/>
          <w:szCs w:val="24"/>
          <w:highlight w:val="none"/>
        </w:rPr>
        <w:t xml:space="preserve">一、工程概况</w:t>
      </w:r>
      <w:bookmarkEnd w:id="6"/>
      <w:r>
        <w:rPr>
          <w:color w:val="000000" w:themeColor="text1"/>
          <w:highlight w:val="none"/>
        </w:rPr>
      </w:r>
      <w:bookmarkEnd w:id="7"/>
      <w:r>
        <w:rPr>
          <w:color w:val="000000" w:themeColor="text1"/>
          <w:highlight w:val="none"/>
        </w:rPr>
      </w:r>
      <w:r>
        <w:rPr>
          <w:color w:val="000000" w:themeColor="text1"/>
          <w:highlight w:val="none"/>
        </w:rPr>
      </w:r>
    </w:p>
    <w:p>
      <w:pPr>
        <w:pStyle w:val="906"/>
        <w:ind w:firstLine="470"/>
        <w:keepLines/>
        <w:keepNext w:val="0"/>
        <w:pageBreakBefore w:val="0"/>
        <w:spacing w:line="360" w:lineRule="auto"/>
        <w:widowControl w:val="off"/>
        <w:rPr>
          <w:rFonts w:hint="eastAsia" w:ascii="宋体" w:hAnsi="宋体" w:eastAsia="宋体" w:cs="宋体"/>
          <w:bCs/>
          <w:color w:val="000000" w:themeColor="text1"/>
          <w:sz w:val="24"/>
          <w:szCs w:val="24"/>
          <w:highlight w:val="none"/>
          <w:u w:val="single"/>
        </w:rPr>
      </w:pPr>
      <w:r>
        <w:rPr>
          <w:rFonts w:hint="eastAsia" w:ascii="宋体" w:hAnsi="宋体" w:eastAsia="宋体" w:cs="宋体"/>
          <w:bCs/>
          <w:color w:val="000000" w:themeColor="text1"/>
          <w:sz w:val="24"/>
          <w:szCs w:val="24"/>
          <w:highlight w:val="none"/>
        </w:rPr>
        <w:t xml:space="preserve">1.工程名称：</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w:t>
      </w:r>
      <w:r>
        <w:rPr>
          <w:color w:val="000000" w:themeColor="text1"/>
          <w:highlight w:val="none"/>
        </w:rPr>
      </w:r>
    </w:p>
    <w:p>
      <w:pPr>
        <w:pStyle w:val="906"/>
        <w:ind w:firstLine="47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2.工程地点：</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w:t>
      </w:r>
      <w:r>
        <w:rPr>
          <w:color w:val="000000" w:themeColor="text1"/>
          <w:highlight w:val="none"/>
        </w:rPr>
      </w:r>
    </w:p>
    <w:p>
      <w:pPr>
        <w:pStyle w:val="906"/>
        <w:ind w:firstLine="47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3.工程立项批准文号：</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w:t>
      </w:r>
      <w:r>
        <w:rPr>
          <w:color w:val="000000" w:themeColor="text1"/>
          <w:highlight w:val="none"/>
        </w:rPr>
      </w:r>
    </w:p>
    <w:p>
      <w:pPr>
        <w:pStyle w:val="906"/>
        <w:ind w:firstLine="47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4.资金来源：</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w:t>
      </w:r>
      <w:r>
        <w:rPr>
          <w:color w:val="000000" w:themeColor="text1"/>
          <w:highlight w:val="none"/>
        </w:rPr>
      </w:r>
    </w:p>
    <w:p>
      <w:pPr>
        <w:pStyle w:val="906"/>
        <w:ind w:firstLine="47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5.工程规模：</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w:t>
      </w:r>
      <w:r>
        <w:rPr>
          <w:color w:val="000000" w:themeColor="text1"/>
          <w:highlight w:val="none"/>
        </w:rPr>
      </w:r>
    </w:p>
    <w:p>
      <w:pPr>
        <w:pStyle w:val="906"/>
        <w:ind w:firstLine="47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群体工程应附《承包人承揽工程项目一览表》（附件1）。</w:t>
      </w:r>
      <w:r>
        <w:rPr>
          <w:color w:val="000000" w:themeColor="text1"/>
          <w:highlight w:val="none"/>
        </w:rPr>
      </w:r>
    </w:p>
    <w:p>
      <w:pPr>
        <w:pStyle w:val="906"/>
        <w:ind w:firstLine="47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6.工程承包范围：</w:t>
      </w:r>
      <w:r>
        <w:rPr>
          <w:rFonts w:hint="eastAsia" w:ascii="宋体" w:hAnsi="宋体" w:eastAsia="宋体" w:cs="宋体"/>
          <w:bCs/>
          <w:color w:val="000000" w:themeColor="text1"/>
          <w:sz w:val="24"/>
          <w:szCs w:val="24"/>
          <w:highlight w:val="none"/>
          <w:u w:val="single"/>
        </w:rPr>
        <w:t xml:space="preserve">工程量清单及施工图内容</w:t>
      </w:r>
      <w:r>
        <w:rPr>
          <w:rFonts w:hint="eastAsia" w:ascii="宋体" w:hAnsi="宋体" w:eastAsia="宋体" w:cs="宋体"/>
          <w:bCs/>
          <w:color w:val="000000" w:themeColor="text1"/>
          <w:sz w:val="24"/>
          <w:szCs w:val="24"/>
          <w:highlight w:val="none"/>
        </w:rPr>
        <w:t xml:space="preserve">。</w:t>
      </w:r>
      <w:r>
        <w:rPr>
          <w:color w:val="000000" w:themeColor="text1"/>
          <w:highlight w:val="none"/>
        </w:rPr>
      </w:r>
    </w:p>
    <w:p>
      <w:pPr>
        <w:pStyle w:val="910"/>
        <w:numPr>
          <w:ilvl w:val="0"/>
          <w:numId w:val="0"/>
        </w:numPr>
        <w:ind w:left="284"/>
        <w:keepLines/>
        <w:keepNext w:val="0"/>
        <w:pageBreakBefore w:val="0"/>
        <w:spacing w:before="0" w:after="0"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8" w:name="_Toc1515347488"/>
      <w:r>
        <w:rPr>
          <w:color w:val="000000" w:themeColor="text1"/>
          <w:highlight w:val="none"/>
        </w:rPr>
      </w:r>
      <w:bookmarkStart w:id="9" w:name="_Toc712002224"/>
      <w:r>
        <w:rPr>
          <w:rFonts w:hint="eastAsia" w:ascii="宋体" w:hAnsi="宋体" w:eastAsia="宋体" w:cs="宋体"/>
          <w:b w:val="0"/>
          <w:color w:val="000000" w:themeColor="text1"/>
          <w:sz w:val="24"/>
          <w:szCs w:val="24"/>
          <w:highlight w:val="none"/>
        </w:rPr>
        <w:t xml:space="preserve">二、合同工期</w:t>
      </w:r>
      <w:bookmarkEnd w:id="8"/>
      <w:r>
        <w:rPr>
          <w:color w:val="000000" w:themeColor="text1"/>
          <w:highlight w:val="none"/>
        </w:rPr>
      </w:r>
      <w:bookmarkEnd w:id="9"/>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计划开工日期：</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年</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月</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日。（具体开工日期以建设单位签发的</w:t>
      </w:r>
      <w:r>
        <w:rPr>
          <w:rFonts w:hint="eastAsia" w:ascii="宋体" w:hAnsi="宋体" w:eastAsia="宋体" w:cs="宋体"/>
          <w:bCs/>
          <w:color w:val="000000" w:themeColor="text1"/>
          <w:sz w:val="24"/>
          <w:szCs w:val="24"/>
          <w:highlight w:val="none"/>
        </w:rPr>
        <w:t xml:space="preserve">开工令为准）</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计划竣工日期：</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年</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月</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日。</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工期总日历天数：</w:t>
      </w:r>
      <w:r>
        <w:rPr>
          <w:rFonts w:hint="eastAsia" w:ascii="宋体" w:hAnsi="宋体" w:eastAsia="宋体" w:cs="宋体"/>
          <w:bCs/>
          <w:color w:val="000000" w:themeColor="text1"/>
          <w:sz w:val="24"/>
          <w:szCs w:val="24"/>
          <w:highlight w:val="none"/>
          <w:u w:val="single"/>
          <w:lang w:val="en-US" w:eastAsia="zh-CN"/>
        </w:rPr>
        <w:t xml:space="preserve">30</w:t>
      </w:r>
      <w:r>
        <w:rPr>
          <w:rFonts w:hint="eastAsia" w:ascii="宋体" w:hAnsi="宋体" w:eastAsia="宋体" w:cs="宋体"/>
          <w:bCs/>
          <w:color w:val="000000" w:themeColor="text1"/>
          <w:sz w:val="24"/>
          <w:szCs w:val="24"/>
          <w:highlight w:val="none"/>
        </w:rPr>
        <w:t xml:space="preserve">天，阶段性工期：</w:t>
      </w:r>
      <w:r>
        <w:rPr>
          <w:rFonts w:hint="eastAsia" w:ascii="宋体" w:hAnsi="宋体" w:eastAsia="宋体" w:cs="宋体"/>
          <w:bCs/>
          <w:color w:val="000000" w:themeColor="text1"/>
          <w:sz w:val="24"/>
          <w:szCs w:val="24"/>
          <w:highlight w:val="none"/>
          <w:u w:val="single"/>
        </w:rPr>
        <w:t xml:space="preserve">     /    </w:t>
      </w:r>
      <w:r>
        <w:rPr>
          <w:rFonts w:hint="eastAsia" w:ascii="宋体" w:hAnsi="宋体" w:eastAsia="宋体" w:cs="宋体"/>
          <w:bCs/>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工期总日历天数与根据前述计划开竣工日期计算的工期天数不一致的，以工期总日历天数为准。</w:t>
      </w:r>
      <w:r>
        <w:rPr>
          <w:color w:val="000000" w:themeColor="text1"/>
          <w:highlight w:val="none"/>
        </w:rPr>
      </w:r>
    </w:p>
    <w:p>
      <w:pPr>
        <w:pStyle w:val="910"/>
        <w:numPr>
          <w:ilvl w:val="0"/>
          <w:numId w:val="0"/>
        </w:numPr>
        <w:keepLines/>
        <w:keepNext w:val="0"/>
        <w:pageBreakBefore w:val="0"/>
        <w:spacing w:before="0" w:after="0"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10" w:name="_Toc385210886"/>
      <w:r>
        <w:rPr>
          <w:color w:val="000000" w:themeColor="text1"/>
          <w:highlight w:val="none"/>
        </w:rPr>
      </w:r>
      <w:bookmarkStart w:id="11" w:name="_Toc1520902222"/>
      <w:r>
        <w:rPr>
          <w:rFonts w:hint="eastAsia" w:ascii="宋体" w:hAnsi="宋体" w:eastAsia="宋体" w:cs="宋体"/>
          <w:b w:val="0"/>
          <w:color w:val="000000" w:themeColor="text1"/>
          <w:sz w:val="24"/>
          <w:szCs w:val="24"/>
          <w:highlight w:val="none"/>
        </w:rPr>
        <w:t xml:space="preserve">三、质量标准</w:t>
      </w:r>
      <w:bookmarkEnd w:id="10"/>
      <w:r>
        <w:rPr>
          <w:color w:val="000000" w:themeColor="text1"/>
          <w:highlight w:val="none"/>
        </w:rPr>
      </w:r>
      <w:bookmarkEnd w:id="11"/>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工程质量符合</w:t>
      </w:r>
      <w:r>
        <w:rPr>
          <w:rFonts w:hint="eastAsia" w:ascii="宋体" w:hAnsi="宋体" w:eastAsia="宋体" w:cs="宋体"/>
          <w:bCs/>
          <w:color w:val="000000" w:themeColor="text1"/>
          <w:sz w:val="24"/>
          <w:szCs w:val="24"/>
          <w:highlight w:val="none"/>
          <w:u w:val="single"/>
        </w:rPr>
        <w:t xml:space="preserve">    合格   </w:t>
      </w:r>
      <w:r>
        <w:rPr>
          <w:rFonts w:hint="eastAsia" w:ascii="宋体" w:hAnsi="宋体" w:eastAsia="宋体" w:cs="宋体"/>
          <w:bCs/>
          <w:color w:val="000000" w:themeColor="text1"/>
          <w:sz w:val="24"/>
          <w:szCs w:val="24"/>
          <w:highlight w:val="none"/>
        </w:rPr>
        <w:t xml:space="preserve">标准；</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园林绿化养护质量符合《园林绿化养护标准》（CJJ/T287）或（地方标准）中级标准。</w:t>
      </w:r>
      <w:r>
        <w:rPr>
          <w:color w:val="000000" w:themeColor="text1"/>
          <w:highlight w:val="none"/>
        </w:rPr>
      </w:r>
    </w:p>
    <w:p>
      <w:pPr>
        <w:pStyle w:val="910"/>
        <w:numPr>
          <w:ilvl w:val="0"/>
          <w:numId w:val="0"/>
        </w:numPr>
        <w:ind w:left="284"/>
        <w:keepLines/>
        <w:keepNext w:val="0"/>
        <w:pageBreakBefore w:val="0"/>
        <w:spacing w:before="0" w:after="0"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12" w:name="_Toc1032760150"/>
      <w:r>
        <w:rPr>
          <w:color w:val="000000" w:themeColor="text1"/>
          <w:highlight w:val="none"/>
        </w:rPr>
      </w:r>
      <w:bookmarkStart w:id="13" w:name="_Toc204832942"/>
      <w:r>
        <w:rPr>
          <w:rFonts w:hint="eastAsia" w:ascii="宋体" w:hAnsi="宋体" w:eastAsia="宋体" w:cs="宋体"/>
          <w:b w:val="0"/>
          <w:color w:val="000000" w:themeColor="text1"/>
          <w:sz w:val="24"/>
          <w:szCs w:val="24"/>
          <w:highlight w:val="none"/>
        </w:rPr>
        <w:t xml:space="preserve">四、签约合同价与合同价格形式</w:t>
      </w:r>
      <w:bookmarkEnd w:id="12"/>
      <w:r>
        <w:rPr>
          <w:color w:val="000000" w:themeColor="text1"/>
          <w:highlight w:val="none"/>
        </w:rPr>
      </w:r>
      <w:bookmarkEnd w:id="13"/>
      <w:r>
        <w:rPr>
          <w:rFonts w:hint="eastAsia" w:ascii="宋体" w:hAnsi="宋体" w:eastAsia="宋体" w:cs="宋体"/>
          <w:b w:val="0"/>
          <w:color w:val="000000" w:themeColor="text1"/>
          <w:sz w:val="24"/>
          <w:szCs w:val="24"/>
          <w:highlight w:val="none"/>
        </w:rPr>
        <w:tab/>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u w:val="single"/>
        </w:rPr>
      </w:pPr>
      <w:r>
        <w:rPr>
          <w:rFonts w:hint="eastAsia" w:ascii="宋体" w:hAnsi="宋体" w:eastAsia="宋体" w:cs="宋体"/>
          <w:bCs/>
          <w:color w:val="000000" w:themeColor="text1"/>
          <w:sz w:val="24"/>
          <w:szCs w:val="24"/>
          <w:highlight w:val="none"/>
        </w:rPr>
        <w:t xml:space="preserve">1.签约合同价（不含税）为：</w:t>
      </w:r>
      <w:r>
        <w:rPr>
          <w:rFonts w:hint="eastAsia" w:ascii="宋体" w:hAnsi="宋体" w:eastAsia="宋体" w:cs="宋体"/>
          <w:bCs/>
          <w:color w:val="000000" w:themeColor="text1"/>
          <w:sz w:val="24"/>
          <w:szCs w:val="24"/>
          <w:highlight w:val="none"/>
          <w:u w:val="single"/>
        </w:rPr>
        <w:t xml:space="preserve">   /  </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人民币（大写）</w:t>
      </w:r>
      <w:r>
        <w:rPr>
          <w:rFonts w:hint="eastAsia" w:ascii="宋体" w:hAnsi="宋体" w:eastAsia="宋体" w:cs="宋体"/>
          <w:bCs/>
          <w:color w:val="000000" w:themeColor="text1"/>
          <w:sz w:val="24"/>
          <w:szCs w:val="24"/>
          <w:highlight w:val="none"/>
          <w:u w:val="single"/>
        </w:rPr>
        <w:t xml:space="preserve">   /  </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u w:val="single"/>
        </w:rPr>
        <w:t xml:space="preserve">     /  </w:t>
      </w:r>
      <w:r>
        <w:rPr>
          <w:rFonts w:hint="eastAsia" w:ascii="宋体" w:hAnsi="宋体" w:eastAsia="宋体" w:cs="宋体"/>
          <w:bCs/>
          <w:color w:val="000000" w:themeColor="text1"/>
          <w:sz w:val="24"/>
          <w:szCs w:val="24"/>
          <w:highlight w:val="none"/>
        </w:rPr>
        <w:t xml:space="preserve">元)；税率：</w:t>
      </w:r>
      <w:r>
        <w:rPr>
          <w:rFonts w:hint="eastAsia" w:ascii="宋体" w:hAnsi="宋体" w:eastAsia="宋体" w:cs="宋体"/>
          <w:bCs/>
          <w:color w:val="000000" w:themeColor="text1"/>
          <w:sz w:val="24"/>
          <w:szCs w:val="24"/>
          <w:highlight w:val="none"/>
          <w:u w:val="single"/>
        </w:rPr>
        <w:t xml:space="preserve">   /  </w:t>
      </w:r>
      <w:r>
        <w:rPr>
          <w:rFonts w:hint="eastAsia" w:ascii="宋体" w:hAnsi="宋体" w:eastAsia="宋体" w:cs="宋体"/>
          <w:bCs/>
          <w:color w:val="000000" w:themeColor="text1"/>
          <w:sz w:val="24"/>
          <w:szCs w:val="24"/>
          <w:highlight w:val="none"/>
        </w:rPr>
        <w:t xml:space="preserve">%；</w:t>
      </w:r>
      <w:r>
        <w:rPr>
          <w:color w:val="000000" w:themeColor="text1"/>
          <w:highlight w:val="none"/>
        </w:rPr>
      </w:r>
    </w:p>
    <w:p>
      <w:pPr>
        <w:pStyle w:val="906"/>
        <w:ind w:left="149" w:firstLine="36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含税金额：人民币（大写）</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u w:val="single"/>
        </w:rPr>
        <w:t xml:space="preserve">      元</w:t>
      </w:r>
      <w:r>
        <w:rPr>
          <w:rFonts w:hint="eastAsia" w:ascii="宋体" w:hAnsi="宋体" w:eastAsia="宋体" w:cs="宋体"/>
          <w:bCs/>
          <w:color w:val="000000" w:themeColor="text1"/>
          <w:sz w:val="24"/>
          <w:szCs w:val="24"/>
          <w:highlight w:val="none"/>
        </w:rPr>
        <w:t xml:space="preserve">)。</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其中：</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（1）安全文明施工费（含税）：￥：</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元</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人民币（大写）(</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（2）暂估价金额（含税）：￥：</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元</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人民币（大写）(</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（3）暂列金额（含税）：￥：</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元</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人民币（大写）(</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（4）农民工工伤保险（含税）：/</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人民币（大写）(/元)。</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2.合同价格形式：</w:t>
      </w:r>
      <w:r>
        <w:rPr>
          <w:rFonts w:hint="eastAsia" w:ascii="宋体" w:hAnsi="宋体" w:eastAsia="宋体" w:cs="宋体"/>
          <w:bCs/>
          <w:color w:val="000000" w:themeColor="text1"/>
          <w:sz w:val="24"/>
          <w:szCs w:val="24"/>
          <w:highlight w:val="none"/>
          <w:u w:val="single"/>
        </w:rPr>
        <w:t xml:space="preserve">固定单价</w:t>
      </w:r>
      <w:r>
        <w:rPr>
          <w:rFonts w:hint="eastAsia" w:ascii="宋体" w:hAnsi="宋体" w:eastAsia="宋体" w:cs="宋体"/>
          <w:bCs/>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outlineLvl w:val="1"/>
      </w:pPr>
      <w:r>
        <w:rPr>
          <w:color w:val="000000" w:themeColor="text1"/>
          <w:highlight w:val="none"/>
        </w:rPr>
      </w:r>
      <w:bookmarkStart w:id="14" w:name="_Toc1266145827"/>
      <w:r>
        <w:rPr>
          <w:color w:val="000000" w:themeColor="text1"/>
          <w:highlight w:val="none"/>
        </w:rPr>
      </w:r>
      <w:bookmarkStart w:id="15" w:name="_Toc578358000"/>
      <w:r>
        <w:rPr>
          <w:rFonts w:hint="eastAsia" w:ascii="宋体" w:hAnsi="宋体" w:eastAsia="宋体" w:cs="宋体"/>
          <w:bCs/>
          <w:color w:val="000000" w:themeColor="text1"/>
          <w:sz w:val="24"/>
          <w:szCs w:val="24"/>
          <w:highlight w:val="none"/>
        </w:rPr>
        <w:t xml:space="preserve">五、承包人项目负责人</w:t>
      </w:r>
      <w:bookmarkEnd w:id="14"/>
      <w:r>
        <w:rPr>
          <w:color w:val="000000" w:themeColor="text1"/>
          <w:highlight w:val="none"/>
        </w:rPr>
      </w:r>
      <w:bookmarkEnd w:id="15"/>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color w:val="000000" w:themeColor="text1"/>
          <w:highlight w:val="none"/>
        </w:rPr>
      </w:r>
      <w:bookmarkStart w:id="16" w:name="_Toc1315372893"/>
      <w:r>
        <w:rPr>
          <w:color w:val="000000" w:themeColor="text1"/>
          <w:highlight w:val="none"/>
        </w:rPr>
      </w:r>
      <w:bookmarkStart w:id="17" w:name="_Toc565350378"/>
      <w:r>
        <w:rPr>
          <w:rFonts w:hint="eastAsia" w:ascii="宋体" w:hAnsi="宋体" w:eastAsia="宋体" w:cs="宋体"/>
          <w:bCs/>
          <w:color w:val="000000" w:themeColor="text1"/>
          <w:sz w:val="24"/>
          <w:szCs w:val="24"/>
          <w:highlight w:val="none"/>
        </w:rPr>
        <w:t xml:space="preserve">姓名：     ；身份证号：     。</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outlineLvl w:val="1"/>
      </w:pPr>
      <w:r>
        <w:rPr>
          <w:rFonts w:hint="eastAsia" w:ascii="宋体" w:hAnsi="宋体" w:eastAsia="宋体" w:cs="宋体"/>
          <w:bCs/>
          <w:color w:val="000000" w:themeColor="text1"/>
          <w:sz w:val="24"/>
          <w:szCs w:val="24"/>
          <w:highlight w:val="none"/>
        </w:rPr>
        <w:t xml:space="preserve">六、预付款</w:t>
      </w:r>
      <w:bookmarkEnd w:id="16"/>
      <w:r>
        <w:rPr>
          <w:color w:val="000000" w:themeColor="text1"/>
          <w:highlight w:val="none"/>
        </w:rPr>
      </w:r>
      <w:bookmarkEnd w:id="17"/>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预付款：发包人在合同签订后，</w:t>
      </w:r>
      <w:r>
        <w:rPr>
          <w:rFonts w:hint="eastAsia" w:ascii="宋体" w:hAnsi="宋体" w:eastAsia="宋体" w:cs="宋体"/>
          <w:bCs/>
          <w:color w:val="000000" w:themeColor="text1"/>
          <w:sz w:val="24"/>
          <w:szCs w:val="24"/>
          <w:highlight w:val="none"/>
          <w:u w:val="single"/>
        </w:rPr>
        <w:t xml:space="preserve">    /   </w:t>
      </w:r>
      <w:r>
        <w:rPr>
          <w:rFonts w:hint="eastAsia" w:ascii="宋体" w:hAnsi="宋体" w:eastAsia="宋体" w:cs="宋体"/>
          <w:bCs/>
          <w:color w:val="000000" w:themeColor="text1"/>
          <w:sz w:val="24"/>
          <w:szCs w:val="24"/>
          <w:highlight w:val="none"/>
        </w:rPr>
        <w:t xml:space="preserve">个工作日内支付合同价的</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 %作为工程预付款。</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bCs/>
          <w:color w:val="000000" w:themeColor="text1"/>
          <w:sz w:val="24"/>
          <w:szCs w:val="24"/>
          <w:highlight w:val="none"/>
        </w:rPr>
        <w:outlineLvl w:val="1"/>
      </w:pPr>
      <w:r>
        <w:rPr>
          <w:color w:val="000000" w:themeColor="text1"/>
          <w:highlight w:val="none"/>
        </w:rPr>
      </w:r>
      <w:bookmarkStart w:id="18" w:name="_Toc1555190768"/>
      <w:r>
        <w:rPr>
          <w:color w:val="000000" w:themeColor="text1"/>
          <w:highlight w:val="none"/>
        </w:rPr>
      </w:r>
      <w:bookmarkStart w:id="19" w:name="_Toc1430992058"/>
      <w:r>
        <w:rPr>
          <w:rFonts w:hint="eastAsia" w:ascii="宋体" w:hAnsi="宋体" w:eastAsia="宋体" w:cs="宋体"/>
          <w:bCs/>
          <w:color w:val="000000" w:themeColor="text1"/>
          <w:sz w:val="24"/>
          <w:szCs w:val="24"/>
          <w:highlight w:val="none"/>
        </w:rPr>
        <w:t xml:space="preserve">七、绿化种植及养护要求</w:t>
      </w:r>
      <w:bookmarkEnd w:id="18"/>
      <w:r>
        <w:rPr>
          <w:color w:val="000000" w:themeColor="text1"/>
          <w:highlight w:val="none"/>
        </w:rPr>
      </w:r>
      <w:bookmarkEnd w:id="19"/>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1.在施工过程及绿化养护期内植物死亡，须按原设计品种和规格更换，更换费用由承包人承担。</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u w:val="single"/>
        </w:rPr>
      </w:pPr>
      <w:r>
        <w:rPr>
          <w:rFonts w:hint="eastAsia" w:ascii="宋体" w:hAnsi="宋体" w:eastAsia="宋体" w:cs="宋体"/>
          <w:bCs/>
          <w:color w:val="000000" w:themeColor="text1"/>
          <w:sz w:val="24"/>
          <w:szCs w:val="24"/>
          <w:highlight w:val="none"/>
        </w:rPr>
        <w:t xml:space="preserve">2.竣工验收时苗木成活率约定（乔木、灌木、地被、草坪等）：100%。</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u w:val="single"/>
        </w:rPr>
      </w:pPr>
      <w:r>
        <w:rPr>
          <w:rFonts w:hint="eastAsia" w:ascii="宋体" w:hAnsi="宋体" w:eastAsia="宋体" w:cs="宋体"/>
          <w:bCs/>
          <w:color w:val="000000" w:themeColor="text1"/>
          <w:sz w:val="24"/>
          <w:szCs w:val="24"/>
          <w:highlight w:val="none"/>
        </w:rPr>
        <w:t xml:space="preserve">3.养护期满移交时苗木成活率约定（乔木、灌木、地被、草坪等）：100%。</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bCs/>
          <w:color w:val="000000" w:themeColor="text1"/>
          <w:sz w:val="24"/>
          <w:szCs w:val="24"/>
          <w:highlight w:val="none"/>
          <w:u w:val="single"/>
        </w:rPr>
        <w:outlineLvl w:val="1"/>
      </w:pPr>
      <w:r>
        <w:rPr>
          <w:color w:val="000000" w:themeColor="text1"/>
          <w:highlight w:val="none"/>
        </w:rPr>
      </w:r>
      <w:bookmarkStart w:id="20" w:name="_Toc367134989"/>
      <w:r>
        <w:rPr>
          <w:color w:val="000000" w:themeColor="text1"/>
          <w:highlight w:val="none"/>
        </w:rPr>
      </w:r>
      <w:bookmarkStart w:id="21" w:name="_Toc1430684837"/>
      <w:r>
        <w:rPr>
          <w:rFonts w:hint="eastAsia" w:ascii="宋体" w:hAnsi="宋体" w:eastAsia="宋体" w:cs="宋体"/>
          <w:bCs/>
          <w:color w:val="000000" w:themeColor="text1"/>
          <w:sz w:val="24"/>
          <w:szCs w:val="24"/>
          <w:highlight w:val="none"/>
        </w:rPr>
        <w:t xml:space="preserve">八、其他要求：</w:t>
      </w:r>
      <w:bookmarkEnd w:id="20"/>
      <w:r>
        <w:rPr>
          <w:color w:val="000000" w:themeColor="text1"/>
          <w:highlight w:val="none"/>
        </w:rPr>
      </w:r>
      <w:bookmarkEnd w:id="21"/>
      <w:r>
        <w:rPr>
          <w:rFonts w:hint="eastAsia" w:ascii="宋体" w:hAnsi="宋体" w:eastAsia="宋体" w:cs="宋体"/>
          <w:bCs/>
          <w:color w:val="000000" w:themeColor="text1"/>
          <w:sz w:val="24"/>
          <w:szCs w:val="24"/>
          <w:highlight w:val="none"/>
        </w:rPr>
        <w:t xml:space="preserve">无</w:t>
      </w:r>
      <w:bookmarkStart w:id="22" w:name="_Toc1394911462"/>
      <w:r>
        <w:rPr>
          <w:color w:val="000000" w:themeColor="text1"/>
          <w:highlight w:val="none"/>
        </w:rPr>
      </w:r>
      <w:bookmarkStart w:id="23" w:name="_Toc1140298820"/>
      <w:r>
        <w:rPr>
          <w:rFonts w:hint="eastAsia" w:ascii="宋体" w:hAnsi="宋体" w:eastAsia="宋体" w:cs="宋体"/>
          <w:bCs/>
          <w:color w:val="000000" w:themeColor="text1"/>
          <w:sz w:val="24"/>
          <w:szCs w:val="24"/>
          <w:highlight w:val="none"/>
        </w:rPr>
        <w:t xml:space="preserve">。</w:t>
      </w:r>
      <w:bookmarkEnd w:id="22"/>
      <w:r>
        <w:rPr>
          <w:color w:val="000000" w:themeColor="text1"/>
          <w:highlight w:val="none"/>
        </w:rPr>
      </w:r>
      <w:bookmarkEnd w:id="23"/>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bCs/>
          <w:color w:val="000000" w:themeColor="text1"/>
          <w:sz w:val="24"/>
          <w:szCs w:val="24"/>
          <w:highlight w:val="none"/>
        </w:rPr>
        <w:outlineLvl w:val="1"/>
      </w:pPr>
      <w:r>
        <w:rPr>
          <w:color w:val="000000" w:themeColor="text1"/>
          <w:highlight w:val="none"/>
        </w:rPr>
      </w:r>
      <w:bookmarkStart w:id="24" w:name="_Toc1318737122"/>
      <w:r>
        <w:rPr>
          <w:color w:val="000000" w:themeColor="text1"/>
          <w:highlight w:val="none"/>
        </w:rPr>
      </w:r>
      <w:bookmarkStart w:id="25" w:name="_Toc184090255"/>
      <w:r>
        <w:rPr>
          <w:rFonts w:hint="eastAsia" w:ascii="宋体" w:hAnsi="宋体" w:eastAsia="宋体" w:cs="宋体"/>
          <w:bCs/>
          <w:color w:val="000000" w:themeColor="text1"/>
          <w:sz w:val="24"/>
          <w:szCs w:val="24"/>
          <w:highlight w:val="none"/>
        </w:rPr>
        <w:t xml:space="preserve">九、合同文件构成</w:t>
      </w:r>
      <w:bookmarkEnd w:id="24"/>
      <w:r>
        <w:rPr>
          <w:color w:val="000000" w:themeColor="text1"/>
          <w:highlight w:val="none"/>
        </w:rPr>
      </w:r>
      <w:bookmarkEnd w:id="25"/>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本协议书与下列文件一起构成合同文件：</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bCs/>
          <w:color w:val="000000" w:themeColor="text1"/>
          <w:sz w:val="24"/>
          <w:szCs w:val="24"/>
          <w:highlight w:val="none"/>
          <w:u w:val="single"/>
        </w:rPr>
      </w:pPr>
      <w:r>
        <w:rPr>
          <w:rFonts w:hint="eastAsia" w:ascii="宋体" w:hAnsi="宋体" w:eastAsia="宋体" w:cs="宋体"/>
          <w:bCs/>
          <w:color w:val="000000" w:themeColor="text1"/>
          <w:sz w:val="24"/>
          <w:szCs w:val="24"/>
          <w:highlight w:val="none"/>
        </w:rPr>
        <w:t xml:space="preserve">（1）中标通知书（如果有）；（2）投标函及其附录（如果有）；（3）专用合同条款及其附件；（4）通用合同条款；（5）技术标准和要求；（6）图纸；（7）已标价工程量清单或预算书；（8）其他合同文件。</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在合同订立及履行过程中形成的与合同有关的文件均构成合同文件组成部分。</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bCs/>
          <w:color w:val="000000" w:themeColor="text1"/>
          <w:sz w:val="24"/>
          <w:szCs w:val="24"/>
          <w:highlight w:val="none"/>
        </w:rPr>
        <w:outlineLvl w:val="1"/>
      </w:pPr>
      <w:r>
        <w:rPr>
          <w:color w:val="000000" w:themeColor="text1"/>
          <w:highlight w:val="none"/>
        </w:rPr>
      </w:r>
      <w:bookmarkStart w:id="26" w:name="_Toc1718441829"/>
      <w:r>
        <w:rPr>
          <w:color w:val="000000" w:themeColor="text1"/>
          <w:highlight w:val="none"/>
        </w:rPr>
      </w:r>
      <w:bookmarkStart w:id="27" w:name="_Toc410640064"/>
      <w:r>
        <w:rPr>
          <w:rFonts w:hint="eastAsia" w:ascii="宋体" w:hAnsi="宋体" w:eastAsia="宋体" w:cs="宋体"/>
          <w:bCs/>
          <w:color w:val="000000" w:themeColor="text1"/>
          <w:sz w:val="24"/>
          <w:szCs w:val="24"/>
          <w:highlight w:val="none"/>
        </w:rPr>
        <w:t xml:space="preserve">十、承诺</w:t>
      </w:r>
      <w:bookmarkEnd w:id="26"/>
      <w:r>
        <w:rPr>
          <w:color w:val="000000" w:themeColor="text1"/>
          <w:highlight w:val="none"/>
        </w:rPr>
      </w:r>
      <w:bookmarkEnd w:id="27"/>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发包人承诺按照法律规定履行项目审批手续、筹集工程建设资金并按照合同约定的期限和方式支付合同价款，及时足额支付人工费用至农民工工资专用账户，并加强对施工总承包单位按时足额支付农民工工资的监督。</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承包人承诺按照法律规定及合同约定组织完成工程施工，确保工程质量和安全，不进行转包及违法分包，并在缺陷责任期及保修期内承担相应的工程维修责任；按照有关规定开设农民工工资专用账户，专项用于支付本工程农民工工资。农民工工资拨付周期不超过1个月。</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3.发包人和承包人通过招投标形式签订合同的，双方理解并承诺不再就同一工程另行签订与合同实质性内容相背离的协议。</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bCs/>
          <w:color w:val="000000" w:themeColor="text1"/>
          <w:sz w:val="24"/>
          <w:szCs w:val="24"/>
          <w:highlight w:val="none"/>
        </w:rPr>
        <w:outlineLvl w:val="1"/>
      </w:pPr>
      <w:r>
        <w:rPr>
          <w:color w:val="000000" w:themeColor="text1"/>
          <w:highlight w:val="none"/>
        </w:rPr>
      </w:r>
      <w:bookmarkStart w:id="28" w:name="_Toc1094819545"/>
      <w:r>
        <w:rPr>
          <w:color w:val="000000" w:themeColor="text1"/>
          <w:highlight w:val="none"/>
        </w:rPr>
      </w:r>
      <w:bookmarkStart w:id="29" w:name="_Toc1209713496"/>
      <w:r>
        <w:rPr>
          <w:rFonts w:hint="eastAsia" w:ascii="宋体" w:hAnsi="宋体" w:eastAsia="宋体" w:cs="宋体"/>
          <w:bCs/>
          <w:color w:val="000000" w:themeColor="text1"/>
          <w:sz w:val="24"/>
          <w:szCs w:val="24"/>
          <w:highlight w:val="none"/>
        </w:rPr>
        <w:t xml:space="preserve">十一、词语含义</w:t>
      </w:r>
      <w:bookmarkEnd w:id="28"/>
      <w:r>
        <w:rPr>
          <w:color w:val="000000" w:themeColor="text1"/>
          <w:highlight w:val="none"/>
        </w:rPr>
      </w:r>
      <w:bookmarkEnd w:id="29"/>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本协议书中词语含义与通用合同条款、专用合同条款中赋予的含义相同。</w:t>
      </w:r>
      <w:r>
        <w:rPr>
          <w:color w:val="000000" w:themeColor="text1"/>
          <w:highlight w:val="none"/>
        </w:rPr>
      </w:r>
    </w:p>
    <w:p>
      <w:pPr>
        <w:pStyle w:val="910"/>
        <w:numPr>
          <w:ilvl w:val="0"/>
          <w:numId w:val="0"/>
        </w:numPr>
        <w:ind w:left="284"/>
        <w:keepLines/>
        <w:keepNext w:val="0"/>
        <w:pageBreakBefore w:val="0"/>
        <w:spacing w:before="0" w:after="0"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30" w:name="_Toc1843922025"/>
      <w:r>
        <w:rPr>
          <w:color w:val="000000" w:themeColor="text1"/>
          <w:highlight w:val="none"/>
        </w:rPr>
      </w:r>
      <w:bookmarkStart w:id="31" w:name="_Toc1302915076"/>
      <w:r>
        <w:rPr>
          <w:rFonts w:hint="eastAsia" w:ascii="宋体" w:hAnsi="宋体" w:eastAsia="宋体" w:cs="宋体"/>
          <w:b w:val="0"/>
          <w:color w:val="000000" w:themeColor="text1"/>
          <w:sz w:val="24"/>
          <w:szCs w:val="24"/>
          <w:highlight w:val="none"/>
        </w:rPr>
        <w:t xml:space="preserve">十二、签订时间</w:t>
      </w:r>
      <w:bookmarkEnd w:id="30"/>
      <w:r>
        <w:rPr>
          <w:color w:val="000000" w:themeColor="text1"/>
          <w:highlight w:val="none"/>
        </w:rPr>
      </w:r>
      <w:bookmarkEnd w:id="31"/>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本合同于</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年</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月</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日签订。</w:t>
      </w:r>
      <w:r>
        <w:rPr>
          <w:color w:val="000000" w:themeColor="text1"/>
          <w:highlight w:val="none"/>
        </w:rPr>
      </w:r>
    </w:p>
    <w:p>
      <w:pPr>
        <w:pStyle w:val="910"/>
        <w:numPr>
          <w:ilvl w:val="0"/>
          <w:numId w:val="0"/>
        </w:numPr>
        <w:ind w:left="284"/>
        <w:keepLines/>
        <w:keepNext w:val="0"/>
        <w:pageBreakBefore w:val="0"/>
        <w:spacing w:before="0" w:after="0"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32" w:name="_Toc441671965"/>
      <w:r>
        <w:rPr>
          <w:color w:val="000000" w:themeColor="text1"/>
          <w:highlight w:val="none"/>
        </w:rPr>
      </w:r>
      <w:bookmarkStart w:id="33" w:name="_Toc251726425"/>
      <w:r>
        <w:rPr>
          <w:rFonts w:hint="eastAsia" w:ascii="宋体" w:hAnsi="宋体" w:eastAsia="宋体" w:cs="宋体"/>
          <w:b w:val="0"/>
          <w:color w:val="000000" w:themeColor="text1"/>
          <w:sz w:val="24"/>
          <w:szCs w:val="24"/>
          <w:highlight w:val="none"/>
        </w:rPr>
        <w:t xml:space="preserve">十三、签订地点</w:t>
      </w:r>
      <w:bookmarkEnd w:id="32"/>
      <w:r>
        <w:rPr>
          <w:color w:val="000000" w:themeColor="text1"/>
          <w:highlight w:val="none"/>
        </w:rPr>
      </w:r>
      <w:bookmarkEnd w:id="33"/>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本合同在</w:t>
      </w:r>
      <w:r>
        <w:rPr>
          <w:rFonts w:hint="eastAsia" w:ascii="宋体" w:hAnsi="宋体" w:eastAsia="宋体" w:cs="宋体"/>
          <w:bCs/>
          <w:color w:val="000000" w:themeColor="text1"/>
          <w:sz w:val="24"/>
          <w:szCs w:val="24"/>
          <w:highlight w:val="none"/>
          <w:u w:val="single"/>
        </w:rPr>
        <w:t xml:space="preserve">   沛县   </w:t>
      </w:r>
      <w:r>
        <w:rPr>
          <w:rFonts w:hint="eastAsia" w:ascii="宋体" w:hAnsi="宋体" w:eastAsia="宋体" w:cs="宋体"/>
          <w:bCs/>
          <w:color w:val="000000" w:themeColor="text1"/>
          <w:sz w:val="24"/>
          <w:szCs w:val="24"/>
          <w:highlight w:val="none"/>
        </w:rPr>
        <w:t xml:space="preserve">签订。</w:t>
      </w:r>
      <w:r>
        <w:rPr>
          <w:color w:val="000000" w:themeColor="text1"/>
          <w:highlight w:val="none"/>
        </w:rPr>
      </w:r>
    </w:p>
    <w:p>
      <w:pPr>
        <w:pStyle w:val="910"/>
        <w:numPr>
          <w:ilvl w:val="0"/>
          <w:numId w:val="0"/>
        </w:numPr>
        <w:ind w:left="284"/>
        <w:keepLines/>
        <w:keepNext w:val="0"/>
        <w:pageBreakBefore w:val="0"/>
        <w:spacing w:before="0" w:after="0"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34" w:name="_Toc1799890158"/>
      <w:r>
        <w:rPr>
          <w:color w:val="000000" w:themeColor="text1"/>
          <w:highlight w:val="none"/>
        </w:rPr>
      </w:r>
      <w:bookmarkStart w:id="35" w:name="_Toc1858176615"/>
      <w:r>
        <w:rPr>
          <w:rFonts w:hint="eastAsia" w:ascii="宋体" w:hAnsi="宋体" w:eastAsia="宋体" w:cs="宋体"/>
          <w:b w:val="0"/>
          <w:color w:val="000000" w:themeColor="text1"/>
          <w:sz w:val="24"/>
          <w:szCs w:val="24"/>
          <w:highlight w:val="none"/>
        </w:rPr>
        <w:t xml:space="preserve">十四、补充协议</w:t>
      </w:r>
      <w:bookmarkEnd w:id="34"/>
      <w:r>
        <w:rPr>
          <w:color w:val="000000" w:themeColor="text1"/>
          <w:highlight w:val="none"/>
        </w:rPr>
      </w:r>
      <w:bookmarkEnd w:id="35"/>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合同未尽事宜，合同当事人另行签订补充协议，补充协议是合同的组成部分。补充协议内容不得实质性背离本合同，约定的款项超过中标价10%以上，需经沛县人民政府批准。</w:t>
      </w:r>
      <w:r>
        <w:rPr>
          <w:color w:val="000000" w:themeColor="text1"/>
          <w:highlight w:val="none"/>
        </w:rPr>
      </w:r>
    </w:p>
    <w:p>
      <w:pPr>
        <w:pStyle w:val="910"/>
        <w:numPr>
          <w:ilvl w:val="0"/>
          <w:numId w:val="0"/>
        </w:numPr>
        <w:ind w:left="284"/>
        <w:keepLines/>
        <w:keepNext w:val="0"/>
        <w:pageBreakBefore w:val="0"/>
        <w:spacing w:before="0" w:after="0"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36" w:name="_Toc111240637"/>
      <w:r>
        <w:rPr>
          <w:color w:val="000000" w:themeColor="text1"/>
          <w:highlight w:val="none"/>
        </w:rPr>
      </w:r>
      <w:bookmarkStart w:id="37" w:name="_Toc1600665821"/>
      <w:r>
        <w:rPr>
          <w:rFonts w:hint="eastAsia" w:ascii="宋体" w:hAnsi="宋体" w:eastAsia="宋体" w:cs="宋体"/>
          <w:b w:val="0"/>
          <w:color w:val="000000" w:themeColor="text1"/>
          <w:sz w:val="24"/>
          <w:szCs w:val="24"/>
          <w:highlight w:val="none"/>
        </w:rPr>
        <w:t xml:space="preserve">十五、合同生效</w:t>
      </w:r>
      <w:bookmarkEnd w:id="36"/>
      <w:r>
        <w:rPr>
          <w:color w:val="000000" w:themeColor="text1"/>
          <w:highlight w:val="none"/>
        </w:rPr>
      </w:r>
      <w:bookmarkEnd w:id="37"/>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本合同自</w:t>
      </w:r>
      <w:r>
        <w:rPr>
          <w:rFonts w:hint="eastAsia" w:ascii="宋体" w:hAnsi="宋体" w:eastAsia="宋体" w:cs="宋体"/>
          <w:bCs/>
          <w:color w:val="000000" w:themeColor="text1"/>
          <w:sz w:val="24"/>
          <w:szCs w:val="24"/>
          <w:highlight w:val="none"/>
          <w:u w:val="single"/>
        </w:rPr>
        <w:t xml:space="preserve">双方签字盖章</w:t>
      </w:r>
      <w:r>
        <w:rPr>
          <w:rFonts w:hint="eastAsia" w:ascii="宋体" w:hAnsi="宋体" w:eastAsia="宋体" w:cs="宋体"/>
          <w:bCs/>
          <w:color w:val="000000" w:themeColor="text1"/>
          <w:sz w:val="24"/>
          <w:szCs w:val="24"/>
          <w:highlight w:val="none"/>
        </w:rPr>
        <w:t xml:space="preserve">后生效。</w:t>
      </w:r>
      <w:r>
        <w:rPr>
          <w:color w:val="000000" w:themeColor="text1"/>
          <w:highlight w:val="none"/>
        </w:rPr>
      </w:r>
    </w:p>
    <w:p>
      <w:pPr>
        <w:pStyle w:val="910"/>
        <w:numPr>
          <w:ilvl w:val="0"/>
          <w:numId w:val="0"/>
        </w:numPr>
        <w:ind w:left="284"/>
        <w:keepLines/>
        <w:keepNext w:val="0"/>
        <w:pageBreakBefore w:val="0"/>
        <w:spacing w:before="0" w:after="0" w:line="360" w:lineRule="auto"/>
        <w:widowControl w:val="off"/>
        <w:rPr>
          <w:rFonts w:hint="eastAsia"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rPr>
        <w:t xml:space="preserve">十六、双方通讯及联络方式</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沛县园林服务中心，联系人</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，地址</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，联系电话</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。中标人名称</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联系人：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。以上信息如有变更需要书面告知对方，否则视为没有变更。</w:t>
      </w:r>
      <w:r>
        <w:rPr>
          <w:color w:val="000000" w:themeColor="text1"/>
          <w:highlight w:val="none"/>
        </w:rPr>
      </w:r>
    </w:p>
    <w:p>
      <w:pPr>
        <w:pStyle w:val="910"/>
        <w:numPr>
          <w:ilvl w:val="0"/>
          <w:numId w:val="0"/>
        </w:numPr>
        <w:ind w:left="284"/>
        <w:keepLines/>
        <w:keepNext w:val="0"/>
        <w:pageBreakBefore w:val="0"/>
        <w:spacing w:before="0" w:after="0"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38" w:name="_Toc273056816"/>
      <w:r>
        <w:rPr>
          <w:color w:val="000000" w:themeColor="text1"/>
          <w:highlight w:val="none"/>
        </w:rPr>
      </w:r>
      <w:bookmarkStart w:id="39" w:name="_Toc118154563"/>
      <w:r>
        <w:rPr>
          <w:rFonts w:hint="eastAsia" w:ascii="宋体" w:hAnsi="宋体" w:eastAsia="宋体" w:cs="宋体"/>
          <w:b w:val="0"/>
          <w:color w:val="000000" w:themeColor="text1"/>
          <w:sz w:val="24"/>
          <w:szCs w:val="24"/>
          <w:highlight w:val="none"/>
        </w:rPr>
        <w:t xml:space="preserve">十七、合同份数</w:t>
      </w:r>
      <w:bookmarkEnd w:id="38"/>
      <w:r>
        <w:rPr>
          <w:color w:val="000000" w:themeColor="text1"/>
          <w:highlight w:val="none"/>
        </w:rPr>
      </w:r>
      <w:bookmarkEnd w:id="39"/>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本合同一式</w:t>
      </w:r>
      <w:r>
        <w:rPr>
          <w:rFonts w:hint="eastAsia" w:ascii="宋体" w:hAnsi="宋体" w:eastAsia="宋体" w:cs="宋体"/>
          <w:bCs/>
          <w:color w:val="000000" w:themeColor="text1"/>
          <w:sz w:val="24"/>
          <w:szCs w:val="24"/>
          <w:highlight w:val="none"/>
          <w:u w:val="single"/>
        </w:rPr>
        <w:t xml:space="preserve">伍</w:t>
      </w:r>
      <w:r>
        <w:rPr>
          <w:rFonts w:hint="eastAsia" w:ascii="宋体" w:hAnsi="宋体" w:eastAsia="宋体" w:cs="宋体"/>
          <w:bCs/>
          <w:color w:val="000000" w:themeColor="text1"/>
          <w:sz w:val="24"/>
          <w:szCs w:val="24"/>
          <w:highlight w:val="none"/>
        </w:rPr>
        <w:t xml:space="preserve">份，均具有同等法律效力，发包人执</w:t>
      </w:r>
      <w:r>
        <w:rPr>
          <w:rFonts w:hint="eastAsia" w:ascii="宋体" w:hAnsi="宋体" w:eastAsia="宋体" w:cs="宋体"/>
          <w:bCs/>
          <w:color w:val="000000" w:themeColor="text1"/>
          <w:sz w:val="24"/>
          <w:szCs w:val="24"/>
          <w:highlight w:val="none"/>
          <w:u w:val="single"/>
        </w:rPr>
        <w:t xml:space="preserve">贰</w:t>
      </w:r>
      <w:r>
        <w:rPr>
          <w:rFonts w:hint="eastAsia" w:ascii="宋体" w:hAnsi="宋体" w:eastAsia="宋体" w:cs="宋体"/>
          <w:bCs/>
          <w:color w:val="000000" w:themeColor="text1"/>
          <w:sz w:val="24"/>
          <w:szCs w:val="24"/>
          <w:highlight w:val="none"/>
        </w:rPr>
        <w:t xml:space="preserve">份，合同审查机构</w:t>
      </w:r>
      <w:r>
        <w:rPr>
          <w:rFonts w:hint="eastAsia" w:ascii="宋体" w:hAnsi="宋体" w:eastAsia="宋体" w:cs="宋体"/>
          <w:bCs/>
          <w:color w:val="000000" w:themeColor="text1"/>
          <w:sz w:val="24"/>
          <w:szCs w:val="24"/>
          <w:highlight w:val="none"/>
          <w:u w:val="single"/>
        </w:rPr>
        <w:t xml:space="preserve">壹</w:t>
      </w:r>
      <w:r>
        <w:rPr>
          <w:rFonts w:hint="eastAsia" w:ascii="宋体" w:hAnsi="宋体" w:eastAsia="宋体" w:cs="宋体"/>
          <w:bCs/>
          <w:color w:val="000000" w:themeColor="text1"/>
          <w:sz w:val="24"/>
          <w:szCs w:val="24"/>
          <w:highlight w:val="none"/>
        </w:rPr>
        <w:t xml:space="preserve">份，承包人执</w:t>
      </w:r>
      <w:r>
        <w:rPr>
          <w:rFonts w:hint="eastAsia" w:ascii="宋体" w:hAnsi="宋体" w:eastAsia="宋体" w:cs="宋体"/>
          <w:bCs/>
          <w:color w:val="000000" w:themeColor="text1"/>
          <w:sz w:val="24"/>
          <w:szCs w:val="24"/>
          <w:highlight w:val="none"/>
          <w:u w:val="single"/>
        </w:rPr>
        <w:t xml:space="preserve">贰</w:t>
      </w:r>
      <w:r>
        <w:rPr>
          <w:rFonts w:hint="eastAsia" w:ascii="宋体" w:hAnsi="宋体" w:eastAsia="宋体" w:cs="宋体"/>
          <w:bCs/>
          <w:color w:val="000000" w:themeColor="text1"/>
          <w:sz w:val="24"/>
          <w:szCs w:val="24"/>
          <w:highlight w:val="none"/>
        </w:rPr>
        <w:t xml:space="preserve">份。</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发包人：（公章）           承包人：（公章）</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法定代表人或其委托代理人：  法定代表人或其委托代理人：</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（签字）                    （签字）</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color w:val="000000" w:themeColor="text1"/>
          <w:highlight w:val="none"/>
        </w:rPr>
      </w:r>
      <w:bookmarkStart w:id="40" w:name="_Toc10868"/>
      <w:r>
        <w:rPr>
          <w:color w:val="000000" w:themeColor="text1"/>
          <w:highlight w:val="none"/>
        </w:rPr>
      </w:r>
      <w:bookmarkStart w:id="41" w:name="_Toc26547"/>
      <w:r>
        <w:rPr>
          <w:color w:val="000000" w:themeColor="text1"/>
          <w:highlight w:val="none"/>
        </w:rPr>
      </w:r>
      <w:bookmarkStart w:id="42" w:name="_Toc16153"/>
      <w:r>
        <w:rPr>
          <w:color w:val="000000" w:themeColor="text1"/>
          <w:highlight w:val="none"/>
        </w:rPr>
      </w:r>
      <w:bookmarkStart w:id="43" w:name="_Toc12223"/>
      <w:r>
        <w:rPr>
          <w:rFonts w:hint="eastAsia" w:ascii="宋体" w:hAnsi="宋体" w:eastAsia="宋体" w:cs="宋体"/>
          <w:color w:val="000000" w:themeColor="text1"/>
          <w:sz w:val="24"/>
          <w:szCs w:val="24"/>
          <w:highlight w:val="none"/>
        </w:rPr>
        <w:t xml:space="preserve">社会统一信用代码：</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none"/>
          <w:lang w:val="en-US" w:eastAsia="zh-CN"/>
        </w:rPr>
        <w:t xml:space="preserve">          </w:t>
      </w:r>
      <w:r>
        <w:rPr>
          <w:rFonts w:hint="eastAsia" w:ascii="宋体" w:hAnsi="宋体" w:eastAsia="宋体" w:cs="宋体"/>
          <w:color w:val="000000" w:themeColor="text1"/>
          <w:sz w:val="24"/>
          <w:szCs w:val="24"/>
          <w:highlight w:val="none"/>
        </w:rPr>
        <w:t xml:space="preserve">社会统一信用代码：</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 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none"/>
          <w:lang w:val="en-US" w:eastAsia="zh-CN"/>
        </w:rPr>
        <w:t xml:space="preserve">          </w:t>
      </w:r>
      <w:r>
        <w:rPr>
          <w:rFonts w:hint="eastAsia" w:ascii="宋体" w:hAnsi="宋体" w:eastAsia="宋体" w:cs="宋体"/>
          <w:color w:val="000000" w:themeColor="text1"/>
          <w:sz w:val="24"/>
          <w:szCs w:val="24"/>
          <w:highlight w:val="none"/>
        </w:rPr>
        <w:t xml:space="preserve">地 址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邮政编码</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none"/>
        </w:rPr>
        <w:t xml:space="preserve"> </w:t>
      </w:r>
      <w:r>
        <w:rPr>
          <w:rFonts w:hint="eastAsia" w:ascii="宋体" w:hAnsi="宋体" w:eastAsia="宋体" w:cs="宋体"/>
          <w:color w:val="000000" w:themeColor="text1"/>
          <w:sz w:val="24"/>
          <w:szCs w:val="24"/>
          <w:highlight w:val="none"/>
          <w:u w:val="none"/>
          <w:lang w:val="en-US" w:eastAsia="zh-CN"/>
        </w:rPr>
        <w:t xml:space="preserve">         </w:t>
      </w:r>
      <w:r>
        <w:rPr>
          <w:rFonts w:hint="eastAsia" w:ascii="宋体" w:hAnsi="宋体" w:eastAsia="宋体" w:cs="宋体"/>
          <w:color w:val="000000" w:themeColor="text1"/>
          <w:sz w:val="24"/>
          <w:szCs w:val="24"/>
          <w:highlight w:val="none"/>
        </w:rPr>
        <w:t xml:space="preserve">邮政编码：</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  </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法定代表人：</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u w:val="none"/>
        </w:rPr>
        <w:t xml:space="preserve">   </w:t>
      </w:r>
      <w:r>
        <w:rPr>
          <w:rFonts w:hint="eastAsia" w:ascii="宋体" w:hAnsi="宋体" w:eastAsia="宋体" w:cs="宋体"/>
          <w:color w:val="000000" w:themeColor="text1"/>
          <w:sz w:val="24"/>
          <w:szCs w:val="24"/>
          <w:highlight w:val="none"/>
          <w:u w:val="none"/>
          <w:lang w:val="en-US" w:eastAsia="zh-CN"/>
        </w:rPr>
        <w:t xml:space="preserve">       </w:t>
      </w:r>
      <w:r>
        <w:rPr>
          <w:rFonts w:hint="eastAsia" w:ascii="宋体" w:hAnsi="宋体" w:eastAsia="宋体" w:cs="宋体"/>
          <w:color w:val="000000" w:themeColor="text1"/>
          <w:sz w:val="24"/>
          <w:szCs w:val="24"/>
          <w:highlight w:val="none"/>
        </w:rPr>
        <w:t xml:space="preserve">法定代表人：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委托代理人：</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u w:val="none"/>
        </w:rPr>
        <w:t xml:space="preserve">       </w:t>
      </w:r>
      <w:r>
        <w:rPr>
          <w:rFonts w:hint="eastAsia" w:ascii="宋体" w:hAnsi="宋体" w:eastAsia="宋体" w:cs="宋体"/>
          <w:color w:val="000000" w:themeColor="text1"/>
          <w:sz w:val="24"/>
          <w:szCs w:val="24"/>
          <w:highlight w:val="none"/>
          <w:u w:val="none"/>
          <w:lang w:val="en-US" w:eastAsia="zh-CN"/>
        </w:rPr>
        <w:t xml:space="preserve">   </w:t>
      </w:r>
      <w:r>
        <w:rPr>
          <w:rFonts w:hint="eastAsia" w:ascii="宋体" w:hAnsi="宋体" w:eastAsia="宋体" w:cs="宋体"/>
          <w:color w:val="000000" w:themeColor="text1"/>
          <w:sz w:val="24"/>
          <w:szCs w:val="24"/>
          <w:highlight w:val="none"/>
        </w:rPr>
        <w:t xml:space="preserve">委托代理人：</w:t>
      </w:r>
      <w:r>
        <w:rPr>
          <w:rFonts w:hint="eastAsia" w:ascii="宋体" w:hAnsi="宋体" w:eastAsia="宋体" w:cs="宋体"/>
          <w:color w:val="000000" w:themeColor="text1"/>
          <w:sz w:val="24"/>
          <w:szCs w:val="24"/>
          <w:highlight w:val="none"/>
          <w:u w:val="single"/>
        </w:rPr>
        <w:t xml:space="preserve">       /        </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 话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电 话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传 真 ：</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传 真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 </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 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6"/>
        <w:ind w:left="5880" w:hanging="58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开户银行：</w:t>
      </w:r>
      <w:r>
        <w:rPr>
          <w:rStyle w:val="1160"/>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none"/>
          <w:lang w:val="en-US" w:eastAsia="zh-CN"/>
        </w:rPr>
        <w:t xml:space="preserve">             </w:t>
      </w:r>
      <w:r>
        <w:rPr>
          <w:rFonts w:hint="eastAsia" w:ascii="宋体" w:hAnsi="宋体" w:eastAsia="宋体" w:cs="宋体"/>
          <w:color w:val="000000" w:themeColor="text1"/>
          <w:sz w:val="24"/>
          <w:szCs w:val="24"/>
          <w:highlight w:val="none"/>
        </w:rPr>
        <w:t xml:space="preserve">开户银行：</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b/>
          <w:bCs/>
          <w:color w:val="000000" w:themeColor="text1"/>
          <w:sz w:val="24"/>
          <w:szCs w:val="24"/>
          <w:highlight w:val="none"/>
        </w:rPr>
        <w:sectPr>
          <w:footerReference w:type="default" r:id="rId12"/>
          <w:footnotePr/>
          <w:endnotePr/>
          <w:type w:val="nextPage"/>
          <w:pgSz w:w="11906" w:h="16838" w:orient="portrait"/>
          <w:pgMar w:top="2098" w:right="1757" w:bottom="1984" w:left="1757" w:header="851" w:footer="1417" w:gutter="0"/>
          <w:cols w:num="1" w:sep="0" w:space="1701" w:equalWidth="1"/>
          <w:docGrid w:linePitch="360"/>
        </w:sectPr>
      </w:pPr>
      <w:r>
        <w:rPr>
          <w:rFonts w:hint="eastAsia" w:ascii="宋体" w:hAnsi="宋体" w:eastAsia="宋体" w:cs="宋体"/>
          <w:color w:val="000000" w:themeColor="text1"/>
          <w:sz w:val="24"/>
          <w:szCs w:val="24"/>
          <w:highlight w:val="none"/>
        </w:rPr>
        <w:t xml:space="preserve">账号：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none"/>
          <w:lang w:val="en-US" w:eastAsia="zh-CN"/>
        </w:rPr>
        <w:t xml:space="preserve">              </w:t>
      </w:r>
      <w:r>
        <w:rPr>
          <w:rFonts w:hint="eastAsia" w:ascii="宋体" w:hAnsi="宋体" w:eastAsia="宋体" w:cs="宋体"/>
          <w:color w:val="000000" w:themeColor="text1"/>
          <w:sz w:val="24"/>
          <w:szCs w:val="24"/>
          <w:highlight w:val="none"/>
        </w:rPr>
        <w:t xml:space="preserve">账号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p>
    <w:p>
      <w:pPr>
        <w:pStyle w:val="1087"/>
        <w:numPr>
          <w:ilvl w:val="0"/>
          <w:numId w:val="0"/>
        </w:numPr>
        <w:jc w:val="center"/>
        <w:keepLines/>
        <w:keepNext w:val="0"/>
        <w:pageBreakBefore w:val="0"/>
        <w:spacing w:before="260" w:after="260"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44" w:name="_Toc1081549402"/>
      <w:r>
        <w:rPr>
          <w:color w:val="000000" w:themeColor="text1"/>
          <w:highlight w:val="none"/>
        </w:rPr>
      </w:r>
      <w:bookmarkStart w:id="45" w:name="_Toc725136582"/>
      <w:r>
        <w:rPr>
          <w:color w:val="000000" w:themeColor="text1"/>
          <w:highlight w:val="none"/>
        </w:rPr>
      </w:r>
      <w:bookmarkStart w:id="46" w:name="_Toc1772115747"/>
      <w:r>
        <w:rPr>
          <w:rFonts w:hint="eastAsia" w:ascii="宋体" w:hAnsi="宋体" w:eastAsia="宋体" w:cs="宋体"/>
          <w:b w:val="0"/>
          <w:color w:val="000000" w:themeColor="text1"/>
          <w:sz w:val="24"/>
          <w:szCs w:val="24"/>
          <w:highlight w:val="none"/>
        </w:rPr>
        <w:t xml:space="preserve">第二部分 通用合同条款</w:t>
      </w:r>
      <w:bookmarkEnd w:id="44"/>
      <w:r>
        <w:rPr>
          <w:color w:val="000000" w:themeColor="text1"/>
          <w:highlight w:val="none"/>
        </w:rPr>
      </w:r>
      <w:bookmarkEnd w:id="45"/>
      <w:r>
        <w:rPr>
          <w:color w:val="000000" w:themeColor="text1"/>
          <w:highlight w:val="none"/>
        </w:rPr>
      </w:r>
      <w:bookmarkEnd w:id="46"/>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sectPr>
          <w:footnotePr/>
          <w:endnotePr/>
          <w:type w:val="nextPage"/>
          <w:pgSz w:w="11906" w:h="16838" w:orient="portrait"/>
          <w:pgMar w:top="2098" w:right="1701" w:bottom="1984" w:left="1701" w:header="851" w:footer="1417" w:gutter="0"/>
          <w:cols w:num="1" w:sep="0" w:space="1701" w:equalWidth="1"/>
          <w:docGrid w:linePitch="360"/>
        </w:sectPr>
      </w:pPr>
      <w:r>
        <w:rPr>
          <w:rFonts w:hint="eastAsia" w:ascii="宋体" w:hAnsi="宋体" w:eastAsia="宋体" w:cs="宋体"/>
          <w:color w:val="000000" w:themeColor="text1"/>
          <w:sz w:val="24"/>
          <w:szCs w:val="24"/>
          <w:highlight w:val="none"/>
        </w:rPr>
        <w:t xml:space="preserve">通用合同条款共计20条，采用无修改地园林绿化工程施工合同（示范文本）（GF—2020—2605）通用合同条款。</w:t>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r>
        <w:rPr>
          <w:color w:val="000000" w:themeColor="text1"/>
          <w:highlight w:val="none"/>
        </w:rPr>
      </w:r>
    </w:p>
    <w:p>
      <w:pPr>
        <w:pStyle w:val="1087"/>
        <w:numPr>
          <w:ilvl w:val="0"/>
          <w:numId w:val="0"/>
        </w:numPr>
        <w:jc w:val="center"/>
        <w:keepLines/>
        <w:keepNext w:val="0"/>
        <w:pageBreakBefore w:val="0"/>
        <w:spacing w:before="0" w:after="260"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47" w:name="_Toc20668"/>
      <w:r>
        <w:rPr>
          <w:color w:val="000000" w:themeColor="text1"/>
          <w:highlight w:val="none"/>
        </w:rPr>
      </w:r>
      <w:bookmarkStart w:id="48" w:name="_Toc24563"/>
      <w:r>
        <w:rPr>
          <w:color w:val="000000" w:themeColor="text1"/>
          <w:highlight w:val="none"/>
        </w:rPr>
      </w:r>
      <w:bookmarkStart w:id="49" w:name="_Toc13192"/>
      <w:r>
        <w:rPr>
          <w:color w:val="000000" w:themeColor="text1"/>
          <w:highlight w:val="none"/>
        </w:rPr>
      </w:r>
      <w:bookmarkStart w:id="50" w:name="_Toc1439523315"/>
      <w:r>
        <w:rPr>
          <w:color w:val="000000" w:themeColor="text1"/>
          <w:highlight w:val="none"/>
        </w:rPr>
      </w:r>
      <w:bookmarkStart w:id="51" w:name="_Toc1254421522"/>
      <w:r>
        <w:rPr>
          <w:color w:val="000000" w:themeColor="text1"/>
          <w:highlight w:val="none"/>
        </w:rPr>
      </w:r>
      <w:bookmarkStart w:id="52" w:name="_Toc538026417"/>
      <w:r>
        <w:rPr>
          <w:color w:val="000000" w:themeColor="text1"/>
          <w:highlight w:val="none"/>
        </w:rPr>
      </w:r>
      <w:bookmarkStart w:id="53" w:name="_Toc25120"/>
      <w:r>
        <w:rPr>
          <w:rFonts w:hint="eastAsia" w:ascii="宋体" w:hAnsi="宋体" w:eastAsia="宋体" w:cs="宋体"/>
          <w:b w:val="0"/>
          <w:color w:val="000000" w:themeColor="text1"/>
          <w:sz w:val="24"/>
          <w:szCs w:val="24"/>
          <w:highlight w:val="none"/>
        </w:rPr>
        <w:t xml:space="preserve">第三部分 专用合同条款</w:t>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r>
        <w:rPr>
          <w:color w:val="000000" w:themeColor="text1"/>
          <w:highlight w:val="none"/>
        </w:rPr>
      </w:r>
    </w:p>
    <w:p>
      <w:pPr>
        <w:pStyle w:val="910"/>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54" w:name="_Toc1281606529"/>
      <w:r>
        <w:rPr>
          <w:color w:val="000000" w:themeColor="text1"/>
          <w:highlight w:val="none"/>
        </w:rPr>
      </w:r>
      <w:bookmarkStart w:id="55" w:name="_Toc1742251250"/>
      <w:r>
        <w:rPr>
          <w:rFonts w:hint="eastAsia" w:ascii="宋体" w:hAnsi="宋体" w:eastAsia="宋体" w:cs="宋体"/>
          <w:b w:val="0"/>
          <w:color w:val="000000" w:themeColor="text1"/>
          <w:sz w:val="24"/>
          <w:szCs w:val="24"/>
          <w:highlight w:val="none"/>
        </w:rPr>
        <w:t xml:space="preserve">1</w:t>
      </w:r>
      <w:bookmarkStart w:id="56" w:name="_Toc297048342"/>
      <w:r>
        <w:rPr>
          <w:color w:val="000000" w:themeColor="text1"/>
          <w:highlight w:val="none"/>
        </w:rPr>
      </w:r>
      <w:bookmarkStart w:id="57" w:name="_Toc296347155"/>
      <w:r>
        <w:rPr>
          <w:color w:val="000000" w:themeColor="text1"/>
          <w:highlight w:val="none"/>
        </w:rPr>
      </w:r>
      <w:bookmarkStart w:id="58" w:name="_Toc296503156"/>
      <w:r>
        <w:rPr>
          <w:color w:val="000000" w:themeColor="text1"/>
          <w:highlight w:val="none"/>
        </w:rPr>
      </w:r>
      <w:bookmarkStart w:id="59" w:name="_Toc292559866"/>
      <w:r>
        <w:rPr>
          <w:color w:val="000000" w:themeColor="text1"/>
          <w:highlight w:val="none"/>
        </w:rPr>
      </w:r>
      <w:bookmarkStart w:id="60" w:name="_Toc292559361"/>
      <w:r>
        <w:rPr>
          <w:color w:val="000000" w:themeColor="text1"/>
          <w:highlight w:val="none"/>
        </w:rPr>
      </w:r>
      <w:bookmarkStart w:id="61" w:name="_Toc296891196"/>
      <w:r>
        <w:rPr>
          <w:color w:val="000000" w:themeColor="text1"/>
          <w:highlight w:val="none"/>
        </w:rPr>
      </w:r>
      <w:bookmarkStart w:id="62" w:name="_Toc297120456"/>
      <w:r>
        <w:rPr>
          <w:color w:val="000000" w:themeColor="text1"/>
          <w:highlight w:val="none"/>
        </w:rPr>
      </w:r>
      <w:bookmarkStart w:id="63" w:name="_Toc296346657"/>
      <w:r>
        <w:rPr>
          <w:color w:val="000000" w:themeColor="text1"/>
          <w:highlight w:val="none"/>
        </w:rPr>
      </w:r>
      <w:bookmarkStart w:id="64" w:name="_Toc296944495"/>
      <w:r>
        <w:rPr>
          <w:color w:val="000000" w:themeColor="text1"/>
          <w:highlight w:val="none"/>
        </w:rPr>
      </w:r>
      <w:bookmarkStart w:id="65" w:name="_Toc296890984"/>
      <w:r>
        <w:rPr>
          <w:rFonts w:hint="eastAsia" w:ascii="宋体" w:hAnsi="宋体" w:eastAsia="宋体" w:cs="宋体"/>
          <w:b w:val="0"/>
          <w:color w:val="000000" w:themeColor="text1"/>
          <w:sz w:val="24"/>
          <w:szCs w:val="24"/>
          <w:highlight w:val="none"/>
        </w:rPr>
        <w:t xml:space="preserve">. 一般约定</w:t>
      </w:r>
      <w:bookmarkEnd w:id="54"/>
      <w:r>
        <w:rPr>
          <w:color w:val="000000" w:themeColor="text1"/>
          <w:highlight w:val="none"/>
        </w:rPr>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66" w:name="_Toc276302670"/>
      <w:r>
        <w:rPr>
          <w:color w:val="000000" w:themeColor="text1"/>
          <w:highlight w:val="none"/>
        </w:rPr>
      </w:r>
      <w:bookmarkStart w:id="67" w:name="_Toc1772939203"/>
      <w:r>
        <w:rPr>
          <w:color w:val="000000" w:themeColor="text1"/>
          <w:highlight w:val="none"/>
        </w:rPr>
      </w:r>
      <w:bookmarkStart w:id="68" w:name="_Toc28755"/>
      <w:r>
        <w:rPr>
          <w:rFonts w:hint="eastAsia" w:ascii="宋体" w:hAnsi="宋体" w:eastAsia="宋体" w:cs="宋体"/>
          <w:color w:val="000000" w:themeColor="text1"/>
          <w:sz w:val="24"/>
          <w:szCs w:val="24"/>
          <w:highlight w:val="none"/>
        </w:rPr>
        <w:t xml:space="preserve">1.1 词语定义</w:t>
      </w:r>
      <w:bookmarkEnd w:id="66"/>
      <w:r>
        <w:rPr>
          <w:color w:val="000000" w:themeColor="text1"/>
          <w:highlight w:val="none"/>
        </w:rPr>
      </w:r>
      <w:bookmarkEnd w:id="67"/>
      <w:r>
        <w:rPr>
          <w:color w:val="000000" w:themeColor="text1"/>
          <w:highlight w:val="none"/>
        </w:rPr>
      </w:r>
      <w:bookmarkEnd w:id="68"/>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1.1.1合同</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1.1.1.1其他合同文件包括：</w:t>
      </w:r>
      <w:r>
        <w:rPr>
          <w:rFonts w:hint="eastAsia" w:ascii="宋体" w:hAnsi="宋体" w:eastAsia="宋体" w:cs="宋体"/>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1.1.2 合同当事人及其他相关方</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1.1.2.1监理人和总监理工程师：</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    称：</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资质类别和等级：</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left="596"/>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总监理工程师姓名：</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p>
    <w:p>
      <w:pPr>
        <w:pStyle w:val="906"/>
        <w:ind w:left="59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总监理工程师执业资格证书号：</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p>
    <w:p>
      <w:pPr>
        <w:pStyle w:val="906"/>
        <w:ind w:left="59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1.1.2.2 设计人和设计项目负责人： </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    称：</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资质类别和等级：</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项目负责人姓名：</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 工程和设备</w:t>
      </w:r>
      <w:r>
        <w:rPr>
          <w:color w:val="000000" w:themeColor="text1"/>
          <w:highlight w:val="none"/>
        </w:rPr>
      </w:r>
    </w:p>
    <w:p>
      <w:pPr>
        <w:pStyle w:val="923"/>
        <w:ind w:right="63"/>
        <w:keepLines/>
        <w:keepNext w:val="0"/>
        <w:pageBreakBefore w:val="0"/>
        <w:spacing w:before="1" w:line="360" w:lineRule="auto"/>
        <w:widowControl w:val="off"/>
        <w:tabs>
          <w:tab w:val="left" w:pos="3402" w:leader="none"/>
          <w:tab w:val="left" w:pos="4674"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1.1.3.1 作为施工现场组成部分的其他场所包括：</w:t>
      </w:r>
      <w:r>
        <w:rPr>
          <w:rFonts w:hint="eastAsia" w:ascii="宋体" w:hAnsi="宋体" w:eastAsia="宋体" w:cs="宋体"/>
          <w:color w:val="000000" w:themeColor="text1"/>
          <w:sz w:val="24"/>
          <w:szCs w:val="24"/>
          <w:highlight w:val="none"/>
          <w:u w:val="single"/>
        </w:rPr>
        <w:t xml:space="preserve">规划红线范围内</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1.1.3.2 永久占地包括：</w:t>
      </w:r>
      <w:r>
        <w:rPr>
          <w:rFonts w:hint="eastAsia" w:ascii="宋体" w:hAnsi="宋体" w:eastAsia="宋体" w:cs="宋体"/>
          <w:color w:val="000000" w:themeColor="text1"/>
          <w:sz w:val="24"/>
          <w:szCs w:val="24"/>
          <w:highlight w:val="none"/>
          <w:u w:val="single"/>
        </w:rPr>
        <w:t xml:space="preserve">规划红线范围内</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1.1.3.3 临时占地包括：</w:t>
      </w:r>
      <w:r>
        <w:rPr>
          <w:rFonts w:hint="eastAsia" w:ascii="宋体" w:hAnsi="宋体" w:eastAsia="宋体" w:cs="宋体"/>
          <w:color w:val="000000" w:themeColor="text1"/>
          <w:sz w:val="24"/>
          <w:szCs w:val="24"/>
          <w:highlight w:val="none"/>
          <w:u w:val="single"/>
        </w:rPr>
        <w:t xml:space="preserve">无</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1.1.3.4园林绿化工程：是指新建、改建、扩建公园绿地、防护绿地、广场用地、附属绿地、区域绿地，以及对城市生态和景观影响较大建设项目的配套绿化，主要包括园林绿化植物栽植、地形整理、园林设施设备安装及园林建筑、小品、花坛、园路、水系、喷泉、假山、雕塑、绿地广场、驳岸、园林景观桥梁等。</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1.1.3.5 绿化工程：是指树木、花卉、草坪、地被植物等的种植工程。</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1.1.3.6绿化养护：</w:t>
      </w:r>
      <w:r>
        <w:rPr>
          <w:rFonts w:hint="eastAsia" w:ascii="宋体" w:hAnsi="宋体" w:eastAsia="宋体" w:cs="宋体"/>
          <w:color w:val="000000" w:themeColor="text1"/>
          <w:sz w:val="24"/>
          <w:szCs w:val="24"/>
          <w:highlight w:val="none"/>
        </w:rPr>
        <w:t xml:space="preserve">是指对绿地内植物采取的整形修剪、松土除草、灌溉与排水、施肥、有害生物防治、改植与补植、绿地防护（如防台风、防寒）等技术措施。</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1.1.4 日期和期限</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1.1.4.1绿化养护期：是指承包人按照合同约定进行绿化养护的期限，从工程竣工验收合格之日起计算。</w:t>
      </w:r>
      <w:r>
        <w:rPr>
          <w:rFonts w:hint="eastAsia" w:ascii="宋体" w:hAnsi="宋体" w:eastAsia="宋体" w:cs="宋体"/>
          <w:bCs/>
          <w:color w:val="000000" w:themeColor="text1"/>
          <w:sz w:val="24"/>
          <w:szCs w:val="24"/>
          <w:highlight w:val="none"/>
        </w:rPr>
        <w:t xml:space="preserve">绿化养护期最长不得超过24个月。</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69" w:name="_Toc28173"/>
      <w:r>
        <w:rPr>
          <w:color w:val="000000" w:themeColor="text1"/>
          <w:highlight w:val="none"/>
        </w:rPr>
      </w:r>
      <w:bookmarkStart w:id="70" w:name="_Toc857078921"/>
      <w:r>
        <w:rPr>
          <w:color w:val="000000" w:themeColor="text1"/>
          <w:highlight w:val="none"/>
        </w:rPr>
      </w:r>
      <w:bookmarkStart w:id="71" w:name="_Toc859792571"/>
      <w:r>
        <w:rPr>
          <w:rFonts w:hint="eastAsia" w:ascii="宋体" w:hAnsi="宋体" w:eastAsia="宋体" w:cs="宋体"/>
          <w:color w:val="000000" w:themeColor="text1"/>
          <w:sz w:val="24"/>
          <w:szCs w:val="24"/>
          <w:highlight w:val="none"/>
        </w:rPr>
        <w:t xml:space="preserve">1.2法律</w:t>
      </w:r>
      <w:bookmarkEnd w:id="69"/>
      <w:r>
        <w:rPr>
          <w:color w:val="000000" w:themeColor="text1"/>
          <w:highlight w:val="none"/>
        </w:rPr>
      </w:r>
      <w:bookmarkEnd w:id="70"/>
      <w:r>
        <w:rPr>
          <w:color w:val="000000" w:themeColor="text1"/>
          <w:highlight w:val="none"/>
        </w:rPr>
      </w:r>
      <w:bookmarkEnd w:id="71"/>
      <w:r>
        <w:rPr>
          <w:color w:val="000000" w:themeColor="text1"/>
          <w:highlight w:val="none"/>
        </w:rPr>
      </w:r>
      <w:r>
        <w:rPr>
          <w:color w:val="000000" w:themeColor="text1"/>
          <w:highlight w:val="none"/>
        </w:rPr>
      </w:r>
    </w:p>
    <w:p>
      <w:pPr>
        <w:pStyle w:val="906"/>
        <w:ind w:left="596"/>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适用于合同的其他规范性文件：</w:t>
      </w:r>
      <w:r>
        <w:rPr>
          <w:rFonts w:hint="eastAsia" w:ascii="宋体" w:hAnsi="宋体" w:eastAsia="宋体" w:cs="宋体"/>
          <w:color w:val="000000" w:themeColor="text1"/>
          <w:sz w:val="24"/>
          <w:szCs w:val="24"/>
          <w:highlight w:val="none"/>
          <w:u w:val="single"/>
        </w:rPr>
        <w:t xml:space="preserve">《中华人民共和国招标投标法》及其他相关法律、法规。</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72" w:name="_Toc1984547573"/>
      <w:r>
        <w:rPr>
          <w:color w:val="000000" w:themeColor="text1"/>
          <w:highlight w:val="none"/>
        </w:rPr>
      </w:r>
      <w:bookmarkStart w:id="73" w:name="_Toc1028117936"/>
      <w:r>
        <w:rPr>
          <w:color w:val="000000" w:themeColor="text1"/>
          <w:highlight w:val="none"/>
        </w:rPr>
      </w:r>
      <w:bookmarkStart w:id="74" w:name="_Toc20831"/>
      <w:r>
        <w:rPr>
          <w:rFonts w:hint="eastAsia" w:ascii="宋体" w:hAnsi="宋体" w:eastAsia="宋体" w:cs="宋体"/>
          <w:color w:val="000000" w:themeColor="text1"/>
          <w:sz w:val="24"/>
          <w:szCs w:val="24"/>
          <w:highlight w:val="none"/>
        </w:rPr>
        <w:t xml:space="preserve">1.3 标准和规范</w:t>
      </w:r>
      <w:bookmarkEnd w:id="72"/>
      <w:r>
        <w:rPr>
          <w:color w:val="000000" w:themeColor="text1"/>
          <w:highlight w:val="none"/>
        </w:rPr>
      </w:r>
      <w:bookmarkEnd w:id="73"/>
      <w:r>
        <w:rPr>
          <w:color w:val="000000" w:themeColor="text1"/>
          <w:highlight w:val="none"/>
        </w:rPr>
      </w:r>
      <w:bookmarkEnd w:id="74"/>
      <w:r>
        <w:rPr>
          <w:color w:val="000000" w:themeColor="text1"/>
          <w:highlight w:val="none"/>
        </w:rPr>
      </w:r>
      <w:r>
        <w:rPr>
          <w:color w:val="000000" w:themeColor="text1"/>
          <w:highlight w:val="none"/>
        </w:rPr>
      </w:r>
    </w:p>
    <w:p>
      <w:pPr>
        <w:pStyle w:val="906"/>
        <w:ind w:left="59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1.3.1适用于工程的标准规范包括：</w:t>
      </w:r>
      <w:r>
        <w:rPr>
          <w:rFonts w:hint="eastAsia" w:ascii="宋体" w:hAnsi="宋体" w:eastAsia="宋体" w:cs="宋体"/>
          <w:color w:val="000000" w:themeColor="text1"/>
          <w:sz w:val="24"/>
          <w:szCs w:val="24"/>
          <w:highlight w:val="none"/>
          <w:u w:val="single"/>
        </w:rPr>
        <w:t xml:space="preserve">国际规范及地方标准</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left="59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园林绿化工程施工及验收规范（CJJ82）；</w:t>
      </w:r>
      <w:r>
        <w:rPr>
          <w:color w:val="000000" w:themeColor="text1"/>
          <w:highlight w:val="none"/>
        </w:rPr>
      </w:r>
    </w:p>
    <w:p>
      <w:pPr>
        <w:pStyle w:val="906"/>
        <w:ind w:left="59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园林绿化养护标准（CJJ/T287）；</w:t>
      </w:r>
      <w:r>
        <w:rPr>
          <w:color w:val="000000" w:themeColor="text1"/>
          <w:highlight w:val="none"/>
        </w:rPr>
      </w:r>
    </w:p>
    <w:p>
      <w:pPr>
        <w:pStyle w:val="906"/>
        <w:ind w:left="59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建设工程工程量清单计价规范（GB50500）；</w:t>
      </w:r>
      <w:r>
        <w:rPr>
          <w:color w:val="000000" w:themeColor="text1"/>
          <w:highlight w:val="none"/>
        </w:rPr>
      </w:r>
    </w:p>
    <w:p>
      <w:pPr>
        <w:pStyle w:val="906"/>
        <w:ind w:left="59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园林绿化工程工程量计算规范（GB50858）；</w:t>
      </w:r>
      <w:r>
        <w:rPr>
          <w:color w:val="000000" w:themeColor="text1"/>
          <w:highlight w:val="none"/>
        </w:rPr>
      </w:r>
    </w:p>
    <w:p>
      <w:pPr>
        <w:pStyle w:val="906"/>
        <w:ind w:left="596"/>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与园林绿化行业相关的行业标准、地方标准：</w:t>
      </w:r>
      <w:r>
        <w:rPr>
          <w:color w:val="000000" w:themeColor="text1"/>
          <w:highlight w:val="none"/>
        </w:rPr>
      </w:r>
    </w:p>
    <w:p>
      <w:pPr>
        <w:pStyle w:val="906"/>
        <w:ind w:left="59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color w:val="000000" w:themeColor="text1"/>
          <w:highlight w:val="none"/>
        </w:rPr>
      </w:r>
      <w:bookmarkStart w:id="75" w:name="_Toc2729"/>
      <w:r>
        <w:rPr>
          <w:color w:val="000000" w:themeColor="text1"/>
          <w:highlight w:val="none"/>
        </w:rPr>
      </w:r>
      <w:bookmarkStart w:id="76" w:name="_Toc29821"/>
      <w:r>
        <w:rPr>
          <w:color w:val="000000" w:themeColor="text1"/>
          <w:highlight w:val="none"/>
        </w:rPr>
      </w:r>
      <w:bookmarkStart w:id="77" w:name="_Toc1033"/>
      <w:r>
        <w:rPr>
          <w:rFonts w:hint="eastAsia" w:ascii="宋体" w:hAnsi="宋体" w:eastAsia="宋体" w:cs="宋体"/>
          <w:color w:val="000000" w:themeColor="text1"/>
          <w:sz w:val="24"/>
          <w:szCs w:val="24"/>
          <w:highlight w:val="none"/>
        </w:rPr>
        <w:t xml:space="preserve">1.3.2 发包人提供国外标准、规范的名称：</w:t>
      </w:r>
      <w:bookmarkEnd w:id="75"/>
      <w:r>
        <w:rPr>
          <w:color w:val="000000" w:themeColor="text1"/>
          <w:highlight w:val="none"/>
        </w:rPr>
      </w:r>
      <w:bookmarkEnd w:id="76"/>
      <w:r>
        <w:rPr>
          <w:color w:val="000000" w:themeColor="text1"/>
          <w:highlight w:val="none"/>
        </w:rPr>
      </w:r>
      <w:bookmarkEnd w:id="77"/>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发包人提供国外标准、规范的份数：</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left="596"/>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1.3.3发包人对工程的技术标准和功能要求的特殊要求：</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78" w:name="_Toc21978"/>
      <w:r>
        <w:rPr>
          <w:color w:val="000000" w:themeColor="text1"/>
          <w:highlight w:val="none"/>
        </w:rPr>
      </w:r>
      <w:bookmarkStart w:id="79" w:name="_Toc498019564"/>
      <w:r>
        <w:rPr>
          <w:color w:val="000000" w:themeColor="text1"/>
          <w:highlight w:val="none"/>
        </w:rPr>
      </w:r>
      <w:bookmarkStart w:id="80" w:name="_Toc659781100"/>
      <w:r>
        <w:rPr>
          <w:rFonts w:hint="eastAsia" w:ascii="宋体" w:hAnsi="宋体" w:eastAsia="宋体" w:cs="宋体"/>
          <w:color w:val="000000" w:themeColor="text1"/>
          <w:sz w:val="24"/>
          <w:szCs w:val="24"/>
          <w:highlight w:val="none"/>
        </w:rPr>
        <w:t xml:space="preserve">1.4 合同文件的优先顺序</w:t>
      </w:r>
      <w:bookmarkEnd w:id="78"/>
      <w:r>
        <w:rPr>
          <w:color w:val="000000" w:themeColor="text1"/>
          <w:highlight w:val="none"/>
        </w:rPr>
      </w:r>
      <w:bookmarkEnd w:id="79"/>
      <w:r>
        <w:rPr>
          <w:color w:val="000000" w:themeColor="text1"/>
          <w:highlight w:val="none"/>
        </w:rPr>
      </w:r>
      <w:bookmarkEnd w:id="80"/>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合同文件组成及优先顺序为：</w:t>
      </w:r>
      <w:r>
        <w:rPr>
          <w:rFonts w:hint="eastAsia" w:ascii="宋体" w:hAnsi="宋体" w:eastAsia="宋体" w:cs="宋体"/>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81" w:name="_Toc12618"/>
      <w:r>
        <w:rPr>
          <w:color w:val="000000" w:themeColor="text1"/>
          <w:highlight w:val="none"/>
        </w:rPr>
      </w:r>
      <w:bookmarkStart w:id="82" w:name="_Toc1984271900"/>
      <w:r>
        <w:rPr>
          <w:color w:val="000000" w:themeColor="text1"/>
          <w:highlight w:val="none"/>
        </w:rPr>
      </w:r>
      <w:bookmarkStart w:id="83" w:name="_Toc1088158122"/>
      <w:r>
        <w:rPr>
          <w:rFonts w:hint="eastAsia" w:ascii="宋体" w:hAnsi="宋体" w:eastAsia="宋体" w:cs="宋体"/>
          <w:color w:val="000000" w:themeColor="text1"/>
          <w:sz w:val="24"/>
          <w:szCs w:val="24"/>
          <w:highlight w:val="none"/>
        </w:rPr>
        <w:t xml:space="preserve">1.5 图纸和承包人文件</w:t>
      </w:r>
      <w:bookmarkEnd w:id="81"/>
      <w:r>
        <w:rPr>
          <w:color w:val="000000" w:themeColor="text1"/>
          <w:highlight w:val="none"/>
        </w:rPr>
      </w:r>
      <w:bookmarkEnd w:id="82"/>
      <w:r>
        <w:rPr>
          <w:color w:val="000000" w:themeColor="text1"/>
          <w:highlight w:val="none"/>
        </w:rPr>
      </w:r>
      <w:bookmarkEnd w:id="83"/>
      <w:r>
        <w:rPr>
          <w:rFonts w:hint="eastAsia" w:ascii="宋体" w:hAnsi="宋体" w:eastAsia="宋体" w:cs="宋体"/>
          <w:color w:val="000000" w:themeColor="text1"/>
          <w:sz w:val="24"/>
          <w:szCs w:val="24"/>
          <w:highlight w:val="none"/>
        </w:rPr>
        <w:tab/>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1.5.1 图纸的提供</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发包人向承包人提供图纸的期限：</w:t>
      </w:r>
      <w:r>
        <w:rPr>
          <w:rFonts w:hint="eastAsia" w:ascii="宋体" w:hAnsi="宋体" w:eastAsia="宋体" w:cs="宋体"/>
          <w:color w:val="000000" w:themeColor="text1"/>
          <w:sz w:val="24"/>
          <w:szCs w:val="24"/>
          <w:highlight w:val="none"/>
          <w:u w:val="single"/>
        </w:rPr>
        <w:t xml:space="preserve">开工前十四天内</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发包人向承包人提供图纸的数量：</w:t>
      </w:r>
      <w:r>
        <w:rPr>
          <w:rFonts w:hint="eastAsia" w:ascii="宋体" w:hAnsi="宋体" w:eastAsia="宋体" w:cs="宋体"/>
          <w:color w:val="000000" w:themeColor="text1"/>
          <w:sz w:val="24"/>
          <w:szCs w:val="24"/>
          <w:highlight w:val="none"/>
          <w:u w:val="single"/>
        </w:rPr>
        <w:t xml:space="preserve">壹套</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发包人向承包人提供图纸的内容：</w:t>
      </w:r>
      <w:r>
        <w:rPr>
          <w:rFonts w:hint="eastAsia" w:ascii="宋体" w:hAnsi="宋体" w:eastAsia="宋体" w:cs="宋体"/>
          <w:color w:val="000000" w:themeColor="text1"/>
          <w:sz w:val="24"/>
          <w:szCs w:val="24"/>
          <w:highlight w:val="none"/>
          <w:u w:val="single"/>
        </w:rPr>
        <w:t xml:space="preserve">全部施工图纸</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1.5.2 承包人文件</w:t>
      </w:r>
      <w:r>
        <w:rPr>
          <w:color w:val="000000" w:themeColor="text1"/>
          <w:highlight w:val="none"/>
        </w:rPr>
      </w:r>
    </w:p>
    <w:p>
      <w:pPr>
        <w:pStyle w:val="906"/>
        <w:ind w:left="596"/>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需要由承包人提供的文件，包括：</w:t>
      </w:r>
      <w:r>
        <w:rPr>
          <w:rFonts w:hint="eastAsia" w:ascii="宋体" w:hAnsi="宋体" w:eastAsia="宋体" w:cs="宋体"/>
          <w:color w:val="000000" w:themeColor="text1"/>
          <w:sz w:val="24"/>
          <w:szCs w:val="24"/>
          <w:highlight w:val="none"/>
          <w:u w:val="single"/>
        </w:rPr>
        <w:t xml:space="preserve">执行补充条款</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承包人提供的文件的期限为：</w:t>
      </w:r>
      <w:r>
        <w:rPr>
          <w:rFonts w:hint="eastAsia" w:ascii="宋体" w:hAnsi="宋体" w:eastAsia="宋体" w:cs="宋体"/>
          <w:color w:val="000000" w:themeColor="text1"/>
          <w:sz w:val="24"/>
          <w:szCs w:val="24"/>
          <w:highlight w:val="none"/>
          <w:u w:val="single"/>
        </w:rPr>
        <w:t xml:space="preserve">根据合同约定或发包人、监理人要求</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承包人提供的文件的数量为：</w:t>
      </w:r>
      <w:r>
        <w:rPr>
          <w:rFonts w:hint="eastAsia" w:ascii="宋体" w:hAnsi="宋体" w:eastAsia="宋体" w:cs="宋体"/>
          <w:color w:val="000000" w:themeColor="text1"/>
          <w:sz w:val="24"/>
          <w:szCs w:val="24"/>
          <w:highlight w:val="none"/>
          <w:u w:val="single"/>
        </w:rPr>
        <w:t xml:space="preserve">根据合同约定或发包人、监理人要求</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承包人提供的文件的形式为：</w:t>
      </w:r>
      <w:r>
        <w:rPr>
          <w:rFonts w:hint="eastAsia" w:ascii="宋体" w:hAnsi="宋体" w:eastAsia="宋体" w:cs="宋体"/>
          <w:color w:val="000000" w:themeColor="text1"/>
          <w:sz w:val="24"/>
          <w:szCs w:val="24"/>
          <w:highlight w:val="none"/>
          <w:u w:val="single"/>
        </w:rPr>
        <w:t xml:space="preserve">书面</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发包人审批承包人文件的期限：</w:t>
      </w:r>
      <w:r>
        <w:rPr>
          <w:rFonts w:hint="eastAsia" w:ascii="宋体" w:hAnsi="宋体" w:eastAsia="宋体" w:cs="宋体"/>
          <w:color w:val="000000" w:themeColor="text1"/>
          <w:sz w:val="24"/>
          <w:szCs w:val="24"/>
          <w:highlight w:val="none"/>
          <w:u w:val="single"/>
        </w:rPr>
        <w:t xml:space="preserve">收到文件后7天审查完毕</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1.5.3现场图纸准备</w:t>
      </w:r>
      <w:r>
        <w:rPr>
          <w:color w:val="000000" w:themeColor="text1"/>
          <w:highlight w:val="none"/>
        </w:rPr>
      </w:r>
    </w:p>
    <w:p>
      <w:pPr>
        <w:pStyle w:val="923"/>
        <w:ind w:left="63" w:right="63"/>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关于现场图纸准备的约定：</w:t>
      </w:r>
      <w:r>
        <w:rPr>
          <w:rFonts w:hint="eastAsia" w:ascii="宋体" w:hAnsi="宋体" w:eastAsia="宋体" w:cs="宋体"/>
          <w:color w:val="000000" w:themeColor="text1"/>
          <w:sz w:val="24"/>
          <w:szCs w:val="24"/>
          <w:highlight w:val="none"/>
          <w:u w:val="single"/>
        </w:rPr>
        <w:t xml:space="preserve">承包人应在施工现场另外保存一套完整的图纸和承包人文件，供发包人、监理人及有关人员进行工程检查时使用，如检查现场资料不完整按5000元/次罚款，乙方同意从工程款中直接扣除</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84" w:name="_Toc280711937"/>
      <w:r>
        <w:rPr>
          <w:color w:val="000000" w:themeColor="text1"/>
          <w:highlight w:val="none"/>
        </w:rPr>
      </w:r>
      <w:bookmarkStart w:id="85" w:name="_Toc18371"/>
      <w:r>
        <w:rPr>
          <w:color w:val="000000" w:themeColor="text1"/>
          <w:highlight w:val="none"/>
        </w:rPr>
      </w:r>
      <w:bookmarkStart w:id="86" w:name="_Toc13200089"/>
      <w:r>
        <w:rPr>
          <w:rFonts w:hint="eastAsia" w:ascii="宋体" w:hAnsi="宋体" w:eastAsia="宋体" w:cs="宋体"/>
          <w:color w:val="000000" w:themeColor="text1"/>
          <w:sz w:val="24"/>
          <w:szCs w:val="24"/>
          <w:highlight w:val="none"/>
        </w:rPr>
        <w:t xml:space="preserve">1.6 联络</w:t>
      </w:r>
      <w:bookmarkEnd w:id="84"/>
      <w:r>
        <w:rPr>
          <w:color w:val="000000" w:themeColor="text1"/>
          <w:highlight w:val="none"/>
        </w:rPr>
      </w:r>
      <w:bookmarkEnd w:id="85"/>
      <w:r>
        <w:rPr>
          <w:color w:val="000000" w:themeColor="text1"/>
          <w:highlight w:val="none"/>
        </w:rPr>
      </w:r>
      <w:bookmarkEnd w:id="86"/>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1.6.1发包人和承包人应当在</w:t>
      </w:r>
      <w:r>
        <w:rPr>
          <w:rFonts w:hint="eastAsia" w:ascii="宋体" w:hAnsi="宋体" w:eastAsia="宋体" w:cs="宋体"/>
          <w:color w:val="000000" w:themeColor="text1"/>
          <w:sz w:val="24"/>
          <w:szCs w:val="24"/>
          <w:highlight w:val="none"/>
          <w:u w:val="single"/>
        </w:rPr>
        <w:t xml:space="preserve">7</w:t>
      </w:r>
      <w:r>
        <w:rPr>
          <w:rFonts w:hint="eastAsia" w:ascii="宋体" w:hAnsi="宋体" w:eastAsia="宋体" w:cs="宋体"/>
          <w:color w:val="000000" w:themeColor="text1"/>
          <w:sz w:val="24"/>
          <w:szCs w:val="24"/>
          <w:highlight w:val="none"/>
        </w:rPr>
        <w:t xml:space="preserve">天内将与合同有关的通知、批准、证明、证书、指示、指令、要求、请求、同意、意见、确定和决定等书面函件送达对方当事人。</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1.6.2 发包人接收文件的地点：</w:t>
      </w:r>
      <w:r>
        <w:rPr>
          <w:rFonts w:hint="eastAsia" w:ascii="宋体" w:hAnsi="宋体" w:eastAsia="宋体" w:cs="宋体"/>
          <w:color w:val="000000" w:themeColor="text1"/>
          <w:sz w:val="24"/>
          <w:szCs w:val="24"/>
          <w:highlight w:val="none"/>
          <w:u w:val="single"/>
        </w:rPr>
        <w:t xml:space="preserve">现场工程部</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发包人指定的接收人为：</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承包人接收文件的地点：</w:t>
      </w:r>
      <w:r>
        <w:rPr>
          <w:rFonts w:hint="eastAsia" w:ascii="宋体" w:hAnsi="宋体" w:eastAsia="宋体" w:cs="宋体"/>
          <w:color w:val="000000" w:themeColor="text1"/>
          <w:sz w:val="24"/>
          <w:szCs w:val="24"/>
          <w:highlight w:val="none"/>
          <w:u w:val="single"/>
        </w:rPr>
        <w:t xml:space="preserve">    现场工程部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承包人指定的接收人为：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监理人接收文件的地点：</w:t>
      </w:r>
      <w:r>
        <w:rPr>
          <w:rFonts w:hint="eastAsia" w:ascii="宋体" w:hAnsi="宋体" w:eastAsia="宋体" w:cs="宋体"/>
          <w:color w:val="000000" w:themeColor="text1"/>
          <w:sz w:val="24"/>
          <w:szCs w:val="24"/>
          <w:highlight w:val="none"/>
          <w:u w:val="single"/>
        </w:rPr>
        <w:t xml:space="preserve">详见监理合同</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监理人指定的接收人为：</w:t>
      </w:r>
      <w:r>
        <w:rPr>
          <w:rFonts w:hint="eastAsia" w:ascii="宋体" w:hAnsi="宋体" w:eastAsia="宋体" w:cs="宋体"/>
          <w:color w:val="000000" w:themeColor="text1"/>
          <w:sz w:val="24"/>
          <w:szCs w:val="24"/>
          <w:highlight w:val="none"/>
          <w:u w:val="single"/>
        </w:rPr>
        <w:t xml:space="preserve">详见监理合同</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87" w:name="_Toc8108"/>
      <w:r>
        <w:rPr>
          <w:color w:val="000000" w:themeColor="text1"/>
          <w:highlight w:val="none"/>
        </w:rPr>
      </w:r>
      <w:bookmarkStart w:id="88" w:name="_Toc1289155066"/>
      <w:r>
        <w:rPr>
          <w:color w:val="000000" w:themeColor="text1"/>
          <w:highlight w:val="none"/>
        </w:rPr>
      </w:r>
      <w:bookmarkStart w:id="89" w:name="_Toc1023515055"/>
      <w:r>
        <w:rPr>
          <w:rFonts w:hint="eastAsia" w:ascii="宋体" w:hAnsi="宋体" w:eastAsia="宋体" w:cs="宋体"/>
          <w:color w:val="000000" w:themeColor="text1"/>
          <w:sz w:val="24"/>
          <w:szCs w:val="24"/>
          <w:highlight w:val="none"/>
        </w:rPr>
        <w:t xml:space="preserve">1.7 交通运输</w:t>
      </w:r>
      <w:bookmarkEnd w:id="87"/>
      <w:r>
        <w:rPr>
          <w:color w:val="000000" w:themeColor="text1"/>
          <w:highlight w:val="none"/>
        </w:rPr>
      </w:r>
      <w:bookmarkEnd w:id="88"/>
      <w:r>
        <w:rPr>
          <w:color w:val="000000" w:themeColor="text1"/>
          <w:highlight w:val="none"/>
        </w:rPr>
      </w:r>
      <w:bookmarkEnd w:id="89"/>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color w:val="000000" w:themeColor="text1"/>
          <w:highlight w:val="none"/>
        </w:rPr>
      </w:r>
      <w:bookmarkStart w:id="90" w:name="_Toc8013"/>
      <w:r>
        <w:rPr>
          <w:color w:val="000000" w:themeColor="text1"/>
          <w:highlight w:val="none"/>
        </w:rPr>
      </w:r>
      <w:bookmarkStart w:id="91" w:name="_Toc17087"/>
      <w:r>
        <w:rPr>
          <w:color w:val="000000" w:themeColor="text1"/>
          <w:highlight w:val="none"/>
        </w:rPr>
      </w:r>
      <w:bookmarkStart w:id="92" w:name="_Toc9787"/>
      <w:r>
        <w:rPr>
          <w:rFonts w:hint="eastAsia" w:ascii="宋体" w:hAnsi="宋体" w:eastAsia="宋体" w:cs="宋体"/>
          <w:color w:val="000000" w:themeColor="text1"/>
          <w:sz w:val="24"/>
          <w:szCs w:val="24"/>
          <w:highlight w:val="none"/>
        </w:rPr>
        <w:t xml:space="preserve">1</w:t>
      </w:r>
      <w:bookmarkStart w:id="93" w:name="_Toc303539100"/>
      <w:r>
        <w:rPr>
          <w:color w:val="000000" w:themeColor="text1"/>
          <w:highlight w:val="none"/>
        </w:rPr>
      </w:r>
      <w:bookmarkStart w:id="94" w:name="_Toc312677986"/>
      <w:r>
        <w:rPr>
          <w:color w:val="000000" w:themeColor="text1"/>
          <w:highlight w:val="none"/>
        </w:rPr>
      </w:r>
      <w:bookmarkStart w:id="95" w:name="_Toc300934943"/>
      <w:r>
        <w:rPr>
          <w:color w:val="000000" w:themeColor="text1"/>
          <w:highlight w:val="none"/>
        </w:rPr>
      </w:r>
      <w:bookmarkStart w:id="96" w:name="_Toc318581155"/>
      <w:r>
        <w:rPr>
          <w:color w:val="000000" w:themeColor="text1"/>
          <w:highlight w:val="none"/>
        </w:rPr>
      </w:r>
      <w:bookmarkStart w:id="97" w:name="_Toc304295521"/>
      <w:r>
        <w:rPr>
          <w:rFonts w:hint="eastAsia" w:ascii="宋体" w:hAnsi="宋体" w:eastAsia="宋体" w:cs="宋体"/>
          <w:color w:val="000000" w:themeColor="text1"/>
          <w:sz w:val="24"/>
          <w:szCs w:val="24"/>
          <w:highlight w:val="none"/>
        </w:rPr>
        <w:t xml:space="preserve">.7.1 出入现场的权利</w:t>
      </w:r>
      <w:bookmarkEnd w:id="90"/>
      <w:r>
        <w:rPr>
          <w:color w:val="000000" w:themeColor="text1"/>
          <w:highlight w:val="none"/>
        </w:rPr>
      </w:r>
      <w:bookmarkEnd w:id="91"/>
      <w:r>
        <w:rPr>
          <w:color w:val="000000" w:themeColor="text1"/>
          <w:highlight w:val="none"/>
        </w:rPr>
      </w:r>
      <w:bookmarkEnd w:id="92"/>
      <w:r>
        <w:rPr>
          <w:color w:val="000000" w:themeColor="text1"/>
          <w:highlight w:val="none"/>
        </w:rPr>
      </w:r>
      <w:r>
        <w:rPr>
          <w:color w:val="000000" w:themeColor="text1"/>
          <w:highlight w:val="none"/>
        </w:rPr>
      </w:r>
    </w:p>
    <w:p>
      <w:pPr>
        <w:pStyle w:val="923"/>
        <w:ind w:left="63" w:right="63"/>
        <w:jc w:val="left"/>
        <w:keepLines/>
        <w:keepNext w:val="0"/>
        <w:pageBreakBefore w:val="0"/>
        <w:spacing w:before="1"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关于出入现场的权利的约定：</w:t>
      </w:r>
      <w:r>
        <w:rPr>
          <w:rFonts w:hint="eastAsia" w:ascii="宋体" w:hAnsi="宋体" w:eastAsia="宋体" w:cs="宋体"/>
          <w:color w:val="000000" w:themeColor="text1"/>
          <w:sz w:val="24"/>
          <w:szCs w:val="24"/>
          <w:highlight w:val="none"/>
          <w:u w:val="single"/>
        </w:rPr>
        <w:t xml:space="preserve">承包人应在签订合同前查勘施工现场，并根据工程规模及技术参数合理预见工程施工所需的进出施工现场的方式、手段、路径等。因承包人未合理预见所增加的费用和（或）延误的工期由承包人承担。</w:t>
      </w:r>
      <w:bookmarkEnd w:id="93"/>
      <w:r>
        <w:rPr>
          <w:color w:val="000000" w:themeColor="text1"/>
          <w:highlight w:val="none"/>
        </w:rPr>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color w:val="000000" w:themeColor="text1"/>
          <w:highlight w:val="none"/>
        </w:rPr>
      </w:r>
      <w:bookmarkStart w:id="98" w:name="_Toc4066"/>
      <w:r>
        <w:rPr>
          <w:color w:val="000000" w:themeColor="text1"/>
          <w:highlight w:val="none"/>
        </w:rPr>
      </w:r>
      <w:bookmarkStart w:id="99" w:name="_Toc30188"/>
      <w:r>
        <w:rPr>
          <w:color w:val="000000" w:themeColor="text1"/>
          <w:highlight w:val="none"/>
        </w:rPr>
      </w:r>
      <w:bookmarkStart w:id="100" w:name="_Toc3062"/>
      <w:r>
        <w:rPr>
          <w:rFonts w:hint="eastAsia" w:ascii="宋体" w:hAnsi="宋体" w:eastAsia="宋体" w:cs="宋体"/>
          <w:color w:val="000000" w:themeColor="text1"/>
          <w:sz w:val="24"/>
          <w:szCs w:val="24"/>
          <w:highlight w:val="none"/>
        </w:rPr>
        <w:t xml:space="preserve">1</w:t>
      </w:r>
      <w:bookmarkStart w:id="101" w:name="_Toc300934944"/>
      <w:r>
        <w:rPr>
          <w:color w:val="000000" w:themeColor="text1"/>
          <w:highlight w:val="none"/>
        </w:rPr>
      </w:r>
      <w:bookmarkStart w:id="102" w:name="_Toc303539101"/>
      <w:r>
        <w:rPr>
          <w:color w:val="000000" w:themeColor="text1"/>
          <w:highlight w:val="none"/>
        </w:rPr>
      </w:r>
      <w:bookmarkStart w:id="103" w:name="_Toc318581156"/>
      <w:r>
        <w:rPr>
          <w:color w:val="000000" w:themeColor="text1"/>
          <w:highlight w:val="none"/>
        </w:rPr>
      </w:r>
      <w:bookmarkStart w:id="104" w:name="_Toc312677987"/>
      <w:r>
        <w:rPr>
          <w:color w:val="000000" w:themeColor="text1"/>
          <w:highlight w:val="none"/>
        </w:rPr>
      </w:r>
      <w:bookmarkStart w:id="105" w:name="_Toc304295522"/>
      <w:r>
        <w:rPr>
          <w:rFonts w:hint="eastAsia" w:ascii="宋体" w:hAnsi="宋体" w:eastAsia="宋体" w:cs="宋体"/>
          <w:color w:val="000000" w:themeColor="text1"/>
          <w:sz w:val="24"/>
          <w:szCs w:val="24"/>
          <w:highlight w:val="none"/>
        </w:rPr>
        <w:t xml:space="preserve">.7.2场内交通</w:t>
      </w:r>
      <w:bookmarkEnd w:id="98"/>
      <w:r>
        <w:rPr>
          <w:color w:val="000000" w:themeColor="text1"/>
          <w:highlight w:val="none"/>
        </w:rPr>
      </w:r>
      <w:bookmarkEnd w:id="99"/>
      <w:r>
        <w:rPr>
          <w:color w:val="000000" w:themeColor="text1"/>
          <w:highlight w:val="none"/>
        </w:rPr>
      </w:r>
      <w:bookmarkEnd w:id="100"/>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关于场外交通和场内交通的边界的约定：</w:t>
      </w:r>
      <w:r>
        <w:rPr>
          <w:rFonts w:hint="eastAsia" w:ascii="宋体" w:hAnsi="宋体" w:eastAsia="宋体" w:cs="宋体"/>
          <w:color w:val="000000" w:themeColor="text1"/>
          <w:sz w:val="24"/>
          <w:szCs w:val="24"/>
          <w:highlight w:val="none"/>
          <w:u w:val="single"/>
        </w:rPr>
        <w:t xml:space="preserve">临时进场道路与场外公共道路的交界线</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关于发包人向承包人免费提供满足工程施工需要的场内道路和交通设施的约定：</w:t>
      </w:r>
      <w:r>
        <w:rPr>
          <w:rFonts w:hint="eastAsia" w:ascii="宋体" w:hAnsi="宋体" w:eastAsia="宋体" w:cs="宋体"/>
          <w:color w:val="000000" w:themeColor="text1"/>
          <w:sz w:val="24"/>
          <w:szCs w:val="24"/>
          <w:highlight w:val="none"/>
          <w:u w:val="single"/>
        </w:rPr>
        <w:t xml:space="preserve">发包人没有免费向承包人提供满足工程施工需要的场内道路和交通设施的义务</w:t>
      </w:r>
      <w:r>
        <w:rPr>
          <w:rFonts w:hint="eastAsia" w:ascii="宋体" w:hAnsi="宋体" w:eastAsia="宋体" w:cs="宋体"/>
          <w:color w:val="000000" w:themeColor="text1"/>
          <w:sz w:val="24"/>
          <w:szCs w:val="24"/>
          <w:highlight w:val="none"/>
        </w:rPr>
        <w:t xml:space="preserve">。</w:t>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bookmarkStart w:id="106" w:name="_Toc318581157"/>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1.7.3超大件和超重件的运输</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运输超大件或超重件所需的道路和桥梁临时加固改造费用和其他有关费用由</w:t>
      </w:r>
      <w:r>
        <w:rPr>
          <w:rFonts w:hint="eastAsia" w:ascii="宋体" w:hAnsi="宋体" w:eastAsia="宋体" w:cs="宋体"/>
          <w:color w:val="000000" w:themeColor="text1"/>
          <w:sz w:val="24"/>
          <w:szCs w:val="24"/>
          <w:highlight w:val="none"/>
          <w:u w:val="single"/>
        </w:rPr>
        <w:t xml:space="preserve">  承包人  </w:t>
      </w:r>
      <w:r>
        <w:rPr>
          <w:rFonts w:hint="eastAsia" w:ascii="宋体" w:hAnsi="宋体" w:eastAsia="宋体" w:cs="宋体"/>
          <w:color w:val="000000" w:themeColor="text1"/>
          <w:sz w:val="24"/>
          <w:szCs w:val="24"/>
          <w:highlight w:val="none"/>
        </w:rPr>
        <w:t xml:space="preserve">承担。</w:t>
      </w:r>
      <w:bookmarkEnd w:id="106"/>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107" w:name="_Toc1760605217"/>
      <w:r>
        <w:rPr>
          <w:color w:val="000000" w:themeColor="text1"/>
          <w:highlight w:val="none"/>
        </w:rPr>
      </w:r>
      <w:bookmarkStart w:id="108" w:name="_Toc17638"/>
      <w:r>
        <w:rPr>
          <w:color w:val="000000" w:themeColor="text1"/>
          <w:highlight w:val="none"/>
        </w:rPr>
      </w:r>
      <w:bookmarkStart w:id="109" w:name="_Toc869890155"/>
      <w:r>
        <w:rPr>
          <w:rFonts w:hint="eastAsia" w:ascii="宋体" w:hAnsi="宋体" w:eastAsia="宋体" w:cs="宋体"/>
          <w:color w:val="000000" w:themeColor="text1"/>
          <w:sz w:val="24"/>
          <w:szCs w:val="24"/>
          <w:highlight w:val="none"/>
        </w:rPr>
        <w:t xml:space="preserve">1.8 知识产权</w:t>
      </w:r>
      <w:bookmarkEnd w:id="107"/>
      <w:r>
        <w:rPr>
          <w:color w:val="000000" w:themeColor="text1"/>
          <w:highlight w:val="none"/>
        </w:rPr>
      </w:r>
      <w:bookmarkEnd w:id="108"/>
      <w:r>
        <w:rPr>
          <w:color w:val="000000" w:themeColor="text1"/>
          <w:highlight w:val="none"/>
        </w:rPr>
      </w:r>
      <w:bookmarkEnd w:id="109"/>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left="59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关于发包人提供的上述文件的使用限制的要求：</w:t>
      </w:r>
      <w:r>
        <w:rPr>
          <w:rFonts w:hint="eastAsia" w:ascii="宋体" w:hAnsi="宋体" w:eastAsia="宋体" w:cs="宋体"/>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left="59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color w:val="000000" w:themeColor="text1"/>
          <w:highlight w:val="none"/>
        </w:rPr>
      </w:r>
      <w:bookmarkStart w:id="110" w:name="_Toc11158"/>
      <w:r>
        <w:rPr>
          <w:color w:val="000000" w:themeColor="text1"/>
          <w:highlight w:val="none"/>
        </w:rPr>
      </w:r>
      <w:bookmarkStart w:id="111" w:name="_Toc29973"/>
      <w:r>
        <w:rPr>
          <w:color w:val="000000" w:themeColor="text1"/>
          <w:highlight w:val="none"/>
        </w:rPr>
      </w:r>
      <w:bookmarkStart w:id="112" w:name="_Toc14488"/>
      <w:r>
        <w:rPr>
          <w:rFonts w:hint="eastAsia" w:ascii="宋体" w:hAnsi="宋体" w:eastAsia="宋体" w:cs="宋体"/>
          <w:color w:val="000000" w:themeColor="text1"/>
          <w:sz w:val="24"/>
          <w:szCs w:val="24"/>
          <w:highlight w:val="none"/>
        </w:rPr>
        <w:t xml:space="preserve">1.8.2 关于承包人为实施工程所编制文件的著作权的归属：</w:t>
      </w:r>
      <w:bookmarkEnd w:id="110"/>
      <w:r>
        <w:rPr>
          <w:color w:val="000000" w:themeColor="text1"/>
          <w:highlight w:val="none"/>
        </w:rPr>
      </w:r>
      <w:bookmarkEnd w:id="111"/>
      <w:r>
        <w:rPr>
          <w:color w:val="000000" w:themeColor="text1"/>
          <w:highlight w:val="none"/>
        </w:rPr>
      </w:r>
      <w:bookmarkEnd w:id="112"/>
      <w:r>
        <w:rPr>
          <w:rFonts w:hint="eastAsia" w:ascii="宋体" w:hAnsi="宋体" w:eastAsia="宋体" w:cs="宋体"/>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关于承包人提供的上述文件的使用限制的要求：</w:t>
      </w:r>
      <w:r>
        <w:rPr>
          <w:rFonts w:hint="eastAsia" w:ascii="宋体" w:hAnsi="宋体" w:eastAsia="宋体" w:cs="宋体"/>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color w:val="000000" w:themeColor="text1"/>
          <w:highlight w:val="none"/>
        </w:rPr>
      </w:r>
      <w:bookmarkStart w:id="113" w:name="_Toc4666"/>
      <w:r>
        <w:rPr>
          <w:color w:val="000000" w:themeColor="text1"/>
          <w:highlight w:val="none"/>
        </w:rPr>
      </w:r>
      <w:bookmarkStart w:id="114" w:name="_Toc13562"/>
      <w:r>
        <w:rPr>
          <w:color w:val="000000" w:themeColor="text1"/>
          <w:highlight w:val="none"/>
        </w:rPr>
      </w:r>
      <w:bookmarkStart w:id="115" w:name="_Toc22809"/>
      <w:r>
        <w:rPr>
          <w:rFonts w:hint="eastAsia" w:ascii="宋体" w:hAnsi="宋体" w:eastAsia="宋体" w:cs="宋体"/>
          <w:color w:val="000000" w:themeColor="text1"/>
          <w:sz w:val="24"/>
          <w:szCs w:val="24"/>
          <w:highlight w:val="none"/>
        </w:rPr>
        <w:t xml:space="preserve">1.8.3 承包人在施工过程中所采用的专利、专有技术、技术秘密的使用费的承担方式：</w:t>
      </w:r>
      <w:r>
        <w:rPr>
          <w:rFonts w:hint="eastAsia" w:ascii="宋体" w:hAnsi="宋体" w:eastAsia="宋体" w:cs="宋体"/>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rPr>
        <w:t xml:space="preserve">。</w:t>
      </w:r>
      <w:bookmarkEnd w:id="113"/>
      <w:r>
        <w:rPr>
          <w:color w:val="000000" w:themeColor="text1"/>
          <w:highlight w:val="none"/>
        </w:rPr>
      </w:r>
      <w:bookmarkEnd w:id="114"/>
      <w:r>
        <w:rPr>
          <w:color w:val="000000" w:themeColor="text1"/>
          <w:highlight w:val="none"/>
        </w:rPr>
      </w:r>
      <w:bookmarkEnd w:id="115"/>
      <w:r>
        <w:rPr>
          <w:color w:val="000000" w:themeColor="text1"/>
          <w:highlight w:val="none"/>
        </w:rPr>
      </w:r>
      <w:bookmarkStart w:id="116" w:name="_Toc4484"/>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1.9工程量清单错误的修正</w:t>
      </w:r>
      <w:bookmarkEnd w:id="116"/>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应在合同签订后对发包人提供的工程量清单、图纸和现场进行核查和踏察，如发现差异，应在三天内以书面形式向发包人提出，如未在三日内提出视为无异议；有下列情形之一时，经承包人在三日内提出，发包人应予以修正，并相应调整合同价格：</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出现工程量清单错误时，是否调整合同价格：</w:t>
      </w:r>
      <w:r>
        <w:rPr>
          <w:rFonts w:hint="eastAsia" w:ascii="宋体" w:hAnsi="宋体" w:eastAsia="宋体" w:cs="宋体"/>
          <w:color w:val="000000" w:themeColor="text1"/>
          <w:sz w:val="24"/>
          <w:szCs w:val="24"/>
          <w:highlight w:val="none"/>
          <w:u w:val="single"/>
        </w:rPr>
        <w:t xml:space="preserve">需经甲方同意后方可调整</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允许调整合同价格的工程量偏差范围：</w:t>
      </w:r>
      <w:r>
        <w:rPr>
          <w:rFonts w:hint="eastAsia" w:ascii="宋体" w:hAnsi="宋体" w:eastAsia="宋体" w:cs="宋体"/>
          <w:color w:val="000000" w:themeColor="text1"/>
          <w:sz w:val="24"/>
          <w:szCs w:val="24"/>
          <w:highlight w:val="none"/>
          <w:u w:val="single"/>
        </w:rPr>
        <w:t xml:space="preserve">需经甲方同意后，按经招标人认可的实际工程量结算</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10"/>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117" w:name="_Toc125523837"/>
      <w:r>
        <w:rPr>
          <w:color w:val="000000" w:themeColor="text1"/>
          <w:highlight w:val="none"/>
        </w:rPr>
      </w:r>
      <w:bookmarkStart w:id="118" w:name="_Toc2049858434"/>
      <w:r>
        <w:rPr>
          <w:rFonts w:hint="eastAsia" w:ascii="宋体" w:hAnsi="宋体" w:eastAsia="宋体" w:cs="宋体"/>
          <w:b w:val="0"/>
          <w:color w:val="000000" w:themeColor="text1"/>
          <w:sz w:val="24"/>
          <w:szCs w:val="24"/>
          <w:highlight w:val="none"/>
        </w:rPr>
        <w:t xml:space="preserve">2</w:t>
      </w:r>
      <w:bookmarkStart w:id="119" w:name="_Toc296347156"/>
      <w:r>
        <w:rPr>
          <w:color w:val="000000" w:themeColor="text1"/>
          <w:highlight w:val="none"/>
        </w:rPr>
      </w:r>
      <w:bookmarkStart w:id="120" w:name="_Toc296890985"/>
      <w:r>
        <w:rPr>
          <w:color w:val="000000" w:themeColor="text1"/>
          <w:highlight w:val="none"/>
        </w:rPr>
      </w:r>
      <w:bookmarkStart w:id="121" w:name="_Toc296346658"/>
      <w:r>
        <w:rPr>
          <w:color w:val="000000" w:themeColor="text1"/>
          <w:highlight w:val="none"/>
        </w:rPr>
      </w:r>
      <w:bookmarkStart w:id="122" w:name="_Toc297048343"/>
      <w:r>
        <w:rPr>
          <w:color w:val="000000" w:themeColor="text1"/>
          <w:highlight w:val="none"/>
        </w:rPr>
      </w:r>
      <w:bookmarkStart w:id="123" w:name="_Toc297120457"/>
      <w:r>
        <w:rPr>
          <w:color w:val="000000" w:themeColor="text1"/>
          <w:highlight w:val="none"/>
        </w:rPr>
      </w:r>
      <w:bookmarkStart w:id="124" w:name="_Toc296891197"/>
      <w:r>
        <w:rPr>
          <w:color w:val="000000" w:themeColor="text1"/>
          <w:highlight w:val="none"/>
        </w:rPr>
      </w:r>
      <w:bookmarkStart w:id="125" w:name="_Toc292559362"/>
      <w:r>
        <w:rPr>
          <w:color w:val="000000" w:themeColor="text1"/>
          <w:highlight w:val="none"/>
        </w:rPr>
      </w:r>
      <w:bookmarkStart w:id="126" w:name="_Toc292559867"/>
      <w:r>
        <w:rPr>
          <w:color w:val="000000" w:themeColor="text1"/>
          <w:highlight w:val="none"/>
        </w:rPr>
      </w:r>
      <w:bookmarkStart w:id="127" w:name="_Toc296503157"/>
      <w:r>
        <w:rPr>
          <w:color w:val="000000" w:themeColor="text1"/>
          <w:highlight w:val="none"/>
        </w:rPr>
      </w:r>
      <w:bookmarkStart w:id="128" w:name="_Toc296944496"/>
      <w:r>
        <w:rPr>
          <w:rFonts w:hint="eastAsia" w:ascii="宋体" w:hAnsi="宋体" w:eastAsia="宋体" w:cs="宋体"/>
          <w:b w:val="0"/>
          <w:color w:val="000000" w:themeColor="text1"/>
          <w:sz w:val="24"/>
          <w:szCs w:val="24"/>
          <w:highlight w:val="none"/>
        </w:rPr>
        <w:t xml:space="preserve">. 发包人</w:t>
      </w:r>
      <w:bookmarkEnd w:id="117"/>
      <w:r>
        <w:rPr>
          <w:color w:val="000000" w:themeColor="text1"/>
          <w:highlight w:val="none"/>
        </w:rPr>
      </w:r>
      <w:bookmarkEnd w:id="118"/>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129" w:name="_Toc1613310203"/>
      <w:r>
        <w:rPr>
          <w:color w:val="000000" w:themeColor="text1"/>
          <w:highlight w:val="none"/>
        </w:rPr>
      </w:r>
      <w:bookmarkStart w:id="130" w:name="_Toc351203510"/>
      <w:r>
        <w:rPr>
          <w:color w:val="000000" w:themeColor="text1"/>
          <w:highlight w:val="none"/>
        </w:rPr>
      </w:r>
      <w:bookmarkStart w:id="131" w:name="_Toc29214"/>
      <w:r>
        <w:rPr>
          <w:color w:val="000000" w:themeColor="text1"/>
          <w:highlight w:val="none"/>
        </w:rPr>
      </w:r>
      <w:bookmarkStart w:id="132" w:name="_Toc493482386"/>
      <w:r>
        <w:rPr>
          <w:rFonts w:hint="eastAsia" w:ascii="宋体" w:hAnsi="宋体" w:eastAsia="宋体" w:cs="宋体"/>
          <w:color w:val="000000" w:themeColor="text1"/>
          <w:sz w:val="24"/>
          <w:szCs w:val="24"/>
          <w:highlight w:val="none"/>
        </w:rPr>
        <w:t xml:space="preserve">2.1 许可或批准</w:t>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color w:val="000000" w:themeColor="text1"/>
          <w:highlight w:val="none"/>
        </w:rPr>
      </w:r>
      <w:r>
        <w:rPr>
          <w:color w:val="000000" w:themeColor="text1"/>
          <w:highlight w:val="none"/>
        </w:rPr>
      </w:r>
    </w:p>
    <w:p>
      <w:pPr>
        <w:pStyle w:val="906"/>
        <w:ind w:firstLine="480"/>
        <w:keepLines/>
        <w:keepNext w:val="0"/>
        <w:pageBreakBefore w:val="0"/>
        <w:spacing w:before="120"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2.1.1根据相关规定提供园林绿化施工所需的许可或批准。</w:t>
      </w:r>
      <w:bookmarkEnd w:id="119"/>
      <w:r>
        <w:rPr>
          <w:color w:val="000000" w:themeColor="text1"/>
          <w:highlight w:val="none"/>
        </w:rPr>
      </w:r>
      <w:bookmarkEnd w:id="120"/>
      <w:r>
        <w:rPr>
          <w:color w:val="000000" w:themeColor="text1"/>
          <w:highlight w:val="none"/>
        </w:rPr>
      </w:r>
      <w:bookmarkEnd w:id="121"/>
      <w:r>
        <w:rPr>
          <w:color w:val="000000" w:themeColor="text1"/>
          <w:highlight w:val="none"/>
        </w:rPr>
      </w:r>
      <w:bookmarkEnd w:id="122"/>
      <w:r>
        <w:rPr>
          <w:color w:val="000000" w:themeColor="text1"/>
          <w:highlight w:val="none"/>
        </w:rPr>
      </w:r>
      <w:bookmarkEnd w:id="123"/>
      <w:r>
        <w:rPr>
          <w:color w:val="000000" w:themeColor="text1"/>
          <w:highlight w:val="none"/>
        </w:rPr>
      </w:r>
      <w:bookmarkEnd w:id="124"/>
      <w:r>
        <w:rPr>
          <w:color w:val="000000" w:themeColor="text1"/>
          <w:highlight w:val="none"/>
        </w:rPr>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color w:val="000000" w:themeColor="text1"/>
          <w:highlight w:val="none"/>
        </w:rPr>
      </w:r>
      <w:bookmarkStart w:id="133" w:name="_Toc17753"/>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 发包人代表</w:t>
      </w:r>
      <w:bookmarkEnd w:id="133"/>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发包人代表： </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    名：</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；身份证号：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    务：</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发包人对发包人代表的授权范围如下：</w:t>
      </w:r>
      <w:r>
        <w:rPr>
          <w:rFonts w:hint="eastAsia" w:ascii="宋体" w:hAnsi="宋体" w:eastAsia="宋体" w:cs="宋体"/>
          <w:color w:val="000000" w:themeColor="text1"/>
          <w:sz w:val="24"/>
          <w:szCs w:val="24"/>
          <w:highlight w:val="none"/>
          <w:u w:val="single"/>
        </w:rPr>
        <w:t xml:space="preserve">另行授权</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134" w:name="_Toc26646"/>
      <w:r>
        <w:rPr>
          <w:color w:val="000000" w:themeColor="text1"/>
          <w:highlight w:val="none"/>
        </w:rPr>
      </w:r>
      <w:bookmarkStart w:id="135" w:name="_Toc1335716241"/>
      <w:r>
        <w:rPr>
          <w:color w:val="000000" w:themeColor="text1"/>
          <w:highlight w:val="none"/>
        </w:rPr>
      </w:r>
      <w:bookmarkStart w:id="136" w:name="_Toc571308452"/>
      <w:r>
        <w:rPr>
          <w:rFonts w:hint="eastAsia" w:ascii="宋体" w:hAnsi="宋体" w:eastAsia="宋体" w:cs="宋体"/>
          <w:color w:val="000000" w:themeColor="text1"/>
          <w:sz w:val="24"/>
          <w:szCs w:val="24"/>
          <w:highlight w:val="none"/>
        </w:rPr>
        <w:t xml:space="preserve">2.3 施工现场、施工条件和基础资料的提供</w:t>
      </w:r>
      <w:bookmarkEnd w:id="134"/>
      <w:r>
        <w:rPr>
          <w:color w:val="000000" w:themeColor="text1"/>
          <w:highlight w:val="none"/>
        </w:rPr>
      </w:r>
      <w:bookmarkEnd w:id="135"/>
      <w:r>
        <w:rPr>
          <w:color w:val="000000" w:themeColor="text1"/>
          <w:highlight w:val="none"/>
        </w:rPr>
      </w:r>
      <w:bookmarkEnd w:id="136"/>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2.3.1 提供施工现场</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关于发包人移交施工现场的期限要求：</w:t>
      </w:r>
      <w:r>
        <w:rPr>
          <w:rFonts w:hint="eastAsia" w:ascii="宋体" w:hAnsi="宋体" w:eastAsia="宋体" w:cs="宋体"/>
          <w:color w:val="000000" w:themeColor="text1"/>
          <w:sz w:val="24"/>
          <w:szCs w:val="24"/>
          <w:highlight w:val="none"/>
          <w:u w:val="single"/>
        </w:rPr>
        <w:t xml:space="preserve">开工前保证施工现场基本具备开工条件</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2.3.2 提供施工条件</w:t>
      </w:r>
      <w:r>
        <w:rPr>
          <w:color w:val="000000" w:themeColor="text1"/>
          <w:highlight w:val="none"/>
        </w:rPr>
      </w:r>
    </w:p>
    <w:p>
      <w:pPr>
        <w:pStyle w:val="923"/>
        <w:ind w:left="63" w:right="63"/>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关于发包人应负责提供施工所需要的条件，包括：</w:t>
      </w:r>
      <w:r>
        <w:rPr>
          <w:rFonts w:hint="eastAsia" w:ascii="宋体" w:hAnsi="宋体" w:eastAsia="宋体" w:cs="宋体"/>
          <w:color w:val="000000" w:themeColor="text1"/>
          <w:sz w:val="24"/>
          <w:szCs w:val="24"/>
          <w:highlight w:val="none"/>
          <w:u w:val="single"/>
        </w:rPr>
        <w:t xml:space="preserve">发包人负责提供电源，由本工程承包人接入施工现场，设置分电源箱，并单独装表计量。从发包人提供的电源至施工用电设备线路的安装由承包人负责实施，安装费、线路、设备购置费及施工过程中发生的所有电费，无论承包人是否在投标报价中单独列支，发包人均认为此项费用包含在投标报价中。从水源至施工各用水点的管路安装、布置由承包人负责实施，其安装费、管材、设备购置费及施工过程中发生的所有水费，无论承包人是否在投标报价中单独列支，发包人均认为此项费用包含在投标报价中。</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2.3.3提供基础资料</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发包人还应提供项目施工区域内现状树木一览表、现状土壤指标等。</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137" w:name="_Toc9218"/>
      <w:r>
        <w:rPr>
          <w:color w:val="000000" w:themeColor="text1"/>
          <w:highlight w:val="none"/>
        </w:rPr>
      </w:r>
      <w:bookmarkStart w:id="138" w:name="_Toc1205484610"/>
      <w:r>
        <w:rPr>
          <w:color w:val="000000" w:themeColor="text1"/>
          <w:highlight w:val="none"/>
        </w:rPr>
      </w:r>
      <w:bookmarkStart w:id="139" w:name="_Toc981174043"/>
      <w:r>
        <w:rPr>
          <w:rFonts w:hint="eastAsia" w:ascii="宋体" w:hAnsi="宋体" w:eastAsia="宋体" w:cs="宋体"/>
          <w:color w:val="000000" w:themeColor="text1"/>
          <w:sz w:val="24"/>
          <w:szCs w:val="24"/>
          <w:highlight w:val="none"/>
        </w:rPr>
        <w:t xml:space="preserve">2.4 资金来源证明及支付担保</w:t>
      </w:r>
      <w:bookmarkEnd w:id="137"/>
      <w:r>
        <w:rPr>
          <w:color w:val="000000" w:themeColor="text1"/>
          <w:highlight w:val="none"/>
        </w:rPr>
      </w:r>
      <w:bookmarkEnd w:id="138"/>
      <w:r>
        <w:rPr>
          <w:color w:val="000000" w:themeColor="text1"/>
          <w:highlight w:val="none"/>
        </w:rPr>
      </w:r>
      <w:bookmarkEnd w:id="139"/>
      <w:r>
        <w:rPr>
          <w:color w:val="000000" w:themeColor="text1"/>
          <w:highlight w:val="none"/>
        </w:rPr>
      </w:r>
      <w:r>
        <w:rPr>
          <w:color w:val="000000" w:themeColor="text1"/>
          <w:highlight w:val="none"/>
        </w:rPr>
      </w:r>
    </w:p>
    <w:p>
      <w:pPr>
        <w:pStyle w:val="906"/>
        <w:ind w:left="596"/>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发包人提供资金来源证明的期限要求：</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发包人提供支付担保期限及方式：发包人应在签订合同后</w:t>
      </w:r>
      <w:r>
        <w:rPr>
          <w:rFonts w:hint="eastAsia" w:ascii="宋体" w:hAnsi="宋体" w:eastAsia="宋体" w:cs="宋体"/>
          <w:color w:val="000000" w:themeColor="text1"/>
          <w:sz w:val="24"/>
          <w:szCs w:val="24"/>
          <w:highlight w:val="none"/>
          <w:u w:val="single"/>
        </w:rPr>
        <w:t xml:space="preserve"> /    </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天内，向承包人提供工程款支付担保，确保农民工工资按时足额支付。发包人提供支付担保的形式：</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，担保有效期至工程款拨付完成为止（不含质量保证金）。</w:t>
      </w:r>
      <w:r>
        <w:rPr>
          <w:color w:val="000000" w:themeColor="text1"/>
          <w:highlight w:val="none"/>
        </w:rPr>
      </w:r>
    </w:p>
    <w:p>
      <w:pPr>
        <w:pStyle w:val="910"/>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140" w:name="_Toc507831889"/>
      <w:r>
        <w:rPr>
          <w:color w:val="000000" w:themeColor="text1"/>
          <w:highlight w:val="none"/>
        </w:rPr>
      </w:r>
      <w:bookmarkStart w:id="141" w:name="_Toc224169773"/>
      <w:r>
        <w:rPr>
          <w:rFonts w:hint="eastAsia" w:ascii="宋体" w:hAnsi="宋体" w:eastAsia="宋体" w:cs="宋体"/>
          <w:b w:val="0"/>
          <w:color w:val="000000" w:themeColor="text1"/>
          <w:sz w:val="24"/>
          <w:szCs w:val="24"/>
          <w:highlight w:val="none"/>
        </w:rPr>
        <w:t xml:space="preserve">3</w:t>
      </w:r>
      <w:bookmarkStart w:id="142" w:name="_Toc292559363"/>
      <w:r>
        <w:rPr>
          <w:color w:val="000000" w:themeColor="text1"/>
          <w:highlight w:val="none"/>
        </w:rPr>
      </w:r>
      <w:bookmarkStart w:id="143" w:name="_Toc296890986"/>
      <w:r>
        <w:rPr>
          <w:color w:val="000000" w:themeColor="text1"/>
          <w:highlight w:val="none"/>
        </w:rPr>
      </w:r>
      <w:bookmarkStart w:id="144" w:name="_Toc297120458"/>
      <w:r>
        <w:rPr>
          <w:color w:val="000000" w:themeColor="text1"/>
          <w:highlight w:val="none"/>
        </w:rPr>
      </w:r>
      <w:bookmarkStart w:id="145" w:name="_Toc296346659"/>
      <w:r>
        <w:rPr>
          <w:color w:val="000000" w:themeColor="text1"/>
          <w:highlight w:val="none"/>
        </w:rPr>
      </w:r>
      <w:bookmarkStart w:id="146" w:name="_Toc297048344"/>
      <w:r>
        <w:rPr>
          <w:color w:val="000000" w:themeColor="text1"/>
          <w:highlight w:val="none"/>
        </w:rPr>
      </w:r>
      <w:bookmarkStart w:id="147" w:name="_Toc296503158"/>
      <w:r>
        <w:rPr>
          <w:color w:val="000000" w:themeColor="text1"/>
          <w:highlight w:val="none"/>
        </w:rPr>
      </w:r>
      <w:bookmarkStart w:id="148" w:name="_Toc296944497"/>
      <w:r>
        <w:rPr>
          <w:color w:val="000000" w:themeColor="text1"/>
          <w:highlight w:val="none"/>
        </w:rPr>
      </w:r>
      <w:bookmarkStart w:id="149" w:name="_Toc292559868"/>
      <w:r>
        <w:rPr>
          <w:color w:val="000000" w:themeColor="text1"/>
          <w:highlight w:val="none"/>
        </w:rPr>
      </w:r>
      <w:bookmarkStart w:id="150" w:name="_Toc296891198"/>
      <w:r>
        <w:rPr>
          <w:color w:val="000000" w:themeColor="text1"/>
          <w:highlight w:val="none"/>
        </w:rPr>
      </w:r>
      <w:bookmarkStart w:id="151" w:name="_Toc296347157"/>
      <w:r>
        <w:rPr>
          <w:rFonts w:hint="eastAsia" w:ascii="宋体" w:hAnsi="宋体" w:eastAsia="宋体" w:cs="宋体"/>
          <w:b w:val="0"/>
          <w:color w:val="000000" w:themeColor="text1"/>
          <w:sz w:val="24"/>
          <w:szCs w:val="24"/>
          <w:highlight w:val="none"/>
        </w:rPr>
        <w:t xml:space="preserve">. 承包人</w:t>
      </w:r>
      <w:bookmarkEnd w:id="140"/>
      <w:r>
        <w:rPr>
          <w:color w:val="000000" w:themeColor="text1"/>
          <w:highlight w:val="none"/>
        </w:rPr>
      </w:r>
      <w:bookmarkEnd w:id="141"/>
      <w:r>
        <w:rPr>
          <w:color w:val="000000" w:themeColor="text1"/>
          <w:highlight w:val="none"/>
        </w:rPr>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color w:val="000000" w:themeColor="text1"/>
          <w:highlight w:val="none"/>
        </w:rPr>
      </w:r>
      <w:bookmarkEnd w:id="146"/>
      <w:r>
        <w:rPr>
          <w:color w:val="000000" w:themeColor="text1"/>
          <w:highlight w:val="none"/>
        </w:rPr>
      </w:r>
      <w:bookmarkEnd w:id="147"/>
      <w:r>
        <w:rPr>
          <w:color w:val="000000" w:themeColor="text1"/>
          <w:highlight w:val="none"/>
        </w:rPr>
      </w:r>
      <w:bookmarkEnd w:id="148"/>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152" w:name="_Toc1604068603"/>
      <w:r>
        <w:rPr>
          <w:color w:val="000000" w:themeColor="text1"/>
          <w:highlight w:val="none"/>
        </w:rPr>
      </w:r>
      <w:bookmarkStart w:id="153" w:name="_Toc19452"/>
      <w:r>
        <w:rPr>
          <w:color w:val="000000" w:themeColor="text1"/>
          <w:highlight w:val="none"/>
        </w:rPr>
      </w:r>
      <w:bookmarkStart w:id="154" w:name="_Toc1540549183"/>
      <w:r>
        <w:rPr>
          <w:rFonts w:hint="eastAsia" w:ascii="宋体" w:hAnsi="宋体" w:eastAsia="宋体" w:cs="宋体"/>
          <w:color w:val="000000" w:themeColor="text1"/>
          <w:sz w:val="24"/>
          <w:szCs w:val="24"/>
          <w:highlight w:val="none"/>
        </w:rPr>
        <w:t xml:space="preserve">3.1 承包人的一般义务</w:t>
      </w:r>
      <w:bookmarkEnd w:id="152"/>
      <w:r>
        <w:rPr>
          <w:color w:val="000000" w:themeColor="text1"/>
          <w:highlight w:val="none"/>
        </w:rPr>
      </w:r>
      <w:bookmarkEnd w:id="153"/>
      <w:r>
        <w:rPr>
          <w:color w:val="000000" w:themeColor="text1"/>
          <w:highlight w:val="none"/>
        </w:rPr>
      </w:r>
      <w:bookmarkEnd w:id="154"/>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（1）承包人提交的竣工资料的内容：</w:t>
      </w:r>
      <w:r>
        <w:rPr>
          <w:rFonts w:hint="eastAsia" w:ascii="宋体" w:hAnsi="宋体" w:eastAsia="宋体" w:cs="宋体"/>
          <w:color w:val="000000" w:themeColor="text1"/>
          <w:sz w:val="24"/>
          <w:szCs w:val="24"/>
          <w:highlight w:val="none"/>
          <w:u w:val="single"/>
        </w:rPr>
        <w:t xml:space="preserve">提供符合城建档案馆和行政质检监督部门要求的竣工图及竣工资料</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承包人需要提交的竣工资料套数：</w:t>
      </w:r>
      <w:r>
        <w:rPr>
          <w:rFonts w:hint="eastAsia" w:ascii="宋体" w:hAnsi="宋体" w:eastAsia="宋体" w:cs="宋体"/>
          <w:color w:val="000000" w:themeColor="text1"/>
          <w:sz w:val="24"/>
          <w:szCs w:val="24"/>
          <w:highlight w:val="none"/>
          <w:u w:val="single"/>
        </w:rPr>
        <w:t xml:space="preserve">肆套</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承包人提交的竣工资料的费用承担：</w:t>
      </w:r>
      <w:r>
        <w:rPr>
          <w:rFonts w:hint="eastAsia" w:ascii="宋体" w:hAnsi="宋体" w:eastAsia="宋体" w:cs="宋体"/>
          <w:color w:val="000000" w:themeColor="text1"/>
          <w:sz w:val="24"/>
          <w:szCs w:val="24"/>
          <w:highlight w:val="none"/>
          <w:u w:val="single"/>
        </w:rPr>
        <w:t xml:space="preserve">承包人承担</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承包人提交的竣工资料移交时间：</w:t>
      </w:r>
      <w:r>
        <w:rPr>
          <w:rFonts w:hint="eastAsia" w:ascii="宋体" w:hAnsi="宋体" w:eastAsia="宋体" w:cs="宋体"/>
          <w:color w:val="000000" w:themeColor="text1"/>
          <w:sz w:val="24"/>
          <w:szCs w:val="24"/>
          <w:highlight w:val="none"/>
          <w:u w:val="single"/>
        </w:rPr>
        <w:t xml:space="preserve">工程竣工验收合格后15日内</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承包人提交的竣工资料形式要求：</w:t>
      </w:r>
      <w:r>
        <w:rPr>
          <w:rFonts w:hint="eastAsia" w:ascii="宋体" w:hAnsi="宋体" w:eastAsia="宋体" w:cs="宋体"/>
          <w:color w:val="000000" w:themeColor="text1"/>
          <w:sz w:val="24"/>
          <w:szCs w:val="24"/>
          <w:highlight w:val="none"/>
          <w:u w:val="single"/>
        </w:rPr>
        <w:t xml:space="preserve">电子文档及书面</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（2）承包人应履行的其他义务：</w:t>
      </w:r>
      <w:r>
        <w:rPr>
          <w:rFonts w:hint="eastAsia" w:ascii="宋体" w:hAnsi="宋体" w:eastAsia="宋体" w:cs="宋体"/>
          <w:color w:val="000000" w:themeColor="text1"/>
          <w:sz w:val="24"/>
          <w:szCs w:val="24"/>
          <w:highlight w:val="none"/>
          <w:u w:val="single"/>
        </w:rPr>
        <w:t xml:space="preserve">承包人应保证所提供的资料符合档案管理归档要求，经发包人确认不符合的，影响工程验收的按工程总价款的0.05%向发包人支付违约金，并在5日内补齐有关资料；若承包人不能或无法提供符合档案管理归档要求的资料，发包人拒不结算，拒不验收。</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155" w:name="_Toc12983"/>
      <w:r>
        <w:rPr>
          <w:color w:val="000000" w:themeColor="text1"/>
          <w:highlight w:val="none"/>
        </w:rPr>
      </w:r>
      <w:bookmarkStart w:id="156" w:name="_Toc324146790"/>
      <w:r>
        <w:rPr>
          <w:color w:val="000000" w:themeColor="text1"/>
          <w:highlight w:val="none"/>
        </w:rPr>
      </w:r>
      <w:bookmarkStart w:id="157" w:name="_Toc1559532044"/>
      <w:r>
        <w:rPr>
          <w:rFonts w:hint="eastAsia" w:ascii="宋体" w:hAnsi="宋体" w:eastAsia="宋体" w:cs="宋体"/>
          <w:color w:val="000000" w:themeColor="text1"/>
          <w:sz w:val="24"/>
          <w:szCs w:val="24"/>
          <w:highlight w:val="none"/>
        </w:rPr>
        <w:t xml:space="preserve">3.2 项目经理</w:t>
      </w:r>
      <w:bookmarkEnd w:id="155"/>
      <w:r>
        <w:rPr>
          <w:color w:val="000000" w:themeColor="text1"/>
          <w:highlight w:val="none"/>
        </w:rPr>
      </w:r>
      <w:bookmarkEnd w:id="156"/>
      <w:r>
        <w:rPr>
          <w:color w:val="000000" w:themeColor="text1"/>
          <w:highlight w:val="none"/>
        </w:rPr>
      </w:r>
      <w:bookmarkEnd w:id="157"/>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3.2.1 项目负责人：</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    名：</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；身份证号：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相关证书及编号：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承包人对项目负责人的授权范围如下：。</w:t>
      </w:r>
      <w:r>
        <w:rPr>
          <w:color w:val="000000" w:themeColor="text1"/>
          <w:highlight w:val="none"/>
        </w:rPr>
      </w:r>
    </w:p>
    <w:p>
      <w:pPr>
        <w:pStyle w:val="923"/>
        <w:ind w:left="63" w:right="63"/>
        <w:jc w:val="left"/>
        <w:keepLines/>
        <w:keepNext w:val="0"/>
        <w:pageBreakBefore w:val="0"/>
        <w:spacing w:before="1" w:line="360" w:lineRule="auto"/>
        <w:widowControl w:val="off"/>
        <w:tabs>
          <w:tab w:val="left" w:pos="4787"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关于项目负责人每月在施工现场的时间要求：</w:t>
      </w:r>
      <w:r>
        <w:rPr>
          <w:rFonts w:hint="eastAsia" w:ascii="宋体" w:hAnsi="宋体" w:eastAsia="宋体" w:cs="宋体"/>
          <w:color w:val="000000" w:themeColor="text1"/>
          <w:sz w:val="24"/>
          <w:szCs w:val="24"/>
          <w:highlight w:val="none"/>
          <w:u w:val="single"/>
        </w:rPr>
        <w:t xml:space="preserve">每天在现场时间不得少于8小时，每周不少于5天，否则支付 5000元/天的违约金；项目经理未经招标人批准不参加工程例会，每次需支付 5000违约金，连续不参加工程例会的，从第三次起每次需支付 50000元违约金；上述违约金从履约保证金中扣除。</w:t>
      </w:r>
      <w:r>
        <w:rPr>
          <w:color w:val="000000" w:themeColor="text1"/>
          <w:highlight w:val="none"/>
        </w:rPr>
      </w:r>
    </w:p>
    <w:p>
      <w:pPr>
        <w:pStyle w:val="923"/>
        <w:ind w:left="63" w:right="63"/>
        <w:jc w:val="left"/>
        <w:keepLines/>
        <w:keepNext w:val="0"/>
        <w:pageBreakBefore w:val="0"/>
        <w:spacing w:before="78"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承包人未提交劳动合同，以及没有为项目负责人缴纳社会保险证明的违约责任：</w:t>
      </w:r>
      <w:r>
        <w:rPr>
          <w:rFonts w:hint="eastAsia" w:ascii="宋体" w:hAnsi="宋体" w:eastAsia="宋体" w:cs="宋体"/>
          <w:color w:val="000000" w:themeColor="text1"/>
          <w:sz w:val="24"/>
          <w:szCs w:val="24"/>
          <w:highlight w:val="none"/>
          <w:u w:val="single"/>
        </w:rPr>
        <w:t xml:space="preserve">项目经理无权履行职责，发包人有权要求更换项目经理，由此增加的费用和（或）延误的工期由承包人承担。</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项目负责人未经批准，擅自离开施工现场的违约责任：</w:t>
      </w:r>
      <w:r>
        <w:rPr>
          <w:rFonts w:hint="eastAsia" w:ascii="宋体" w:hAnsi="宋体" w:eastAsia="宋体" w:cs="宋体"/>
          <w:color w:val="000000" w:themeColor="text1"/>
          <w:sz w:val="24"/>
          <w:szCs w:val="24"/>
          <w:highlight w:val="none"/>
          <w:u w:val="single"/>
        </w:rPr>
        <w:t xml:space="preserve">项目经理连续一周不到施工现场的，发包人有权单方解除合同，清理承包人出场，报建筑主管部门后更换承包人，且不承担任何责任</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before="1" w:line="360" w:lineRule="auto"/>
        <w:widowControl w:val="off"/>
        <w:tabs>
          <w:tab w:val="left" w:pos="743"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3.2.2 承包人擅自更换项目负责人的违约责任：</w:t>
      </w:r>
      <w:r>
        <w:rPr>
          <w:rFonts w:hint="eastAsia" w:ascii="宋体" w:hAnsi="宋体" w:eastAsia="宋体" w:cs="宋体"/>
          <w:color w:val="000000" w:themeColor="text1"/>
          <w:sz w:val="24"/>
          <w:szCs w:val="24"/>
          <w:highlight w:val="none"/>
          <w:u w:val="single"/>
        </w:rPr>
        <w:t xml:space="preserve">项目经理非正当原因未经发包人同意不得更换，否则需按照合同金额的 5%向发包人支付违约金，承包人擅自更换项目负责人两次的，发包人有权单方解除合同，清理承包人出场，报建筑主管部门后更换承包人，且不承担任何责任。</w:t>
      </w:r>
      <w:r>
        <w:rPr>
          <w:color w:val="000000" w:themeColor="text1"/>
          <w:highlight w:val="none"/>
        </w:rPr>
      </w:r>
    </w:p>
    <w:p>
      <w:pPr>
        <w:pStyle w:val="906"/>
        <w:ind w:firstLine="60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3.2.3 承包人无正当理由拒绝更换项目负责人的违约责任：</w:t>
      </w:r>
      <w:r>
        <w:rPr>
          <w:rFonts w:hint="eastAsia" w:ascii="宋体" w:hAnsi="宋体" w:eastAsia="宋体" w:cs="宋体"/>
          <w:color w:val="000000" w:themeColor="text1"/>
          <w:sz w:val="24"/>
          <w:szCs w:val="24"/>
          <w:highlight w:val="none"/>
          <w:u w:val="single"/>
        </w:rPr>
        <w:t xml:space="preserve">100000元/次违约金</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158" w:name="_Toc1539542666"/>
      <w:r>
        <w:rPr>
          <w:color w:val="000000" w:themeColor="text1"/>
          <w:highlight w:val="none"/>
        </w:rPr>
      </w:r>
      <w:bookmarkStart w:id="159" w:name="_Toc7876"/>
      <w:r>
        <w:rPr>
          <w:color w:val="000000" w:themeColor="text1"/>
          <w:highlight w:val="none"/>
        </w:rPr>
      </w:r>
      <w:bookmarkStart w:id="160" w:name="_Toc1073182267"/>
      <w:r>
        <w:rPr>
          <w:rFonts w:hint="eastAsia" w:ascii="宋体" w:hAnsi="宋体" w:eastAsia="宋体" w:cs="宋体"/>
          <w:color w:val="000000" w:themeColor="text1"/>
          <w:sz w:val="24"/>
          <w:szCs w:val="24"/>
          <w:highlight w:val="none"/>
        </w:rPr>
        <w:t xml:space="preserve">3.3 承包人人员</w:t>
      </w:r>
      <w:bookmarkEnd w:id="158"/>
      <w:r>
        <w:rPr>
          <w:color w:val="000000" w:themeColor="text1"/>
          <w:highlight w:val="none"/>
        </w:rPr>
      </w:r>
      <w:bookmarkEnd w:id="159"/>
      <w:r>
        <w:rPr>
          <w:color w:val="000000" w:themeColor="text1"/>
          <w:highlight w:val="none"/>
        </w:rPr>
      </w:r>
      <w:bookmarkEnd w:id="160"/>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3.3.1 承包人提交项目管理机构及施工现场管理人员安排报告的期限：</w:t>
      </w:r>
      <w:r>
        <w:rPr>
          <w:rFonts w:hint="eastAsia" w:ascii="宋体" w:hAnsi="宋体" w:eastAsia="宋体" w:cs="宋体"/>
          <w:color w:val="000000" w:themeColor="text1"/>
          <w:sz w:val="24"/>
          <w:szCs w:val="24"/>
          <w:highlight w:val="none"/>
          <w:u w:val="single"/>
        </w:rPr>
        <w:t xml:space="preserve">开工前3天</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3.3.2 承包人无正当理由拒绝撤换主要施工管理人员的违约责任：</w:t>
      </w:r>
      <w:r>
        <w:rPr>
          <w:rFonts w:hint="eastAsia" w:ascii="宋体" w:hAnsi="宋体" w:eastAsia="宋体" w:cs="宋体"/>
          <w:color w:val="000000" w:themeColor="text1"/>
          <w:sz w:val="24"/>
          <w:szCs w:val="24"/>
          <w:highlight w:val="none"/>
          <w:u w:val="single"/>
        </w:rPr>
        <w:t xml:space="preserve">每天每人支付发包人1000元违约金</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3.3.3 承包人主要施工管理人员离开施工现场的批准要求：</w:t>
      </w:r>
      <w:r>
        <w:rPr>
          <w:rFonts w:hint="eastAsia" w:ascii="宋体" w:hAnsi="宋体" w:eastAsia="宋体" w:cs="宋体"/>
          <w:color w:val="000000" w:themeColor="text1"/>
          <w:sz w:val="24"/>
          <w:szCs w:val="24"/>
          <w:highlight w:val="none"/>
          <w:u w:val="single"/>
        </w:rPr>
        <w:t xml:space="preserve">经发包人同意方可离开，否则处以每人/次1000元并承担违约责任。</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3.3.4承包人擅自更换主要施工管理人员的违约责任：</w:t>
      </w:r>
      <w:r>
        <w:rPr>
          <w:rFonts w:hint="eastAsia" w:ascii="宋体" w:hAnsi="宋体" w:eastAsia="宋体" w:cs="宋体"/>
          <w:color w:val="000000" w:themeColor="text1"/>
          <w:sz w:val="24"/>
          <w:szCs w:val="24"/>
          <w:highlight w:val="none"/>
          <w:u w:val="single"/>
        </w:rPr>
        <w:t xml:space="preserve">无故不得更换，所造成的一切损失由承包人承担。</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承包人主要施工管理人员擅自离开施工现场的违约责任：</w:t>
      </w:r>
      <w:r>
        <w:rPr>
          <w:rFonts w:hint="eastAsia" w:ascii="宋体" w:hAnsi="宋体" w:eastAsia="宋体" w:cs="宋体"/>
          <w:color w:val="000000" w:themeColor="text1"/>
          <w:sz w:val="24"/>
          <w:szCs w:val="24"/>
          <w:highlight w:val="none"/>
          <w:u w:val="single"/>
        </w:rPr>
        <w:t xml:space="preserve">每人/次1000元并承担违约责任。</w:t>
      </w:r>
      <w:r>
        <w:rPr>
          <w:color w:val="000000" w:themeColor="text1"/>
          <w:highlight w:val="none"/>
        </w:rPr>
      </w:r>
    </w:p>
    <w:p>
      <w:pPr>
        <w:pStyle w:val="906"/>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color w:val="000000" w:themeColor="text1"/>
          <w:highlight w:val="none"/>
        </w:rPr>
      </w:r>
      <w:bookmarkStart w:id="161" w:name="_Toc824057593"/>
      <w:r>
        <w:rPr>
          <w:color w:val="000000" w:themeColor="text1"/>
          <w:highlight w:val="none"/>
        </w:rPr>
      </w:r>
      <w:bookmarkStart w:id="162" w:name="_Toc29840"/>
      <w:r>
        <w:rPr>
          <w:color w:val="000000" w:themeColor="text1"/>
          <w:highlight w:val="none"/>
        </w:rPr>
      </w:r>
      <w:bookmarkStart w:id="163" w:name="_Toc1011775723"/>
      <w:r>
        <w:rPr>
          <w:rFonts w:hint="eastAsia" w:ascii="宋体" w:hAnsi="宋体" w:eastAsia="宋体" w:cs="宋体"/>
          <w:color w:val="000000" w:themeColor="text1"/>
          <w:sz w:val="24"/>
          <w:szCs w:val="24"/>
          <w:highlight w:val="none"/>
        </w:rPr>
        <w:t xml:space="preserve">3.3.5 技术负责人</w:t>
      </w:r>
      <w:r>
        <w:rPr>
          <w:color w:val="000000" w:themeColor="text1"/>
          <w:highlight w:val="none"/>
        </w:rPr>
      </w:r>
    </w:p>
    <w:p>
      <w:pPr>
        <w:pStyle w:val="906"/>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姓名：</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；身份证号：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专业：</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；职称等级：</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3</w:t>
      </w:r>
      <w:bookmarkStart w:id="164" w:name="_Toc296346660"/>
      <w:r>
        <w:rPr>
          <w:color w:val="000000" w:themeColor="text1"/>
          <w:highlight w:val="none"/>
        </w:rPr>
      </w:r>
      <w:bookmarkStart w:id="165" w:name="_Toc297216151"/>
      <w:r>
        <w:rPr>
          <w:color w:val="000000" w:themeColor="text1"/>
          <w:highlight w:val="none"/>
        </w:rPr>
      </w:r>
      <w:bookmarkStart w:id="166" w:name="_Toc297120459"/>
      <w:r>
        <w:rPr>
          <w:color w:val="000000" w:themeColor="text1"/>
          <w:highlight w:val="none"/>
        </w:rPr>
      </w:r>
      <w:bookmarkStart w:id="167" w:name="_Toc297048345"/>
      <w:r>
        <w:rPr>
          <w:color w:val="000000" w:themeColor="text1"/>
          <w:highlight w:val="none"/>
        </w:rPr>
      </w:r>
      <w:bookmarkStart w:id="168" w:name="_Toc296891199"/>
      <w:r>
        <w:rPr>
          <w:color w:val="000000" w:themeColor="text1"/>
          <w:highlight w:val="none"/>
        </w:rPr>
      </w:r>
      <w:bookmarkStart w:id="169" w:name="_Toc303539102"/>
      <w:r>
        <w:rPr>
          <w:color w:val="000000" w:themeColor="text1"/>
          <w:highlight w:val="none"/>
        </w:rPr>
      </w:r>
      <w:bookmarkStart w:id="170" w:name="_Toc296890987"/>
      <w:r>
        <w:rPr>
          <w:color w:val="000000" w:themeColor="text1"/>
          <w:highlight w:val="none"/>
        </w:rPr>
      </w:r>
      <w:bookmarkStart w:id="171" w:name="_Toc297123492"/>
      <w:r>
        <w:rPr>
          <w:color w:val="000000" w:themeColor="text1"/>
          <w:highlight w:val="none"/>
        </w:rPr>
      </w:r>
      <w:bookmarkStart w:id="172" w:name="_Toc312677988"/>
      <w:r>
        <w:rPr>
          <w:color w:val="000000" w:themeColor="text1"/>
          <w:highlight w:val="none"/>
        </w:rPr>
      </w:r>
      <w:bookmarkStart w:id="173" w:name="_Toc296503159"/>
      <w:r>
        <w:rPr>
          <w:color w:val="000000" w:themeColor="text1"/>
          <w:highlight w:val="none"/>
        </w:rPr>
      </w:r>
      <w:bookmarkStart w:id="174" w:name="_Toc292559869"/>
      <w:r>
        <w:rPr>
          <w:color w:val="000000" w:themeColor="text1"/>
          <w:highlight w:val="none"/>
        </w:rPr>
      </w:r>
      <w:bookmarkStart w:id="175" w:name="_Toc292559364"/>
      <w:r>
        <w:rPr>
          <w:color w:val="000000" w:themeColor="text1"/>
          <w:highlight w:val="none"/>
        </w:rPr>
      </w:r>
      <w:bookmarkStart w:id="176" w:name="_Toc304295523"/>
      <w:r>
        <w:rPr>
          <w:color w:val="000000" w:themeColor="text1"/>
          <w:highlight w:val="none"/>
        </w:rPr>
      </w:r>
      <w:bookmarkStart w:id="177" w:name="_Toc300934945"/>
      <w:r>
        <w:rPr>
          <w:color w:val="000000" w:themeColor="text1"/>
          <w:highlight w:val="none"/>
        </w:rPr>
      </w:r>
      <w:bookmarkStart w:id="178" w:name="_Toc296347158"/>
      <w:r>
        <w:rPr>
          <w:color w:val="000000" w:themeColor="text1"/>
          <w:highlight w:val="none"/>
        </w:rPr>
      </w:r>
      <w:bookmarkStart w:id="179" w:name="_Toc296944498"/>
      <w:r>
        <w:rPr>
          <w:rFonts w:hint="eastAsia" w:ascii="宋体" w:hAnsi="宋体" w:eastAsia="宋体" w:cs="宋体"/>
          <w:color w:val="000000" w:themeColor="text1"/>
          <w:sz w:val="24"/>
          <w:szCs w:val="24"/>
          <w:highlight w:val="none"/>
        </w:rPr>
        <w:t xml:space="preserve">.4 分包</w:t>
      </w:r>
      <w:bookmarkEnd w:id="161"/>
      <w:r>
        <w:rPr>
          <w:color w:val="000000" w:themeColor="text1"/>
          <w:highlight w:val="none"/>
        </w:rPr>
      </w:r>
      <w:bookmarkEnd w:id="162"/>
      <w:r>
        <w:rPr>
          <w:color w:val="000000" w:themeColor="text1"/>
          <w:highlight w:val="none"/>
        </w:rPr>
      </w:r>
      <w:bookmarkEnd w:id="163"/>
      <w:r>
        <w:rPr>
          <w:color w:val="000000" w:themeColor="text1"/>
          <w:highlight w:val="none"/>
        </w:rPr>
      </w:r>
      <w:bookmarkEnd w:id="164"/>
      <w:r>
        <w:rPr>
          <w:color w:val="000000" w:themeColor="text1"/>
          <w:highlight w:val="none"/>
        </w:rPr>
      </w:r>
      <w:bookmarkEnd w:id="165"/>
      <w:r>
        <w:rPr>
          <w:color w:val="000000" w:themeColor="text1"/>
          <w:highlight w:val="none"/>
        </w:rPr>
      </w:r>
      <w:bookmarkEnd w:id="166"/>
      <w:r>
        <w:rPr>
          <w:color w:val="000000" w:themeColor="text1"/>
          <w:highlight w:val="none"/>
        </w:rPr>
      </w:r>
      <w:bookmarkEnd w:id="167"/>
      <w:r>
        <w:rPr>
          <w:color w:val="000000" w:themeColor="text1"/>
          <w:highlight w:val="none"/>
        </w:rPr>
      </w:r>
      <w:bookmarkEnd w:id="168"/>
      <w:r>
        <w:rPr>
          <w:color w:val="000000" w:themeColor="text1"/>
          <w:highlight w:val="none"/>
        </w:rPr>
      </w:r>
      <w:bookmarkEnd w:id="169"/>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bookmarkStart w:id="180" w:name="_Toc312677989"/>
      <w:r>
        <w:rPr>
          <w:color w:val="000000" w:themeColor="text1"/>
          <w:highlight w:val="none"/>
        </w:rPr>
      </w:r>
      <w:bookmarkStart w:id="181" w:name="_Toc318581158"/>
      <w:r>
        <w:rPr>
          <w:color w:val="000000" w:themeColor="text1"/>
          <w:highlight w:val="none"/>
        </w:rPr>
      </w:r>
      <w:bookmarkStart w:id="182" w:name="_Toc297048346"/>
      <w:r>
        <w:rPr>
          <w:color w:val="000000" w:themeColor="text1"/>
          <w:highlight w:val="none"/>
        </w:rPr>
      </w:r>
      <w:bookmarkStart w:id="183" w:name="_Toc296503160"/>
      <w:r>
        <w:rPr>
          <w:color w:val="000000" w:themeColor="text1"/>
          <w:highlight w:val="none"/>
        </w:rPr>
      </w:r>
      <w:bookmarkStart w:id="184" w:name="_Toc297216152"/>
      <w:r>
        <w:rPr>
          <w:color w:val="000000" w:themeColor="text1"/>
          <w:highlight w:val="none"/>
        </w:rPr>
      </w:r>
      <w:bookmarkStart w:id="185" w:name="_Toc296944499"/>
      <w:r>
        <w:rPr>
          <w:color w:val="000000" w:themeColor="text1"/>
          <w:highlight w:val="none"/>
        </w:rPr>
      </w:r>
      <w:bookmarkStart w:id="186" w:name="_Toc300934946"/>
      <w:r>
        <w:rPr>
          <w:color w:val="000000" w:themeColor="text1"/>
          <w:highlight w:val="none"/>
        </w:rPr>
      </w:r>
      <w:bookmarkStart w:id="187" w:name="_Toc292559365"/>
      <w:r>
        <w:rPr>
          <w:color w:val="000000" w:themeColor="text1"/>
          <w:highlight w:val="none"/>
        </w:rPr>
      </w:r>
      <w:bookmarkStart w:id="188" w:name="_Toc303539103"/>
      <w:r>
        <w:rPr>
          <w:color w:val="000000" w:themeColor="text1"/>
          <w:highlight w:val="none"/>
        </w:rPr>
      </w:r>
      <w:bookmarkStart w:id="189" w:name="_Toc296890988"/>
      <w:r>
        <w:rPr>
          <w:color w:val="000000" w:themeColor="text1"/>
          <w:highlight w:val="none"/>
        </w:rPr>
      </w:r>
      <w:bookmarkStart w:id="190" w:name="_Toc296891200"/>
      <w:r>
        <w:rPr>
          <w:color w:val="000000" w:themeColor="text1"/>
          <w:highlight w:val="none"/>
        </w:rPr>
      </w:r>
      <w:bookmarkStart w:id="191" w:name="_Toc297120460"/>
      <w:r>
        <w:rPr>
          <w:color w:val="000000" w:themeColor="text1"/>
          <w:highlight w:val="none"/>
        </w:rPr>
      </w:r>
      <w:bookmarkStart w:id="192" w:name="_Toc304295524"/>
      <w:r>
        <w:rPr>
          <w:color w:val="000000" w:themeColor="text1"/>
          <w:highlight w:val="none"/>
        </w:rPr>
      </w:r>
      <w:bookmarkStart w:id="193" w:name="_Toc297123493"/>
      <w:r>
        <w:rPr>
          <w:color w:val="000000" w:themeColor="text1"/>
          <w:highlight w:val="none"/>
        </w:rPr>
      </w:r>
      <w:bookmarkStart w:id="194" w:name="_Toc296347159"/>
      <w:r>
        <w:rPr>
          <w:color w:val="000000" w:themeColor="text1"/>
          <w:highlight w:val="none"/>
        </w:rPr>
      </w:r>
      <w:bookmarkStart w:id="195" w:name="_Toc292559870"/>
      <w:r>
        <w:rPr>
          <w:color w:val="000000" w:themeColor="text1"/>
          <w:highlight w:val="none"/>
        </w:rPr>
      </w:r>
      <w:bookmarkStart w:id="196" w:name="_Toc296346661"/>
      <w:r>
        <w:rPr>
          <w:rFonts w:hint="eastAsia" w:ascii="宋体" w:hAnsi="宋体" w:eastAsia="宋体" w:cs="宋体"/>
          <w:color w:val="000000" w:themeColor="text1"/>
          <w:sz w:val="24"/>
          <w:szCs w:val="24"/>
          <w:highlight w:val="none"/>
        </w:rPr>
        <w:t xml:space="preserve">.4.1 分包的一般约定</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禁止分包的工程包括：</w:t>
      </w:r>
      <w:r>
        <w:rPr>
          <w:rFonts w:hint="eastAsia" w:ascii="宋体" w:hAnsi="宋体" w:eastAsia="宋体" w:cs="宋体"/>
          <w:color w:val="000000" w:themeColor="text1"/>
          <w:sz w:val="24"/>
          <w:szCs w:val="24"/>
          <w:highlight w:val="none"/>
          <w:u w:val="single"/>
        </w:rPr>
        <w:t xml:space="preserve">  本工程禁止分包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主体结构、关键性工作的范围：</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bookmarkEnd w:id="180"/>
      <w:r>
        <w:rPr>
          <w:color w:val="000000" w:themeColor="text1"/>
          <w:highlight w:val="none"/>
        </w:rPr>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color w:val="000000" w:themeColor="text1"/>
          <w:highlight w:val="none"/>
        </w:rPr>
      </w:r>
      <w:bookmarkEnd w:id="185"/>
      <w:r>
        <w:rPr>
          <w:color w:val="000000" w:themeColor="text1"/>
          <w:highlight w:val="none"/>
        </w:rPr>
      </w:r>
      <w:bookmarkEnd w:id="186"/>
      <w:r>
        <w:rPr>
          <w:color w:val="000000" w:themeColor="text1"/>
          <w:highlight w:val="none"/>
        </w:rPr>
      </w:r>
      <w:bookmarkEnd w:id="187"/>
      <w:r>
        <w:rPr>
          <w:color w:val="000000" w:themeColor="text1"/>
          <w:highlight w:val="none"/>
        </w:rPr>
      </w:r>
      <w:bookmarkEnd w:id="188"/>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bookmarkEnd w:id="192"/>
      <w:r>
        <w:rPr>
          <w:color w:val="000000" w:themeColor="text1"/>
          <w:highlight w:val="none"/>
        </w:rPr>
      </w:r>
      <w:bookmarkEnd w:id="193"/>
      <w:r>
        <w:rPr>
          <w:color w:val="000000" w:themeColor="text1"/>
          <w:highlight w:val="none"/>
        </w:rPr>
      </w:r>
      <w:bookmarkEnd w:id="194"/>
      <w:r>
        <w:rPr>
          <w:color w:val="000000" w:themeColor="text1"/>
          <w:highlight w:val="none"/>
        </w:rPr>
      </w:r>
      <w:bookmarkEnd w:id="195"/>
      <w:r>
        <w:rPr>
          <w:color w:val="000000" w:themeColor="text1"/>
          <w:highlight w:val="none"/>
        </w:rPr>
      </w:r>
      <w:bookmarkEnd w:id="196"/>
      <w:r>
        <w:rPr>
          <w:color w:val="000000" w:themeColor="text1"/>
          <w:highlight w:val="none"/>
        </w:rPr>
      </w:r>
      <w:bookmarkStart w:id="197" w:name="_Toc296346662"/>
      <w:r>
        <w:rPr>
          <w:color w:val="000000" w:themeColor="text1"/>
          <w:highlight w:val="none"/>
        </w:rPr>
      </w:r>
      <w:bookmarkEnd w:id="197"/>
      <w:r>
        <w:rPr>
          <w:color w:val="000000" w:themeColor="text1"/>
          <w:highlight w:val="none"/>
        </w:rPr>
      </w:r>
      <w:bookmarkStart w:id="198" w:name="_Toc296891201"/>
      <w:r>
        <w:rPr>
          <w:color w:val="000000" w:themeColor="text1"/>
          <w:highlight w:val="none"/>
        </w:rPr>
      </w:r>
      <w:bookmarkEnd w:id="198"/>
      <w:r>
        <w:rPr>
          <w:color w:val="000000" w:themeColor="text1"/>
          <w:highlight w:val="none"/>
        </w:rPr>
      </w:r>
      <w:bookmarkStart w:id="199" w:name="_Toc304295525"/>
      <w:r>
        <w:rPr>
          <w:color w:val="000000" w:themeColor="text1"/>
          <w:highlight w:val="none"/>
        </w:rPr>
      </w:r>
      <w:bookmarkEnd w:id="199"/>
      <w:r>
        <w:rPr>
          <w:color w:val="000000" w:themeColor="text1"/>
          <w:highlight w:val="none"/>
        </w:rPr>
      </w:r>
      <w:bookmarkStart w:id="200" w:name="_Toc296890989"/>
      <w:r>
        <w:rPr>
          <w:color w:val="000000" w:themeColor="text1"/>
          <w:highlight w:val="none"/>
        </w:rPr>
      </w:r>
      <w:bookmarkEnd w:id="200"/>
      <w:r>
        <w:rPr>
          <w:color w:val="000000" w:themeColor="text1"/>
          <w:highlight w:val="none"/>
        </w:rPr>
      </w:r>
      <w:bookmarkStart w:id="201" w:name="_Toc297123494"/>
      <w:r>
        <w:rPr>
          <w:color w:val="000000" w:themeColor="text1"/>
          <w:highlight w:val="none"/>
        </w:rPr>
      </w:r>
      <w:bookmarkEnd w:id="201"/>
      <w:r>
        <w:rPr>
          <w:color w:val="000000" w:themeColor="text1"/>
          <w:highlight w:val="none"/>
        </w:rPr>
      </w:r>
      <w:bookmarkStart w:id="202" w:name="_Toc297216153"/>
      <w:r>
        <w:rPr>
          <w:color w:val="000000" w:themeColor="text1"/>
          <w:highlight w:val="none"/>
        </w:rPr>
      </w:r>
      <w:bookmarkEnd w:id="202"/>
      <w:r>
        <w:rPr>
          <w:color w:val="000000" w:themeColor="text1"/>
          <w:highlight w:val="none"/>
        </w:rPr>
      </w:r>
      <w:bookmarkStart w:id="203" w:name="_Toc300934947"/>
      <w:r>
        <w:rPr>
          <w:color w:val="000000" w:themeColor="text1"/>
          <w:highlight w:val="none"/>
        </w:rPr>
      </w:r>
      <w:bookmarkEnd w:id="203"/>
      <w:r>
        <w:rPr>
          <w:color w:val="000000" w:themeColor="text1"/>
          <w:highlight w:val="none"/>
        </w:rPr>
      </w:r>
      <w:bookmarkStart w:id="204" w:name="_Toc296503161"/>
      <w:r>
        <w:rPr>
          <w:color w:val="000000" w:themeColor="text1"/>
          <w:highlight w:val="none"/>
        </w:rPr>
      </w:r>
      <w:bookmarkEnd w:id="204"/>
      <w:r>
        <w:rPr>
          <w:color w:val="000000" w:themeColor="text1"/>
          <w:highlight w:val="none"/>
        </w:rPr>
      </w:r>
      <w:bookmarkStart w:id="205" w:name="_Toc297120461"/>
      <w:r>
        <w:rPr>
          <w:color w:val="000000" w:themeColor="text1"/>
          <w:highlight w:val="none"/>
        </w:rPr>
      </w:r>
      <w:bookmarkEnd w:id="205"/>
      <w:r>
        <w:rPr>
          <w:color w:val="000000" w:themeColor="text1"/>
          <w:highlight w:val="none"/>
        </w:rPr>
      </w:r>
      <w:bookmarkStart w:id="206" w:name="_Toc296944500"/>
      <w:r>
        <w:rPr>
          <w:color w:val="000000" w:themeColor="text1"/>
          <w:highlight w:val="none"/>
        </w:rPr>
      </w:r>
      <w:bookmarkEnd w:id="206"/>
      <w:r>
        <w:rPr>
          <w:color w:val="000000" w:themeColor="text1"/>
          <w:highlight w:val="none"/>
        </w:rPr>
      </w:r>
      <w:bookmarkStart w:id="207" w:name="_Toc297048347"/>
      <w:r>
        <w:rPr>
          <w:color w:val="000000" w:themeColor="text1"/>
          <w:highlight w:val="none"/>
        </w:rPr>
      </w:r>
      <w:bookmarkEnd w:id="207"/>
      <w:r>
        <w:rPr>
          <w:color w:val="000000" w:themeColor="text1"/>
          <w:highlight w:val="none"/>
        </w:rPr>
      </w:r>
      <w:bookmarkStart w:id="208" w:name="_Toc303539104"/>
      <w:r>
        <w:rPr>
          <w:color w:val="000000" w:themeColor="text1"/>
          <w:highlight w:val="none"/>
        </w:rPr>
      </w:r>
      <w:bookmarkEnd w:id="208"/>
      <w:r>
        <w:rPr>
          <w:color w:val="000000" w:themeColor="text1"/>
          <w:highlight w:val="none"/>
        </w:rPr>
      </w:r>
      <w:bookmarkStart w:id="209" w:name="_Toc296347160"/>
      <w:r>
        <w:rPr>
          <w:color w:val="000000" w:themeColor="text1"/>
          <w:highlight w:val="none"/>
        </w:rPr>
      </w:r>
      <w:bookmarkEnd w:id="209"/>
      <w:r>
        <w:rPr>
          <w:color w:val="000000" w:themeColor="text1"/>
          <w:highlight w:val="none"/>
        </w:rPr>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3</w:t>
      </w:r>
      <w:bookmarkStart w:id="210" w:name="_Toc312677990"/>
      <w:r>
        <w:rPr>
          <w:color w:val="000000" w:themeColor="text1"/>
          <w:highlight w:val="none"/>
        </w:rPr>
      </w:r>
      <w:bookmarkStart w:id="211" w:name="_Toc318581159"/>
      <w:r>
        <w:rPr>
          <w:rFonts w:hint="eastAsia" w:ascii="宋体" w:hAnsi="宋体" w:eastAsia="宋体" w:cs="宋体"/>
          <w:color w:val="000000" w:themeColor="text1"/>
          <w:sz w:val="24"/>
          <w:szCs w:val="24"/>
          <w:highlight w:val="none"/>
        </w:rPr>
        <w:t xml:space="preserve">.4.2分包的确定</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允许分包的专业工程包括：</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涉及分包的工程内容，分包工程承包人的资格应符合国家相关规定。</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其他关于分包的约定：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3.4.3 分包合同价款</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关于分包合同价款支付的约定：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bookmarkEnd w:id="210"/>
      <w:r>
        <w:rPr>
          <w:color w:val="000000" w:themeColor="text1"/>
          <w:highlight w:val="none"/>
        </w:rPr>
      </w:r>
      <w:bookmarkEnd w:id="211"/>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212" w:name="_Toc30018"/>
      <w:r>
        <w:rPr>
          <w:color w:val="000000" w:themeColor="text1"/>
          <w:highlight w:val="none"/>
        </w:rPr>
      </w:r>
      <w:bookmarkStart w:id="213" w:name="_Toc1754831627"/>
      <w:r>
        <w:rPr>
          <w:color w:val="000000" w:themeColor="text1"/>
          <w:highlight w:val="none"/>
        </w:rPr>
      </w:r>
      <w:bookmarkStart w:id="214" w:name="_Toc1926667033"/>
      <w:r>
        <w:rPr>
          <w:rFonts w:hint="eastAsia" w:ascii="宋体" w:hAnsi="宋体" w:eastAsia="宋体" w:cs="宋体"/>
          <w:color w:val="000000" w:themeColor="text1"/>
          <w:sz w:val="24"/>
          <w:szCs w:val="24"/>
          <w:highlight w:val="none"/>
        </w:rPr>
        <w:t xml:space="preserve">3.5工程照管与成品、半成品保护</w:t>
      </w:r>
      <w:bookmarkEnd w:id="212"/>
      <w:r>
        <w:rPr>
          <w:color w:val="000000" w:themeColor="text1"/>
          <w:highlight w:val="none"/>
        </w:rPr>
      </w:r>
      <w:bookmarkEnd w:id="213"/>
      <w:r>
        <w:rPr>
          <w:color w:val="000000" w:themeColor="text1"/>
          <w:highlight w:val="none"/>
        </w:rPr>
      </w:r>
      <w:bookmarkEnd w:id="214"/>
      <w:r>
        <w:rPr>
          <w:color w:val="000000" w:themeColor="text1"/>
          <w:highlight w:val="none"/>
        </w:rPr>
      </w:r>
      <w:r>
        <w:rPr>
          <w:color w:val="000000" w:themeColor="text1"/>
          <w:highlight w:val="none"/>
        </w:rPr>
      </w:r>
    </w:p>
    <w:p>
      <w:pPr>
        <w:pStyle w:val="906"/>
        <w:ind w:firstLine="480"/>
        <w:keepLines/>
        <w:keepNext w:val="0"/>
        <w:pageBreakBefore w:val="0"/>
        <w:spacing w:before="120" w:after="120"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3.5.1承包人负责照管工程及工程相关的材料、工程设备的起始时间：</w:t>
      </w:r>
      <w:r>
        <w:rPr>
          <w:rFonts w:hint="eastAsia" w:ascii="宋体" w:hAnsi="宋体" w:eastAsia="宋体" w:cs="宋体"/>
          <w:color w:val="000000" w:themeColor="text1"/>
          <w:sz w:val="24"/>
          <w:szCs w:val="24"/>
          <w:highlight w:val="none"/>
          <w:u w:val="single"/>
        </w:rPr>
        <w:t xml:space="preserve">从工程开工至发包人同意交付使用，在此期间承包人负责照管工程。</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3.5.2 现状树木的保护起始时间：</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3.6 履约担保</w:t>
      </w:r>
      <w:r>
        <w:rPr>
          <w:color w:val="000000" w:themeColor="text1"/>
          <w:highlight w:val="none"/>
        </w:rPr>
      </w:r>
    </w:p>
    <w:p>
      <w:pPr>
        <w:pStyle w:val="906"/>
        <w:ind w:left="59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承包人是否提供履约担保：</w:t>
      </w:r>
      <w:r>
        <w:rPr>
          <w:rFonts w:hint="eastAsia" w:ascii="宋体" w:hAnsi="宋体" w:eastAsia="宋体" w:cs="宋体"/>
          <w:color w:val="000000" w:themeColor="text1"/>
          <w:sz w:val="24"/>
          <w:szCs w:val="24"/>
          <w:highlight w:val="none"/>
          <w:u w:val="single"/>
        </w:rPr>
        <w:t xml:space="preserve">提供</w:t>
      </w:r>
      <w:r>
        <w:rPr>
          <w:rFonts w:hint="eastAsia" w:ascii="宋体" w:hAnsi="宋体" w:eastAsia="宋体" w:cs="宋体"/>
          <w:color w:val="000000" w:themeColor="text1"/>
          <w:sz w:val="24"/>
          <w:szCs w:val="24"/>
          <w:highlight w:val="none"/>
        </w:rPr>
        <w:t xml:space="preserve">。本款补充：</w:t>
      </w:r>
      <w:r>
        <w:rPr>
          <w:color w:val="000000" w:themeColor="text1"/>
          <w:highlight w:val="none"/>
        </w:rPr>
      </w:r>
    </w:p>
    <w:p>
      <w:pPr>
        <w:pStyle w:val="923"/>
        <w:ind w:left="63" w:right="63"/>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履约担保金额及方式：</w:t>
      </w:r>
      <w:r>
        <w:rPr>
          <w:rFonts w:hint="eastAsia" w:ascii="宋体" w:hAnsi="宋体" w:eastAsia="宋体" w:cs="宋体"/>
          <w:color w:val="000000" w:themeColor="text1"/>
          <w:sz w:val="24"/>
          <w:szCs w:val="24"/>
          <w:highlight w:val="none"/>
          <w:u w:val="single"/>
        </w:rPr>
        <w:t xml:space="preserve">承包人提供履约担保的形式、金额及期限：履约保证金的形式：网银、银行电汇或者银行保函；履约保证金的金额：中标价的 10%。投标人在收到中标通知书领取通知后，须在 10 个工作日内向招标人足额提交履约保证金，否则招标人可以取消其中标资格。履约保证金的返还：待工程竣工验收合格后一次性无息返还履约保证金或退还履约保函。</w:t>
      </w:r>
      <w:r>
        <w:rPr>
          <w:rFonts w:hint="eastAsia" w:ascii="宋体" w:hAnsi="宋体" w:eastAsia="宋体" w:cs="宋体"/>
          <w:color w:val="000000" w:themeColor="text1"/>
          <w:sz w:val="24"/>
          <w:szCs w:val="24"/>
          <w:highlight w:val="none"/>
        </w:rPr>
        <w:t xml:space="preserve">履约担保的有效期至本工程竣工验收合格为止。</w:t>
      </w:r>
      <w:r>
        <w:rPr>
          <w:color w:val="000000" w:themeColor="text1"/>
          <w:highlight w:val="none"/>
        </w:rPr>
      </w:r>
    </w:p>
    <w:p>
      <w:pPr>
        <w:pStyle w:val="910"/>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215" w:name="_Toc1195865979"/>
      <w:r>
        <w:rPr>
          <w:color w:val="000000" w:themeColor="text1"/>
          <w:highlight w:val="none"/>
        </w:rPr>
      </w:r>
      <w:bookmarkStart w:id="216" w:name="_Toc2142794716"/>
      <w:r>
        <w:rPr>
          <w:rFonts w:hint="eastAsia" w:ascii="宋体" w:hAnsi="宋体" w:eastAsia="宋体" w:cs="宋体"/>
          <w:b w:val="0"/>
          <w:color w:val="000000" w:themeColor="text1"/>
          <w:sz w:val="24"/>
          <w:szCs w:val="24"/>
          <w:highlight w:val="none"/>
        </w:rPr>
        <w:t xml:space="preserve">4</w:t>
      </w:r>
      <w:bookmarkStart w:id="217" w:name="_Toc296346663"/>
      <w:r>
        <w:rPr>
          <w:color w:val="000000" w:themeColor="text1"/>
          <w:highlight w:val="none"/>
        </w:rPr>
      </w:r>
      <w:bookmarkStart w:id="218" w:name="_Toc296891202"/>
      <w:r>
        <w:rPr>
          <w:color w:val="000000" w:themeColor="text1"/>
          <w:highlight w:val="none"/>
        </w:rPr>
      </w:r>
      <w:bookmarkStart w:id="219" w:name="_Toc296503162"/>
      <w:r>
        <w:rPr>
          <w:color w:val="000000" w:themeColor="text1"/>
          <w:highlight w:val="none"/>
        </w:rPr>
      </w:r>
      <w:bookmarkStart w:id="220" w:name="_Toc292559366"/>
      <w:r>
        <w:rPr>
          <w:color w:val="000000" w:themeColor="text1"/>
          <w:highlight w:val="none"/>
        </w:rPr>
      </w:r>
      <w:bookmarkStart w:id="221" w:name="_Toc267251413"/>
      <w:r>
        <w:rPr>
          <w:color w:val="000000" w:themeColor="text1"/>
          <w:highlight w:val="none"/>
        </w:rPr>
      </w:r>
      <w:bookmarkStart w:id="222" w:name="_Toc297120462"/>
      <w:r>
        <w:rPr>
          <w:color w:val="000000" w:themeColor="text1"/>
          <w:highlight w:val="none"/>
        </w:rPr>
      </w:r>
      <w:bookmarkStart w:id="223" w:name="_Toc296890990"/>
      <w:r>
        <w:rPr>
          <w:color w:val="000000" w:themeColor="text1"/>
          <w:highlight w:val="none"/>
        </w:rPr>
      </w:r>
      <w:bookmarkStart w:id="224" w:name="_Toc292559871"/>
      <w:r>
        <w:rPr>
          <w:color w:val="000000" w:themeColor="text1"/>
          <w:highlight w:val="none"/>
        </w:rPr>
      </w:r>
      <w:bookmarkStart w:id="225" w:name="_Toc296347161"/>
      <w:r>
        <w:rPr>
          <w:color w:val="000000" w:themeColor="text1"/>
          <w:highlight w:val="none"/>
        </w:rPr>
      </w:r>
      <w:bookmarkStart w:id="226" w:name="_Toc296944501"/>
      <w:r>
        <w:rPr>
          <w:color w:val="000000" w:themeColor="text1"/>
          <w:highlight w:val="none"/>
        </w:rPr>
      </w:r>
      <w:bookmarkStart w:id="227" w:name="_Toc297048348"/>
      <w:r>
        <w:rPr>
          <w:rFonts w:hint="eastAsia" w:ascii="宋体" w:hAnsi="宋体" w:eastAsia="宋体" w:cs="宋体"/>
          <w:b w:val="0"/>
          <w:color w:val="000000" w:themeColor="text1"/>
          <w:sz w:val="24"/>
          <w:szCs w:val="24"/>
          <w:highlight w:val="none"/>
        </w:rPr>
        <w:t xml:space="preserve">. 监</w:t>
      </w:r>
      <w:bookmarkEnd w:id="217"/>
      <w:r>
        <w:rPr>
          <w:color w:val="000000" w:themeColor="text1"/>
          <w:highlight w:val="none"/>
        </w:rPr>
      </w:r>
      <w:bookmarkEnd w:id="218"/>
      <w:r>
        <w:rPr>
          <w:color w:val="000000" w:themeColor="text1"/>
          <w:highlight w:val="none"/>
        </w:rPr>
      </w:r>
      <w:bookmarkEnd w:id="219"/>
      <w:r>
        <w:rPr>
          <w:color w:val="000000" w:themeColor="text1"/>
          <w:highlight w:val="none"/>
        </w:rPr>
      </w:r>
      <w:bookmarkEnd w:id="220"/>
      <w:r>
        <w:rPr>
          <w:color w:val="000000" w:themeColor="text1"/>
          <w:highlight w:val="none"/>
        </w:rPr>
      </w:r>
      <w:bookmarkEnd w:id="221"/>
      <w:r>
        <w:rPr>
          <w:color w:val="000000" w:themeColor="text1"/>
          <w:highlight w:val="none"/>
        </w:rPr>
      </w:r>
      <w:bookmarkEnd w:id="222"/>
      <w:r>
        <w:rPr>
          <w:color w:val="000000" w:themeColor="text1"/>
          <w:highlight w:val="none"/>
        </w:rPr>
      </w:r>
      <w:bookmarkEnd w:id="223"/>
      <w:r>
        <w:rPr>
          <w:color w:val="000000" w:themeColor="text1"/>
          <w:highlight w:val="none"/>
        </w:rPr>
      </w:r>
      <w:bookmarkEnd w:id="224"/>
      <w:r>
        <w:rPr>
          <w:color w:val="000000" w:themeColor="text1"/>
          <w:highlight w:val="none"/>
        </w:rPr>
      </w:r>
      <w:bookmarkEnd w:id="225"/>
      <w:r>
        <w:rPr>
          <w:color w:val="000000" w:themeColor="text1"/>
          <w:highlight w:val="none"/>
        </w:rPr>
      </w:r>
      <w:bookmarkEnd w:id="226"/>
      <w:r>
        <w:rPr>
          <w:color w:val="000000" w:themeColor="text1"/>
          <w:highlight w:val="none"/>
        </w:rPr>
      </w:r>
      <w:bookmarkEnd w:id="227"/>
      <w:r>
        <w:rPr>
          <w:rFonts w:hint="eastAsia" w:ascii="宋体" w:hAnsi="宋体" w:eastAsia="宋体" w:cs="宋体"/>
          <w:b w:val="0"/>
          <w:color w:val="000000" w:themeColor="text1"/>
          <w:sz w:val="24"/>
          <w:szCs w:val="24"/>
          <w:highlight w:val="none"/>
        </w:rPr>
        <w:t xml:space="preserve">理人</w:t>
      </w:r>
      <w:bookmarkEnd w:id="215"/>
      <w:r>
        <w:rPr>
          <w:color w:val="000000" w:themeColor="text1"/>
          <w:highlight w:val="none"/>
        </w:rPr>
      </w:r>
      <w:bookmarkEnd w:id="216"/>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228" w:name="_Toc189823449"/>
      <w:r>
        <w:rPr>
          <w:color w:val="000000" w:themeColor="text1"/>
          <w:highlight w:val="none"/>
        </w:rPr>
      </w:r>
      <w:bookmarkStart w:id="229" w:name="_Toc22333"/>
      <w:r>
        <w:rPr>
          <w:color w:val="000000" w:themeColor="text1"/>
          <w:highlight w:val="none"/>
        </w:rPr>
      </w:r>
      <w:bookmarkStart w:id="230" w:name="_Toc1325789808"/>
      <w:r>
        <w:rPr>
          <w:rFonts w:hint="eastAsia" w:ascii="宋体" w:hAnsi="宋体" w:eastAsia="宋体" w:cs="宋体"/>
          <w:color w:val="000000" w:themeColor="text1"/>
          <w:sz w:val="24"/>
          <w:szCs w:val="24"/>
          <w:highlight w:val="none"/>
        </w:rPr>
        <w:t xml:space="preserve">4.1监理人的一般规定</w:t>
      </w:r>
      <w:bookmarkEnd w:id="228"/>
      <w:r>
        <w:rPr>
          <w:color w:val="000000" w:themeColor="text1"/>
          <w:highlight w:val="none"/>
        </w:rPr>
      </w:r>
      <w:bookmarkEnd w:id="229"/>
      <w:r>
        <w:rPr>
          <w:color w:val="000000" w:themeColor="text1"/>
          <w:highlight w:val="none"/>
        </w:rPr>
      </w:r>
      <w:bookmarkEnd w:id="230"/>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关于监理人的监理内容：</w:t>
      </w:r>
      <w:r>
        <w:rPr>
          <w:rFonts w:hint="eastAsia" w:ascii="宋体" w:hAnsi="宋体" w:eastAsia="宋体" w:cs="宋体"/>
          <w:color w:val="000000" w:themeColor="text1"/>
          <w:sz w:val="24"/>
          <w:szCs w:val="24"/>
          <w:highlight w:val="none"/>
          <w:u w:val="single"/>
        </w:rPr>
        <w:t xml:space="preserve">详见监理合同</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关于监理人的监理权限：</w:t>
      </w:r>
      <w:r>
        <w:rPr>
          <w:rFonts w:hint="eastAsia" w:ascii="宋体" w:hAnsi="宋体" w:eastAsia="宋体" w:cs="宋体"/>
          <w:color w:val="000000" w:themeColor="text1"/>
          <w:sz w:val="24"/>
          <w:szCs w:val="24"/>
          <w:highlight w:val="none"/>
          <w:u w:val="single"/>
        </w:rPr>
        <w:t xml:space="preserve">详见监理合同</w:t>
      </w:r>
      <w:r>
        <w:rPr>
          <w:rFonts w:hint="eastAsia" w:ascii="宋体" w:hAnsi="宋体" w:eastAsia="宋体" w:cs="宋体"/>
          <w:color w:val="000000" w:themeColor="text1"/>
          <w:sz w:val="24"/>
          <w:szCs w:val="24"/>
          <w:highlight w:val="none"/>
        </w:rPr>
        <w:t xml:space="preserve">。 </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关于监理人在施工现场的办公场所、生活场所的提供和费用承担的约定：</w:t>
      </w:r>
      <w:r>
        <w:rPr>
          <w:rFonts w:hint="eastAsia" w:ascii="宋体" w:hAnsi="宋体" w:eastAsia="宋体" w:cs="宋体"/>
          <w:color w:val="000000" w:themeColor="text1"/>
          <w:sz w:val="24"/>
          <w:szCs w:val="24"/>
          <w:highlight w:val="none"/>
          <w:u w:val="single"/>
        </w:rPr>
        <w:t xml:space="preserve">监理人在施工现场的办公场所、生活场所由承包人提供，费用由承包人承担。</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231" w:name="_Toc1416"/>
      <w:r>
        <w:rPr>
          <w:color w:val="000000" w:themeColor="text1"/>
          <w:highlight w:val="none"/>
        </w:rPr>
      </w:r>
      <w:bookmarkStart w:id="232" w:name="_Toc1881790026"/>
      <w:r>
        <w:rPr>
          <w:color w:val="000000" w:themeColor="text1"/>
          <w:highlight w:val="none"/>
        </w:rPr>
      </w:r>
      <w:bookmarkStart w:id="233" w:name="_Toc1275710936"/>
      <w:r>
        <w:rPr>
          <w:rFonts w:hint="eastAsia" w:ascii="宋体" w:hAnsi="宋体" w:eastAsia="宋体" w:cs="宋体"/>
          <w:color w:val="000000" w:themeColor="text1"/>
          <w:sz w:val="24"/>
          <w:szCs w:val="24"/>
          <w:highlight w:val="none"/>
        </w:rPr>
        <w:t xml:space="preserve">4.2 监理人员</w:t>
      </w:r>
      <w:bookmarkEnd w:id="231"/>
      <w:r>
        <w:rPr>
          <w:color w:val="000000" w:themeColor="text1"/>
          <w:highlight w:val="none"/>
        </w:rPr>
      </w:r>
      <w:bookmarkEnd w:id="232"/>
      <w:r>
        <w:rPr>
          <w:color w:val="000000" w:themeColor="text1"/>
          <w:highlight w:val="none"/>
        </w:rPr>
      </w:r>
      <w:bookmarkEnd w:id="233"/>
      <w:r>
        <w:rPr>
          <w:color w:val="000000" w:themeColor="text1"/>
          <w:highlight w:val="none"/>
        </w:rPr>
      </w:r>
      <w:r>
        <w:rPr>
          <w:color w:val="000000" w:themeColor="text1"/>
          <w:highlight w:val="none"/>
        </w:rPr>
      </w:r>
    </w:p>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总监理工程师：</w:t>
      </w:r>
      <w:r>
        <w:rPr>
          <w:color w:val="000000" w:themeColor="text1"/>
          <w:highlight w:val="none"/>
        </w:rPr>
      </w:r>
    </w:p>
    <w:p>
      <w:pPr>
        <w:pStyle w:val="923"/>
        <w:ind w:left="63" w:right="63"/>
        <w:keepLines/>
        <w:keepNext w:val="0"/>
        <w:pageBreakBefore w:val="0"/>
        <w:spacing w:line="360" w:lineRule="auto"/>
        <w:widowControl w:val="off"/>
        <w:tabs>
          <w:tab w:val="left" w:pos="1162" w:leader="none"/>
          <w:tab w:val="left" w:pos="4105"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名：</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23"/>
        <w:ind w:left="63" w:right="63"/>
        <w:keepLines/>
        <w:keepNext w:val="0"/>
        <w:pageBreakBefore w:val="0"/>
        <w:spacing w:before="78" w:line="360" w:lineRule="auto"/>
        <w:widowControl w:val="off"/>
        <w:tabs>
          <w:tab w:val="left" w:pos="1162" w:leader="none"/>
          <w:tab w:val="left" w:pos="4105"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务</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23"/>
        <w:ind w:left="63" w:right="63"/>
        <w:keepLines/>
        <w:keepNext w:val="0"/>
        <w:pageBreakBefore w:val="0"/>
        <w:spacing w:before="78"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监理工程师执业资格证书号：</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p>
    <w:p>
      <w:pPr>
        <w:pStyle w:val="923"/>
        <w:ind w:left="63" w:right="63"/>
        <w:keepLines/>
        <w:keepNext w:val="0"/>
        <w:pageBreakBefore w:val="0"/>
        <w:spacing w:before="78" w:line="360" w:lineRule="auto"/>
        <w:widowControl w:val="off"/>
        <w:tabs>
          <w:tab w:val="left" w:pos="7785"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23"/>
        <w:ind w:left="63" w:right="63"/>
        <w:keepLines/>
        <w:keepNext w:val="0"/>
        <w:pageBreakBefore w:val="0"/>
        <w:spacing w:before="78" w:line="360" w:lineRule="auto"/>
        <w:widowControl w:val="off"/>
        <w:tabs>
          <w:tab w:val="left" w:pos="384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23"/>
        <w:ind w:left="63" w:right="63"/>
        <w:keepLines/>
        <w:keepNext w:val="0"/>
        <w:pageBreakBefore w:val="0"/>
        <w:spacing w:before="78" w:line="360" w:lineRule="auto"/>
        <w:widowControl w:val="off"/>
        <w:tabs>
          <w:tab w:val="left" w:pos="384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关于监理人的其他约定：</w:t>
      </w:r>
      <w:r>
        <w:rPr>
          <w:rFonts w:hint="eastAsia" w:ascii="宋体" w:hAnsi="宋体" w:eastAsia="宋体" w:cs="宋体"/>
          <w:color w:val="000000" w:themeColor="text1"/>
          <w:sz w:val="24"/>
          <w:szCs w:val="24"/>
          <w:highlight w:val="none"/>
          <w:u w:val="single"/>
        </w:rPr>
        <w:t xml:space="preserve">     详见监理合同       </w:t>
      </w:r>
      <w:r>
        <w:rPr>
          <w:rFonts w:hint="eastAsia" w:ascii="宋体" w:hAnsi="宋体" w:eastAsia="宋体" w:cs="宋体"/>
          <w:color w:val="000000" w:themeColor="text1"/>
          <w:sz w:val="24"/>
          <w:szCs w:val="24"/>
          <w:highlight w:val="none"/>
        </w:rPr>
        <w:t xml:space="preserve"> 。</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234" w:name="_Toc1839233093"/>
      <w:r>
        <w:rPr>
          <w:color w:val="000000" w:themeColor="text1"/>
          <w:highlight w:val="none"/>
        </w:rPr>
      </w:r>
      <w:bookmarkStart w:id="235" w:name="_Toc351297407"/>
      <w:r>
        <w:rPr>
          <w:color w:val="000000" w:themeColor="text1"/>
          <w:highlight w:val="none"/>
        </w:rPr>
      </w:r>
      <w:bookmarkStart w:id="236" w:name="_Toc20339"/>
      <w:r>
        <w:rPr>
          <w:rFonts w:hint="eastAsia" w:ascii="宋体" w:hAnsi="宋体" w:eastAsia="宋体" w:cs="宋体"/>
          <w:color w:val="000000" w:themeColor="text1"/>
          <w:sz w:val="24"/>
          <w:szCs w:val="24"/>
          <w:highlight w:val="none"/>
        </w:rPr>
        <w:t xml:space="preserve">4.3 商定或确定</w:t>
      </w:r>
      <w:bookmarkEnd w:id="234"/>
      <w:r>
        <w:rPr>
          <w:color w:val="000000" w:themeColor="text1"/>
          <w:highlight w:val="none"/>
        </w:rPr>
      </w:r>
      <w:bookmarkEnd w:id="235"/>
      <w:r>
        <w:rPr>
          <w:color w:val="000000" w:themeColor="text1"/>
          <w:highlight w:val="none"/>
        </w:rPr>
      </w:r>
      <w:bookmarkEnd w:id="236"/>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color w:val="000000" w:themeColor="text1"/>
          <w:highlight w:val="none"/>
        </w:rPr>
      </w:r>
      <w:bookmarkStart w:id="237" w:name="_Toc267251418"/>
      <w:r>
        <w:rPr>
          <w:rFonts w:hint="eastAsia" w:ascii="宋体" w:hAnsi="宋体" w:eastAsia="宋体" w:cs="宋体"/>
          <w:color w:val="000000" w:themeColor="text1"/>
          <w:sz w:val="24"/>
          <w:szCs w:val="24"/>
          <w:highlight w:val="none"/>
        </w:rPr>
        <w:t xml:space="preserve">在发包人和承包人不能通过协商达成一致意见时，发包人授权监理人对以下事项进行确定：</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color w:val="000000" w:themeColor="text1"/>
          <w:highlight w:val="none"/>
        </w:rPr>
      </w:r>
    </w:p>
    <w:p>
      <w:pPr>
        <w:pStyle w:val="910"/>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238" w:name="_Toc1767461773"/>
      <w:r>
        <w:rPr>
          <w:color w:val="000000" w:themeColor="text1"/>
          <w:highlight w:val="none"/>
        </w:rPr>
      </w:r>
      <w:bookmarkStart w:id="239" w:name="_Toc441549874"/>
      <w:r>
        <w:rPr>
          <w:rFonts w:hint="eastAsia" w:ascii="宋体" w:hAnsi="宋体" w:eastAsia="宋体" w:cs="宋体"/>
          <w:b w:val="0"/>
          <w:color w:val="000000" w:themeColor="text1"/>
          <w:sz w:val="24"/>
          <w:szCs w:val="24"/>
          <w:highlight w:val="none"/>
        </w:rPr>
        <w:t xml:space="preserve">5</w:t>
      </w:r>
      <w:bookmarkEnd w:id="237"/>
      <w:r>
        <w:rPr>
          <w:color w:val="000000" w:themeColor="text1"/>
          <w:highlight w:val="none"/>
        </w:rPr>
      </w:r>
      <w:bookmarkStart w:id="240" w:name="_Toc296944502"/>
      <w:r>
        <w:rPr>
          <w:color w:val="000000" w:themeColor="text1"/>
          <w:highlight w:val="none"/>
        </w:rPr>
      </w:r>
      <w:bookmarkStart w:id="241" w:name="_Toc292559367"/>
      <w:r>
        <w:rPr>
          <w:color w:val="000000" w:themeColor="text1"/>
          <w:highlight w:val="none"/>
        </w:rPr>
      </w:r>
      <w:bookmarkStart w:id="242" w:name="_Toc292559872"/>
      <w:r>
        <w:rPr>
          <w:color w:val="000000" w:themeColor="text1"/>
          <w:highlight w:val="none"/>
        </w:rPr>
      </w:r>
      <w:bookmarkStart w:id="243" w:name="_Toc296503163"/>
      <w:r>
        <w:rPr>
          <w:color w:val="000000" w:themeColor="text1"/>
          <w:highlight w:val="none"/>
        </w:rPr>
      </w:r>
      <w:bookmarkStart w:id="244" w:name="_Toc296890991"/>
      <w:r>
        <w:rPr>
          <w:color w:val="000000" w:themeColor="text1"/>
          <w:highlight w:val="none"/>
        </w:rPr>
      </w:r>
      <w:bookmarkStart w:id="245" w:name="_Toc297048349"/>
      <w:r>
        <w:rPr>
          <w:color w:val="000000" w:themeColor="text1"/>
          <w:highlight w:val="none"/>
        </w:rPr>
      </w:r>
      <w:bookmarkStart w:id="246" w:name="_Toc296346664"/>
      <w:r>
        <w:rPr>
          <w:color w:val="000000" w:themeColor="text1"/>
          <w:highlight w:val="none"/>
        </w:rPr>
      </w:r>
      <w:bookmarkStart w:id="247" w:name="_Toc297120463"/>
      <w:r>
        <w:rPr>
          <w:color w:val="000000" w:themeColor="text1"/>
          <w:highlight w:val="none"/>
        </w:rPr>
      </w:r>
      <w:bookmarkStart w:id="248" w:name="_Toc296891203"/>
      <w:r>
        <w:rPr>
          <w:color w:val="000000" w:themeColor="text1"/>
          <w:highlight w:val="none"/>
        </w:rPr>
      </w:r>
      <w:bookmarkStart w:id="249" w:name="_Toc296347162"/>
      <w:r>
        <w:rPr>
          <w:rFonts w:hint="eastAsia" w:ascii="宋体" w:hAnsi="宋体" w:eastAsia="宋体" w:cs="宋体"/>
          <w:b w:val="0"/>
          <w:color w:val="000000" w:themeColor="text1"/>
          <w:sz w:val="24"/>
          <w:szCs w:val="24"/>
          <w:highlight w:val="none"/>
        </w:rPr>
        <w:t xml:space="preserve">. 工程质量</w:t>
      </w:r>
      <w:bookmarkEnd w:id="238"/>
      <w:r>
        <w:rPr>
          <w:color w:val="000000" w:themeColor="text1"/>
          <w:highlight w:val="none"/>
        </w:rPr>
      </w:r>
      <w:bookmarkEnd w:id="239"/>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250" w:name="_Toc18820"/>
      <w:r>
        <w:rPr>
          <w:color w:val="000000" w:themeColor="text1"/>
          <w:highlight w:val="none"/>
        </w:rPr>
      </w:r>
      <w:bookmarkStart w:id="251" w:name="_Toc1592482993"/>
      <w:r>
        <w:rPr>
          <w:color w:val="000000" w:themeColor="text1"/>
          <w:highlight w:val="none"/>
        </w:rPr>
      </w:r>
      <w:bookmarkStart w:id="252" w:name="_Toc928117446"/>
      <w:r>
        <w:rPr>
          <w:rFonts w:hint="eastAsia" w:ascii="宋体" w:hAnsi="宋体" w:eastAsia="宋体" w:cs="宋体"/>
          <w:color w:val="000000" w:themeColor="text1"/>
          <w:sz w:val="24"/>
          <w:szCs w:val="24"/>
          <w:highlight w:val="none"/>
        </w:rPr>
        <w:t xml:space="preserve">5.1 质量要求</w:t>
      </w:r>
      <w:bookmarkEnd w:id="250"/>
      <w:r>
        <w:rPr>
          <w:color w:val="000000" w:themeColor="text1"/>
          <w:highlight w:val="none"/>
        </w:rPr>
      </w:r>
      <w:bookmarkEnd w:id="251"/>
      <w:r>
        <w:rPr>
          <w:color w:val="000000" w:themeColor="text1"/>
          <w:highlight w:val="none"/>
        </w:rPr>
      </w:r>
      <w:bookmarkEnd w:id="252"/>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5</w:t>
      </w:r>
      <w:bookmarkStart w:id="253" w:name="_Toc297216155"/>
      <w:r>
        <w:rPr>
          <w:color w:val="000000" w:themeColor="text1"/>
          <w:highlight w:val="none"/>
        </w:rPr>
      </w:r>
      <w:bookmarkStart w:id="254" w:name="_Toc300934949"/>
      <w:r>
        <w:rPr>
          <w:color w:val="000000" w:themeColor="text1"/>
          <w:highlight w:val="none"/>
        </w:rPr>
      </w:r>
      <w:bookmarkStart w:id="255" w:name="_Toc297123496"/>
      <w:r>
        <w:rPr>
          <w:color w:val="000000" w:themeColor="text1"/>
          <w:highlight w:val="none"/>
        </w:rPr>
      </w:r>
      <w:bookmarkStart w:id="256" w:name="_Toc318581164"/>
      <w:r>
        <w:rPr>
          <w:color w:val="000000" w:themeColor="text1"/>
          <w:highlight w:val="none"/>
        </w:rPr>
      </w:r>
      <w:bookmarkStart w:id="257" w:name="_Toc303539106"/>
      <w:r>
        <w:rPr>
          <w:color w:val="000000" w:themeColor="text1"/>
          <w:highlight w:val="none"/>
        </w:rPr>
      </w:r>
      <w:bookmarkStart w:id="258" w:name="_Toc304295527"/>
      <w:r>
        <w:rPr>
          <w:color w:val="000000" w:themeColor="text1"/>
          <w:highlight w:val="none"/>
        </w:rPr>
      </w:r>
      <w:bookmarkStart w:id="259" w:name="_Toc312677997"/>
      <w:r>
        <w:rPr>
          <w:rFonts w:hint="eastAsia" w:ascii="宋体" w:hAnsi="宋体" w:eastAsia="宋体" w:cs="宋体"/>
          <w:color w:val="000000" w:themeColor="text1"/>
          <w:sz w:val="24"/>
          <w:szCs w:val="24"/>
          <w:highlight w:val="none"/>
        </w:rPr>
        <w:t xml:space="preserve">.1.1 特殊质量标准和要求：</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 xml:space="preserve">工程质量标准必须符合现行国家有关工程施工质量验收规范和标准的要求。</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关于工程奖项的约定：</w:t>
      </w:r>
      <w:r>
        <w:rPr>
          <w:rFonts w:hint="eastAsia" w:ascii="宋体" w:hAnsi="宋体" w:eastAsia="宋体" w:cs="宋体"/>
          <w:color w:val="000000" w:themeColor="text1"/>
          <w:sz w:val="24"/>
          <w:szCs w:val="24"/>
          <w:highlight w:val="none"/>
          <w:u w:val="single"/>
        </w:rPr>
        <w:t xml:space="preserve">创优要求：优良（获得“扬子杯”以上奖项）</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260" w:name="_Toc15546"/>
      <w:r>
        <w:rPr>
          <w:color w:val="000000" w:themeColor="text1"/>
          <w:highlight w:val="none"/>
        </w:rPr>
      </w:r>
      <w:bookmarkStart w:id="261" w:name="_Toc1292415266"/>
      <w:r>
        <w:rPr>
          <w:color w:val="000000" w:themeColor="text1"/>
          <w:highlight w:val="none"/>
        </w:rPr>
      </w:r>
      <w:bookmarkStart w:id="262" w:name="_Toc462538044"/>
      <w:r>
        <w:rPr>
          <w:rFonts w:hint="eastAsia" w:ascii="宋体" w:hAnsi="宋体" w:eastAsia="宋体" w:cs="宋体"/>
          <w:color w:val="000000" w:themeColor="text1"/>
          <w:sz w:val="24"/>
          <w:szCs w:val="24"/>
          <w:highlight w:val="none"/>
        </w:rPr>
        <w:t xml:space="preserve">5.2 隐蔽工程检查</w:t>
      </w:r>
      <w:bookmarkEnd w:id="260"/>
      <w:r>
        <w:rPr>
          <w:color w:val="000000" w:themeColor="text1"/>
          <w:highlight w:val="none"/>
        </w:rPr>
      </w:r>
      <w:bookmarkEnd w:id="261"/>
      <w:r>
        <w:rPr>
          <w:color w:val="000000" w:themeColor="text1"/>
          <w:highlight w:val="none"/>
        </w:rPr>
      </w:r>
      <w:bookmarkEnd w:id="262"/>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5.2.1承包人提前通知监理人隐蔽工程检查的期限的约定：</w:t>
      </w:r>
      <w:r>
        <w:rPr>
          <w:rFonts w:hint="eastAsia" w:ascii="宋体" w:hAnsi="宋体" w:eastAsia="宋体" w:cs="宋体"/>
          <w:color w:val="000000" w:themeColor="text1"/>
          <w:sz w:val="24"/>
          <w:szCs w:val="24"/>
          <w:highlight w:val="none"/>
          <w:u w:val="single"/>
        </w:rPr>
        <w:t xml:space="preserve">共同检查前48小时书面通知监理人。</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监理人不能按时进行检查时，应提前</w:t>
      </w:r>
      <w:r>
        <w:rPr>
          <w:rFonts w:hint="eastAsia" w:ascii="宋体" w:hAnsi="宋体" w:eastAsia="宋体" w:cs="宋体"/>
          <w:color w:val="000000" w:themeColor="text1"/>
          <w:sz w:val="24"/>
          <w:szCs w:val="24"/>
          <w:highlight w:val="none"/>
          <w:u w:val="single"/>
        </w:rPr>
        <w:t xml:space="preserve">12</w:t>
      </w:r>
      <w:r>
        <w:rPr>
          <w:rFonts w:hint="eastAsia" w:ascii="宋体" w:hAnsi="宋体" w:eastAsia="宋体" w:cs="宋体"/>
          <w:color w:val="000000" w:themeColor="text1"/>
          <w:sz w:val="24"/>
          <w:szCs w:val="24"/>
          <w:highlight w:val="none"/>
        </w:rPr>
        <w:t xml:space="preserve">小时提交书面延期要求。</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关于延期最长不得超过：</w:t>
      </w:r>
      <w:r>
        <w:rPr>
          <w:rFonts w:hint="eastAsia" w:ascii="宋体" w:hAnsi="宋体" w:eastAsia="宋体" w:cs="宋体"/>
          <w:color w:val="000000" w:themeColor="text1"/>
          <w:sz w:val="24"/>
          <w:szCs w:val="24"/>
          <w:highlight w:val="none"/>
          <w:u w:val="single"/>
        </w:rPr>
        <w:t xml:space="preserve">48</w:t>
      </w:r>
      <w:r>
        <w:rPr>
          <w:rFonts w:hint="eastAsia" w:ascii="宋体" w:hAnsi="宋体" w:eastAsia="宋体" w:cs="宋体"/>
          <w:color w:val="000000" w:themeColor="text1"/>
          <w:sz w:val="24"/>
          <w:szCs w:val="24"/>
          <w:highlight w:val="none"/>
        </w:rPr>
        <w:t xml:space="preserve">小时。</w:t>
      </w:r>
      <w:r>
        <w:rPr>
          <w:color w:val="000000" w:themeColor="text1"/>
          <w:highlight w:val="none"/>
        </w:rPr>
      </w:r>
    </w:p>
    <w:p>
      <w:pPr>
        <w:pStyle w:val="910"/>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263" w:name="_Toc714606691"/>
      <w:r>
        <w:rPr>
          <w:color w:val="000000" w:themeColor="text1"/>
          <w:highlight w:val="none"/>
        </w:rPr>
      </w:r>
      <w:bookmarkStart w:id="264" w:name="_Toc1885616336"/>
      <w:r>
        <w:rPr>
          <w:rFonts w:hint="eastAsia" w:ascii="宋体" w:hAnsi="宋体" w:eastAsia="宋体" w:cs="宋体"/>
          <w:b w:val="0"/>
          <w:color w:val="000000" w:themeColor="text1"/>
          <w:sz w:val="24"/>
          <w:szCs w:val="24"/>
          <w:highlight w:val="none"/>
        </w:rPr>
        <w:t xml:space="preserve">6. 安全文明施工与环境保护</w:t>
      </w:r>
      <w:bookmarkEnd w:id="263"/>
      <w:r>
        <w:rPr>
          <w:color w:val="000000" w:themeColor="text1"/>
          <w:highlight w:val="none"/>
        </w:rPr>
      </w:r>
      <w:bookmarkEnd w:id="264"/>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265" w:name="_Toc552749545"/>
      <w:r>
        <w:rPr>
          <w:color w:val="000000" w:themeColor="text1"/>
          <w:highlight w:val="none"/>
        </w:rPr>
      </w:r>
      <w:bookmarkStart w:id="266" w:name="_Toc11638"/>
      <w:r>
        <w:rPr>
          <w:color w:val="000000" w:themeColor="text1"/>
          <w:highlight w:val="none"/>
        </w:rPr>
      </w:r>
      <w:bookmarkStart w:id="267" w:name="_Toc526548747"/>
      <w:r>
        <w:rPr>
          <w:rFonts w:hint="eastAsia" w:ascii="宋体" w:hAnsi="宋体" w:eastAsia="宋体" w:cs="宋体"/>
          <w:color w:val="000000" w:themeColor="text1"/>
          <w:sz w:val="24"/>
          <w:szCs w:val="24"/>
          <w:highlight w:val="none"/>
        </w:rPr>
        <w:t xml:space="preserve">6.1安全文明施工</w:t>
      </w:r>
      <w:bookmarkEnd w:id="265"/>
      <w:r>
        <w:rPr>
          <w:color w:val="000000" w:themeColor="text1"/>
          <w:highlight w:val="none"/>
        </w:rPr>
      </w:r>
      <w:bookmarkEnd w:id="266"/>
      <w:r>
        <w:rPr>
          <w:color w:val="000000" w:themeColor="text1"/>
          <w:highlight w:val="none"/>
        </w:rPr>
      </w:r>
      <w:bookmarkEnd w:id="267"/>
      <w:r>
        <w:rPr>
          <w:color w:val="000000" w:themeColor="text1"/>
          <w:highlight w:val="none"/>
        </w:rPr>
      </w:r>
      <w:r>
        <w:rPr>
          <w:color w:val="000000" w:themeColor="text1"/>
          <w:highlight w:val="none"/>
        </w:rPr>
      </w:r>
    </w:p>
    <w:p>
      <w:pPr>
        <w:pStyle w:val="906"/>
        <w:ind w:left="111"/>
        <w:jc w:val="left"/>
        <w:keepLines/>
        <w:keepNext w:val="0"/>
        <w:pageBreakBefore w:val="0"/>
        <w:spacing w:line="360" w:lineRule="auto"/>
        <w:widowControl w:val="off"/>
        <w:tabs>
          <w:tab w:val="left" w:pos="5092"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6.1.1 项目安全生产的达标目标及相应事项的约定：</w:t>
      </w:r>
      <w:r>
        <w:rPr>
          <w:rFonts w:hint="eastAsia" w:ascii="宋体" w:hAnsi="宋体" w:eastAsia="宋体" w:cs="宋体"/>
          <w:color w:val="000000" w:themeColor="text1"/>
          <w:sz w:val="24"/>
          <w:szCs w:val="24"/>
          <w:highlight w:val="none"/>
          <w:u w:val="single"/>
        </w:rPr>
        <w:t xml:space="preserve">本工程要求全封闭围挡施工，建筑围挡达相关规范及文明城创建要求，喷雾防尘设施必须覆盖全部施工作业区。按照六个 100%标准执行：施工现场围挡 100%、施工道路硬化 100%、裸土覆盖 100%、现场喷淋设备 100%、出入车辆冲洗 100%、渣土车运输封闭 100%，均包括在投标报价内。</w:t>
      </w:r>
      <w:r>
        <w:rPr>
          <w:color w:val="000000" w:themeColor="text1"/>
          <w:highlight w:val="none"/>
        </w:rPr>
      </w:r>
    </w:p>
    <w:p>
      <w:pPr>
        <w:pStyle w:val="906"/>
        <w:jc w:val="left"/>
        <w:keepLines/>
        <w:keepNext w:val="0"/>
        <w:pageBreakBefore w:val="0"/>
        <w:spacing w:before="72" w:line="360" w:lineRule="auto"/>
        <w:widowControl w:val="off"/>
        <w:tabs>
          <w:tab w:val="left" w:pos="743"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6.1.2 关于治安保卫的特别约定：</w:t>
      </w:r>
      <w:r>
        <w:rPr>
          <w:rFonts w:hint="eastAsia" w:ascii="宋体" w:hAnsi="宋体" w:eastAsia="宋体" w:cs="宋体"/>
          <w:color w:val="000000" w:themeColor="text1"/>
          <w:sz w:val="24"/>
          <w:szCs w:val="24"/>
          <w:highlight w:val="none"/>
          <w:u w:val="single"/>
        </w:rPr>
        <w:t xml:space="preserve">建筑安装工程安全施工措施费用已含在中标合同总价内，应专款专用，承包人不准挪作它用，承包人应按工程要求提供和维护施工照明、看守、围栏和警示。</w:t>
      </w:r>
      <w:r>
        <w:rPr>
          <w:color w:val="000000" w:themeColor="text1"/>
          <w:highlight w:val="none"/>
        </w:rPr>
      </w:r>
    </w:p>
    <w:p>
      <w:pPr>
        <w:pStyle w:val="906"/>
        <w:jc w:val="left"/>
        <w:keepLines/>
        <w:keepNext w:val="0"/>
        <w:pageBreakBefore w:val="0"/>
        <w:spacing w:before="78"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因承包人未履行上述义务造成的工程财产损失及人身伤害，由承包人承担法律责任并承担因此而发生的所有费用。</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关于编制施工场地治安管理计划的约定：</w:t>
      </w:r>
      <w:r>
        <w:rPr>
          <w:rFonts w:hint="eastAsia" w:ascii="宋体" w:hAnsi="宋体" w:eastAsia="宋体" w:cs="宋体"/>
          <w:color w:val="000000" w:themeColor="text1"/>
          <w:sz w:val="24"/>
          <w:szCs w:val="24"/>
          <w:highlight w:val="none"/>
          <w:u w:val="single"/>
        </w:rPr>
        <w:t xml:space="preserve">由承包人编制</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6.1.3 文明施工</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合同当事人对文明施工的要求：</w:t>
      </w:r>
      <w:r>
        <w:rPr>
          <w:rFonts w:hint="eastAsia" w:ascii="宋体" w:hAnsi="宋体" w:eastAsia="宋体" w:cs="宋体"/>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6.1.4 关于安全文明施工费支付比例和支付期限的约定：</w:t>
      </w:r>
      <w:r>
        <w:rPr>
          <w:rFonts w:hint="eastAsia" w:ascii="宋体" w:hAnsi="宋体" w:eastAsia="宋体" w:cs="宋体"/>
          <w:color w:val="000000" w:themeColor="text1"/>
          <w:sz w:val="24"/>
          <w:szCs w:val="24"/>
          <w:highlight w:val="none"/>
          <w:u w:val="single"/>
        </w:rPr>
        <w:t xml:space="preserve">同工程款支付比例及支付期限</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268" w:name="_Toc1716959566"/>
      <w:r>
        <w:rPr>
          <w:color w:val="000000" w:themeColor="text1"/>
          <w:highlight w:val="none"/>
        </w:rPr>
      </w:r>
      <w:bookmarkStart w:id="269" w:name="_Toc584454933"/>
      <w:r>
        <w:rPr>
          <w:rFonts w:hint="eastAsia" w:ascii="宋体" w:hAnsi="宋体" w:eastAsia="宋体" w:cs="宋体"/>
          <w:color w:val="000000" w:themeColor="text1"/>
          <w:sz w:val="24"/>
          <w:szCs w:val="24"/>
          <w:highlight w:val="none"/>
        </w:rPr>
        <w:t xml:space="preserve">6.2 环境保护</w:t>
      </w:r>
      <w:bookmarkEnd w:id="268"/>
      <w:r>
        <w:rPr>
          <w:color w:val="000000" w:themeColor="text1"/>
          <w:highlight w:val="none"/>
        </w:rPr>
      </w:r>
      <w:bookmarkEnd w:id="269"/>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合同当事人对农药、肥料的使用要求：</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bookmarkEnd w:id="253"/>
      <w:r>
        <w:rPr>
          <w:color w:val="000000" w:themeColor="text1"/>
          <w:highlight w:val="none"/>
        </w:rPr>
      </w:r>
      <w:bookmarkEnd w:id="254"/>
      <w:r>
        <w:rPr>
          <w:color w:val="000000" w:themeColor="text1"/>
          <w:highlight w:val="none"/>
        </w:rPr>
      </w:r>
      <w:bookmarkEnd w:id="255"/>
      <w:r>
        <w:rPr>
          <w:color w:val="000000" w:themeColor="text1"/>
          <w:highlight w:val="none"/>
        </w:rPr>
      </w:r>
      <w:bookmarkEnd w:id="256"/>
      <w:r>
        <w:rPr>
          <w:color w:val="000000" w:themeColor="text1"/>
          <w:highlight w:val="none"/>
        </w:rPr>
      </w:r>
      <w:bookmarkEnd w:id="257"/>
      <w:r>
        <w:rPr>
          <w:color w:val="000000" w:themeColor="text1"/>
          <w:highlight w:val="none"/>
        </w:rPr>
      </w:r>
      <w:bookmarkEnd w:id="258"/>
      <w:r>
        <w:rPr>
          <w:color w:val="000000" w:themeColor="text1"/>
          <w:highlight w:val="none"/>
        </w:rPr>
      </w:r>
      <w:bookmarkEnd w:id="259"/>
      <w:r>
        <w:rPr>
          <w:color w:val="000000" w:themeColor="text1"/>
          <w:highlight w:val="none"/>
        </w:rPr>
      </w:r>
      <w:r>
        <w:rPr>
          <w:color w:val="000000" w:themeColor="text1"/>
          <w:highlight w:val="none"/>
        </w:rPr>
      </w:r>
    </w:p>
    <w:p>
      <w:pPr>
        <w:pStyle w:val="910"/>
        <w:numPr>
          <w:ilvl w:val="0"/>
          <w:numId w:val="23"/>
        </w:numPr>
        <w:keepLines/>
        <w:keepNext w:val="0"/>
        <w:pageBreakBefore w:val="0"/>
        <w:spacing w:line="360" w:lineRule="auto"/>
        <w:widowControl w:val="off"/>
        <w:tabs>
          <w:tab w:val="left" w:pos="397" w:leader="none"/>
        </w:tabs>
        <w:rPr>
          <w:rFonts w:hint="eastAsia" w:ascii="宋体" w:hAnsi="宋体" w:eastAsia="宋体" w:cs="宋体"/>
          <w:b w:val="0"/>
          <w:color w:val="000000" w:themeColor="text1"/>
          <w:sz w:val="24"/>
          <w:szCs w:val="24"/>
          <w:highlight w:val="none"/>
        </w:rPr>
      </w:pPr>
      <w:r>
        <w:rPr>
          <w:color w:val="000000" w:themeColor="text1"/>
          <w:highlight w:val="none"/>
        </w:rPr>
      </w:r>
      <w:bookmarkStart w:id="270" w:name="_Toc309374293"/>
      <w:r>
        <w:rPr>
          <w:color w:val="000000" w:themeColor="text1"/>
          <w:highlight w:val="none"/>
        </w:rPr>
      </w:r>
      <w:bookmarkStart w:id="271" w:name="_Toc1019739217"/>
      <w:r>
        <w:rPr>
          <w:rFonts w:hint="eastAsia" w:ascii="宋体" w:hAnsi="宋体" w:eastAsia="宋体" w:cs="宋体"/>
          <w:b w:val="0"/>
          <w:color w:val="000000" w:themeColor="text1"/>
          <w:sz w:val="24"/>
          <w:szCs w:val="24"/>
          <w:highlight w:val="none"/>
        </w:rPr>
        <w:t xml:space="preserve">工期和进度</w:t>
      </w:r>
      <w:bookmarkEnd w:id="270"/>
      <w:r>
        <w:rPr>
          <w:color w:val="000000" w:themeColor="text1"/>
          <w:highlight w:val="none"/>
        </w:rPr>
      </w:r>
      <w:bookmarkEnd w:id="271"/>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272" w:name="_Toc20685"/>
      <w:r>
        <w:rPr>
          <w:color w:val="000000" w:themeColor="text1"/>
          <w:highlight w:val="none"/>
        </w:rPr>
      </w:r>
      <w:bookmarkStart w:id="273" w:name="_Toc829052215"/>
      <w:r>
        <w:rPr>
          <w:color w:val="000000" w:themeColor="text1"/>
          <w:highlight w:val="none"/>
        </w:rPr>
      </w:r>
      <w:bookmarkStart w:id="274" w:name="_Toc152004302"/>
      <w:r>
        <w:rPr>
          <w:rFonts w:hint="eastAsia" w:ascii="宋体" w:hAnsi="宋体" w:eastAsia="宋体" w:cs="宋体"/>
          <w:color w:val="000000" w:themeColor="text1"/>
          <w:sz w:val="24"/>
          <w:szCs w:val="24"/>
          <w:highlight w:val="none"/>
        </w:rPr>
        <w:t xml:space="preserve">7.1 施工组织设计</w:t>
      </w:r>
      <w:bookmarkEnd w:id="272"/>
      <w:r>
        <w:rPr>
          <w:color w:val="000000" w:themeColor="text1"/>
          <w:highlight w:val="none"/>
        </w:rPr>
      </w:r>
      <w:bookmarkEnd w:id="273"/>
      <w:r>
        <w:rPr>
          <w:color w:val="000000" w:themeColor="text1"/>
          <w:highlight w:val="none"/>
        </w:rPr>
      </w:r>
      <w:bookmarkEnd w:id="274"/>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275" w:name="_Toc856803142"/>
      <w:r>
        <w:rPr>
          <w:color w:val="000000" w:themeColor="text1"/>
          <w:highlight w:val="none"/>
        </w:rPr>
      </w:r>
      <w:bookmarkStart w:id="276" w:name="_Toc1337492230"/>
      <w:r>
        <w:rPr>
          <w:rFonts w:hint="eastAsia" w:ascii="宋体" w:hAnsi="宋体" w:eastAsia="宋体" w:cs="宋体"/>
          <w:color w:val="000000" w:themeColor="text1"/>
          <w:sz w:val="24"/>
          <w:szCs w:val="24"/>
          <w:highlight w:val="none"/>
        </w:rPr>
        <w:t xml:space="preserve">7.1.1 工程涉及以下内容的，合同当事人约定的施工组织设计还应包括此类工程内容的专项施工方案：</w:t>
      </w:r>
      <w:bookmarkEnd w:id="275"/>
      <w:r>
        <w:rPr>
          <w:color w:val="000000" w:themeColor="text1"/>
          <w:highlight w:val="none"/>
        </w:rPr>
      </w:r>
      <w:bookmarkEnd w:id="276"/>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277" w:name="_Toc1488833316"/>
      <w:r>
        <w:rPr>
          <w:color w:val="000000" w:themeColor="text1"/>
          <w:highlight w:val="none"/>
        </w:rPr>
      </w:r>
      <w:bookmarkStart w:id="278" w:name="_Toc650023867"/>
      <w:r>
        <w:rPr>
          <w:rFonts w:hint="eastAsia" w:ascii="宋体" w:hAnsi="宋体" w:eastAsia="宋体" w:cs="宋体"/>
          <w:color w:val="000000" w:themeColor="text1"/>
          <w:sz w:val="24"/>
          <w:szCs w:val="24"/>
          <w:highlight w:val="none"/>
        </w:rPr>
        <w:t xml:space="preserve">¨现状树木保护；</w:t>
      </w:r>
      <w:bookmarkEnd w:id="277"/>
      <w:r>
        <w:rPr>
          <w:color w:val="000000" w:themeColor="text1"/>
          <w:highlight w:val="none"/>
        </w:rPr>
      </w:r>
      <w:bookmarkEnd w:id="278"/>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279" w:name="_Toc382208328"/>
      <w:r>
        <w:rPr>
          <w:color w:val="000000" w:themeColor="text1"/>
          <w:highlight w:val="none"/>
        </w:rPr>
      </w:r>
      <w:bookmarkStart w:id="280" w:name="_Toc266056742"/>
      <w:r>
        <w:rPr>
          <w:rFonts w:hint="eastAsia" w:ascii="宋体" w:hAnsi="宋体" w:eastAsia="宋体" w:cs="宋体"/>
          <w:color w:val="000000" w:themeColor="text1"/>
          <w:sz w:val="24"/>
          <w:szCs w:val="24"/>
          <w:highlight w:val="none"/>
        </w:rPr>
        <w:t xml:space="preserve">¨古树名木保护;</w:t>
      </w:r>
      <w:bookmarkEnd w:id="279"/>
      <w:r>
        <w:rPr>
          <w:color w:val="000000" w:themeColor="text1"/>
          <w:highlight w:val="none"/>
        </w:rPr>
      </w:r>
      <w:bookmarkEnd w:id="280"/>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281" w:name="_Toc1137515080"/>
      <w:r>
        <w:rPr>
          <w:color w:val="000000" w:themeColor="text1"/>
          <w:highlight w:val="none"/>
        </w:rPr>
      </w:r>
      <w:bookmarkStart w:id="282" w:name="_Toc1350692319"/>
      <w:r>
        <w:rPr>
          <w:rFonts w:hint="eastAsia" w:ascii="宋体" w:hAnsi="宋体" w:eastAsia="宋体" w:cs="宋体"/>
          <w:color w:val="000000" w:themeColor="text1"/>
          <w:sz w:val="24"/>
          <w:szCs w:val="24"/>
          <w:highlight w:val="none"/>
        </w:rPr>
        <w:t xml:space="preserve">¨土壤改良;</w:t>
      </w:r>
      <w:bookmarkEnd w:id="281"/>
      <w:r>
        <w:rPr>
          <w:color w:val="000000" w:themeColor="text1"/>
          <w:highlight w:val="none"/>
        </w:rPr>
      </w:r>
      <w:bookmarkEnd w:id="282"/>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283" w:name="_Toc630504734"/>
      <w:r>
        <w:rPr>
          <w:color w:val="000000" w:themeColor="text1"/>
          <w:highlight w:val="none"/>
        </w:rPr>
      </w:r>
      <w:bookmarkStart w:id="284" w:name="_Toc1673538922"/>
      <w:r>
        <w:rPr>
          <w:rFonts w:hint="eastAsia" w:ascii="宋体" w:hAnsi="宋体" w:eastAsia="宋体" w:cs="宋体"/>
          <w:color w:val="000000" w:themeColor="text1"/>
          <w:sz w:val="24"/>
          <w:szCs w:val="24"/>
          <w:highlight w:val="none"/>
        </w:rPr>
        <w:t xml:space="preserve">¨其他内容：</w:t>
      </w:r>
      <w:r>
        <w:rPr>
          <w:rFonts w:hint="eastAsia" w:ascii="宋体" w:hAnsi="宋体" w:eastAsia="宋体" w:cs="宋体"/>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rPr>
        <w:t xml:space="preserve">。</w:t>
      </w:r>
      <w:bookmarkEnd w:id="283"/>
      <w:r>
        <w:rPr>
          <w:color w:val="000000" w:themeColor="text1"/>
          <w:highlight w:val="none"/>
        </w:rPr>
      </w:r>
      <w:bookmarkEnd w:id="284"/>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7.1.2施工组织设计的提交和修改</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承包人提交详细施工组织设计的期限的约定：执行通用条款。</w:t>
      </w:r>
      <w:r>
        <w:rPr>
          <w:color w:val="000000" w:themeColor="text1"/>
          <w:highlight w:val="none"/>
        </w:rPr>
      </w:r>
    </w:p>
    <w:p>
      <w:pPr>
        <w:pStyle w:val="923"/>
        <w:ind w:left="63" w:right="63"/>
        <w:jc w:val="left"/>
        <w:keepLines/>
        <w:keepNext w:val="0"/>
        <w:pageBreakBefore w:val="0"/>
        <w:spacing w:before="76" w:line="360" w:lineRule="auto"/>
        <w:widowControl w:val="off"/>
        <w:tabs>
          <w:tab w:val="left" w:pos="8095"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发包人和监理人在收到详细的施工组织设计后确认或提出修改意见的期限：</w:t>
      </w:r>
      <w:r>
        <w:rPr>
          <w:rFonts w:hint="eastAsia" w:ascii="宋体" w:hAnsi="宋体" w:eastAsia="宋体" w:cs="宋体"/>
          <w:color w:val="000000" w:themeColor="text1"/>
          <w:sz w:val="24"/>
          <w:szCs w:val="24"/>
          <w:highlight w:val="none"/>
          <w:u w:val="single"/>
        </w:rPr>
        <w:t xml:space="preserve">发包人和监理人应在监理人收到施工组织设计后 7天内确认或提出修改意见。对发包人和监理人提出的合理意见和要求，承包人应自费修改完善。根据工程实际情况需要修改施工组织设计的，承包人应向发包人和监理人提交修改后的施工组织设计。</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285" w:name="_Toc1135946897"/>
      <w:r>
        <w:rPr>
          <w:color w:val="000000" w:themeColor="text1"/>
          <w:highlight w:val="none"/>
        </w:rPr>
      </w:r>
      <w:bookmarkStart w:id="286" w:name="_Toc14427"/>
      <w:r>
        <w:rPr>
          <w:color w:val="000000" w:themeColor="text1"/>
          <w:highlight w:val="none"/>
        </w:rPr>
      </w:r>
      <w:bookmarkStart w:id="287" w:name="_Toc2142813545"/>
      <w:r>
        <w:rPr>
          <w:rFonts w:hint="eastAsia" w:ascii="宋体" w:hAnsi="宋体" w:eastAsia="宋体" w:cs="宋体"/>
          <w:color w:val="000000" w:themeColor="text1"/>
          <w:sz w:val="24"/>
          <w:szCs w:val="24"/>
          <w:highlight w:val="none"/>
        </w:rPr>
        <w:t xml:space="preserve">7</w:t>
      </w:r>
      <w:bookmarkStart w:id="288" w:name="_Toc297123514"/>
      <w:r>
        <w:rPr>
          <w:color w:val="000000" w:themeColor="text1"/>
          <w:highlight w:val="none"/>
        </w:rPr>
      </w:r>
      <w:bookmarkStart w:id="289" w:name="_Toc312678005"/>
      <w:r>
        <w:rPr>
          <w:color w:val="000000" w:themeColor="text1"/>
          <w:highlight w:val="none"/>
        </w:rPr>
      </w:r>
      <w:bookmarkStart w:id="290" w:name="_Toc303539123"/>
      <w:r>
        <w:rPr>
          <w:color w:val="000000" w:themeColor="text1"/>
          <w:highlight w:val="none"/>
        </w:rPr>
      </w:r>
      <w:bookmarkStart w:id="291" w:name="_Toc297216173"/>
      <w:r>
        <w:rPr>
          <w:color w:val="000000" w:themeColor="text1"/>
          <w:highlight w:val="none"/>
        </w:rPr>
      </w:r>
      <w:bookmarkStart w:id="292" w:name="_Toc300934966"/>
      <w:r>
        <w:rPr>
          <w:color w:val="000000" w:themeColor="text1"/>
          <w:highlight w:val="none"/>
        </w:rPr>
      </w:r>
      <w:bookmarkStart w:id="293" w:name="_Toc312677479"/>
      <w:r>
        <w:rPr>
          <w:color w:val="000000" w:themeColor="text1"/>
          <w:highlight w:val="none"/>
        </w:rPr>
      </w:r>
      <w:bookmarkStart w:id="294" w:name="_Toc304295541"/>
      <w:r>
        <w:rPr>
          <w:rFonts w:hint="eastAsia" w:ascii="宋体" w:hAnsi="宋体" w:eastAsia="宋体" w:cs="宋体"/>
          <w:color w:val="000000" w:themeColor="text1"/>
          <w:sz w:val="24"/>
          <w:szCs w:val="24"/>
          <w:highlight w:val="none"/>
        </w:rPr>
        <w:t xml:space="preserve">.2 施工进度计划</w:t>
      </w:r>
      <w:bookmarkEnd w:id="285"/>
      <w:r>
        <w:rPr>
          <w:color w:val="000000" w:themeColor="text1"/>
          <w:highlight w:val="none"/>
        </w:rPr>
      </w:r>
      <w:bookmarkEnd w:id="286"/>
      <w:r>
        <w:rPr>
          <w:color w:val="000000" w:themeColor="text1"/>
          <w:highlight w:val="none"/>
        </w:rPr>
      </w:r>
      <w:bookmarkEnd w:id="287"/>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7.2.1 施工进度计划的修订</w:t>
      </w:r>
      <w:r>
        <w:rPr>
          <w:color w:val="000000" w:themeColor="text1"/>
          <w:highlight w:val="none"/>
        </w:rPr>
      </w:r>
    </w:p>
    <w:p>
      <w:pPr>
        <w:pStyle w:val="923"/>
        <w:ind w:left="63" w:right="63"/>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发包人和监理人在收到修订的施工进度计划后确认或提出修改意见的期限：</w:t>
      </w:r>
      <w:r>
        <w:rPr>
          <w:rFonts w:hint="eastAsia" w:ascii="宋体" w:hAnsi="宋体" w:eastAsia="宋体" w:cs="宋体"/>
          <w:color w:val="000000" w:themeColor="text1"/>
          <w:sz w:val="24"/>
          <w:szCs w:val="24"/>
          <w:highlight w:val="none"/>
          <w:u w:val="single"/>
        </w:rPr>
        <w:t xml:space="preserve">发包人和监理人应在收到修订的施工进度计划后 7天内完成审核和批准或提出修改意见。发包人和监理人对承包人提交的施工进度计划的确认，不能减轻或免除承包人根据法律规定和合同约定应承担的任何责任或义务</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295" w:name="_Toc1263038917"/>
      <w:r>
        <w:rPr>
          <w:color w:val="000000" w:themeColor="text1"/>
          <w:highlight w:val="none"/>
        </w:rPr>
      </w:r>
      <w:bookmarkStart w:id="296" w:name="_Toc1253067105"/>
      <w:r>
        <w:rPr>
          <w:color w:val="000000" w:themeColor="text1"/>
          <w:highlight w:val="none"/>
        </w:rPr>
      </w:r>
      <w:bookmarkStart w:id="297" w:name="_Toc6687"/>
      <w:r>
        <w:rPr>
          <w:rFonts w:hint="eastAsia" w:ascii="宋体" w:hAnsi="宋体" w:eastAsia="宋体" w:cs="宋体"/>
          <w:color w:val="000000" w:themeColor="text1"/>
          <w:sz w:val="24"/>
          <w:szCs w:val="24"/>
          <w:highlight w:val="none"/>
        </w:rPr>
        <w:t xml:space="preserve">7.3 开工</w:t>
      </w:r>
      <w:bookmarkEnd w:id="295"/>
      <w:r>
        <w:rPr>
          <w:color w:val="000000" w:themeColor="text1"/>
          <w:highlight w:val="none"/>
        </w:rPr>
      </w:r>
      <w:bookmarkEnd w:id="296"/>
      <w:r>
        <w:rPr>
          <w:color w:val="000000" w:themeColor="text1"/>
          <w:highlight w:val="none"/>
        </w:rPr>
      </w:r>
      <w:bookmarkEnd w:id="297"/>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7.3.1 开工准备</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关于承包人提交工程开工报审表的期限：</w:t>
      </w:r>
      <w:r>
        <w:rPr>
          <w:rFonts w:hint="eastAsia" w:ascii="宋体" w:hAnsi="宋体" w:eastAsia="宋体" w:cs="宋体"/>
          <w:color w:val="000000" w:themeColor="text1"/>
          <w:sz w:val="24"/>
          <w:szCs w:val="24"/>
          <w:highlight w:val="none"/>
          <w:u w:val="single"/>
        </w:rPr>
        <w:t xml:space="preserve">按照批准的施工组织设计。</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关于发包人应完成的其他开工准备工作及期限：</w:t>
      </w:r>
      <w:r>
        <w:rPr>
          <w:rFonts w:hint="eastAsia" w:ascii="宋体" w:hAnsi="宋体" w:eastAsia="宋体" w:cs="宋体"/>
          <w:color w:val="000000" w:themeColor="text1"/>
          <w:sz w:val="24"/>
          <w:szCs w:val="24"/>
          <w:highlight w:val="none"/>
          <w:u w:val="single"/>
        </w:rPr>
        <w:t xml:space="preserve">不约定</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关于承包人应完成的其他开工准备工作及期限：</w:t>
      </w:r>
      <w:r>
        <w:rPr>
          <w:rFonts w:hint="eastAsia" w:ascii="宋体" w:hAnsi="宋体" w:eastAsia="宋体" w:cs="宋体"/>
          <w:color w:val="000000" w:themeColor="text1"/>
          <w:sz w:val="24"/>
          <w:szCs w:val="24"/>
          <w:highlight w:val="none"/>
          <w:u w:val="single"/>
        </w:rPr>
        <w:t xml:space="preserve">不约定</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7.3.2开工通知</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因发包人原因或监理人未能在计划开工日期之日起</w:t>
      </w:r>
      <w:r>
        <w:rPr>
          <w:rFonts w:hint="eastAsia" w:ascii="宋体" w:hAnsi="宋体" w:eastAsia="宋体" w:cs="宋体"/>
          <w:color w:val="000000" w:themeColor="text1"/>
          <w:sz w:val="24"/>
          <w:szCs w:val="24"/>
          <w:highlight w:val="none"/>
          <w:u w:val="single"/>
        </w:rPr>
        <w:t xml:space="preserve">90</w:t>
      </w:r>
      <w:r>
        <w:rPr>
          <w:rFonts w:hint="eastAsia" w:ascii="宋体" w:hAnsi="宋体" w:eastAsia="宋体" w:cs="宋体"/>
          <w:color w:val="000000" w:themeColor="text1"/>
          <w:sz w:val="24"/>
          <w:szCs w:val="24"/>
          <w:highlight w:val="none"/>
        </w:rPr>
        <w:t xml:space="preserve">天内发出开工通知的，承包人有权提出价格调整要求，或者解除合同。</w:t>
      </w:r>
      <w:bookmarkEnd w:id="288"/>
      <w:r>
        <w:rPr>
          <w:color w:val="000000" w:themeColor="text1"/>
          <w:highlight w:val="none"/>
        </w:rPr>
      </w:r>
      <w:bookmarkEnd w:id="289"/>
      <w:r>
        <w:rPr>
          <w:color w:val="000000" w:themeColor="text1"/>
          <w:highlight w:val="none"/>
        </w:rPr>
      </w:r>
      <w:bookmarkEnd w:id="290"/>
      <w:r>
        <w:rPr>
          <w:color w:val="000000" w:themeColor="text1"/>
          <w:highlight w:val="none"/>
        </w:rPr>
      </w:r>
      <w:bookmarkEnd w:id="291"/>
      <w:r>
        <w:rPr>
          <w:color w:val="000000" w:themeColor="text1"/>
          <w:highlight w:val="none"/>
        </w:rPr>
      </w:r>
      <w:bookmarkEnd w:id="292"/>
      <w:r>
        <w:rPr>
          <w:color w:val="000000" w:themeColor="text1"/>
          <w:highlight w:val="none"/>
        </w:rPr>
      </w:r>
      <w:bookmarkEnd w:id="293"/>
      <w:r>
        <w:rPr>
          <w:color w:val="000000" w:themeColor="text1"/>
          <w:highlight w:val="none"/>
        </w:rPr>
      </w:r>
      <w:bookmarkEnd w:id="294"/>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298" w:name="_Toc19537660"/>
      <w:r>
        <w:rPr>
          <w:color w:val="000000" w:themeColor="text1"/>
          <w:highlight w:val="none"/>
        </w:rPr>
      </w:r>
      <w:bookmarkStart w:id="299" w:name="_Toc17408"/>
      <w:r>
        <w:rPr>
          <w:color w:val="000000" w:themeColor="text1"/>
          <w:highlight w:val="none"/>
        </w:rPr>
      </w:r>
      <w:bookmarkStart w:id="300" w:name="_Toc96331289"/>
      <w:r>
        <w:rPr>
          <w:rFonts w:hint="eastAsia" w:ascii="宋体" w:hAnsi="宋体" w:eastAsia="宋体" w:cs="宋体"/>
          <w:color w:val="000000" w:themeColor="text1"/>
          <w:sz w:val="24"/>
          <w:szCs w:val="24"/>
          <w:highlight w:val="none"/>
        </w:rPr>
        <w:t xml:space="preserve">7.4 测量放线</w:t>
      </w:r>
      <w:bookmarkEnd w:id="298"/>
      <w:r>
        <w:rPr>
          <w:color w:val="000000" w:themeColor="text1"/>
          <w:highlight w:val="none"/>
        </w:rPr>
      </w:r>
      <w:bookmarkEnd w:id="299"/>
      <w:r>
        <w:rPr>
          <w:color w:val="000000" w:themeColor="text1"/>
          <w:highlight w:val="none"/>
        </w:rPr>
      </w:r>
      <w:bookmarkEnd w:id="300"/>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7.4.1发包人或发包人通过监理人向承包人提供测量基准点、基准线和水准点及其书面资料的期限：</w:t>
      </w:r>
      <w:r>
        <w:rPr>
          <w:rFonts w:hint="eastAsia" w:ascii="宋体" w:hAnsi="宋体" w:eastAsia="宋体" w:cs="宋体"/>
          <w:color w:val="000000" w:themeColor="text1"/>
          <w:sz w:val="24"/>
          <w:szCs w:val="24"/>
          <w:highlight w:val="none"/>
          <w:u w:val="single"/>
        </w:rPr>
        <w:t xml:space="preserve">开工前7天</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301" w:name="_Toc20355"/>
      <w:r>
        <w:rPr>
          <w:color w:val="000000" w:themeColor="text1"/>
          <w:highlight w:val="none"/>
        </w:rPr>
      </w:r>
      <w:bookmarkStart w:id="302" w:name="_Toc1986698096"/>
      <w:r>
        <w:rPr>
          <w:color w:val="000000" w:themeColor="text1"/>
          <w:highlight w:val="none"/>
        </w:rPr>
      </w:r>
      <w:bookmarkStart w:id="303" w:name="_Toc117950900"/>
      <w:r>
        <w:rPr>
          <w:rFonts w:hint="eastAsia" w:ascii="宋体" w:hAnsi="宋体" w:eastAsia="宋体" w:cs="宋体"/>
          <w:color w:val="000000" w:themeColor="text1"/>
          <w:sz w:val="24"/>
          <w:szCs w:val="24"/>
          <w:highlight w:val="none"/>
        </w:rPr>
        <w:t xml:space="preserve">7</w:t>
      </w:r>
      <w:bookmarkStart w:id="304" w:name="_Toc312677484"/>
      <w:r>
        <w:rPr>
          <w:color w:val="000000" w:themeColor="text1"/>
          <w:highlight w:val="none"/>
        </w:rPr>
      </w:r>
      <w:bookmarkStart w:id="305" w:name="_Toc297216175"/>
      <w:r>
        <w:rPr>
          <w:color w:val="000000" w:themeColor="text1"/>
          <w:highlight w:val="none"/>
        </w:rPr>
      </w:r>
      <w:bookmarkStart w:id="306" w:name="_Toc297123516"/>
      <w:r>
        <w:rPr>
          <w:color w:val="000000" w:themeColor="text1"/>
          <w:highlight w:val="none"/>
        </w:rPr>
      </w:r>
      <w:bookmarkStart w:id="307" w:name="_Toc304295546"/>
      <w:r>
        <w:rPr>
          <w:color w:val="000000" w:themeColor="text1"/>
          <w:highlight w:val="none"/>
        </w:rPr>
      </w:r>
      <w:bookmarkStart w:id="308" w:name="_Toc312678010"/>
      <w:r>
        <w:rPr>
          <w:color w:val="000000" w:themeColor="text1"/>
          <w:highlight w:val="none"/>
        </w:rPr>
      </w:r>
      <w:bookmarkStart w:id="309" w:name="_Toc303539125"/>
      <w:r>
        <w:rPr>
          <w:color w:val="000000" w:themeColor="text1"/>
          <w:highlight w:val="none"/>
        </w:rPr>
      </w:r>
      <w:bookmarkStart w:id="310" w:name="_Toc300934968"/>
      <w:r>
        <w:rPr>
          <w:rFonts w:hint="eastAsia" w:ascii="宋体" w:hAnsi="宋体" w:eastAsia="宋体" w:cs="宋体"/>
          <w:color w:val="000000" w:themeColor="text1"/>
          <w:sz w:val="24"/>
          <w:szCs w:val="24"/>
          <w:highlight w:val="none"/>
        </w:rPr>
        <w:t xml:space="preserve">.5 工期延误</w:t>
      </w:r>
      <w:bookmarkEnd w:id="301"/>
      <w:r>
        <w:rPr>
          <w:color w:val="000000" w:themeColor="text1"/>
          <w:highlight w:val="none"/>
        </w:rPr>
      </w:r>
      <w:bookmarkEnd w:id="302"/>
      <w:r>
        <w:rPr>
          <w:color w:val="000000" w:themeColor="text1"/>
          <w:highlight w:val="none"/>
        </w:rPr>
      </w:r>
      <w:bookmarkEnd w:id="303"/>
      <w:r>
        <w:rPr>
          <w:color w:val="000000" w:themeColor="text1"/>
          <w:highlight w:val="none"/>
        </w:rPr>
      </w:r>
      <w:bookmarkEnd w:id="304"/>
      <w:r>
        <w:rPr>
          <w:color w:val="000000" w:themeColor="text1"/>
          <w:highlight w:val="none"/>
        </w:rPr>
      </w:r>
      <w:bookmarkEnd w:id="305"/>
      <w:r>
        <w:rPr>
          <w:color w:val="000000" w:themeColor="text1"/>
          <w:highlight w:val="none"/>
        </w:rPr>
      </w:r>
      <w:bookmarkEnd w:id="306"/>
      <w:r>
        <w:rPr>
          <w:color w:val="000000" w:themeColor="text1"/>
          <w:highlight w:val="none"/>
        </w:rPr>
      </w:r>
      <w:bookmarkEnd w:id="307"/>
      <w:r>
        <w:rPr>
          <w:color w:val="000000" w:themeColor="text1"/>
          <w:highlight w:val="none"/>
        </w:rPr>
      </w:r>
      <w:bookmarkEnd w:id="308"/>
      <w:r>
        <w:rPr>
          <w:color w:val="000000" w:themeColor="text1"/>
          <w:highlight w:val="none"/>
        </w:rPr>
      </w:r>
      <w:bookmarkEnd w:id="309"/>
      <w:r>
        <w:rPr>
          <w:color w:val="000000" w:themeColor="text1"/>
          <w:highlight w:val="none"/>
        </w:rPr>
      </w:r>
      <w:bookmarkEnd w:id="310"/>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7.5.1 因发包人原因导致工期延误</w:t>
      </w:r>
      <w:r>
        <w:rPr>
          <w:color w:val="000000" w:themeColor="text1"/>
          <w:highlight w:val="none"/>
        </w:rPr>
      </w:r>
    </w:p>
    <w:p>
      <w:pPr>
        <w:pStyle w:val="923"/>
        <w:ind w:left="63" w:right="63"/>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（7）因发包人原因导致工期延误的其他情形：</w:t>
      </w:r>
      <w:r>
        <w:rPr>
          <w:rFonts w:hint="eastAsia" w:ascii="宋体" w:hAnsi="宋体" w:eastAsia="宋体" w:cs="宋体"/>
          <w:color w:val="000000" w:themeColor="text1"/>
          <w:sz w:val="24"/>
          <w:szCs w:val="24"/>
          <w:highlight w:val="none"/>
          <w:u w:val="single"/>
        </w:rPr>
        <w:t xml:space="preserve">因发包人原因造成工期延误的只对工期延长其他不做任何调整</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bookmarkStart w:id="311" w:name="_Toc312677486"/>
      <w:r>
        <w:rPr>
          <w:color w:val="000000" w:themeColor="text1"/>
          <w:highlight w:val="none"/>
        </w:rPr>
      </w:r>
      <w:bookmarkStart w:id="312" w:name="_Toc318581169"/>
      <w:r>
        <w:rPr>
          <w:color w:val="000000" w:themeColor="text1"/>
          <w:highlight w:val="none"/>
        </w:rPr>
      </w:r>
      <w:bookmarkStart w:id="313" w:name="_Toc312678012"/>
      <w:r>
        <w:rPr>
          <w:color w:val="000000" w:themeColor="text1"/>
          <w:highlight w:val="none"/>
        </w:rPr>
      </w:r>
      <w:bookmarkStart w:id="314" w:name="_Toc303539127"/>
      <w:r>
        <w:rPr>
          <w:color w:val="000000" w:themeColor="text1"/>
          <w:highlight w:val="none"/>
        </w:rPr>
      </w:r>
      <w:bookmarkStart w:id="315" w:name="_Toc300934970"/>
      <w:r>
        <w:rPr>
          <w:color w:val="000000" w:themeColor="text1"/>
          <w:highlight w:val="none"/>
        </w:rPr>
      </w:r>
      <w:bookmarkStart w:id="316" w:name="_Toc304295548"/>
      <w:r>
        <w:rPr>
          <w:color w:val="000000" w:themeColor="text1"/>
          <w:highlight w:val="none"/>
        </w:rPr>
      </w:r>
      <w:bookmarkStart w:id="317" w:name="_Toc297123518"/>
      <w:r>
        <w:rPr>
          <w:color w:val="000000" w:themeColor="text1"/>
          <w:highlight w:val="none"/>
        </w:rPr>
      </w:r>
      <w:bookmarkStart w:id="318" w:name="_Toc297216177"/>
      <w:r>
        <w:rPr>
          <w:rFonts w:hint="eastAsia" w:ascii="宋体" w:hAnsi="宋体" w:eastAsia="宋体" w:cs="宋体"/>
          <w:color w:val="000000" w:themeColor="text1"/>
          <w:sz w:val="24"/>
          <w:szCs w:val="24"/>
          <w:highlight w:val="none"/>
        </w:rPr>
        <w:t xml:space="preserve">.5.2 因承包人原因导致工期延误</w:t>
      </w:r>
      <w:bookmarkEnd w:id="311"/>
      <w:r>
        <w:rPr>
          <w:color w:val="000000" w:themeColor="text1"/>
          <w:highlight w:val="none"/>
        </w:rPr>
      </w:r>
      <w:bookmarkEnd w:id="312"/>
      <w:r>
        <w:rPr>
          <w:color w:val="000000" w:themeColor="text1"/>
          <w:highlight w:val="none"/>
        </w:rPr>
      </w:r>
      <w:bookmarkEnd w:id="313"/>
      <w:r>
        <w:rPr>
          <w:color w:val="000000" w:themeColor="text1"/>
          <w:highlight w:val="none"/>
        </w:rPr>
      </w:r>
      <w:r>
        <w:rPr>
          <w:color w:val="000000" w:themeColor="text1"/>
          <w:highlight w:val="none"/>
        </w:rPr>
      </w:r>
    </w:p>
    <w:p>
      <w:pPr>
        <w:pStyle w:val="923"/>
        <w:ind w:left="63" w:right="63"/>
        <w:jc w:val="left"/>
        <w:keepLines/>
        <w:keepNext w:val="0"/>
        <w:pageBreakBefore w:val="0"/>
        <w:spacing w:line="360" w:lineRule="auto"/>
        <w:widowControl w:val="off"/>
        <w:tabs>
          <w:tab w:val="left" w:pos="6206"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w:t>
      </w:r>
      <w:bookmarkStart w:id="319" w:name="_Toc318581170"/>
      <w:r>
        <w:rPr>
          <w:color w:val="000000" w:themeColor="text1"/>
          <w:highlight w:val="none"/>
        </w:rPr>
      </w:r>
      <w:bookmarkStart w:id="320" w:name="_Toc312677487"/>
      <w:r>
        <w:rPr>
          <w:color w:val="000000" w:themeColor="text1"/>
          <w:highlight w:val="none"/>
        </w:rPr>
      </w:r>
      <w:bookmarkStart w:id="321" w:name="_Toc312678013"/>
      <w:r>
        <w:rPr>
          <w:rFonts w:hint="eastAsia" w:ascii="宋体" w:hAnsi="宋体" w:eastAsia="宋体" w:cs="宋体"/>
          <w:color w:val="000000" w:themeColor="text1"/>
          <w:sz w:val="24"/>
          <w:szCs w:val="24"/>
          <w:highlight w:val="none"/>
        </w:rPr>
        <w:t xml:space="preserve">承包人原因造成工期延误，逾期竣工违约金的计算方法为：</w:t>
      </w:r>
      <w:r>
        <w:rPr>
          <w:rFonts w:hint="eastAsia" w:ascii="宋体" w:hAnsi="宋体" w:eastAsia="宋体" w:cs="宋体"/>
          <w:color w:val="000000" w:themeColor="text1"/>
          <w:sz w:val="24"/>
          <w:szCs w:val="24"/>
          <w:highlight w:val="none"/>
          <w:u w:val="single"/>
        </w:rPr>
        <w:t xml:space="preserve">中标人合同工期每延误一天扣20000 元工程款并承担违约责任。</w:t>
      </w:r>
      <w:bookmarkEnd w:id="314"/>
      <w:r>
        <w:rPr>
          <w:color w:val="000000" w:themeColor="text1"/>
          <w:highlight w:val="none"/>
        </w:rPr>
      </w:r>
      <w:bookmarkEnd w:id="315"/>
      <w:r>
        <w:rPr>
          <w:color w:val="000000" w:themeColor="text1"/>
          <w:highlight w:val="none"/>
        </w:rPr>
      </w:r>
      <w:bookmarkEnd w:id="316"/>
      <w:r>
        <w:rPr>
          <w:color w:val="000000" w:themeColor="text1"/>
          <w:highlight w:val="none"/>
        </w:rPr>
      </w:r>
      <w:bookmarkEnd w:id="317"/>
      <w:r>
        <w:rPr>
          <w:color w:val="000000" w:themeColor="text1"/>
          <w:highlight w:val="none"/>
        </w:rPr>
      </w:r>
      <w:bookmarkEnd w:id="318"/>
      <w:r>
        <w:rPr>
          <w:color w:val="000000" w:themeColor="text1"/>
          <w:highlight w:val="none"/>
        </w:rPr>
      </w:r>
      <w:bookmarkEnd w:id="319"/>
      <w:r>
        <w:rPr>
          <w:color w:val="000000" w:themeColor="text1"/>
          <w:highlight w:val="none"/>
        </w:rPr>
      </w:r>
      <w:bookmarkEnd w:id="320"/>
      <w:r>
        <w:rPr>
          <w:color w:val="000000" w:themeColor="text1"/>
          <w:highlight w:val="none"/>
        </w:rPr>
      </w:r>
      <w:bookmarkEnd w:id="321"/>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因承包人原因造成工期延误，逾</w:t>
      </w:r>
      <w:bookmarkStart w:id="322" w:name="_Toc312678014"/>
      <w:r>
        <w:rPr>
          <w:color w:val="000000" w:themeColor="text1"/>
          <w:highlight w:val="none"/>
        </w:rPr>
      </w:r>
      <w:bookmarkStart w:id="323" w:name="_Toc318581171"/>
      <w:r>
        <w:rPr>
          <w:rFonts w:hint="eastAsia" w:ascii="宋体" w:hAnsi="宋体" w:eastAsia="宋体" w:cs="宋体"/>
          <w:color w:val="000000" w:themeColor="text1"/>
          <w:sz w:val="24"/>
          <w:szCs w:val="24"/>
          <w:highlight w:val="none"/>
        </w:rPr>
        <w:t xml:space="preserve">期竣工违约金的上限：</w:t>
      </w:r>
      <w:r>
        <w:rPr>
          <w:rFonts w:hint="eastAsia" w:ascii="宋体" w:hAnsi="宋体" w:eastAsia="宋体" w:cs="宋体"/>
          <w:color w:val="000000" w:themeColor="text1"/>
          <w:sz w:val="24"/>
          <w:szCs w:val="24"/>
          <w:highlight w:val="none"/>
          <w:u w:val="single"/>
        </w:rPr>
        <w:t xml:space="preserve">无上限</w:t>
      </w:r>
      <w:r>
        <w:rPr>
          <w:rFonts w:hint="eastAsia" w:ascii="宋体" w:hAnsi="宋体" w:eastAsia="宋体" w:cs="宋体"/>
          <w:color w:val="000000" w:themeColor="text1"/>
          <w:sz w:val="24"/>
          <w:szCs w:val="24"/>
          <w:highlight w:val="none"/>
        </w:rPr>
        <w:t xml:space="preserve">。</w:t>
      </w:r>
      <w:bookmarkEnd w:id="322"/>
      <w:r>
        <w:rPr>
          <w:color w:val="000000" w:themeColor="text1"/>
          <w:highlight w:val="none"/>
        </w:rPr>
      </w:r>
      <w:bookmarkEnd w:id="323"/>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324" w:name="_Toc441299698"/>
      <w:r>
        <w:rPr>
          <w:color w:val="000000" w:themeColor="text1"/>
          <w:highlight w:val="none"/>
        </w:rPr>
      </w:r>
      <w:bookmarkStart w:id="325" w:name="_Toc1834347369"/>
      <w:r>
        <w:rPr>
          <w:color w:val="000000" w:themeColor="text1"/>
          <w:highlight w:val="none"/>
        </w:rPr>
      </w:r>
      <w:bookmarkStart w:id="326" w:name="_Toc28024"/>
      <w:r>
        <w:rPr>
          <w:rFonts w:hint="eastAsia" w:ascii="宋体" w:hAnsi="宋体" w:eastAsia="宋体" w:cs="宋体"/>
          <w:color w:val="000000" w:themeColor="text1"/>
          <w:sz w:val="24"/>
          <w:szCs w:val="24"/>
          <w:highlight w:val="none"/>
        </w:rPr>
        <w:t xml:space="preserve">7</w:t>
      </w:r>
      <w:bookmarkStart w:id="327" w:name="_Toc300934971"/>
      <w:r>
        <w:rPr>
          <w:color w:val="000000" w:themeColor="text1"/>
          <w:highlight w:val="none"/>
        </w:rPr>
      </w:r>
      <w:bookmarkStart w:id="328" w:name="_Toc304295549"/>
      <w:r>
        <w:rPr>
          <w:color w:val="000000" w:themeColor="text1"/>
          <w:highlight w:val="none"/>
        </w:rPr>
      </w:r>
      <w:bookmarkStart w:id="329" w:name="_Toc297123519"/>
      <w:r>
        <w:rPr>
          <w:color w:val="000000" w:themeColor="text1"/>
          <w:highlight w:val="none"/>
        </w:rPr>
      </w:r>
      <w:bookmarkStart w:id="330" w:name="_Toc303539128"/>
      <w:r>
        <w:rPr>
          <w:color w:val="000000" w:themeColor="text1"/>
          <w:highlight w:val="none"/>
        </w:rPr>
      </w:r>
      <w:bookmarkStart w:id="331" w:name="_Toc297216178"/>
      <w:r>
        <w:rPr>
          <w:color w:val="000000" w:themeColor="text1"/>
          <w:highlight w:val="none"/>
        </w:rPr>
      </w:r>
      <w:bookmarkStart w:id="332" w:name="_Toc312678015"/>
      <w:r>
        <w:rPr>
          <w:rFonts w:hint="eastAsia" w:ascii="宋体" w:hAnsi="宋体" w:eastAsia="宋体" w:cs="宋体"/>
          <w:color w:val="000000" w:themeColor="text1"/>
          <w:sz w:val="24"/>
          <w:szCs w:val="24"/>
          <w:highlight w:val="none"/>
        </w:rPr>
        <w:t xml:space="preserve">.6 不</w:t>
      </w:r>
      <w:bookmarkEnd w:id="327"/>
      <w:r>
        <w:rPr>
          <w:color w:val="000000" w:themeColor="text1"/>
          <w:highlight w:val="none"/>
        </w:rPr>
      </w:r>
      <w:bookmarkEnd w:id="328"/>
      <w:r>
        <w:rPr>
          <w:color w:val="000000" w:themeColor="text1"/>
          <w:highlight w:val="none"/>
        </w:rPr>
      </w:r>
      <w:bookmarkEnd w:id="329"/>
      <w:r>
        <w:rPr>
          <w:color w:val="000000" w:themeColor="text1"/>
          <w:highlight w:val="none"/>
        </w:rPr>
      </w:r>
      <w:bookmarkEnd w:id="330"/>
      <w:r>
        <w:rPr>
          <w:color w:val="000000" w:themeColor="text1"/>
          <w:highlight w:val="none"/>
        </w:rPr>
      </w:r>
      <w:bookmarkEnd w:id="331"/>
      <w:r>
        <w:rPr>
          <w:color w:val="000000" w:themeColor="text1"/>
          <w:highlight w:val="none"/>
        </w:rPr>
      </w:r>
      <w:bookmarkEnd w:id="332"/>
      <w:r>
        <w:rPr>
          <w:rFonts w:hint="eastAsia" w:ascii="宋体" w:hAnsi="宋体" w:eastAsia="宋体" w:cs="宋体"/>
          <w:color w:val="000000" w:themeColor="text1"/>
          <w:sz w:val="24"/>
          <w:szCs w:val="24"/>
          <w:highlight w:val="none"/>
        </w:rPr>
        <w:t xml:space="preserve">利物质条件</w:t>
      </w:r>
      <w:bookmarkEnd w:id="324"/>
      <w:r>
        <w:rPr>
          <w:color w:val="000000" w:themeColor="text1"/>
          <w:highlight w:val="none"/>
        </w:rPr>
      </w:r>
      <w:bookmarkEnd w:id="325"/>
      <w:r>
        <w:rPr>
          <w:color w:val="000000" w:themeColor="text1"/>
          <w:highlight w:val="none"/>
        </w:rPr>
      </w:r>
      <w:bookmarkEnd w:id="326"/>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color w:val="000000" w:themeColor="text1"/>
          <w:highlight w:val="none"/>
        </w:rPr>
      </w:r>
      <w:bookmarkStart w:id="333" w:name="_Toc297123520"/>
      <w:r>
        <w:rPr>
          <w:color w:val="000000" w:themeColor="text1"/>
          <w:highlight w:val="none"/>
        </w:rPr>
      </w:r>
      <w:bookmarkStart w:id="334" w:name="_Toc318581172"/>
      <w:r>
        <w:rPr>
          <w:color w:val="000000" w:themeColor="text1"/>
          <w:highlight w:val="none"/>
        </w:rPr>
      </w:r>
      <w:bookmarkStart w:id="335" w:name="_Toc300934972"/>
      <w:r>
        <w:rPr>
          <w:color w:val="000000" w:themeColor="text1"/>
          <w:highlight w:val="none"/>
        </w:rPr>
      </w:r>
      <w:bookmarkStart w:id="336" w:name="_Toc312678016"/>
      <w:r>
        <w:rPr>
          <w:color w:val="000000" w:themeColor="text1"/>
          <w:highlight w:val="none"/>
        </w:rPr>
      </w:r>
      <w:bookmarkStart w:id="337" w:name="_Toc303539129"/>
      <w:r>
        <w:rPr>
          <w:color w:val="000000" w:themeColor="text1"/>
          <w:highlight w:val="none"/>
        </w:rPr>
      </w:r>
      <w:bookmarkStart w:id="338" w:name="_Toc297216179"/>
      <w:r>
        <w:rPr>
          <w:color w:val="000000" w:themeColor="text1"/>
          <w:highlight w:val="none"/>
        </w:rPr>
      </w:r>
      <w:bookmarkStart w:id="339" w:name="_Toc304295550"/>
      <w:r>
        <w:rPr>
          <w:rFonts w:hint="eastAsia" w:ascii="宋体" w:hAnsi="宋体" w:eastAsia="宋体" w:cs="宋体"/>
          <w:color w:val="000000" w:themeColor="text1"/>
          <w:sz w:val="24"/>
          <w:szCs w:val="24"/>
          <w:highlight w:val="none"/>
        </w:rPr>
        <w:t xml:space="preserve">不利物质条件的其他情形和有关约定：</w:t>
      </w:r>
      <w:r>
        <w:rPr>
          <w:rFonts w:hint="eastAsia" w:ascii="宋体" w:hAnsi="宋体" w:eastAsia="宋体" w:cs="宋体"/>
          <w:color w:val="000000" w:themeColor="text1"/>
          <w:sz w:val="24"/>
          <w:szCs w:val="24"/>
          <w:highlight w:val="none"/>
          <w:u w:val="single"/>
        </w:rPr>
        <w:t xml:space="preserve">按通用条款执行</w:t>
      </w:r>
      <w:r>
        <w:rPr>
          <w:rFonts w:hint="eastAsia" w:ascii="宋体" w:hAnsi="宋体" w:eastAsia="宋体" w:cs="宋体"/>
          <w:color w:val="000000" w:themeColor="text1"/>
          <w:sz w:val="24"/>
          <w:szCs w:val="24"/>
          <w:highlight w:val="none"/>
        </w:rPr>
        <w:t xml:space="preserve">。</w:t>
      </w:r>
      <w:bookmarkEnd w:id="333"/>
      <w:r>
        <w:rPr>
          <w:color w:val="000000" w:themeColor="text1"/>
          <w:highlight w:val="none"/>
        </w:rPr>
      </w:r>
      <w:bookmarkEnd w:id="334"/>
      <w:r>
        <w:rPr>
          <w:color w:val="000000" w:themeColor="text1"/>
          <w:highlight w:val="none"/>
        </w:rPr>
      </w:r>
      <w:bookmarkEnd w:id="335"/>
      <w:r>
        <w:rPr>
          <w:color w:val="000000" w:themeColor="text1"/>
          <w:highlight w:val="none"/>
        </w:rPr>
      </w:r>
      <w:bookmarkEnd w:id="336"/>
      <w:r>
        <w:rPr>
          <w:color w:val="000000" w:themeColor="text1"/>
          <w:highlight w:val="none"/>
        </w:rPr>
      </w:r>
      <w:bookmarkEnd w:id="337"/>
      <w:r>
        <w:rPr>
          <w:color w:val="000000" w:themeColor="text1"/>
          <w:highlight w:val="none"/>
        </w:rPr>
      </w:r>
      <w:bookmarkEnd w:id="338"/>
      <w:r>
        <w:rPr>
          <w:color w:val="000000" w:themeColor="text1"/>
          <w:highlight w:val="none"/>
        </w:rPr>
      </w:r>
      <w:bookmarkEnd w:id="339"/>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340" w:name="_Toc32335"/>
      <w:r>
        <w:rPr>
          <w:color w:val="000000" w:themeColor="text1"/>
          <w:highlight w:val="none"/>
        </w:rPr>
      </w:r>
      <w:bookmarkStart w:id="341" w:name="_Toc1225022270"/>
      <w:r>
        <w:rPr>
          <w:color w:val="000000" w:themeColor="text1"/>
          <w:highlight w:val="none"/>
        </w:rPr>
      </w:r>
      <w:bookmarkStart w:id="342" w:name="_Toc1077505333"/>
      <w:r>
        <w:rPr>
          <w:rFonts w:hint="eastAsia" w:ascii="宋体" w:hAnsi="宋体" w:eastAsia="宋体" w:cs="宋体"/>
          <w:color w:val="000000" w:themeColor="text1"/>
          <w:sz w:val="24"/>
          <w:szCs w:val="24"/>
          <w:highlight w:val="none"/>
        </w:rPr>
        <w:t xml:space="preserve">7</w:t>
      </w:r>
      <w:bookmarkStart w:id="343" w:name="_Toc297216180"/>
      <w:r>
        <w:rPr>
          <w:color w:val="000000" w:themeColor="text1"/>
          <w:highlight w:val="none"/>
        </w:rPr>
      </w:r>
      <w:bookmarkStart w:id="344" w:name="_Toc297123521"/>
      <w:r>
        <w:rPr>
          <w:color w:val="000000" w:themeColor="text1"/>
          <w:highlight w:val="none"/>
        </w:rPr>
      </w:r>
      <w:bookmarkStart w:id="345" w:name="_Toc303539130"/>
      <w:r>
        <w:rPr>
          <w:color w:val="000000" w:themeColor="text1"/>
          <w:highlight w:val="none"/>
        </w:rPr>
      </w:r>
      <w:bookmarkStart w:id="346" w:name="_Toc304295551"/>
      <w:r>
        <w:rPr>
          <w:color w:val="000000" w:themeColor="text1"/>
          <w:highlight w:val="none"/>
        </w:rPr>
      </w:r>
      <w:bookmarkStart w:id="347" w:name="_Toc312678017"/>
      <w:r>
        <w:rPr>
          <w:color w:val="000000" w:themeColor="text1"/>
          <w:highlight w:val="none"/>
        </w:rPr>
      </w:r>
      <w:bookmarkStart w:id="348" w:name="_Toc300934973"/>
      <w:r>
        <w:rPr>
          <w:rFonts w:hint="eastAsia" w:ascii="宋体" w:hAnsi="宋体" w:eastAsia="宋体" w:cs="宋体"/>
          <w:color w:val="000000" w:themeColor="text1"/>
          <w:sz w:val="24"/>
          <w:szCs w:val="24"/>
          <w:highlight w:val="none"/>
        </w:rPr>
        <w:t xml:space="preserve">.7异常恶劣的气候条件</w:t>
      </w:r>
      <w:bookmarkEnd w:id="340"/>
      <w:r>
        <w:rPr>
          <w:color w:val="000000" w:themeColor="text1"/>
          <w:highlight w:val="none"/>
        </w:rPr>
      </w:r>
      <w:bookmarkEnd w:id="341"/>
      <w:r>
        <w:rPr>
          <w:color w:val="000000" w:themeColor="text1"/>
          <w:highlight w:val="none"/>
        </w:rPr>
      </w:r>
      <w:bookmarkEnd w:id="342"/>
      <w:r>
        <w:rPr>
          <w:color w:val="000000" w:themeColor="text1"/>
          <w:highlight w:val="none"/>
        </w:rPr>
      </w:r>
      <w:bookmarkEnd w:id="343"/>
      <w:r>
        <w:rPr>
          <w:color w:val="000000" w:themeColor="text1"/>
          <w:highlight w:val="none"/>
        </w:rPr>
      </w:r>
      <w:bookmarkEnd w:id="344"/>
      <w:r>
        <w:rPr>
          <w:color w:val="000000" w:themeColor="text1"/>
          <w:highlight w:val="none"/>
        </w:rPr>
      </w:r>
      <w:bookmarkEnd w:id="345"/>
      <w:r>
        <w:rPr>
          <w:color w:val="000000" w:themeColor="text1"/>
          <w:highlight w:val="none"/>
        </w:rPr>
      </w:r>
      <w:bookmarkEnd w:id="346"/>
      <w:r>
        <w:rPr>
          <w:color w:val="000000" w:themeColor="text1"/>
          <w:highlight w:val="none"/>
        </w:rPr>
      </w:r>
      <w:bookmarkEnd w:id="347"/>
      <w:r>
        <w:rPr>
          <w:color w:val="000000" w:themeColor="text1"/>
          <w:highlight w:val="none"/>
        </w:rPr>
      </w:r>
      <w:bookmarkEnd w:id="348"/>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发包人和承包人同意以下情形视为异常恶劣的气候条件：</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u w:val="single"/>
        </w:rPr>
        <w:t xml:space="preserve">不约定</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349" w:name="_Toc625782789"/>
      <w:r>
        <w:rPr>
          <w:color w:val="000000" w:themeColor="text1"/>
          <w:highlight w:val="none"/>
        </w:rPr>
      </w:r>
      <w:bookmarkStart w:id="350" w:name="_Toc63384221"/>
      <w:r>
        <w:rPr>
          <w:color w:val="000000" w:themeColor="text1"/>
          <w:highlight w:val="none"/>
        </w:rPr>
      </w:r>
      <w:bookmarkStart w:id="351" w:name="_Toc18194"/>
      <w:r>
        <w:rPr>
          <w:rFonts w:hint="eastAsia" w:ascii="宋体" w:hAnsi="宋体" w:eastAsia="宋体" w:cs="宋体"/>
          <w:color w:val="000000" w:themeColor="text1"/>
          <w:sz w:val="24"/>
          <w:szCs w:val="24"/>
          <w:highlight w:val="none"/>
        </w:rPr>
        <w:t xml:space="preserve">7.8 提前竣工的奖励</w:t>
      </w:r>
      <w:bookmarkEnd w:id="349"/>
      <w:r>
        <w:rPr>
          <w:color w:val="000000" w:themeColor="text1"/>
          <w:highlight w:val="none"/>
        </w:rPr>
      </w:r>
      <w:bookmarkEnd w:id="350"/>
      <w:r>
        <w:rPr>
          <w:color w:val="000000" w:themeColor="text1"/>
          <w:highlight w:val="none"/>
        </w:rPr>
      </w:r>
      <w:bookmarkEnd w:id="351"/>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7.8.1提前竣工的奖励：</w:t>
      </w:r>
      <w:r>
        <w:rPr>
          <w:rFonts w:hint="eastAsia" w:ascii="宋体" w:hAnsi="宋体" w:eastAsia="宋体" w:cs="宋体"/>
          <w:color w:val="000000" w:themeColor="text1"/>
          <w:sz w:val="24"/>
          <w:szCs w:val="24"/>
          <w:highlight w:val="none"/>
          <w:u w:val="single"/>
        </w:rPr>
        <w:t xml:space="preserve">不奖励</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10"/>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352" w:name="_Toc1981848881"/>
      <w:r>
        <w:rPr>
          <w:color w:val="000000" w:themeColor="text1"/>
          <w:highlight w:val="none"/>
        </w:rPr>
      </w:r>
      <w:bookmarkStart w:id="353" w:name="_Toc1290932324"/>
      <w:r>
        <w:rPr>
          <w:rFonts w:hint="eastAsia" w:ascii="宋体" w:hAnsi="宋体" w:eastAsia="宋体" w:cs="宋体"/>
          <w:b w:val="0"/>
          <w:color w:val="000000" w:themeColor="text1"/>
          <w:sz w:val="24"/>
          <w:szCs w:val="24"/>
          <w:highlight w:val="none"/>
        </w:rPr>
        <w:t xml:space="preserve">8. 材料与设备</w:t>
      </w:r>
      <w:bookmarkEnd w:id="240"/>
      <w:r>
        <w:rPr>
          <w:color w:val="000000" w:themeColor="text1"/>
          <w:highlight w:val="none"/>
        </w:rPr>
      </w:r>
      <w:bookmarkEnd w:id="241"/>
      <w:r>
        <w:rPr>
          <w:color w:val="000000" w:themeColor="text1"/>
          <w:highlight w:val="none"/>
        </w:rPr>
      </w:r>
      <w:bookmarkEnd w:id="242"/>
      <w:r>
        <w:rPr>
          <w:color w:val="000000" w:themeColor="text1"/>
          <w:highlight w:val="none"/>
        </w:rPr>
      </w:r>
      <w:bookmarkEnd w:id="243"/>
      <w:r>
        <w:rPr>
          <w:color w:val="000000" w:themeColor="text1"/>
          <w:highlight w:val="none"/>
        </w:rPr>
      </w:r>
      <w:bookmarkEnd w:id="244"/>
      <w:r>
        <w:rPr>
          <w:color w:val="000000" w:themeColor="text1"/>
          <w:highlight w:val="none"/>
        </w:rPr>
      </w:r>
      <w:bookmarkEnd w:id="245"/>
      <w:r>
        <w:rPr>
          <w:color w:val="000000" w:themeColor="text1"/>
          <w:highlight w:val="none"/>
        </w:rPr>
      </w:r>
      <w:bookmarkEnd w:id="246"/>
      <w:r>
        <w:rPr>
          <w:color w:val="000000" w:themeColor="text1"/>
          <w:highlight w:val="none"/>
        </w:rPr>
      </w:r>
      <w:bookmarkEnd w:id="247"/>
      <w:r>
        <w:rPr>
          <w:color w:val="000000" w:themeColor="text1"/>
          <w:highlight w:val="none"/>
        </w:rPr>
      </w:r>
      <w:bookmarkEnd w:id="248"/>
      <w:r>
        <w:rPr>
          <w:color w:val="000000" w:themeColor="text1"/>
          <w:highlight w:val="none"/>
        </w:rPr>
      </w:r>
      <w:bookmarkEnd w:id="249"/>
      <w:r>
        <w:rPr>
          <w:color w:val="000000" w:themeColor="text1"/>
          <w:highlight w:val="none"/>
        </w:rPr>
      </w:r>
      <w:bookmarkEnd w:id="352"/>
      <w:r>
        <w:rPr>
          <w:color w:val="000000" w:themeColor="text1"/>
          <w:highlight w:val="none"/>
        </w:rPr>
      </w:r>
      <w:bookmarkEnd w:id="353"/>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354" w:name="_Toc489553729"/>
      <w:r>
        <w:rPr>
          <w:color w:val="000000" w:themeColor="text1"/>
          <w:highlight w:val="none"/>
        </w:rPr>
      </w:r>
      <w:bookmarkStart w:id="355" w:name="_Toc1878"/>
      <w:r>
        <w:rPr>
          <w:color w:val="000000" w:themeColor="text1"/>
          <w:highlight w:val="none"/>
        </w:rPr>
      </w:r>
      <w:bookmarkStart w:id="356" w:name="_Toc1549169060"/>
      <w:r>
        <w:rPr>
          <w:rFonts w:hint="eastAsia" w:ascii="宋体" w:hAnsi="宋体" w:eastAsia="宋体" w:cs="宋体"/>
          <w:color w:val="000000" w:themeColor="text1"/>
          <w:sz w:val="24"/>
          <w:szCs w:val="24"/>
          <w:highlight w:val="none"/>
        </w:rPr>
        <w:t xml:space="preserve">8</w:t>
      </w:r>
      <w:bookmarkStart w:id="357" w:name="_Toc296503167"/>
      <w:r>
        <w:rPr>
          <w:color w:val="000000" w:themeColor="text1"/>
          <w:highlight w:val="none"/>
        </w:rPr>
      </w:r>
      <w:bookmarkStart w:id="358" w:name="_Toc296346668"/>
      <w:r>
        <w:rPr>
          <w:color w:val="000000" w:themeColor="text1"/>
          <w:highlight w:val="none"/>
        </w:rPr>
      </w:r>
      <w:bookmarkStart w:id="359" w:name="_Toc296890995"/>
      <w:r>
        <w:rPr>
          <w:color w:val="000000" w:themeColor="text1"/>
          <w:highlight w:val="none"/>
        </w:rPr>
      </w:r>
      <w:bookmarkStart w:id="360" w:name="_Toc297048353"/>
      <w:r>
        <w:rPr>
          <w:color w:val="000000" w:themeColor="text1"/>
          <w:highlight w:val="none"/>
        </w:rPr>
      </w:r>
      <w:bookmarkStart w:id="361" w:name="_Toc296347166"/>
      <w:r>
        <w:rPr>
          <w:color w:val="000000" w:themeColor="text1"/>
          <w:highlight w:val="none"/>
        </w:rPr>
      </w:r>
      <w:bookmarkStart w:id="362" w:name="_Toc296944506"/>
      <w:r>
        <w:rPr>
          <w:color w:val="000000" w:themeColor="text1"/>
          <w:highlight w:val="none"/>
        </w:rPr>
      </w:r>
      <w:bookmarkStart w:id="363" w:name="_Toc292559372"/>
      <w:r>
        <w:rPr>
          <w:color w:val="000000" w:themeColor="text1"/>
          <w:highlight w:val="none"/>
        </w:rPr>
      </w:r>
      <w:bookmarkStart w:id="364" w:name="_Toc297120467"/>
      <w:r>
        <w:rPr>
          <w:color w:val="000000" w:themeColor="text1"/>
          <w:highlight w:val="none"/>
        </w:rPr>
      </w:r>
      <w:bookmarkStart w:id="365" w:name="_Toc312677493"/>
      <w:r>
        <w:rPr>
          <w:color w:val="000000" w:themeColor="text1"/>
          <w:highlight w:val="none"/>
        </w:rPr>
      </w:r>
      <w:bookmarkStart w:id="366" w:name="_Toc303539136"/>
      <w:r>
        <w:rPr>
          <w:color w:val="000000" w:themeColor="text1"/>
          <w:highlight w:val="none"/>
        </w:rPr>
      </w:r>
      <w:bookmarkStart w:id="367" w:name="_Toc292559877"/>
      <w:r>
        <w:rPr>
          <w:color w:val="000000" w:themeColor="text1"/>
          <w:highlight w:val="none"/>
        </w:rPr>
      </w:r>
      <w:bookmarkStart w:id="368" w:name="_Toc300934979"/>
      <w:r>
        <w:rPr>
          <w:color w:val="000000" w:themeColor="text1"/>
          <w:highlight w:val="none"/>
        </w:rPr>
      </w:r>
      <w:bookmarkStart w:id="369" w:name="_Toc304295556"/>
      <w:r>
        <w:rPr>
          <w:color w:val="000000" w:themeColor="text1"/>
          <w:highlight w:val="none"/>
        </w:rPr>
      </w:r>
      <w:bookmarkStart w:id="370" w:name="_Toc312678019"/>
      <w:r>
        <w:rPr>
          <w:color w:val="000000" w:themeColor="text1"/>
          <w:highlight w:val="none"/>
        </w:rPr>
      </w:r>
      <w:bookmarkStart w:id="371" w:name="_Toc297123527"/>
      <w:r>
        <w:rPr>
          <w:color w:val="000000" w:themeColor="text1"/>
          <w:highlight w:val="none"/>
        </w:rPr>
      </w:r>
      <w:bookmarkStart w:id="372" w:name="_Toc280868654"/>
      <w:r>
        <w:rPr>
          <w:color w:val="000000" w:themeColor="text1"/>
          <w:highlight w:val="none"/>
        </w:rPr>
      </w:r>
      <w:bookmarkStart w:id="373" w:name="_Toc297216186"/>
      <w:r>
        <w:rPr>
          <w:color w:val="000000" w:themeColor="text1"/>
          <w:highlight w:val="none"/>
        </w:rPr>
      </w:r>
      <w:bookmarkStart w:id="374" w:name="_Toc296891207"/>
      <w:r>
        <w:rPr>
          <w:color w:val="000000" w:themeColor="text1"/>
          <w:highlight w:val="none"/>
        </w:rPr>
      </w:r>
      <w:bookmarkStart w:id="375" w:name="_Toc267251424"/>
      <w:r>
        <w:rPr>
          <w:color w:val="000000" w:themeColor="text1"/>
          <w:highlight w:val="none"/>
        </w:rPr>
      </w:r>
      <w:bookmarkStart w:id="376" w:name="_Toc280868656"/>
      <w:r>
        <w:rPr>
          <w:color w:val="000000" w:themeColor="text1"/>
          <w:highlight w:val="none"/>
        </w:rPr>
      </w:r>
      <w:bookmarkStart w:id="377" w:name="_Toc280868655"/>
      <w:r>
        <w:rPr>
          <w:rFonts w:hint="eastAsia" w:ascii="宋体" w:hAnsi="宋体" w:eastAsia="宋体" w:cs="宋体"/>
          <w:color w:val="000000" w:themeColor="text1"/>
          <w:sz w:val="24"/>
          <w:szCs w:val="24"/>
          <w:highlight w:val="none"/>
        </w:rPr>
        <w:t xml:space="preserve">.1材料与工程设备的保管与使用</w:t>
      </w:r>
      <w:bookmarkEnd w:id="354"/>
      <w:r>
        <w:rPr>
          <w:color w:val="000000" w:themeColor="text1"/>
          <w:highlight w:val="none"/>
        </w:rPr>
      </w:r>
      <w:bookmarkEnd w:id="355"/>
      <w:r>
        <w:rPr>
          <w:color w:val="000000" w:themeColor="text1"/>
          <w:highlight w:val="none"/>
        </w:rPr>
      </w:r>
      <w:bookmarkEnd w:id="356"/>
      <w:r>
        <w:rPr>
          <w:color w:val="000000" w:themeColor="text1"/>
          <w:highlight w:val="none"/>
        </w:rPr>
      </w:r>
      <w:bookmarkEnd w:id="357"/>
      <w:r>
        <w:rPr>
          <w:color w:val="000000" w:themeColor="text1"/>
          <w:highlight w:val="none"/>
        </w:rPr>
      </w:r>
      <w:bookmarkEnd w:id="358"/>
      <w:r>
        <w:rPr>
          <w:color w:val="000000" w:themeColor="text1"/>
          <w:highlight w:val="none"/>
        </w:rPr>
      </w:r>
      <w:bookmarkEnd w:id="359"/>
      <w:r>
        <w:rPr>
          <w:color w:val="000000" w:themeColor="text1"/>
          <w:highlight w:val="none"/>
        </w:rPr>
      </w:r>
      <w:bookmarkEnd w:id="360"/>
      <w:r>
        <w:rPr>
          <w:color w:val="000000" w:themeColor="text1"/>
          <w:highlight w:val="none"/>
        </w:rPr>
      </w:r>
      <w:bookmarkEnd w:id="361"/>
      <w:r>
        <w:rPr>
          <w:color w:val="000000" w:themeColor="text1"/>
          <w:highlight w:val="none"/>
        </w:rPr>
      </w:r>
      <w:bookmarkEnd w:id="362"/>
      <w:r>
        <w:rPr>
          <w:color w:val="000000" w:themeColor="text1"/>
          <w:highlight w:val="none"/>
        </w:rPr>
      </w:r>
      <w:bookmarkEnd w:id="363"/>
      <w:r>
        <w:rPr>
          <w:color w:val="000000" w:themeColor="text1"/>
          <w:highlight w:val="none"/>
        </w:rPr>
      </w:r>
      <w:bookmarkEnd w:id="364"/>
      <w:r>
        <w:rPr>
          <w:color w:val="000000" w:themeColor="text1"/>
          <w:highlight w:val="none"/>
        </w:rPr>
      </w:r>
      <w:bookmarkEnd w:id="365"/>
      <w:r>
        <w:rPr>
          <w:color w:val="000000" w:themeColor="text1"/>
          <w:highlight w:val="none"/>
        </w:rPr>
      </w:r>
      <w:bookmarkEnd w:id="366"/>
      <w:r>
        <w:rPr>
          <w:color w:val="000000" w:themeColor="text1"/>
          <w:highlight w:val="none"/>
        </w:rPr>
      </w:r>
      <w:bookmarkEnd w:id="367"/>
      <w:r>
        <w:rPr>
          <w:color w:val="000000" w:themeColor="text1"/>
          <w:highlight w:val="none"/>
        </w:rPr>
      </w:r>
      <w:bookmarkEnd w:id="368"/>
      <w:r>
        <w:rPr>
          <w:color w:val="000000" w:themeColor="text1"/>
          <w:highlight w:val="none"/>
        </w:rPr>
      </w:r>
      <w:bookmarkEnd w:id="369"/>
      <w:r>
        <w:rPr>
          <w:color w:val="000000" w:themeColor="text1"/>
          <w:highlight w:val="none"/>
        </w:rPr>
      </w:r>
      <w:bookmarkEnd w:id="370"/>
      <w:r>
        <w:rPr>
          <w:color w:val="000000" w:themeColor="text1"/>
          <w:highlight w:val="none"/>
        </w:rPr>
      </w:r>
      <w:bookmarkEnd w:id="371"/>
      <w:r>
        <w:rPr>
          <w:color w:val="000000" w:themeColor="text1"/>
          <w:highlight w:val="none"/>
        </w:rPr>
      </w:r>
      <w:bookmarkEnd w:id="372"/>
      <w:r>
        <w:rPr>
          <w:color w:val="000000" w:themeColor="text1"/>
          <w:highlight w:val="none"/>
        </w:rPr>
      </w:r>
      <w:bookmarkEnd w:id="373"/>
      <w:r>
        <w:rPr>
          <w:color w:val="000000" w:themeColor="text1"/>
          <w:highlight w:val="none"/>
        </w:rPr>
      </w:r>
      <w:bookmarkEnd w:id="374"/>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8</w:t>
      </w:r>
      <w:bookmarkStart w:id="378" w:name="_Toc292559373"/>
      <w:r>
        <w:rPr>
          <w:color w:val="000000" w:themeColor="text1"/>
          <w:highlight w:val="none"/>
        </w:rPr>
      </w:r>
      <w:bookmarkStart w:id="379" w:name="_Toc292559878"/>
      <w:r>
        <w:rPr>
          <w:color w:val="000000" w:themeColor="text1"/>
          <w:highlight w:val="none"/>
        </w:rPr>
      </w:r>
      <w:bookmarkStart w:id="380" w:name="_Toc297123528"/>
      <w:r>
        <w:rPr>
          <w:color w:val="000000" w:themeColor="text1"/>
          <w:highlight w:val="none"/>
        </w:rPr>
      </w:r>
      <w:bookmarkStart w:id="381" w:name="_Toc296890996"/>
      <w:r>
        <w:rPr>
          <w:color w:val="000000" w:themeColor="text1"/>
          <w:highlight w:val="none"/>
        </w:rPr>
      </w:r>
      <w:bookmarkStart w:id="382" w:name="_Toc318581173"/>
      <w:r>
        <w:rPr>
          <w:color w:val="000000" w:themeColor="text1"/>
          <w:highlight w:val="none"/>
        </w:rPr>
      </w:r>
      <w:bookmarkStart w:id="383" w:name="_Toc300934980"/>
      <w:r>
        <w:rPr>
          <w:color w:val="000000" w:themeColor="text1"/>
          <w:highlight w:val="none"/>
        </w:rPr>
      </w:r>
      <w:bookmarkStart w:id="384" w:name="_Toc297216187"/>
      <w:r>
        <w:rPr>
          <w:color w:val="000000" w:themeColor="text1"/>
          <w:highlight w:val="none"/>
        </w:rPr>
      </w:r>
      <w:bookmarkStart w:id="385" w:name="_Toc303539137"/>
      <w:r>
        <w:rPr>
          <w:color w:val="000000" w:themeColor="text1"/>
          <w:highlight w:val="none"/>
        </w:rPr>
      </w:r>
      <w:bookmarkStart w:id="386" w:name="_Toc296891208"/>
      <w:r>
        <w:rPr>
          <w:color w:val="000000" w:themeColor="text1"/>
          <w:highlight w:val="none"/>
        </w:rPr>
      </w:r>
      <w:bookmarkStart w:id="387" w:name="_Toc296944507"/>
      <w:r>
        <w:rPr>
          <w:color w:val="000000" w:themeColor="text1"/>
          <w:highlight w:val="none"/>
        </w:rPr>
      </w:r>
      <w:bookmarkStart w:id="388" w:name="_Toc296347167"/>
      <w:r>
        <w:rPr>
          <w:color w:val="000000" w:themeColor="text1"/>
          <w:highlight w:val="none"/>
        </w:rPr>
      </w:r>
      <w:bookmarkStart w:id="389" w:name="_Toc297048354"/>
      <w:r>
        <w:rPr>
          <w:color w:val="000000" w:themeColor="text1"/>
          <w:highlight w:val="none"/>
        </w:rPr>
      </w:r>
      <w:bookmarkStart w:id="390" w:name="_Toc297120468"/>
      <w:r>
        <w:rPr>
          <w:color w:val="000000" w:themeColor="text1"/>
          <w:highlight w:val="none"/>
        </w:rPr>
      </w:r>
      <w:bookmarkStart w:id="391" w:name="_Toc304295557"/>
      <w:r>
        <w:rPr>
          <w:color w:val="000000" w:themeColor="text1"/>
          <w:highlight w:val="none"/>
        </w:rPr>
      </w:r>
      <w:bookmarkStart w:id="392" w:name="_Toc312677494"/>
      <w:r>
        <w:rPr>
          <w:color w:val="000000" w:themeColor="text1"/>
          <w:highlight w:val="none"/>
        </w:rPr>
      </w:r>
      <w:bookmarkStart w:id="393" w:name="_Toc312678020"/>
      <w:r>
        <w:rPr>
          <w:color w:val="000000" w:themeColor="text1"/>
          <w:highlight w:val="none"/>
        </w:rPr>
      </w:r>
      <w:bookmarkStart w:id="394" w:name="_Toc296503168"/>
      <w:r>
        <w:rPr>
          <w:color w:val="000000" w:themeColor="text1"/>
          <w:highlight w:val="none"/>
        </w:rPr>
      </w:r>
      <w:bookmarkStart w:id="395" w:name="_Toc296346669"/>
      <w:r>
        <w:rPr>
          <w:rFonts w:hint="eastAsia" w:ascii="宋体" w:hAnsi="宋体" w:eastAsia="宋体" w:cs="宋体"/>
          <w:color w:val="000000" w:themeColor="text1"/>
          <w:sz w:val="24"/>
          <w:szCs w:val="24"/>
          <w:highlight w:val="none"/>
        </w:rPr>
        <w:t xml:space="preserve">.1.1发包人供应的苗木、材料设备的保管费用的承担：</w:t>
      </w:r>
      <w:r>
        <w:rPr>
          <w:rFonts w:hint="eastAsia" w:ascii="宋体" w:hAnsi="宋体" w:eastAsia="宋体" w:cs="宋体"/>
          <w:color w:val="000000" w:themeColor="text1"/>
          <w:sz w:val="24"/>
          <w:szCs w:val="24"/>
          <w:highlight w:val="none"/>
          <w:u w:val="single"/>
        </w:rPr>
        <w:t xml:space="preserve">承包人承担</w:t>
      </w:r>
      <w:r>
        <w:rPr>
          <w:rFonts w:hint="eastAsia" w:ascii="宋体" w:hAnsi="宋体" w:eastAsia="宋体" w:cs="宋体"/>
          <w:color w:val="000000" w:themeColor="text1"/>
          <w:sz w:val="24"/>
          <w:szCs w:val="24"/>
          <w:highlight w:val="none"/>
        </w:rPr>
        <w:t xml:space="preserve">。</w:t>
      </w:r>
      <w:bookmarkEnd w:id="378"/>
      <w:r>
        <w:rPr>
          <w:color w:val="000000" w:themeColor="text1"/>
          <w:highlight w:val="none"/>
        </w:rPr>
      </w:r>
      <w:bookmarkEnd w:id="379"/>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396" w:name="_Toc15421"/>
      <w:r>
        <w:rPr>
          <w:color w:val="000000" w:themeColor="text1"/>
          <w:highlight w:val="none"/>
        </w:rPr>
      </w:r>
      <w:bookmarkStart w:id="397" w:name="_Toc1602926888"/>
      <w:r>
        <w:rPr>
          <w:color w:val="000000" w:themeColor="text1"/>
          <w:highlight w:val="none"/>
        </w:rPr>
      </w:r>
      <w:bookmarkStart w:id="398" w:name="_Toc1698965056"/>
      <w:r>
        <w:rPr>
          <w:rFonts w:hint="eastAsia" w:ascii="宋体" w:hAnsi="宋体" w:eastAsia="宋体" w:cs="宋体"/>
          <w:color w:val="000000" w:themeColor="text1"/>
          <w:sz w:val="24"/>
          <w:szCs w:val="24"/>
          <w:highlight w:val="none"/>
        </w:rPr>
        <w:t xml:space="preserve">8.2 样品</w:t>
      </w:r>
      <w:bookmarkEnd w:id="396"/>
      <w:r>
        <w:rPr>
          <w:color w:val="000000" w:themeColor="text1"/>
          <w:highlight w:val="none"/>
        </w:rPr>
      </w:r>
      <w:bookmarkEnd w:id="397"/>
      <w:r>
        <w:rPr>
          <w:color w:val="000000" w:themeColor="text1"/>
          <w:highlight w:val="none"/>
        </w:rPr>
      </w:r>
      <w:bookmarkEnd w:id="398"/>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399" w:name="_Toc658422827"/>
      <w:r>
        <w:rPr>
          <w:color w:val="000000" w:themeColor="text1"/>
          <w:highlight w:val="none"/>
        </w:rPr>
      </w:r>
      <w:bookmarkStart w:id="400" w:name="_Toc155224400"/>
      <w:r>
        <w:rPr>
          <w:rFonts w:hint="eastAsia" w:ascii="宋体" w:hAnsi="宋体" w:eastAsia="宋体" w:cs="宋体"/>
          <w:color w:val="000000" w:themeColor="text1"/>
          <w:sz w:val="24"/>
          <w:szCs w:val="24"/>
          <w:highlight w:val="none"/>
        </w:rPr>
        <w:t xml:space="preserve">8.2.1样品的报送与封存</w:t>
      </w:r>
      <w:bookmarkEnd w:id="399"/>
      <w:r>
        <w:rPr>
          <w:color w:val="000000" w:themeColor="text1"/>
          <w:highlight w:val="none"/>
        </w:rPr>
      </w:r>
      <w:bookmarkEnd w:id="400"/>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需要承包人报送样品的材料或工程设备，样品的种类、名称、规格、数量要求：</w:t>
      </w:r>
      <w:r>
        <w:rPr>
          <w:rFonts w:hint="eastAsia" w:ascii="宋体" w:hAnsi="宋体" w:eastAsia="宋体" w:cs="宋体"/>
          <w:color w:val="000000" w:themeColor="text1"/>
          <w:sz w:val="24"/>
          <w:szCs w:val="24"/>
          <w:highlight w:val="none"/>
          <w:u w:val="single"/>
        </w:rPr>
        <w:t xml:space="preserve">承包人需按照招标人要求提供样品</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401" w:name="_Toc1156517039"/>
      <w:r>
        <w:rPr>
          <w:color w:val="000000" w:themeColor="text1"/>
          <w:highlight w:val="none"/>
        </w:rPr>
      </w:r>
      <w:bookmarkStart w:id="402" w:name="_Toc22773"/>
      <w:r>
        <w:rPr>
          <w:color w:val="000000" w:themeColor="text1"/>
          <w:highlight w:val="none"/>
        </w:rPr>
      </w:r>
      <w:bookmarkStart w:id="403" w:name="_Toc268737114"/>
      <w:r>
        <w:rPr>
          <w:rFonts w:hint="eastAsia" w:ascii="宋体" w:hAnsi="宋体" w:eastAsia="宋体" w:cs="宋体"/>
          <w:color w:val="000000" w:themeColor="text1"/>
          <w:sz w:val="24"/>
          <w:szCs w:val="24"/>
          <w:highlight w:val="none"/>
        </w:rPr>
        <w:t xml:space="preserve">8.3 施工设备和临时设施</w:t>
      </w:r>
      <w:bookmarkEnd w:id="401"/>
      <w:r>
        <w:rPr>
          <w:color w:val="000000" w:themeColor="text1"/>
          <w:highlight w:val="none"/>
        </w:rPr>
      </w:r>
      <w:bookmarkEnd w:id="402"/>
      <w:r>
        <w:rPr>
          <w:color w:val="000000" w:themeColor="text1"/>
          <w:highlight w:val="none"/>
        </w:rPr>
      </w:r>
      <w:bookmarkEnd w:id="403"/>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8.3.1 承包人提供的施工设备和临时设施</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关于修建临时设施费用承担的约定：</w:t>
      </w:r>
      <w:bookmarkEnd w:id="375"/>
      <w:r>
        <w:rPr>
          <w:color w:val="000000" w:themeColor="text1"/>
          <w:highlight w:val="none"/>
        </w:rPr>
      </w:r>
      <w:bookmarkEnd w:id="376"/>
      <w:r>
        <w:rPr>
          <w:color w:val="000000" w:themeColor="text1"/>
          <w:highlight w:val="none"/>
        </w:rPr>
      </w:r>
      <w:bookmarkEnd w:id="377"/>
      <w:r>
        <w:rPr>
          <w:color w:val="000000" w:themeColor="text1"/>
          <w:highlight w:val="none"/>
        </w:rPr>
      </w:r>
      <w:bookmarkEnd w:id="380"/>
      <w:r>
        <w:rPr>
          <w:color w:val="000000" w:themeColor="text1"/>
          <w:highlight w:val="none"/>
        </w:rPr>
      </w:r>
      <w:bookmarkEnd w:id="381"/>
      <w:r>
        <w:rPr>
          <w:color w:val="000000" w:themeColor="text1"/>
          <w:highlight w:val="none"/>
        </w:rPr>
      </w:r>
      <w:bookmarkEnd w:id="382"/>
      <w:r>
        <w:rPr>
          <w:color w:val="000000" w:themeColor="text1"/>
          <w:highlight w:val="none"/>
        </w:rPr>
      </w:r>
      <w:bookmarkEnd w:id="383"/>
      <w:r>
        <w:rPr>
          <w:color w:val="000000" w:themeColor="text1"/>
          <w:highlight w:val="none"/>
        </w:rPr>
      </w:r>
      <w:bookmarkEnd w:id="384"/>
      <w:r>
        <w:rPr>
          <w:color w:val="000000" w:themeColor="text1"/>
          <w:highlight w:val="none"/>
        </w:rPr>
      </w:r>
      <w:bookmarkEnd w:id="385"/>
      <w:r>
        <w:rPr>
          <w:color w:val="000000" w:themeColor="text1"/>
          <w:highlight w:val="none"/>
        </w:rPr>
      </w:r>
      <w:bookmarkEnd w:id="386"/>
      <w:r>
        <w:rPr>
          <w:color w:val="000000" w:themeColor="text1"/>
          <w:highlight w:val="none"/>
        </w:rPr>
      </w:r>
      <w:bookmarkEnd w:id="387"/>
      <w:r>
        <w:rPr>
          <w:color w:val="000000" w:themeColor="text1"/>
          <w:highlight w:val="none"/>
        </w:rPr>
      </w:r>
      <w:bookmarkEnd w:id="388"/>
      <w:r>
        <w:rPr>
          <w:color w:val="000000" w:themeColor="text1"/>
          <w:highlight w:val="none"/>
        </w:rPr>
      </w:r>
      <w:bookmarkEnd w:id="389"/>
      <w:r>
        <w:rPr>
          <w:color w:val="000000" w:themeColor="text1"/>
          <w:highlight w:val="none"/>
        </w:rPr>
      </w:r>
      <w:bookmarkEnd w:id="390"/>
      <w:r>
        <w:rPr>
          <w:color w:val="000000" w:themeColor="text1"/>
          <w:highlight w:val="none"/>
        </w:rPr>
      </w:r>
      <w:bookmarkEnd w:id="391"/>
      <w:r>
        <w:rPr>
          <w:color w:val="000000" w:themeColor="text1"/>
          <w:highlight w:val="none"/>
        </w:rPr>
      </w:r>
      <w:bookmarkEnd w:id="392"/>
      <w:r>
        <w:rPr>
          <w:color w:val="000000" w:themeColor="text1"/>
          <w:highlight w:val="none"/>
        </w:rPr>
      </w:r>
      <w:bookmarkEnd w:id="393"/>
      <w:r>
        <w:rPr>
          <w:color w:val="000000" w:themeColor="text1"/>
          <w:highlight w:val="none"/>
        </w:rPr>
      </w:r>
      <w:bookmarkEnd w:id="394"/>
      <w:r>
        <w:rPr>
          <w:color w:val="000000" w:themeColor="text1"/>
          <w:highlight w:val="none"/>
        </w:rPr>
      </w:r>
      <w:bookmarkEnd w:id="395"/>
      <w:r>
        <w:rPr>
          <w:color w:val="000000" w:themeColor="text1"/>
          <w:highlight w:val="none"/>
        </w:rPr>
      </w:r>
      <w:bookmarkStart w:id="404" w:name="_Toc351203641"/>
      <w:r>
        <w:rPr>
          <w:color w:val="000000" w:themeColor="text1"/>
          <w:highlight w:val="none"/>
        </w:rPr>
      </w:r>
      <w:bookmarkStart w:id="405" w:name="_Toc312678025"/>
      <w:r>
        <w:rPr>
          <w:color w:val="000000" w:themeColor="text1"/>
          <w:highlight w:val="none"/>
        </w:rPr>
      </w:r>
      <w:bookmarkStart w:id="406" w:name="_Toc296346694"/>
      <w:r>
        <w:rPr>
          <w:color w:val="000000" w:themeColor="text1"/>
          <w:highlight w:val="none"/>
        </w:rPr>
      </w:r>
      <w:bookmarkStart w:id="407" w:name="_Toc296891021"/>
      <w:r>
        <w:rPr>
          <w:color w:val="000000" w:themeColor="text1"/>
          <w:highlight w:val="none"/>
        </w:rPr>
      </w:r>
      <w:bookmarkStart w:id="408" w:name="_Toc300934989"/>
      <w:r>
        <w:rPr>
          <w:color w:val="000000" w:themeColor="text1"/>
          <w:highlight w:val="none"/>
        </w:rPr>
      </w:r>
      <w:bookmarkStart w:id="409" w:name="_Toc312677499"/>
      <w:r>
        <w:rPr>
          <w:color w:val="000000" w:themeColor="text1"/>
          <w:highlight w:val="none"/>
        </w:rPr>
      </w:r>
      <w:bookmarkStart w:id="410" w:name="_Toc297216199"/>
      <w:r>
        <w:rPr>
          <w:color w:val="000000" w:themeColor="text1"/>
          <w:highlight w:val="none"/>
        </w:rPr>
      </w:r>
      <w:bookmarkStart w:id="411" w:name="_Toc296503193"/>
      <w:r>
        <w:rPr>
          <w:color w:val="000000" w:themeColor="text1"/>
          <w:highlight w:val="none"/>
        </w:rPr>
      </w:r>
      <w:bookmarkStart w:id="412" w:name="_Toc297048379"/>
      <w:r>
        <w:rPr>
          <w:color w:val="000000" w:themeColor="text1"/>
          <w:highlight w:val="none"/>
        </w:rPr>
      </w:r>
      <w:bookmarkStart w:id="413" w:name="_Toc297120493"/>
      <w:r>
        <w:rPr>
          <w:color w:val="000000" w:themeColor="text1"/>
          <w:highlight w:val="none"/>
        </w:rPr>
      </w:r>
      <w:bookmarkStart w:id="414" w:name="_Toc292559903"/>
      <w:r>
        <w:rPr>
          <w:color w:val="000000" w:themeColor="text1"/>
          <w:highlight w:val="none"/>
        </w:rPr>
      </w:r>
      <w:bookmarkStart w:id="415" w:name="_Toc303539146"/>
      <w:r>
        <w:rPr>
          <w:color w:val="000000" w:themeColor="text1"/>
          <w:highlight w:val="none"/>
        </w:rPr>
      </w:r>
      <w:bookmarkStart w:id="416" w:name="_Toc296891233"/>
      <w:r>
        <w:rPr>
          <w:color w:val="000000" w:themeColor="text1"/>
          <w:highlight w:val="none"/>
        </w:rPr>
      </w:r>
      <w:bookmarkStart w:id="417" w:name="_Toc296347192"/>
      <w:r>
        <w:rPr>
          <w:color w:val="000000" w:themeColor="text1"/>
          <w:highlight w:val="none"/>
        </w:rPr>
      </w:r>
      <w:bookmarkStart w:id="418" w:name="_Toc297123540"/>
      <w:r>
        <w:rPr>
          <w:color w:val="000000" w:themeColor="text1"/>
          <w:highlight w:val="none"/>
        </w:rPr>
      </w:r>
      <w:bookmarkStart w:id="419" w:name="_Toc292559398"/>
      <w:r>
        <w:rPr>
          <w:color w:val="000000" w:themeColor="text1"/>
          <w:highlight w:val="none"/>
        </w:rPr>
      </w:r>
      <w:bookmarkStart w:id="420" w:name="_Toc304295566"/>
      <w:r>
        <w:rPr>
          <w:color w:val="000000" w:themeColor="text1"/>
          <w:highlight w:val="none"/>
        </w:rPr>
      </w:r>
      <w:bookmarkStart w:id="421" w:name="_Toc296944532"/>
      <w:r>
        <w:rPr>
          <w:color w:val="000000" w:themeColor="text1"/>
          <w:highlight w:val="none"/>
        </w:rPr>
      </w:r>
      <w:bookmarkStart w:id="422" w:name="_Toc267251440"/>
      <w:r>
        <w:rPr>
          <w:color w:val="000000" w:themeColor="text1"/>
          <w:highlight w:val="none"/>
        </w:rPr>
      </w:r>
      <w:bookmarkStart w:id="423" w:name="_Toc267251433"/>
      <w:r>
        <w:rPr>
          <w:color w:val="000000" w:themeColor="text1"/>
          <w:highlight w:val="none"/>
        </w:rPr>
      </w:r>
      <w:bookmarkStart w:id="424" w:name="_Toc267251435"/>
      <w:r>
        <w:rPr>
          <w:color w:val="000000" w:themeColor="text1"/>
          <w:highlight w:val="none"/>
        </w:rPr>
      </w:r>
      <w:bookmarkStart w:id="425" w:name="_Toc267251437"/>
      <w:r>
        <w:rPr>
          <w:color w:val="000000" w:themeColor="text1"/>
          <w:highlight w:val="none"/>
        </w:rPr>
      </w:r>
      <w:bookmarkStart w:id="426" w:name="_Toc267251441"/>
      <w:r>
        <w:rPr>
          <w:color w:val="000000" w:themeColor="text1"/>
          <w:highlight w:val="none"/>
        </w:rPr>
      </w:r>
      <w:bookmarkStart w:id="427" w:name="_Toc267251439"/>
      <w:r>
        <w:rPr>
          <w:color w:val="000000" w:themeColor="text1"/>
          <w:highlight w:val="none"/>
        </w:rPr>
      </w:r>
      <w:bookmarkStart w:id="428" w:name="_Toc267251442"/>
      <w:r>
        <w:rPr>
          <w:rFonts w:hint="eastAsia" w:ascii="宋体" w:hAnsi="宋体" w:eastAsia="宋体" w:cs="宋体"/>
          <w:color w:val="000000" w:themeColor="text1"/>
          <w:sz w:val="24"/>
          <w:szCs w:val="24"/>
          <w:highlight w:val="none"/>
          <w:u w:val="single"/>
        </w:rPr>
        <w:t xml:space="preserve">临时设施费用由投标人在其投标报价中考虑，由承包人承担，该报价中包括搭建、拆除外运等费用。</w:t>
      </w:r>
      <w:r>
        <w:rPr>
          <w:color w:val="000000" w:themeColor="text1"/>
          <w:highlight w:val="none"/>
        </w:rPr>
      </w:r>
    </w:p>
    <w:p>
      <w:pPr>
        <w:pStyle w:val="910"/>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429" w:name="_Toc1764962496"/>
      <w:r>
        <w:rPr>
          <w:color w:val="000000" w:themeColor="text1"/>
          <w:highlight w:val="none"/>
        </w:rPr>
      </w:r>
      <w:bookmarkStart w:id="430" w:name="_Toc242413721"/>
      <w:r>
        <w:rPr>
          <w:rFonts w:hint="eastAsia" w:ascii="宋体" w:hAnsi="宋体" w:eastAsia="宋体" w:cs="宋体"/>
          <w:b w:val="0"/>
          <w:color w:val="000000" w:themeColor="text1"/>
          <w:sz w:val="24"/>
          <w:szCs w:val="24"/>
          <w:highlight w:val="none"/>
        </w:rPr>
        <w:t xml:space="preserve">9</w:t>
      </w:r>
      <w:bookmarkStart w:id="431" w:name="_Toc297216192"/>
      <w:r>
        <w:rPr>
          <w:color w:val="000000" w:themeColor="text1"/>
          <w:highlight w:val="none"/>
        </w:rPr>
      </w:r>
      <w:bookmarkStart w:id="432" w:name="_Toc303539139"/>
      <w:r>
        <w:rPr>
          <w:color w:val="000000" w:themeColor="text1"/>
          <w:highlight w:val="none"/>
        </w:rPr>
      </w:r>
      <w:bookmarkStart w:id="433" w:name="_Toc312677495"/>
      <w:r>
        <w:rPr>
          <w:color w:val="000000" w:themeColor="text1"/>
          <w:highlight w:val="none"/>
        </w:rPr>
      </w:r>
      <w:bookmarkStart w:id="434" w:name="_Toc300934982"/>
      <w:r>
        <w:rPr>
          <w:color w:val="000000" w:themeColor="text1"/>
          <w:highlight w:val="none"/>
        </w:rPr>
      </w:r>
      <w:bookmarkStart w:id="435" w:name="_Toc297123533"/>
      <w:r>
        <w:rPr>
          <w:color w:val="000000" w:themeColor="text1"/>
          <w:highlight w:val="none"/>
        </w:rPr>
      </w:r>
      <w:bookmarkStart w:id="436" w:name="_Toc304295559"/>
      <w:r>
        <w:rPr>
          <w:color w:val="000000" w:themeColor="text1"/>
          <w:highlight w:val="none"/>
        </w:rPr>
      </w:r>
      <w:bookmarkStart w:id="437" w:name="_Toc312678021"/>
      <w:r>
        <w:rPr>
          <w:rFonts w:hint="eastAsia" w:ascii="宋体" w:hAnsi="宋体" w:eastAsia="宋体" w:cs="宋体"/>
          <w:b w:val="0"/>
          <w:color w:val="000000" w:themeColor="text1"/>
          <w:sz w:val="24"/>
          <w:szCs w:val="24"/>
          <w:highlight w:val="none"/>
        </w:rPr>
        <w:t xml:space="preserve">. 试验与检验</w:t>
      </w:r>
      <w:bookmarkEnd w:id="404"/>
      <w:r>
        <w:rPr>
          <w:color w:val="000000" w:themeColor="text1"/>
          <w:highlight w:val="none"/>
        </w:rPr>
      </w:r>
      <w:bookmarkEnd w:id="429"/>
      <w:r>
        <w:rPr>
          <w:color w:val="000000" w:themeColor="text1"/>
          <w:highlight w:val="none"/>
        </w:rPr>
      </w:r>
      <w:bookmarkEnd w:id="430"/>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438" w:name="_Toc1351090379"/>
      <w:r>
        <w:rPr>
          <w:color w:val="000000" w:themeColor="text1"/>
          <w:highlight w:val="none"/>
        </w:rPr>
      </w:r>
      <w:bookmarkStart w:id="439" w:name="_Toc653733895"/>
      <w:r>
        <w:rPr>
          <w:color w:val="000000" w:themeColor="text1"/>
          <w:highlight w:val="none"/>
        </w:rPr>
      </w:r>
      <w:bookmarkStart w:id="440" w:name="_Toc6956"/>
      <w:r>
        <w:rPr>
          <w:color w:val="000000" w:themeColor="text1"/>
          <w:highlight w:val="none"/>
        </w:rPr>
      </w:r>
      <w:bookmarkStart w:id="441" w:name="_Toc351203565"/>
      <w:r>
        <w:rPr>
          <w:rFonts w:hint="eastAsia" w:ascii="宋体" w:hAnsi="宋体" w:eastAsia="宋体" w:cs="宋体"/>
          <w:color w:val="000000" w:themeColor="text1"/>
          <w:sz w:val="24"/>
          <w:szCs w:val="24"/>
          <w:highlight w:val="none"/>
        </w:rPr>
        <w:t xml:space="preserve">9</w:t>
      </w:r>
      <w:bookmarkStart w:id="442" w:name="_Toc337558785"/>
      <w:r>
        <w:rPr>
          <w:rFonts w:hint="eastAsia" w:ascii="宋体" w:hAnsi="宋体" w:eastAsia="宋体" w:cs="宋体"/>
          <w:color w:val="000000" w:themeColor="text1"/>
          <w:sz w:val="24"/>
          <w:szCs w:val="24"/>
          <w:highlight w:val="none"/>
        </w:rPr>
        <w:t xml:space="preserve">.1材料、工程设备和工程的试验和检验</w:t>
      </w:r>
      <w:bookmarkEnd w:id="438"/>
      <w:r>
        <w:rPr>
          <w:color w:val="000000" w:themeColor="text1"/>
          <w:highlight w:val="none"/>
        </w:rPr>
      </w:r>
      <w:bookmarkEnd w:id="439"/>
      <w:r>
        <w:rPr>
          <w:color w:val="000000" w:themeColor="text1"/>
          <w:highlight w:val="none"/>
        </w:rPr>
      </w:r>
      <w:bookmarkEnd w:id="440"/>
      <w:r>
        <w:rPr>
          <w:color w:val="000000" w:themeColor="text1"/>
          <w:highlight w:val="none"/>
        </w:rPr>
      </w:r>
      <w:bookmarkEnd w:id="441"/>
      <w:r>
        <w:rPr>
          <w:color w:val="000000" w:themeColor="text1"/>
          <w:highlight w:val="none"/>
        </w:rPr>
      </w:r>
      <w:bookmarkEnd w:id="442"/>
      <w:r>
        <w:rPr>
          <w:color w:val="000000" w:themeColor="text1"/>
          <w:highlight w:val="none"/>
        </w:rPr>
      </w:r>
      <w:r>
        <w:rPr>
          <w:color w:val="000000" w:themeColor="text1"/>
          <w:highlight w:val="none"/>
        </w:rPr>
      </w:r>
    </w:p>
    <w:p>
      <w:pPr>
        <w:pStyle w:val="923"/>
        <w:ind w:left="63" w:right="63"/>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9.1.1 试验设备</w:t>
      </w:r>
      <w:r>
        <w:rPr>
          <w:color w:val="000000" w:themeColor="text1"/>
          <w:highlight w:val="none"/>
        </w:rPr>
      </w:r>
    </w:p>
    <w:p>
      <w:pPr>
        <w:pStyle w:val="923"/>
        <w:ind w:left="63" w:right="63"/>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施工现场需要配置的试验场所：</w:t>
      </w:r>
      <w:r>
        <w:rPr>
          <w:color w:val="000000" w:themeColor="text1"/>
          <w:highlight w:val="none"/>
        </w:rPr>
      </w:r>
    </w:p>
    <w:p>
      <w:pPr>
        <w:pStyle w:val="923"/>
        <w:ind w:left="63" w:right="63"/>
        <w:jc w:val="left"/>
        <w:keepLines/>
        <w:keepNext w:val="0"/>
        <w:pageBreakBefore w:val="0"/>
        <w:spacing w:before="76" w:line="360" w:lineRule="auto"/>
        <w:widowControl w:val="off"/>
        <w:tabs>
          <w:tab w:val="left" w:pos="428"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u w:val="single"/>
        </w:rPr>
        <w:t xml:space="preserve">承包人自行考虑，费用由承包人承担。</w:t>
      </w:r>
      <w:r>
        <w:rPr>
          <w:color w:val="000000" w:themeColor="text1"/>
          <w:highlight w:val="none"/>
        </w:rPr>
      </w:r>
    </w:p>
    <w:p>
      <w:pPr>
        <w:pStyle w:val="923"/>
        <w:ind w:left="63" w:right="63"/>
        <w:jc w:val="left"/>
        <w:keepLines/>
        <w:keepNext w:val="0"/>
        <w:pageBreakBefore w:val="0"/>
        <w:spacing w:before="72"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施工现场需要配备的试验设备：</w:t>
      </w:r>
      <w:r>
        <w:rPr>
          <w:color w:val="000000" w:themeColor="text1"/>
          <w:highlight w:val="none"/>
        </w:rPr>
      </w:r>
    </w:p>
    <w:p>
      <w:pPr>
        <w:pStyle w:val="923"/>
        <w:ind w:left="483" w:right="63" w:hanging="420"/>
        <w:jc w:val="left"/>
        <w:keepLines/>
        <w:keepNext w:val="0"/>
        <w:pageBreakBefore w:val="0"/>
        <w:spacing w:line="360" w:lineRule="auto"/>
        <w:widowControl w:val="off"/>
        <w:tabs>
          <w:tab w:val="left" w:pos="428" w:leader="none"/>
          <w:tab w:val="left" w:pos="399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u w:val="single"/>
        </w:rPr>
        <w:t xml:space="preserve">承包人自行考虑，费用由承包人承担</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施工现场需要具备的其他试验条件：</w:t>
      </w:r>
      <w:r>
        <w:rPr>
          <w:color w:val="000000" w:themeColor="text1"/>
          <w:highlight w:val="none"/>
        </w:rPr>
      </w:r>
    </w:p>
    <w:p>
      <w:pPr>
        <w:pStyle w:val="923"/>
        <w:ind w:left="63" w:right="63"/>
        <w:jc w:val="left"/>
        <w:keepLines/>
        <w:keepNext w:val="0"/>
        <w:pageBreakBefore w:val="0"/>
        <w:spacing w:line="360" w:lineRule="auto"/>
        <w:widowControl w:val="off"/>
        <w:tabs>
          <w:tab w:val="left" w:pos="428"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u w:val="single"/>
        </w:rPr>
        <w:t xml:space="preserve">承包人自行考虑，费用由承包人承担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9.3.4 关于送检材料的约定：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 。</w:t>
      </w:r>
      <w:r>
        <w:rPr>
          <w:color w:val="000000" w:themeColor="text1"/>
          <w:highlight w:val="none"/>
        </w:rPr>
      </w:r>
    </w:p>
    <w:p>
      <w:pPr>
        <w:pStyle w:val="923"/>
        <w:ind w:left="63" w:right="63"/>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9.2 现场工艺试验</w:t>
      </w:r>
      <w:r>
        <w:rPr>
          <w:color w:val="000000" w:themeColor="text1"/>
          <w:highlight w:val="none"/>
        </w:rPr>
      </w:r>
    </w:p>
    <w:p>
      <w:pPr>
        <w:pStyle w:val="923"/>
        <w:ind w:left="63" w:right="63"/>
        <w:jc w:val="left"/>
        <w:keepLines/>
        <w:keepNext w:val="0"/>
        <w:pageBreakBefore w:val="0"/>
        <w:spacing w:before="1"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现场工艺试验的有关约定：</w:t>
      </w:r>
      <w:r>
        <w:rPr>
          <w:color w:val="000000" w:themeColor="text1"/>
          <w:highlight w:val="none"/>
        </w:rPr>
      </w:r>
    </w:p>
    <w:p>
      <w:pPr>
        <w:pStyle w:val="923"/>
        <w:ind w:left="63" w:right="63"/>
        <w:jc w:val="left"/>
        <w:keepLines/>
        <w:keepNext w:val="0"/>
        <w:pageBreakBefore w:val="0"/>
        <w:spacing w:line="360" w:lineRule="auto"/>
        <w:widowControl w:val="off"/>
        <w:tabs>
          <w:tab w:val="left" w:pos="533"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u w:val="single"/>
        </w:rPr>
        <w:t xml:space="preserve">承包人根据相关法律、标准和规范及按照监理人指示进行试验并承担检测费用。</w:t>
      </w:r>
      <w:bookmarkEnd w:id="431"/>
      <w:r>
        <w:rPr>
          <w:color w:val="000000" w:themeColor="text1"/>
          <w:highlight w:val="none"/>
        </w:rPr>
      </w:r>
      <w:bookmarkEnd w:id="432"/>
      <w:r>
        <w:rPr>
          <w:color w:val="000000" w:themeColor="text1"/>
          <w:highlight w:val="none"/>
        </w:rPr>
      </w:r>
      <w:bookmarkEnd w:id="433"/>
      <w:r>
        <w:rPr>
          <w:color w:val="000000" w:themeColor="text1"/>
          <w:highlight w:val="none"/>
        </w:rPr>
      </w:r>
      <w:bookmarkEnd w:id="434"/>
      <w:r>
        <w:rPr>
          <w:color w:val="000000" w:themeColor="text1"/>
          <w:highlight w:val="none"/>
        </w:rPr>
      </w:r>
      <w:bookmarkEnd w:id="435"/>
      <w:r>
        <w:rPr>
          <w:color w:val="000000" w:themeColor="text1"/>
          <w:highlight w:val="none"/>
        </w:rPr>
      </w:r>
      <w:bookmarkEnd w:id="436"/>
      <w:r>
        <w:rPr>
          <w:color w:val="000000" w:themeColor="text1"/>
          <w:highlight w:val="none"/>
        </w:rPr>
      </w:r>
      <w:bookmarkEnd w:id="437"/>
      <w:r>
        <w:rPr>
          <w:color w:val="000000" w:themeColor="text1"/>
          <w:highlight w:val="none"/>
        </w:rPr>
      </w:r>
      <w:r>
        <w:rPr>
          <w:color w:val="000000" w:themeColor="text1"/>
          <w:highlight w:val="none"/>
        </w:rPr>
      </w:r>
    </w:p>
    <w:p>
      <w:pPr>
        <w:pStyle w:val="910"/>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443" w:name="_Toc334823199"/>
      <w:r>
        <w:rPr>
          <w:color w:val="000000" w:themeColor="text1"/>
          <w:highlight w:val="none"/>
        </w:rPr>
      </w:r>
      <w:bookmarkStart w:id="444" w:name="_Toc458560564"/>
      <w:r>
        <w:rPr>
          <w:rFonts w:hint="eastAsia" w:ascii="宋体" w:hAnsi="宋体" w:eastAsia="宋体" w:cs="宋体"/>
          <w:b w:val="0"/>
          <w:color w:val="000000" w:themeColor="text1"/>
          <w:sz w:val="24"/>
          <w:szCs w:val="24"/>
          <w:highlight w:val="none"/>
        </w:rPr>
        <w:t xml:space="preserve">10. 变更</w:t>
      </w:r>
      <w:bookmarkEnd w:id="405"/>
      <w:r>
        <w:rPr>
          <w:color w:val="000000" w:themeColor="text1"/>
          <w:highlight w:val="none"/>
        </w:rPr>
      </w:r>
      <w:bookmarkEnd w:id="406"/>
      <w:r>
        <w:rPr>
          <w:color w:val="000000" w:themeColor="text1"/>
          <w:highlight w:val="none"/>
        </w:rPr>
      </w:r>
      <w:bookmarkEnd w:id="407"/>
      <w:r>
        <w:rPr>
          <w:color w:val="000000" w:themeColor="text1"/>
          <w:highlight w:val="none"/>
        </w:rPr>
      </w:r>
      <w:bookmarkEnd w:id="408"/>
      <w:r>
        <w:rPr>
          <w:color w:val="000000" w:themeColor="text1"/>
          <w:highlight w:val="none"/>
        </w:rPr>
      </w:r>
      <w:bookmarkEnd w:id="409"/>
      <w:r>
        <w:rPr>
          <w:color w:val="000000" w:themeColor="text1"/>
          <w:highlight w:val="none"/>
        </w:rPr>
      </w:r>
      <w:bookmarkEnd w:id="410"/>
      <w:r>
        <w:rPr>
          <w:color w:val="000000" w:themeColor="text1"/>
          <w:highlight w:val="none"/>
        </w:rPr>
      </w:r>
      <w:bookmarkEnd w:id="411"/>
      <w:r>
        <w:rPr>
          <w:color w:val="000000" w:themeColor="text1"/>
          <w:highlight w:val="none"/>
        </w:rPr>
      </w:r>
      <w:bookmarkEnd w:id="412"/>
      <w:r>
        <w:rPr>
          <w:color w:val="000000" w:themeColor="text1"/>
          <w:highlight w:val="none"/>
        </w:rPr>
      </w:r>
      <w:bookmarkEnd w:id="413"/>
      <w:r>
        <w:rPr>
          <w:color w:val="000000" w:themeColor="text1"/>
          <w:highlight w:val="none"/>
        </w:rPr>
      </w:r>
      <w:bookmarkEnd w:id="414"/>
      <w:r>
        <w:rPr>
          <w:color w:val="000000" w:themeColor="text1"/>
          <w:highlight w:val="none"/>
        </w:rPr>
      </w:r>
      <w:bookmarkEnd w:id="415"/>
      <w:r>
        <w:rPr>
          <w:color w:val="000000" w:themeColor="text1"/>
          <w:highlight w:val="none"/>
        </w:rPr>
      </w:r>
      <w:bookmarkEnd w:id="416"/>
      <w:r>
        <w:rPr>
          <w:color w:val="000000" w:themeColor="text1"/>
          <w:highlight w:val="none"/>
        </w:rPr>
      </w:r>
      <w:bookmarkEnd w:id="417"/>
      <w:r>
        <w:rPr>
          <w:color w:val="000000" w:themeColor="text1"/>
          <w:highlight w:val="none"/>
        </w:rPr>
      </w:r>
      <w:bookmarkEnd w:id="418"/>
      <w:r>
        <w:rPr>
          <w:color w:val="000000" w:themeColor="text1"/>
          <w:highlight w:val="none"/>
        </w:rPr>
      </w:r>
      <w:bookmarkEnd w:id="419"/>
      <w:r>
        <w:rPr>
          <w:color w:val="000000" w:themeColor="text1"/>
          <w:highlight w:val="none"/>
        </w:rPr>
      </w:r>
      <w:bookmarkEnd w:id="420"/>
      <w:r>
        <w:rPr>
          <w:color w:val="000000" w:themeColor="text1"/>
          <w:highlight w:val="none"/>
        </w:rPr>
      </w:r>
      <w:bookmarkEnd w:id="421"/>
      <w:r>
        <w:rPr>
          <w:color w:val="000000" w:themeColor="text1"/>
          <w:highlight w:val="none"/>
        </w:rPr>
      </w:r>
      <w:bookmarkEnd w:id="443"/>
      <w:r>
        <w:rPr>
          <w:color w:val="000000" w:themeColor="text1"/>
          <w:highlight w:val="none"/>
        </w:rPr>
      </w:r>
      <w:bookmarkEnd w:id="444"/>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445" w:name="_Toc7749"/>
      <w:r>
        <w:rPr>
          <w:color w:val="000000" w:themeColor="text1"/>
          <w:highlight w:val="none"/>
        </w:rPr>
      </w:r>
      <w:bookmarkStart w:id="446" w:name="_Toc893189784"/>
      <w:r>
        <w:rPr>
          <w:color w:val="000000" w:themeColor="text1"/>
          <w:highlight w:val="none"/>
        </w:rPr>
      </w:r>
      <w:bookmarkStart w:id="447" w:name="_Toc2124203747"/>
      <w:r>
        <w:rPr>
          <w:rFonts w:hint="eastAsia" w:ascii="宋体" w:hAnsi="宋体" w:eastAsia="宋体" w:cs="宋体"/>
          <w:color w:val="000000" w:themeColor="text1"/>
          <w:sz w:val="24"/>
          <w:szCs w:val="24"/>
          <w:highlight w:val="none"/>
        </w:rPr>
        <w:t xml:space="preserve">1</w:t>
      </w:r>
      <w:bookmarkStart w:id="448" w:name="_Toc297216200"/>
      <w:r>
        <w:rPr>
          <w:color w:val="000000" w:themeColor="text1"/>
          <w:highlight w:val="none"/>
        </w:rPr>
      </w:r>
      <w:bookmarkStart w:id="449" w:name="_Toc297048380"/>
      <w:r>
        <w:rPr>
          <w:color w:val="000000" w:themeColor="text1"/>
          <w:highlight w:val="none"/>
        </w:rPr>
      </w:r>
      <w:bookmarkStart w:id="450" w:name="_Toc297120494"/>
      <w:r>
        <w:rPr>
          <w:color w:val="000000" w:themeColor="text1"/>
          <w:highlight w:val="none"/>
        </w:rPr>
      </w:r>
      <w:bookmarkStart w:id="451" w:name="_Toc296503194"/>
      <w:r>
        <w:rPr>
          <w:color w:val="000000" w:themeColor="text1"/>
          <w:highlight w:val="none"/>
        </w:rPr>
      </w:r>
      <w:bookmarkStart w:id="452" w:name="_Toc292559904"/>
      <w:r>
        <w:rPr>
          <w:color w:val="000000" w:themeColor="text1"/>
          <w:highlight w:val="none"/>
        </w:rPr>
      </w:r>
      <w:bookmarkStart w:id="453" w:name="_Toc292559399"/>
      <w:r>
        <w:rPr>
          <w:color w:val="000000" w:themeColor="text1"/>
          <w:highlight w:val="none"/>
        </w:rPr>
      </w:r>
      <w:bookmarkStart w:id="454" w:name="_Toc304295567"/>
      <w:r>
        <w:rPr>
          <w:color w:val="000000" w:themeColor="text1"/>
          <w:highlight w:val="none"/>
        </w:rPr>
      </w:r>
      <w:bookmarkStart w:id="455" w:name="_Toc296891234"/>
      <w:r>
        <w:rPr>
          <w:color w:val="000000" w:themeColor="text1"/>
          <w:highlight w:val="none"/>
        </w:rPr>
      </w:r>
      <w:bookmarkStart w:id="456" w:name="_Toc312678026"/>
      <w:r>
        <w:rPr>
          <w:color w:val="000000" w:themeColor="text1"/>
          <w:highlight w:val="none"/>
        </w:rPr>
      </w:r>
      <w:bookmarkStart w:id="457" w:name="_Toc303539147"/>
      <w:r>
        <w:rPr>
          <w:color w:val="000000" w:themeColor="text1"/>
          <w:highlight w:val="none"/>
        </w:rPr>
      </w:r>
      <w:bookmarkStart w:id="458" w:name="_Toc296891022"/>
      <w:r>
        <w:rPr>
          <w:color w:val="000000" w:themeColor="text1"/>
          <w:highlight w:val="none"/>
        </w:rPr>
      </w:r>
      <w:bookmarkStart w:id="459" w:name="_Toc312677500"/>
      <w:r>
        <w:rPr>
          <w:color w:val="000000" w:themeColor="text1"/>
          <w:highlight w:val="none"/>
        </w:rPr>
      </w:r>
      <w:bookmarkStart w:id="460" w:name="_Toc297123541"/>
      <w:r>
        <w:rPr>
          <w:color w:val="000000" w:themeColor="text1"/>
          <w:highlight w:val="none"/>
        </w:rPr>
      </w:r>
      <w:bookmarkStart w:id="461" w:name="_Toc296347193"/>
      <w:r>
        <w:rPr>
          <w:color w:val="000000" w:themeColor="text1"/>
          <w:highlight w:val="none"/>
        </w:rPr>
      </w:r>
      <w:bookmarkStart w:id="462" w:name="_Toc300934990"/>
      <w:r>
        <w:rPr>
          <w:color w:val="000000" w:themeColor="text1"/>
          <w:highlight w:val="none"/>
        </w:rPr>
      </w:r>
      <w:bookmarkStart w:id="463" w:name="_Toc296346695"/>
      <w:r>
        <w:rPr>
          <w:color w:val="000000" w:themeColor="text1"/>
          <w:highlight w:val="none"/>
        </w:rPr>
      </w:r>
      <w:bookmarkStart w:id="464" w:name="_Toc296944533"/>
      <w:r>
        <w:rPr>
          <w:rFonts w:hint="eastAsia" w:ascii="宋体" w:hAnsi="宋体" w:eastAsia="宋体" w:cs="宋体"/>
          <w:color w:val="000000" w:themeColor="text1"/>
          <w:sz w:val="24"/>
          <w:szCs w:val="24"/>
          <w:highlight w:val="none"/>
        </w:rPr>
        <w:t xml:space="preserve">0.1变更的范围</w:t>
      </w:r>
      <w:bookmarkEnd w:id="445"/>
      <w:r>
        <w:rPr>
          <w:color w:val="000000" w:themeColor="text1"/>
          <w:highlight w:val="none"/>
        </w:rPr>
      </w:r>
      <w:bookmarkEnd w:id="446"/>
      <w:r>
        <w:rPr>
          <w:color w:val="000000" w:themeColor="text1"/>
          <w:highlight w:val="none"/>
        </w:rPr>
      </w:r>
      <w:bookmarkEnd w:id="447"/>
      <w:r>
        <w:rPr>
          <w:color w:val="000000" w:themeColor="text1"/>
          <w:highlight w:val="none"/>
        </w:rPr>
      </w:r>
      <w:r>
        <w:rPr>
          <w:color w:val="000000" w:themeColor="text1"/>
          <w:highlight w:val="none"/>
        </w:rPr>
      </w:r>
    </w:p>
    <w:p>
      <w:pPr>
        <w:pStyle w:val="906"/>
        <w:jc w:val="left"/>
        <w:keepLines/>
        <w:keepNext w:val="0"/>
        <w:pageBreakBefore w:val="0"/>
        <w:spacing w:before="191" w:line="360" w:lineRule="auto"/>
        <w:widowControl w:val="off"/>
        <w:tabs>
          <w:tab w:val="left" w:pos="3246"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关于变更的范围的约定：除建设单位根据项目实际</w:t>
      </w:r>
      <w:r>
        <w:rPr>
          <w:rFonts w:hint="eastAsia" w:ascii="宋体" w:hAnsi="宋体" w:eastAsia="宋体" w:cs="宋体"/>
          <w:color w:val="000000" w:themeColor="text1"/>
          <w:sz w:val="24"/>
          <w:szCs w:val="24"/>
          <w:highlight w:val="none"/>
        </w:rPr>
        <w:t xml:space="preserve">情况、项目功能改变、国家文件政策性调整提出的变更外，其他内容一律不得变更。 涉及变更、签证必须执行（沛政办发〔2018〕22号）文件，经政府相关部门批准后实施。1、设计变更必须有设计单位的设计变更通知单或工程处理单，并经发包人认可（变更文件中须明确原做法、变更后做法及工艺、材料名称、规格、品牌、尺寸等，标注要清晰）；2、现场签证须有监理工程师、发包人现场代表、承包人项目经理、设计单位四方签字认可生效； 3、若承包人擅自变更或先施工后申请变更的，其工程量不予认可；4、所有变更价款均在项目竣工后审计时统一结算。</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465" w:name="_Toc345483340"/>
      <w:r>
        <w:rPr>
          <w:color w:val="000000" w:themeColor="text1"/>
          <w:highlight w:val="none"/>
        </w:rPr>
      </w:r>
      <w:bookmarkStart w:id="466" w:name="_Toc1702387786"/>
      <w:r>
        <w:rPr>
          <w:color w:val="000000" w:themeColor="text1"/>
          <w:highlight w:val="none"/>
        </w:rPr>
      </w:r>
      <w:bookmarkStart w:id="467" w:name="_Toc16117"/>
      <w:r>
        <w:rPr>
          <w:rFonts w:hint="eastAsia" w:ascii="宋体" w:hAnsi="宋体" w:eastAsia="宋体" w:cs="宋体"/>
          <w:color w:val="000000" w:themeColor="text1"/>
          <w:sz w:val="24"/>
          <w:szCs w:val="24"/>
          <w:highlight w:val="none"/>
        </w:rPr>
        <w:t xml:space="preserve">10.2 变更估价</w:t>
      </w:r>
      <w:bookmarkEnd w:id="465"/>
      <w:r>
        <w:rPr>
          <w:color w:val="000000" w:themeColor="text1"/>
          <w:highlight w:val="none"/>
        </w:rPr>
      </w:r>
      <w:bookmarkEnd w:id="466"/>
      <w:r>
        <w:rPr>
          <w:color w:val="000000" w:themeColor="text1"/>
          <w:highlight w:val="none"/>
        </w:rPr>
      </w:r>
      <w:bookmarkEnd w:id="467"/>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10.2.1 变更估价原则</w:t>
      </w:r>
      <w:r>
        <w:rPr>
          <w:color w:val="000000" w:themeColor="text1"/>
          <w:highlight w:val="none"/>
        </w:rPr>
      </w:r>
    </w:p>
    <w:p>
      <w:pPr>
        <w:pStyle w:val="906"/>
        <w:jc w:val="left"/>
        <w:keepLines/>
        <w:keepNext w:val="0"/>
        <w:pageBreakBefore w:val="0"/>
        <w:spacing w:before="191" w:line="360" w:lineRule="auto"/>
        <w:widowControl w:val="off"/>
        <w:tabs>
          <w:tab w:val="left" w:pos="3246"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关于变更估价的约定:</w:t>
      </w:r>
      <w:r>
        <w:rPr>
          <w:rFonts w:hint="eastAsia" w:ascii="宋体" w:hAnsi="宋体" w:eastAsia="宋体" w:cs="宋体"/>
          <w:color w:val="000000" w:themeColor="text1"/>
          <w:spacing w:val="-3"/>
          <w:sz w:val="24"/>
          <w:szCs w:val="24"/>
          <w:highlight w:val="none"/>
        </w:rPr>
        <w:t xml:space="preserve"> </w:t>
      </w:r>
      <w:r>
        <w:rPr>
          <w:rFonts w:hint="eastAsia" w:ascii="宋体" w:hAnsi="宋体" w:eastAsia="宋体" w:cs="宋体"/>
          <w:color w:val="000000" w:themeColor="text1"/>
          <w:sz w:val="24"/>
          <w:szCs w:val="24"/>
          <w:highlight w:val="none"/>
          <w:u w:val="single"/>
        </w:rPr>
        <w:t xml:space="preserve">（1）采用工程量清单方式计价，竣工结算的工程量按发承包双方在合同中约定应予计量且实际完成的工程量确定，完成发包人要求的合同以外的零星工作或发生非承包人责任事件的工程量(含清单漏项)，新增工程量(含清单漏项)无投标单价的，其对应的综合单价按下列方法确定：</w:t>
      </w:r>
      <w:r>
        <w:rPr>
          <w:color w:val="000000" w:themeColor="text1"/>
          <w:highlight w:val="none"/>
        </w:rPr>
      </w:r>
    </w:p>
    <w:p>
      <w:pPr>
        <w:pStyle w:val="906"/>
        <w:jc w:val="left"/>
        <w:keepLines w:val="0"/>
        <w:keepNext w:val="0"/>
        <w:pageBreakBefore w:val="0"/>
        <w:spacing w:before="191" w:line="360" w:lineRule="auto"/>
        <w:widowControl w:val="off"/>
        <w:tabs>
          <w:tab w:val="left" w:pos="3246"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1、合同中已有的综合单价，按合同中已有的综合单价确定；</w:t>
      </w:r>
      <w:r>
        <w:rPr>
          <w:color w:val="000000" w:themeColor="text1"/>
          <w:highlight w:val="none"/>
        </w:rPr>
      </w:r>
    </w:p>
    <w:p>
      <w:pPr>
        <w:pStyle w:val="906"/>
        <w:jc w:val="left"/>
        <w:keepLines w:val="0"/>
        <w:keepNext w:val="0"/>
        <w:pageBreakBefore w:val="0"/>
        <w:spacing w:before="191" w:line="360" w:lineRule="auto"/>
        <w:widowControl w:val="off"/>
        <w:tabs>
          <w:tab w:val="left" w:pos="3246"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2、合同中已有类似的综合单价，参照类似的综合单价确定；</w:t>
      </w:r>
      <w:r>
        <w:rPr>
          <w:color w:val="000000" w:themeColor="text1"/>
          <w:highlight w:val="none"/>
        </w:rPr>
      </w:r>
    </w:p>
    <w:p>
      <w:pPr>
        <w:pStyle w:val="906"/>
        <w:jc w:val="left"/>
        <w:keepLines w:val="0"/>
        <w:keepNext w:val="0"/>
        <w:pageBreakBefore w:val="0"/>
        <w:spacing w:before="191" w:line="360" w:lineRule="auto"/>
        <w:widowControl w:val="off"/>
        <w:tabs>
          <w:tab w:val="left" w:pos="3246"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3、合同中没有适用或类似的综合单价，由承包人提出综合单价，经发包人确认后执行。 单价的组成及报价方式参照原清单的组价及计价方式（即综合单价按施工方投标文件综合单价中管理费及利润的费率，材料预算价格双方现场认定，机械费参照其他类似清单价格计取方式组价）最终以双方约定的审计机构审计结果为准。</w:t>
      </w:r>
      <w:r>
        <w:rPr>
          <w:color w:val="000000" w:themeColor="text1"/>
          <w:highlight w:val="none"/>
        </w:rPr>
      </w:r>
    </w:p>
    <w:p>
      <w:pPr>
        <w:pStyle w:val="906"/>
        <w:jc w:val="left"/>
        <w:keepLines w:val="0"/>
        <w:keepNext w:val="0"/>
        <w:pageBreakBefore w:val="0"/>
        <w:spacing w:before="191" w:line="360" w:lineRule="auto"/>
        <w:widowControl w:val="off"/>
        <w:tabs>
          <w:tab w:val="left" w:pos="3246"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（2）因分部分项工程量发生变化、清单漏项或非承包人原因的工程变更，造成施工组织设计或施工方案变更，引起措施项目发生变化时，措施费相应调整。</w:t>
      </w:r>
      <w:r>
        <w:rPr>
          <w:color w:val="000000" w:themeColor="text1"/>
          <w:highlight w:val="none"/>
        </w:rPr>
      </w:r>
    </w:p>
    <w:p>
      <w:pPr>
        <w:pStyle w:val="906"/>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10.2.2 变更估价的支付方式及时间</w:t>
      </w:r>
      <w:r>
        <w:rPr>
          <w:color w:val="000000" w:themeColor="text1"/>
          <w:highlight w:val="none"/>
        </w:rPr>
      </w:r>
    </w:p>
    <w:p>
      <w:pPr>
        <w:pStyle w:val="906"/>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关于变更价款的支付方式及时间的约定：                。</w:t>
      </w:r>
      <w:r>
        <w:rPr>
          <w:color w:val="000000" w:themeColor="text1"/>
          <w:highlight w:val="none"/>
        </w:rPr>
      </w:r>
    </w:p>
    <w:p>
      <w:pPr>
        <w:pStyle w:val="90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468" w:name="_Toc2102284973"/>
      <w:r>
        <w:rPr>
          <w:color w:val="000000" w:themeColor="text1"/>
          <w:highlight w:val="none"/>
        </w:rPr>
      </w:r>
      <w:bookmarkStart w:id="469" w:name="_Toc900110438"/>
      <w:r>
        <w:rPr>
          <w:rFonts w:hint="eastAsia" w:ascii="宋体" w:hAnsi="宋体" w:eastAsia="宋体" w:cs="宋体"/>
          <w:color w:val="000000" w:themeColor="text1"/>
          <w:sz w:val="24"/>
          <w:szCs w:val="24"/>
          <w:highlight w:val="none"/>
        </w:rPr>
        <w:t xml:space="preserve">1</w:t>
      </w:r>
      <w:bookmarkEnd w:id="448"/>
      <w:r>
        <w:rPr>
          <w:color w:val="000000" w:themeColor="text1"/>
          <w:highlight w:val="none"/>
        </w:rPr>
      </w:r>
      <w:bookmarkEnd w:id="449"/>
      <w:r>
        <w:rPr>
          <w:color w:val="000000" w:themeColor="text1"/>
          <w:highlight w:val="none"/>
        </w:rPr>
      </w:r>
      <w:bookmarkEnd w:id="450"/>
      <w:r>
        <w:rPr>
          <w:color w:val="000000" w:themeColor="text1"/>
          <w:highlight w:val="none"/>
        </w:rPr>
      </w:r>
      <w:bookmarkEnd w:id="451"/>
      <w:r>
        <w:rPr>
          <w:color w:val="000000" w:themeColor="text1"/>
          <w:highlight w:val="none"/>
        </w:rPr>
      </w:r>
      <w:bookmarkEnd w:id="452"/>
      <w:r>
        <w:rPr>
          <w:color w:val="000000" w:themeColor="text1"/>
          <w:highlight w:val="none"/>
        </w:rPr>
      </w:r>
      <w:bookmarkEnd w:id="453"/>
      <w:r>
        <w:rPr>
          <w:color w:val="000000" w:themeColor="text1"/>
          <w:highlight w:val="none"/>
        </w:rPr>
      </w:r>
      <w:bookmarkEnd w:id="454"/>
      <w:r>
        <w:rPr>
          <w:color w:val="000000" w:themeColor="text1"/>
          <w:highlight w:val="none"/>
        </w:rPr>
      </w:r>
      <w:bookmarkEnd w:id="455"/>
      <w:r>
        <w:rPr>
          <w:color w:val="000000" w:themeColor="text1"/>
          <w:highlight w:val="none"/>
        </w:rPr>
      </w:r>
      <w:bookmarkEnd w:id="456"/>
      <w:r>
        <w:rPr>
          <w:color w:val="000000" w:themeColor="text1"/>
          <w:highlight w:val="none"/>
        </w:rPr>
      </w:r>
      <w:bookmarkEnd w:id="457"/>
      <w:r>
        <w:rPr>
          <w:color w:val="000000" w:themeColor="text1"/>
          <w:highlight w:val="none"/>
        </w:rPr>
      </w:r>
      <w:bookmarkEnd w:id="458"/>
      <w:r>
        <w:rPr>
          <w:color w:val="000000" w:themeColor="text1"/>
          <w:highlight w:val="none"/>
        </w:rPr>
      </w:r>
      <w:bookmarkEnd w:id="459"/>
      <w:r>
        <w:rPr>
          <w:color w:val="000000" w:themeColor="text1"/>
          <w:highlight w:val="none"/>
        </w:rPr>
      </w:r>
      <w:bookmarkEnd w:id="460"/>
      <w:r>
        <w:rPr>
          <w:color w:val="000000" w:themeColor="text1"/>
          <w:highlight w:val="none"/>
        </w:rPr>
      </w:r>
      <w:bookmarkEnd w:id="461"/>
      <w:r>
        <w:rPr>
          <w:color w:val="000000" w:themeColor="text1"/>
          <w:highlight w:val="none"/>
        </w:rPr>
      </w:r>
      <w:bookmarkEnd w:id="462"/>
      <w:r>
        <w:rPr>
          <w:color w:val="000000" w:themeColor="text1"/>
          <w:highlight w:val="none"/>
        </w:rPr>
      </w:r>
      <w:bookmarkEnd w:id="463"/>
      <w:r>
        <w:rPr>
          <w:color w:val="000000" w:themeColor="text1"/>
          <w:highlight w:val="none"/>
        </w:rPr>
      </w:r>
      <w:bookmarkEnd w:id="464"/>
      <w:r>
        <w:rPr>
          <w:color w:val="000000" w:themeColor="text1"/>
          <w:highlight w:val="none"/>
        </w:rPr>
      </w:r>
      <w:bookmarkStart w:id="470" w:name="_Toc296347196"/>
      <w:r>
        <w:rPr>
          <w:color w:val="000000" w:themeColor="text1"/>
          <w:highlight w:val="none"/>
        </w:rPr>
      </w:r>
      <w:bookmarkStart w:id="471" w:name="_Toc297123544"/>
      <w:r>
        <w:rPr>
          <w:color w:val="000000" w:themeColor="text1"/>
          <w:highlight w:val="none"/>
        </w:rPr>
      </w:r>
      <w:bookmarkStart w:id="472" w:name="_Toc296891025"/>
      <w:r>
        <w:rPr>
          <w:color w:val="000000" w:themeColor="text1"/>
          <w:highlight w:val="none"/>
        </w:rPr>
      </w:r>
      <w:bookmarkStart w:id="473" w:name="_Toc297120497"/>
      <w:r>
        <w:rPr>
          <w:color w:val="000000" w:themeColor="text1"/>
          <w:highlight w:val="none"/>
        </w:rPr>
      </w:r>
      <w:bookmarkStart w:id="474" w:name="_Toc296891237"/>
      <w:r>
        <w:rPr>
          <w:color w:val="000000" w:themeColor="text1"/>
          <w:highlight w:val="none"/>
        </w:rPr>
      </w:r>
      <w:bookmarkStart w:id="475" w:name="_Toc296346698"/>
      <w:r>
        <w:rPr>
          <w:color w:val="000000" w:themeColor="text1"/>
          <w:highlight w:val="none"/>
        </w:rPr>
      </w:r>
      <w:bookmarkStart w:id="476" w:name="_Toc292559402"/>
      <w:r>
        <w:rPr>
          <w:color w:val="000000" w:themeColor="text1"/>
          <w:highlight w:val="none"/>
        </w:rPr>
      </w:r>
      <w:bookmarkStart w:id="477" w:name="_Toc303539150"/>
      <w:r>
        <w:rPr>
          <w:color w:val="000000" w:themeColor="text1"/>
          <w:highlight w:val="none"/>
        </w:rPr>
      </w:r>
      <w:bookmarkStart w:id="478" w:name="_Toc292559907"/>
      <w:r>
        <w:rPr>
          <w:color w:val="000000" w:themeColor="text1"/>
          <w:highlight w:val="none"/>
        </w:rPr>
      </w:r>
      <w:bookmarkStart w:id="479" w:name="_Toc296503197"/>
      <w:r>
        <w:rPr>
          <w:color w:val="000000" w:themeColor="text1"/>
          <w:highlight w:val="none"/>
        </w:rPr>
      </w:r>
      <w:bookmarkStart w:id="480" w:name="_Toc297216203"/>
      <w:r>
        <w:rPr>
          <w:color w:val="000000" w:themeColor="text1"/>
          <w:highlight w:val="none"/>
        </w:rPr>
      </w:r>
      <w:bookmarkStart w:id="481" w:name="_Toc300934993"/>
      <w:r>
        <w:rPr>
          <w:color w:val="000000" w:themeColor="text1"/>
          <w:highlight w:val="none"/>
        </w:rPr>
      </w:r>
      <w:bookmarkStart w:id="482" w:name="_Toc296944536"/>
      <w:r>
        <w:rPr>
          <w:color w:val="000000" w:themeColor="text1"/>
          <w:highlight w:val="none"/>
        </w:rPr>
      </w:r>
      <w:bookmarkStart w:id="483" w:name="_Toc297048383"/>
      <w:r>
        <w:rPr>
          <w:color w:val="000000" w:themeColor="text1"/>
          <w:highlight w:val="none"/>
        </w:rPr>
      </w:r>
      <w:bookmarkStart w:id="484" w:name="_Toc312678029"/>
      <w:r>
        <w:rPr>
          <w:color w:val="000000" w:themeColor="text1"/>
          <w:highlight w:val="none"/>
        </w:rPr>
      </w:r>
      <w:bookmarkStart w:id="485" w:name="_Toc304295570"/>
      <w:r>
        <w:rPr>
          <w:color w:val="000000" w:themeColor="text1"/>
          <w:highlight w:val="none"/>
        </w:rPr>
      </w:r>
      <w:bookmarkStart w:id="486" w:name="_Toc312677503"/>
      <w:r>
        <w:rPr>
          <w:rFonts w:hint="eastAsia" w:ascii="宋体" w:hAnsi="宋体" w:eastAsia="宋体" w:cs="宋体"/>
          <w:color w:val="000000" w:themeColor="text1"/>
          <w:sz w:val="24"/>
          <w:szCs w:val="24"/>
          <w:highlight w:val="none"/>
        </w:rPr>
        <w:t xml:space="preserve">0.3承</w:t>
      </w:r>
      <w:bookmarkEnd w:id="470"/>
      <w:r>
        <w:rPr>
          <w:color w:val="000000" w:themeColor="text1"/>
          <w:highlight w:val="none"/>
        </w:rPr>
      </w:r>
      <w:bookmarkEnd w:id="471"/>
      <w:r>
        <w:rPr>
          <w:color w:val="000000" w:themeColor="text1"/>
          <w:highlight w:val="none"/>
        </w:rPr>
      </w:r>
      <w:bookmarkEnd w:id="472"/>
      <w:r>
        <w:rPr>
          <w:color w:val="000000" w:themeColor="text1"/>
          <w:highlight w:val="none"/>
        </w:rPr>
      </w:r>
      <w:bookmarkEnd w:id="473"/>
      <w:r>
        <w:rPr>
          <w:color w:val="000000" w:themeColor="text1"/>
          <w:highlight w:val="none"/>
        </w:rPr>
      </w:r>
      <w:bookmarkEnd w:id="474"/>
      <w:r>
        <w:rPr>
          <w:color w:val="000000" w:themeColor="text1"/>
          <w:highlight w:val="none"/>
        </w:rPr>
      </w:r>
      <w:bookmarkEnd w:id="475"/>
      <w:r>
        <w:rPr>
          <w:color w:val="000000" w:themeColor="text1"/>
          <w:highlight w:val="none"/>
        </w:rPr>
      </w:r>
      <w:bookmarkEnd w:id="476"/>
      <w:r>
        <w:rPr>
          <w:color w:val="000000" w:themeColor="text1"/>
          <w:highlight w:val="none"/>
        </w:rPr>
      </w:r>
      <w:bookmarkEnd w:id="477"/>
      <w:r>
        <w:rPr>
          <w:color w:val="000000" w:themeColor="text1"/>
          <w:highlight w:val="none"/>
        </w:rPr>
      </w:r>
      <w:bookmarkEnd w:id="478"/>
      <w:r>
        <w:rPr>
          <w:color w:val="000000" w:themeColor="text1"/>
          <w:highlight w:val="none"/>
        </w:rPr>
      </w:r>
      <w:bookmarkEnd w:id="479"/>
      <w:r>
        <w:rPr>
          <w:color w:val="000000" w:themeColor="text1"/>
          <w:highlight w:val="none"/>
        </w:rPr>
      </w:r>
      <w:bookmarkEnd w:id="480"/>
      <w:r>
        <w:rPr>
          <w:color w:val="000000" w:themeColor="text1"/>
          <w:highlight w:val="none"/>
        </w:rPr>
      </w:r>
      <w:bookmarkEnd w:id="481"/>
      <w:r>
        <w:rPr>
          <w:color w:val="000000" w:themeColor="text1"/>
          <w:highlight w:val="none"/>
        </w:rPr>
      </w:r>
      <w:bookmarkEnd w:id="482"/>
      <w:r>
        <w:rPr>
          <w:color w:val="000000" w:themeColor="text1"/>
          <w:highlight w:val="none"/>
        </w:rPr>
      </w:r>
      <w:bookmarkEnd w:id="483"/>
      <w:r>
        <w:rPr>
          <w:color w:val="000000" w:themeColor="text1"/>
          <w:highlight w:val="none"/>
        </w:rPr>
      </w:r>
      <w:bookmarkStart w:id="487" w:name="_Toc300934994"/>
      <w:r>
        <w:rPr>
          <w:color w:val="000000" w:themeColor="text1"/>
          <w:highlight w:val="none"/>
        </w:rPr>
      </w:r>
      <w:bookmarkStart w:id="488" w:name="_Toc297123545"/>
      <w:r>
        <w:rPr>
          <w:color w:val="000000" w:themeColor="text1"/>
          <w:highlight w:val="none"/>
        </w:rPr>
      </w:r>
      <w:bookmarkStart w:id="489" w:name="_Toc292559408"/>
      <w:r>
        <w:rPr>
          <w:color w:val="000000" w:themeColor="text1"/>
          <w:highlight w:val="none"/>
        </w:rPr>
      </w:r>
      <w:bookmarkStart w:id="490" w:name="_Toc297120503"/>
      <w:r>
        <w:rPr>
          <w:color w:val="000000" w:themeColor="text1"/>
          <w:highlight w:val="none"/>
        </w:rPr>
      </w:r>
      <w:bookmarkStart w:id="491" w:name="_Toc296944542"/>
      <w:r>
        <w:rPr>
          <w:color w:val="000000" w:themeColor="text1"/>
          <w:highlight w:val="none"/>
        </w:rPr>
      </w:r>
      <w:bookmarkStart w:id="492" w:name="_Toc297048389"/>
      <w:r>
        <w:rPr>
          <w:color w:val="000000" w:themeColor="text1"/>
          <w:highlight w:val="none"/>
        </w:rPr>
      </w:r>
      <w:bookmarkStart w:id="493" w:name="_Toc303539151"/>
      <w:r>
        <w:rPr>
          <w:color w:val="000000" w:themeColor="text1"/>
          <w:highlight w:val="none"/>
        </w:rPr>
      </w:r>
      <w:bookmarkStart w:id="494" w:name="_Toc296346704"/>
      <w:r>
        <w:rPr>
          <w:color w:val="000000" w:themeColor="text1"/>
          <w:highlight w:val="none"/>
        </w:rPr>
      </w:r>
      <w:bookmarkStart w:id="495" w:name="_Toc296891243"/>
      <w:r>
        <w:rPr>
          <w:color w:val="000000" w:themeColor="text1"/>
          <w:highlight w:val="none"/>
        </w:rPr>
      </w:r>
      <w:bookmarkStart w:id="496" w:name="_Toc292559913"/>
      <w:r>
        <w:rPr>
          <w:color w:val="000000" w:themeColor="text1"/>
          <w:highlight w:val="none"/>
        </w:rPr>
      </w:r>
      <w:bookmarkStart w:id="497" w:name="_Toc297216204"/>
      <w:r>
        <w:rPr>
          <w:color w:val="000000" w:themeColor="text1"/>
          <w:highlight w:val="none"/>
        </w:rPr>
      </w:r>
      <w:bookmarkStart w:id="498" w:name="_Toc296503203"/>
      <w:r>
        <w:rPr>
          <w:color w:val="000000" w:themeColor="text1"/>
          <w:highlight w:val="none"/>
        </w:rPr>
      </w:r>
      <w:bookmarkStart w:id="499" w:name="_Toc296347202"/>
      <w:r>
        <w:rPr>
          <w:color w:val="000000" w:themeColor="text1"/>
          <w:highlight w:val="none"/>
        </w:rPr>
      </w:r>
      <w:bookmarkStart w:id="500" w:name="_Toc296891031"/>
      <w:r>
        <w:rPr>
          <w:rFonts w:hint="eastAsia" w:ascii="宋体" w:hAnsi="宋体" w:eastAsia="宋体" w:cs="宋体"/>
          <w:color w:val="000000" w:themeColor="text1"/>
          <w:sz w:val="24"/>
          <w:szCs w:val="24"/>
          <w:highlight w:val="none"/>
        </w:rPr>
        <w:t xml:space="preserve">包人的合理化建议</w:t>
      </w:r>
      <w:bookmarkEnd w:id="468"/>
      <w:r>
        <w:rPr>
          <w:color w:val="000000" w:themeColor="text1"/>
          <w:highlight w:val="none"/>
        </w:rPr>
      </w:r>
      <w:bookmarkEnd w:id="469"/>
      <w:r>
        <w:rPr>
          <w:color w:val="000000" w:themeColor="text1"/>
          <w:highlight w:val="none"/>
        </w:rPr>
      </w:r>
      <w:bookmarkEnd w:id="484"/>
      <w:r>
        <w:rPr>
          <w:color w:val="000000" w:themeColor="text1"/>
          <w:highlight w:val="none"/>
        </w:rPr>
      </w:r>
      <w:bookmarkEnd w:id="485"/>
      <w:r>
        <w:rPr>
          <w:color w:val="000000" w:themeColor="text1"/>
          <w:highlight w:val="none"/>
        </w:rPr>
      </w:r>
      <w:bookmarkEnd w:id="486"/>
      <w:r>
        <w:rPr>
          <w:color w:val="000000" w:themeColor="text1"/>
          <w:highlight w:val="none"/>
        </w:rPr>
      </w:r>
      <w:bookmarkEnd w:id="487"/>
      <w:r>
        <w:rPr>
          <w:color w:val="000000" w:themeColor="text1"/>
          <w:highlight w:val="none"/>
        </w:rPr>
      </w:r>
      <w:bookmarkEnd w:id="488"/>
      <w:r>
        <w:rPr>
          <w:color w:val="000000" w:themeColor="text1"/>
          <w:highlight w:val="none"/>
        </w:rPr>
      </w:r>
      <w:bookmarkEnd w:id="489"/>
      <w:r>
        <w:rPr>
          <w:color w:val="000000" w:themeColor="text1"/>
          <w:highlight w:val="none"/>
        </w:rPr>
      </w:r>
      <w:bookmarkEnd w:id="490"/>
      <w:r>
        <w:rPr>
          <w:color w:val="000000" w:themeColor="text1"/>
          <w:highlight w:val="none"/>
        </w:rPr>
      </w:r>
      <w:bookmarkEnd w:id="491"/>
      <w:r>
        <w:rPr>
          <w:color w:val="000000" w:themeColor="text1"/>
          <w:highlight w:val="none"/>
        </w:rPr>
      </w:r>
      <w:bookmarkEnd w:id="492"/>
      <w:r>
        <w:rPr>
          <w:color w:val="000000" w:themeColor="text1"/>
          <w:highlight w:val="none"/>
        </w:rPr>
      </w:r>
      <w:bookmarkEnd w:id="493"/>
      <w:r>
        <w:rPr>
          <w:color w:val="000000" w:themeColor="text1"/>
          <w:highlight w:val="none"/>
        </w:rPr>
      </w:r>
      <w:bookmarkEnd w:id="494"/>
      <w:r>
        <w:rPr>
          <w:color w:val="000000" w:themeColor="text1"/>
          <w:highlight w:val="none"/>
        </w:rPr>
      </w:r>
      <w:bookmarkEnd w:id="495"/>
      <w:r>
        <w:rPr>
          <w:color w:val="000000" w:themeColor="text1"/>
          <w:highlight w:val="none"/>
        </w:rPr>
      </w:r>
      <w:bookmarkEnd w:id="496"/>
      <w:r>
        <w:rPr>
          <w:color w:val="000000" w:themeColor="text1"/>
          <w:highlight w:val="none"/>
        </w:rPr>
      </w:r>
      <w:bookmarkEnd w:id="497"/>
      <w:r>
        <w:rPr>
          <w:color w:val="000000" w:themeColor="text1"/>
          <w:highlight w:val="none"/>
        </w:rPr>
      </w:r>
      <w:bookmarkEnd w:id="498"/>
      <w:r>
        <w:rPr>
          <w:color w:val="000000" w:themeColor="text1"/>
          <w:highlight w:val="none"/>
        </w:rPr>
      </w:r>
      <w:bookmarkEnd w:id="499"/>
      <w:r>
        <w:rPr>
          <w:color w:val="000000" w:themeColor="text1"/>
          <w:highlight w:val="none"/>
        </w:rPr>
      </w:r>
      <w:bookmarkEnd w:id="500"/>
      <w:r>
        <w:rPr>
          <w:color w:val="000000" w:themeColor="text1"/>
          <w:highlight w:val="none"/>
        </w:rPr>
      </w:r>
      <w:r>
        <w:rPr>
          <w:color w:val="000000" w:themeColor="text1"/>
          <w:highlight w:val="none"/>
        </w:rPr>
      </w:r>
    </w:p>
    <w:p>
      <w:pPr>
        <w:pStyle w:val="923"/>
        <w:ind w:left="63" w:right="63"/>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监理人审查承包人合理化建议的期限：</w:t>
      </w:r>
      <w:r>
        <w:rPr>
          <w:rFonts w:hint="eastAsia" w:ascii="宋体" w:hAnsi="宋体" w:eastAsia="宋体" w:cs="宋体"/>
          <w:color w:val="000000" w:themeColor="text1"/>
          <w:sz w:val="24"/>
          <w:szCs w:val="24"/>
          <w:highlight w:val="none"/>
          <w:u w:val="single"/>
        </w:rPr>
        <w:t xml:space="preserve">监理人应在收到承包人提交的合理化建议后 7天内审查完毕并报送发包人</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发包人审批承包人合理化建议的期限：</w:t>
      </w:r>
      <w:r>
        <w:rPr>
          <w:rFonts w:hint="eastAsia" w:ascii="宋体" w:hAnsi="宋体" w:eastAsia="宋体" w:cs="宋体"/>
          <w:color w:val="000000" w:themeColor="text1"/>
          <w:sz w:val="24"/>
          <w:szCs w:val="24"/>
          <w:highlight w:val="none"/>
          <w:u w:val="single"/>
        </w:rPr>
        <w:t xml:space="preserve">监理人应在收到承包人提交的合理化建议后7天内审查完毕并报送发包人</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w:t>
      </w:r>
      <w:bookmarkStart w:id="501" w:name="_Toc296891032"/>
      <w:r>
        <w:rPr>
          <w:color w:val="000000" w:themeColor="text1"/>
          <w:highlight w:val="none"/>
        </w:rPr>
      </w:r>
      <w:bookmarkStart w:id="502" w:name="_Toc312678030"/>
      <w:r>
        <w:rPr>
          <w:color w:val="000000" w:themeColor="text1"/>
          <w:highlight w:val="none"/>
        </w:rPr>
      </w:r>
      <w:bookmarkStart w:id="503" w:name="_Toc297123546"/>
      <w:r>
        <w:rPr>
          <w:color w:val="000000" w:themeColor="text1"/>
          <w:highlight w:val="none"/>
        </w:rPr>
      </w:r>
      <w:bookmarkStart w:id="504" w:name="_Toc300934995"/>
      <w:r>
        <w:rPr>
          <w:color w:val="000000" w:themeColor="text1"/>
          <w:highlight w:val="none"/>
        </w:rPr>
      </w:r>
      <w:bookmarkStart w:id="505" w:name="_Toc297120504"/>
      <w:r>
        <w:rPr>
          <w:color w:val="000000" w:themeColor="text1"/>
          <w:highlight w:val="none"/>
        </w:rPr>
      </w:r>
      <w:bookmarkStart w:id="506" w:name="_Toc303539152"/>
      <w:r>
        <w:rPr>
          <w:color w:val="000000" w:themeColor="text1"/>
          <w:highlight w:val="none"/>
        </w:rPr>
      </w:r>
      <w:bookmarkStart w:id="507" w:name="_Toc304295571"/>
      <w:r>
        <w:rPr>
          <w:color w:val="000000" w:themeColor="text1"/>
          <w:highlight w:val="none"/>
        </w:rPr>
      </w:r>
      <w:bookmarkStart w:id="508" w:name="_Toc296347203"/>
      <w:r>
        <w:rPr>
          <w:color w:val="000000" w:themeColor="text1"/>
          <w:highlight w:val="none"/>
        </w:rPr>
      </w:r>
      <w:bookmarkStart w:id="509" w:name="_Toc297048390"/>
      <w:r>
        <w:rPr>
          <w:color w:val="000000" w:themeColor="text1"/>
          <w:highlight w:val="none"/>
        </w:rPr>
      </w:r>
      <w:bookmarkStart w:id="510" w:name="_Toc292559914"/>
      <w:r>
        <w:rPr>
          <w:color w:val="000000" w:themeColor="text1"/>
          <w:highlight w:val="none"/>
        </w:rPr>
      </w:r>
      <w:bookmarkStart w:id="511" w:name="_Toc297216205"/>
      <w:r>
        <w:rPr>
          <w:color w:val="000000" w:themeColor="text1"/>
          <w:highlight w:val="none"/>
        </w:rPr>
      </w:r>
      <w:bookmarkStart w:id="512" w:name="_Toc292559409"/>
      <w:r>
        <w:rPr>
          <w:color w:val="000000" w:themeColor="text1"/>
          <w:highlight w:val="none"/>
        </w:rPr>
      </w:r>
      <w:bookmarkStart w:id="513" w:name="_Toc318581175"/>
      <w:r>
        <w:rPr>
          <w:color w:val="000000" w:themeColor="text1"/>
          <w:highlight w:val="none"/>
        </w:rPr>
      </w:r>
      <w:bookmarkStart w:id="514" w:name="_Toc296891244"/>
      <w:r>
        <w:rPr>
          <w:color w:val="000000" w:themeColor="text1"/>
          <w:highlight w:val="none"/>
        </w:rPr>
      </w:r>
      <w:bookmarkStart w:id="515" w:name="_Toc296346705"/>
      <w:r>
        <w:rPr>
          <w:color w:val="000000" w:themeColor="text1"/>
          <w:highlight w:val="none"/>
        </w:rPr>
      </w:r>
      <w:bookmarkStart w:id="516" w:name="_Toc296503204"/>
      <w:r>
        <w:rPr>
          <w:color w:val="000000" w:themeColor="text1"/>
          <w:highlight w:val="none"/>
        </w:rPr>
      </w:r>
      <w:bookmarkStart w:id="517" w:name="_Toc296944543"/>
      <w:r>
        <w:rPr>
          <w:color w:val="000000" w:themeColor="text1"/>
          <w:highlight w:val="none"/>
        </w:rPr>
      </w:r>
      <w:bookmarkStart w:id="518" w:name="_Toc312677504"/>
      <w:r>
        <w:rPr>
          <w:rFonts w:hint="eastAsia" w:ascii="宋体" w:hAnsi="宋体" w:eastAsia="宋体" w:cs="宋体"/>
          <w:color w:val="000000" w:themeColor="text1"/>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000000" w:themeColor="text1"/>
          <w:sz w:val="24"/>
          <w:szCs w:val="24"/>
          <w:highlight w:val="none"/>
          <w:u w:val="single"/>
        </w:rPr>
        <w:t xml:space="preserve">不奖励</w:t>
      </w:r>
      <w:r>
        <w:rPr>
          <w:rFonts w:hint="eastAsia" w:ascii="宋体" w:hAnsi="宋体" w:eastAsia="宋体" w:cs="宋体"/>
          <w:color w:val="000000" w:themeColor="text1"/>
          <w:sz w:val="24"/>
          <w:szCs w:val="24"/>
          <w:highlight w:val="none"/>
        </w:rPr>
        <w:t xml:space="preserve">。</w:t>
      </w:r>
      <w:bookmarkEnd w:id="501"/>
      <w:r>
        <w:rPr>
          <w:color w:val="000000" w:themeColor="text1"/>
          <w:highlight w:val="none"/>
        </w:rPr>
      </w:r>
      <w:bookmarkEnd w:id="502"/>
      <w:r>
        <w:rPr>
          <w:color w:val="000000" w:themeColor="text1"/>
          <w:highlight w:val="none"/>
        </w:rPr>
      </w:r>
      <w:bookmarkEnd w:id="503"/>
      <w:r>
        <w:rPr>
          <w:color w:val="000000" w:themeColor="text1"/>
          <w:highlight w:val="none"/>
        </w:rPr>
      </w:r>
      <w:bookmarkEnd w:id="504"/>
      <w:r>
        <w:rPr>
          <w:color w:val="000000" w:themeColor="text1"/>
          <w:highlight w:val="none"/>
        </w:rPr>
      </w:r>
      <w:bookmarkEnd w:id="505"/>
      <w:r>
        <w:rPr>
          <w:color w:val="000000" w:themeColor="text1"/>
          <w:highlight w:val="none"/>
        </w:rPr>
      </w:r>
      <w:bookmarkEnd w:id="506"/>
      <w:r>
        <w:rPr>
          <w:color w:val="000000" w:themeColor="text1"/>
          <w:highlight w:val="none"/>
        </w:rPr>
      </w:r>
      <w:bookmarkEnd w:id="507"/>
      <w:r>
        <w:rPr>
          <w:color w:val="000000" w:themeColor="text1"/>
          <w:highlight w:val="none"/>
        </w:rPr>
      </w:r>
      <w:bookmarkEnd w:id="508"/>
      <w:r>
        <w:rPr>
          <w:color w:val="000000" w:themeColor="text1"/>
          <w:highlight w:val="none"/>
        </w:rPr>
      </w:r>
      <w:bookmarkEnd w:id="509"/>
      <w:r>
        <w:rPr>
          <w:color w:val="000000" w:themeColor="text1"/>
          <w:highlight w:val="none"/>
        </w:rPr>
      </w:r>
      <w:bookmarkEnd w:id="510"/>
      <w:r>
        <w:rPr>
          <w:color w:val="000000" w:themeColor="text1"/>
          <w:highlight w:val="none"/>
        </w:rPr>
      </w:r>
      <w:bookmarkEnd w:id="511"/>
      <w:r>
        <w:rPr>
          <w:color w:val="000000" w:themeColor="text1"/>
          <w:highlight w:val="none"/>
        </w:rPr>
      </w:r>
      <w:bookmarkEnd w:id="512"/>
      <w:r>
        <w:rPr>
          <w:color w:val="000000" w:themeColor="text1"/>
          <w:highlight w:val="none"/>
        </w:rPr>
      </w:r>
      <w:bookmarkEnd w:id="513"/>
      <w:r>
        <w:rPr>
          <w:color w:val="000000" w:themeColor="text1"/>
          <w:highlight w:val="none"/>
        </w:rPr>
      </w:r>
      <w:bookmarkEnd w:id="514"/>
      <w:r>
        <w:rPr>
          <w:color w:val="000000" w:themeColor="text1"/>
          <w:highlight w:val="none"/>
        </w:rPr>
      </w:r>
      <w:bookmarkEnd w:id="515"/>
      <w:r>
        <w:rPr>
          <w:color w:val="000000" w:themeColor="text1"/>
          <w:highlight w:val="none"/>
        </w:rPr>
      </w:r>
      <w:bookmarkEnd w:id="516"/>
      <w:r>
        <w:rPr>
          <w:color w:val="000000" w:themeColor="text1"/>
          <w:highlight w:val="none"/>
        </w:rPr>
      </w:r>
      <w:bookmarkEnd w:id="517"/>
      <w:r>
        <w:rPr>
          <w:color w:val="000000" w:themeColor="text1"/>
          <w:highlight w:val="none"/>
        </w:rPr>
      </w:r>
      <w:bookmarkEnd w:id="518"/>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519" w:name="_Toc1821307230"/>
      <w:r>
        <w:rPr>
          <w:color w:val="000000" w:themeColor="text1"/>
          <w:highlight w:val="none"/>
        </w:rPr>
      </w:r>
      <w:bookmarkStart w:id="520" w:name="_Toc1308"/>
      <w:r>
        <w:rPr>
          <w:color w:val="000000" w:themeColor="text1"/>
          <w:highlight w:val="none"/>
        </w:rPr>
      </w:r>
      <w:bookmarkStart w:id="521" w:name="_Toc1569203092"/>
      <w:r>
        <w:rPr>
          <w:rFonts w:hint="eastAsia" w:ascii="宋体" w:hAnsi="宋体" w:eastAsia="宋体" w:cs="宋体"/>
          <w:color w:val="000000" w:themeColor="text1"/>
          <w:sz w:val="24"/>
          <w:szCs w:val="24"/>
          <w:highlight w:val="none"/>
        </w:rPr>
        <w:t xml:space="preserve">1</w:t>
      </w:r>
      <w:bookmarkStart w:id="522" w:name="_Toc297048385"/>
      <w:r>
        <w:rPr>
          <w:color w:val="000000" w:themeColor="text1"/>
          <w:highlight w:val="none"/>
        </w:rPr>
      </w:r>
      <w:bookmarkStart w:id="523" w:name="_Toc292559909"/>
      <w:r>
        <w:rPr>
          <w:color w:val="000000" w:themeColor="text1"/>
          <w:highlight w:val="none"/>
        </w:rPr>
      </w:r>
      <w:bookmarkStart w:id="524" w:name="_Toc304295574"/>
      <w:r>
        <w:rPr>
          <w:color w:val="000000" w:themeColor="text1"/>
          <w:highlight w:val="none"/>
        </w:rPr>
      </w:r>
      <w:bookmarkStart w:id="525" w:name="_Toc296891027"/>
      <w:r>
        <w:rPr>
          <w:color w:val="000000" w:themeColor="text1"/>
          <w:highlight w:val="none"/>
        </w:rPr>
      </w:r>
      <w:bookmarkStart w:id="526" w:name="_Toc312678033"/>
      <w:r>
        <w:rPr>
          <w:color w:val="000000" w:themeColor="text1"/>
          <w:highlight w:val="none"/>
        </w:rPr>
      </w:r>
      <w:bookmarkStart w:id="527" w:name="_Toc297123548"/>
      <w:r>
        <w:rPr>
          <w:color w:val="000000" w:themeColor="text1"/>
          <w:highlight w:val="none"/>
        </w:rPr>
      </w:r>
      <w:bookmarkStart w:id="528" w:name="_Toc296347198"/>
      <w:r>
        <w:rPr>
          <w:color w:val="000000" w:themeColor="text1"/>
          <w:highlight w:val="none"/>
        </w:rPr>
      </w:r>
      <w:bookmarkStart w:id="529" w:name="_Toc296346700"/>
      <w:r>
        <w:rPr>
          <w:color w:val="000000" w:themeColor="text1"/>
          <w:highlight w:val="none"/>
        </w:rPr>
      </w:r>
      <w:bookmarkStart w:id="530" w:name="_Toc303539154"/>
      <w:r>
        <w:rPr>
          <w:color w:val="000000" w:themeColor="text1"/>
          <w:highlight w:val="none"/>
        </w:rPr>
      </w:r>
      <w:bookmarkStart w:id="531" w:name="_Toc296503199"/>
      <w:r>
        <w:rPr>
          <w:color w:val="000000" w:themeColor="text1"/>
          <w:highlight w:val="none"/>
        </w:rPr>
      </w:r>
      <w:bookmarkStart w:id="532" w:name="_Toc296891239"/>
      <w:r>
        <w:rPr>
          <w:color w:val="000000" w:themeColor="text1"/>
          <w:highlight w:val="none"/>
        </w:rPr>
      </w:r>
      <w:bookmarkStart w:id="533" w:name="_Toc292559404"/>
      <w:r>
        <w:rPr>
          <w:color w:val="000000" w:themeColor="text1"/>
          <w:highlight w:val="none"/>
        </w:rPr>
      </w:r>
      <w:bookmarkStart w:id="534" w:name="_Toc297120499"/>
      <w:r>
        <w:rPr>
          <w:color w:val="000000" w:themeColor="text1"/>
          <w:highlight w:val="none"/>
        </w:rPr>
      </w:r>
      <w:bookmarkStart w:id="535" w:name="_Toc300934997"/>
      <w:r>
        <w:rPr>
          <w:color w:val="000000" w:themeColor="text1"/>
          <w:highlight w:val="none"/>
        </w:rPr>
      </w:r>
      <w:bookmarkStart w:id="536" w:name="_Toc312677507"/>
      <w:r>
        <w:rPr>
          <w:color w:val="000000" w:themeColor="text1"/>
          <w:highlight w:val="none"/>
        </w:rPr>
      </w:r>
      <w:bookmarkStart w:id="537" w:name="_Toc296944538"/>
      <w:r>
        <w:rPr>
          <w:color w:val="000000" w:themeColor="text1"/>
          <w:highlight w:val="none"/>
        </w:rPr>
      </w:r>
      <w:bookmarkStart w:id="538" w:name="_Toc297216207"/>
      <w:r>
        <w:rPr>
          <w:rFonts w:hint="eastAsia" w:ascii="宋体" w:hAnsi="宋体" w:eastAsia="宋体" w:cs="宋体"/>
          <w:color w:val="000000" w:themeColor="text1"/>
          <w:sz w:val="24"/>
          <w:szCs w:val="24"/>
          <w:highlight w:val="none"/>
        </w:rPr>
        <w:t xml:space="preserve">0.4 暂估价</w:t>
      </w:r>
      <w:bookmarkEnd w:id="519"/>
      <w:r>
        <w:rPr>
          <w:color w:val="000000" w:themeColor="text1"/>
          <w:highlight w:val="none"/>
        </w:rPr>
      </w:r>
      <w:bookmarkEnd w:id="520"/>
      <w:r>
        <w:rPr>
          <w:color w:val="000000" w:themeColor="text1"/>
          <w:highlight w:val="none"/>
        </w:rPr>
      </w:r>
      <w:bookmarkEnd w:id="521"/>
      <w:r>
        <w:rPr>
          <w:color w:val="000000" w:themeColor="text1"/>
          <w:highlight w:val="none"/>
        </w:rPr>
      </w:r>
      <w:bookmarkEnd w:id="522"/>
      <w:r>
        <w:rPr>
          <w:color w:val="000000" w:themeColor="text1"/>
          <w:highlight w:val="none"/>
        </w:rPr>
      </w:r>
      <w:bookmarkEnd w:id="523"/>
      <w:r>
        <w:rPr>
          <w:color w:val="000000" w:themeColor="text1"/>
          <w:highlight w:val="none"/>
        </w:rPr>
      </w:r>
      <w:bookmarkEnd w:id="524"/>
      <w:r>
        <w:rPr>
          <w:color w:val="000000" w:themeColor="text1"/>
          <w:highlight w:val="none"/>
        </w:rPr>
      </w:r>
      <w:bookmarkEnd w:id="525"/>
      <w:r>
        <w:rPr>
          <w:color w:val="000000" w:themeColor="text1"/>
          <w:highlight w:val="none"/>
        </w:rPr>
      </w:r>
      <w:bookmarkEnd w:id="526"/>
      <w:r>
        <w:rPr>
          <w:color w:val="000000" w:themeColor="text1"/>
          <w:highlight w:val="none"/>
        </w:rPr>
      </w:r>
      <w:bookmarkEnd w:id="527"/>
      <w:r>
        <w:rPr>
          <w:color w:val="000000" w:themeColor="text1"/>
          <w:highlight w:val="none"/>
        </w:rPr>
      </w:r>
      <w:bookmarkEnd w:id="528"/>
      <w:r>
        <w:rPr>
          <w:color w:val="000000" w:themeColor="text1"/>
          <w:highlight w:val="none"/>
        </w:rPr>
      </w:r>
      <w:bookmarkEnd w:id="529"/>
      <w:r>
        <w:rPr>
          <w:color w:val="000000" w:themeColor="text1"/>
          <w:highlight w:val="none"/>
        </w:rPr>
      </w:r>
      <w:bookmarkEnd w:id="530"/>
      <w:r>
        <w:rPr>
          <w:color w:val="000000" w:themeColor="text1"/>
          <w:highlight w:val="none"/>
        </w:rPr>
      </w:r>
      <w:bookmarkEnd w:id="531"/>
      <w:r>
        <w:rPr>
          <w:color w:val="000000" w:themeColor="text1"/>
          <w:highlight w:val="none"/>
        </w:rPr>
      </w:r>
      <w:bookmarkEnd w:id="532"/>
      <w:r>
        <w:rPr>
          <w:color w:val="000000" w:themeColor="text1"/>
          <w:highlight w:val="none"/>
        </w:rPr>
      </w:r>
      <w:bookmarkEnd w:id="533"/>
      <w:r>
        <w:rPr>
          <w:color w:val="000000" w:themeColor="text1"/>
          <w:highlight w:val="none"/>
        </w:rPr>
      </w:r>
      <w:bookmarkEnd w:id="534"/>
      <w:r>
        <w:rPr>
          <w:color w:val="000000" w:themeColor="text1"/>
          <w:highlight w:val="none"/>
        </w:rPr>
      </w:r>
      <w:bookmarkEnd w:id="535"/>
      <w:r>
        <w:rPr>
          <w:color w:val="000000" w:themeColor="text1"/>
          <w:highlight w:val="none"/>
        </w:rPr>
      </w:r>
      <w:bookmarkEnd w:id="536"/>
      <w:r>
        <w:rPr>
          <w:color w:val="000000" w:themeColor="text1"/>
          <w:highlight w:val="none"/>
        </w:rPr>
      </w:r>
      <w:bookmarkEnd w:id="537"/>
      <w:r>
        <w:rPr>
          <w:color w:val="000000" w:themeColor="text1"/>
          <w:highlight w:val="none"/>
        </w:rPr>
      </w:r>
      <w:bookmarkEnd w:id="538"/>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暂</w:t>
      </w:r>
      <w:bookmarkStart w:id="539" w:name="_Toc312677508"/>
      <w:r>
        <w:rPr>
          <w:color w:val="000000" w:themeColor="text1"/>
          <w:highlight w:val="none"/>
        </w:rPr>
      </w:r>
      <w:bookmarkStart w:id="540" w:name="_Toc312678034"/>
      <w:r>
        <w:rPr>
          <w:color w:val="000000" w:themeColor="text1"/>
          <w:highlight w:val="none"/>
        </w:rPr>
      </w:r>
      <w:bookmarkStart w:id="541" w:name="_Toc318581176"/>
      <w:r>
        <w:rPr>
          <w:rFonts w:hint="eastAsia" w:ascii="宋体" w:hAnsi="宋体" w:eastAsia="宋体" w:cs="宋体"/>
          <w:color w:val="000000" w:themeColor="text1"/>
          <w:sz w:val="24"/>
          <w:szCs w:val="24"/>
          <w:highlight w:val="none"/>
        </w:rPr>
        <w:t xml:space="preserve">估价材料的明细详见附件3：《暂估价一览表》。</w:t>
      </w:r>
      <w:bookmarkEnd w:id="539"/>
      <w:r>
        <w:rPr>
          <w:color w:val="000000" w:themeColor="text1"/>
          <w:highlight w:val="none"/>
        </w:rPr>
      </w:r>
      <w:bookmarkEnd w:id="540"/>
      <w:r>
        <w:rPr>
          <w:color w:val="000000" w:themeColor="text1"/>
          <w:highlight w:val="none"/>
        </w:rPr>
      </w:r>
      <w:bookmarkEnd w:id="541"/>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bookmarkStart w:id="542" w:name="_Toc312677509"/>
      <w:r>
        <w:rPr>
          <w:color w:val="000000" w:themeColor="text1"/>
          <w:highlight w:val="none"/>
        </w:rPr>
      </w:r>
      <w:bookmarkStart w:id="543" w:name="_Toc318581177"/>
      <w:r>
        <w:rPr>
          <w:color w:val="000000" w:themeColor="text1"/>
          <w:highlight w:val="none"/>
        </w:rPr>
      </w:r>
      <w:bookmarkStart w:id="544" w:name="_Toc312678035"/>
      <w:r>
        <w:rPr>
          <w:rFonts w:hint="eastAsia" w:ascii="宋体" w:hAnsi="宋体" w:eastAsia="宋体" w:cs="宋体"/>
          <w:color w:val="000000" w:themeColor="text1"/>
          <w:sz w:val="24"/>
          <w:szCs w:val="24"/>
          <w:highlight w:val="none"/>
        </w:rPr>
        <w:t xml:space="preserve">0.4.1 依法必须招标的暂估价项目</w:t>
      </w:r>
      <w:bookmarkEnd w:id="542"/>
      <w:r>
        <w:rPr>
          <w:color w:val="000000" w:themeColor="text1"/>
          <w:highlight w:val="none"/>
        </w:rPr>
      </w:r>
      <w:bookmarkEnd w:id="543"/>
      <w:r>
        <w:rPr>
          <w:color w:val="000000" w:themeColor="text1"/>
          <w:highlight w:val="none"/>
        </w:rPr>
      </w:r>
      <w:bookmarkEnd w:id="544"/>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对于依法必须招标的暂估价项目的确认和批准采取通用合同条款中第</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种方式确定。</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10.4.2 不属于依法必须招标的暂估价项目</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对于不属于依法必须招标的暂估价项目的确认和批准采取通用合同条款中第种方式确定。</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第3种方式：承包人直接实施的暂估价项目</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承包人直接实施的暂估价项目的约定：                  。</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10.5 暂列金额</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合同当事人关于暂列金额使用的约定：</w:t>
      </w:r>
      <w:r>
        <w:rPr>
          <w:rFonts w:hint="eastAsia" w:ascii="宋体" w:hAnsi="宋体" w:eastAsia="宋体" w:cs="宋体"/>
          <w:color w:val="000000" w:themeColor="text1"/>
          <w:sz w:val="24"/>
          <w:szCs w:val="24"/>
          <w:highlight w:val="none"/>
          <w:u w:val="single"/>
        </w:rPr>
        <w:t xml:space="preserve">按招标人要求</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10"/>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545" w:name="_Toc1637898606"/>
      <w:r>
        <w:rPr>
          <w:color w:val="000000" w:themeColor="text1"/>
          <w:highlight w:val="none"/>
        </w:rPr>
      </w:r>
      <w:bookmarkStart w:id="546" w:name="_Toc17442182"/>
      <w:r>
        <w:rPr>
          <w:rFonts w:hint="eastAsia" w:ascii="宋体" w:hAnsi="宋体" w:eastAsia="宋体" w:cs="宋体"/>
          <w:b w:val="0"/>
          <w:color w:val="000000" w:themeColor="text1"/>
          <w:sz w:val="24"/>
          <w:szCs w:val="24"/>
          <w:highlight w:val="none"/>
        </w:rPr>
        <w:t xml:space="preserve">11. 价格调整</w:t>
      </w:r>
      <w:bookmarkEnd w:id="545"/>
      <w:r>
        <w:rPr>
          <w:color w:val="000000" w:themeColor="text1"/>
          <w:highlight w:val="none"/>
        </w:rPr>
      </w:r>
      <w:bookmarkEnd w:id="546"/>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547" w:name="_Toc303539157"/>
      <w:r>
        <w:rPr>
          <w:color w:val="000000" w:themeColor="text1"/>
          <w:highlight w:val="none"/>
        </w:rPr>
      </w:r>
      <w:bookmarkStart w:id="548" w:name="_Toc297123550"/>
      <w:r>
        <w:rPr>
          <w:color w:val="000000" w:themeColor="text1"/>
          <w:highlight w:val="none"/>
        </w:rPr>
      </w:r>
      <w:bookmarkStart w:id="549" w:name="_Toc1614717129"/>
      <w:r>
        <w:rPr>
          <w:color w:val="000000" w:themeColor="text1"/>
          <w:highlight w:val="none"/>
        </w:rPr>
      </w:r>
      <w:bookmarkStart w:id="550" w:name="_Toc292559911"/>
      <w:r>
        <w:rPr>
          <w:color w:val="000000" w:themeColor="text1"/>
          <w:highlight w:val="none"/>
        </w:rPr>
      </w:r>
      <w:bookmarkStart w:id="551" w:name="_Toc296346702"/>
      <w:r>
        <w:rPr>
          <w:color w:val="000000" w:themeColor="text1"/>
          <w:highlight w:val="none"/>
        </w:rPr>
      </w:r>
      <w:bookmarkStart w:id="552" w:name="_Toc296347200"/>
      <w:r>
        <w:rPr>
          <w:color w:val="000000" w:themeColor="text1"/>
          <w:highlight w:val="none"/>
        </w:rPr>
      </w:r>
      <w:bookmarkStart w:id="553" w:name="_Toc296891029"/>
      <w:r>
        <w:rPr>
          <w:color w:val="000000" w:themeColor="text1"/>
          <w:highlight w:val="none"/>
        </w:rPr>
      </w:r>
      <w:bookmarkStart w:id="554" w:name="_Toc1840417661"/>
      <w:r>
        <w:rPr>
          <w:color w:val="000000" w:themeColor="text1"/>
          <w:highlight w:val="none"/>
        </w:rPr>
      </w:r>
      <w:bookmarkStart w:id="555" w:name="_Toc296944540"/>
      <w:r>
        <w:rPr>
          <w:color w:val="000000" w:themeColor="text1"/>
          <w:highlight w:val="none"/>
        </w:rPr>
      </w:r>
      <w:bookmarkStart w:id="556" w:name="_Toc31698"/>
      <w:r>
        <w:rPr>
          <w:color w:val="000000" w:themeColor="text1"/>
          <w:highlight w:val="none"/>
        </w:rPr>
      </w:r>
      <w:bookmarkStart w:id="557" w:name="_Toc300935000"/>
      <w:r>
        <w:rPr>
          <w:color w:val="000000" w:themeColor="text1"/>
          <w:highlight w:val="none"/>
        </w:rPr>
      </w:r>
      <w:bookmarkStart w:id="558" w:name="_Toc292559406"/>
      <w:r>
        <w:rPr>
          <w:color w:val="000000" w:themeColor="text1"/>
          <w:highlight w:val="none"/>
        </w:rPr>
      </w:r>
      <w:bookmarkStart w:id="559" w:name="_Toc297048387"/>
      <w:r>
        <w:rPr>
          <w:color w:val="000000" w:themeColor="text1"/>
          <w:highlight w:val="none"/>
        </w:rPr>
      </w:r>
      <w:bookmarkStart w:id="560" w:name="_Toc312678039"/>
      <w:r>
        <w:rPr>
          <w:color w:val="000000" w:themeColor="text1"/>
          <w:highlight w:val="none"/>
        </w:rPr>
      </w:r>
      <w:bookmarkStart w:id="561" w:name="_Toc297216209"/>
      <w:r>
        <w:rPr>
          <w:color w:val="000000" w:themeColor="text1"/>
          <w:highlight w:val="none"/>
        </w:rPr>
      </w:r>
      <w:bookmarkStart w:id="562" w:name="_Toc296891241"/>
      <w:r>
        <w:rPr>
          <w:color w:val="000000" w:themeColor="text1"/>
          <w:highlight w:val="none"/>
        </w:rPr>
      </w:r>
      <w:bookmarkStart w:id="563" w:name="_Toc296503201"/>
      <w:r>
        <w:rPr>
          <w:color w:val="000000" w:themeColor="text1"/>
          <w:highlight w:val="none"/>
        </w:rPr>
      </w:r>
      <w:bookmarkStart w:id="564" w:name="_Toc304295577"/>
      <w:r>
        <w:rPr>
          <w:color w:val="000000" w:themeColor="text1"/>
          <w:highlight w:val="none"/>
        </w:rPr>
      </w:r>
      <w:bookmarkStart w:id="565" w:name="_Toc297120501"/>
      <w:r>
        <w:rPr>
          <w:rFonts w:hint="eastAsia" w:ascii="宋体" w:hAnsi="宋体" w:eastAsia="宋体" w:cs="宋体"/>
          <w:color w:val="000000" w:themeColor="text1"/>
          <w:sz w:val="24"/>
          <w:szCs w:val="24"/>
          <w:highlight w:val="none"/>
        </w:rPr>
        <w:t xml:space="preserve">11.1 市场价格波动引起的调整</w:t>
      </w:r>
      <w:bookmarkEnd w:id="547"/>
      <w:r>
        <w:rPr>
          <w:color w:val="000000" w:themeColor="text1"/>
          <w:highlight w:val="none"/>
        </w:rPr>
      </w:r>
      <w:bookmarkEnd w:id="548"/>
      <w:r>
        <w:rPr>
          <w:color w:val="000000" w:themeColor="text1"/>
          <w:highlight w:val="none"/>
        </w:rPr>
      </w:r>
      <w:bookmarkEnd w:id="549"/>
      <w:r>
        <w:rPr>
          <w:color w:val="000000" w:themeColor="text1"/>
          <w:highlight w:val="none"/>
        </w:rPr>
      </w:r>
      <w:bookmarkEnd w:id="550"/>
      <w:r>
        <w:rPr>
          <w:color w:val="000000" w:themeColor="text1"/>
          <w:highlight w:val="none"/>
        </w:rPr>
      </w:r>
      <w:bookmarkEnd w:id="551"/>
      <w:r>
        <w:rPr>
          <w:color w:val="000000" w:themeColor="text1"/>
          <w:highlight w:val="none"/>
        </w:rPr>
      </w:r>
      <w:bookmarkEnd w:id="552"/>
      <w:r>
        <w:rPr>
          <w:color w:val="000000" w:themeColor="text1"/>
          <w:highlight w:val="none"/>
        </w:rPr>
      </w:r>
      <w:bookmarkEnd w:id="553"/>
      <w:r>
        <w:rPr>
          <w:color w:val="000000" w:themeColor="text1"/>
          <w:highlight w:val="none"/>
        </w:rPr>
      </w:r>
      <w:bookmarkEnd w:id="554"/>
      <w:r>
        <w:rPr>
          <w:color w:val="000000" w:themeColor="text1"/>
          <w:highlight w:val="none"/>
        </w:rPr>
      </w:r>
      <w:bookmarkEnd w:id="555"/>
      <w:r>
        <w:rPr>
          <w:color w:val="000000" w:themeColor="text1"/>
          <w:highlight w:val="none"/>
        </w:rPr>
      </w:r>
      <w:bookmarkEnd w:id="556"/>
      <w:r>
        <w:rPr>
          <w:color w:val="000000" w:themeColor="text1"/>
          <w:highlight w:val="none"/>
        </w:rPr>
      </w:r>
      <w:bookmarkEnd w:id="557"/>
      <w:r>
        <w:rPr>
          <w:color w:val="000000" w:themeColor="text1"/>
          <w:highlight w:val="none"/>
        </w:rPr>
      </w:r>
      <w:bookmarkEnd w:id="558"/>
      <w:r>
        <w:rPr>
          <w:color w:val="000000" w:themeColor="text1"/>
          <w:highlight w:val="none"/>
        </w:rPr>
      </w:r>
      <w:bookmarkEnd w:id="559"/>
      <w:r>
        <w:rPr>
          <w:color w:val="000000" w:themeColor="text1"/>
          <w:highlight w:val="none"/>
        </w:rPr>
      </w:r>
      <w:bookmarkEnd w:id="560"/>
      <w:r>
        <w:rPr>
          <w:color w:val="000000" w:themeColor="text1"/>
          <w:highlight w:val="none"/>
        </w:rPr>
      </w:r>
      <w:bookmarkEnd w:id="561"/>
      <w:r>
        <w:rPr>
          <w:color w:val="000000" w:themeColor="text1"/>
          <w:highlight w:val="none"/>
        </w:rPr>
      </w:r>
      <w:bookmarkEnd w:id="562"/>
      <w:r>
        <w:rPr>
          <w:color w:val="000000" w:themeColor="text1"/>
          <w:highlight w:val="none"/>
        </w:rPr>
      </w:r>
      <w:bookmarkEnd w:id="563"/>
      <w:r>
        <w:rPr>
          <w:color w:val="000000" w:themeColor="text1"/>
          <w:highlight w:val="none"/>
        </w:rPr>
      </w:r>
      <w:bookmarkEnd w:id="564"/>
      <w:r>
        <w:rPr>
          <w:color w:val="000000" w:themeColor="text1"/>
          <w:highlight w:val="none"/>
        </w:rPr>
      </w:r>
      <w:bookmarkEnd w:id="565"/>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市场价格波动是否调整合同价格的约定：</w:t>
      </w:r>
      <w:r>
        <w:rPr>
          <w:rFonts w:hint="eastAsia" w:ascii="宋体" w:hAnsi="宋体" w:eastAsia="宋体" w:cs="宋体"/>
          <w:color w:val="000000" w:themeColor="text1"/>
          <w:sz w:val="24"/>
          <w:szCs w:val="24"/>
          <w:highlight w:val="none"/>
          <w:u w:val="single"/>
        </w:rPr>
        <w:t xml:space="preserve">不调整</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因市场价格波动调整合同价格，采用以下第</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种方式对合同价格进行调整：</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第1种方式：采用价格指数进行价格调整。</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关于各可调因子、定值和变值权重，以及基本价格指数及其来源的约定：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  </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第2种方式：采用造价信息进行价格调整。</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（2）关于基准价格的约定：                         。</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①承包人在已标价工程量清单或预算书中载明的材料单价低于基准价格的：合同履行期间材料单价涨幅以基准价格为基础超过</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%时，或材料单价跌幅以已标价工程量清单或预算书中载明材料单价为基础超过%时，其超过部分据实调整。</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承包人在已标价工程量清单或预算书中载明的材料单价高于基准价格的：合同履行期间材料单价跌幅以基准价格为基础超过%时，材料单价涨幅以已标价工程量清单或预算书中载明材料单价为基础超过%时，其超过部分据实调整。</w:t>
      </w:r>
      <w:r>
        <w:rPr>
          <w:color w:val="000000" w:themeColor="text1"/>
          <w:highlight w:val="none"/>
        </w:rPr>
      </w:r>
    </w:p>
    <w:p>
      <w:pPr>
        <w:pStyle w:val="906"/>
        <w:ind w:firstLine="645"/>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③承包人在已标价工程量清单或预算书中载明的材料单价等于基准单价的：合同履行期间材料单价涨跌幅以基准单价为基础超过±</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%时，其超过部分据实调整。</w:t>
      </w:r>
      <w:r>
        <w:rPr>
          <w:color w:val="000000" w:themeColor="text1"/>
          <w:highlight w:val="none"/>
        </w:rPr>
      </w:r>
    </w:p>
    <w:p>
      <w:pPr>
        <w:pStyle w:val="906"/>
        <w:ind w:firstLine="645"/>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第3种方式：其他价格调整方式：</w:t>
      </w:r>
      <w:r>
        <w:rPr>
          <w:rFonts w:hint="eastAsia" w:ascii="宋体" w:hAnsi="宋体" w:eastAsia="宋体" w:cs="宋体"/>
          <w:color w:val="000000" w:themeColor="text1"/>
          <w:sz w:val="24"/>
          <w:szCs w:val="24"/>
          <w:highlight w:val="none"/>
          <w:u w:val="single"/>
        </w:rPr>
        <w:t xml:space="preserve">1、当施工期间上述建筑材料价格上涨超过10%时，10%以内（含）的部分由承包方承担，超出10%的部分由发包方承担；当施工期间主要建筑材料价格下降超过5%时，5%（含）以内的部分由承包方受益，超出5%的部分由发包方受益。招标范围内其它所有材料价格结算时均不再调整。主要建筑材料价格调整公式：主要建筑材料差价=施工期《徐州工程造价信息》发布的材料加权平均指导价-合同工程基准期当月《徐州工程造价信息》发布的材料指导价×（1+合同风险包干幅度）。</w:t>
      </w:r>
      <w:r>
        <w:rPr>
          <w:color w:val="000000" w:themeColor="text1"/>
          <w:highlight w:val="none"/>
        </w:rPr>
      </w:r>
    </w:p>
    <w:p>
      <w:pPr>
        <w:pStyle w:val="923"/>
        <w:ind w:left="63" w:right="63" w:firstLine="645"/>
        <w:jc w:val="left"/>
        <w:keepLines/>
        <w:keepNext w:val="0"/>
        <w:pageBreakBefore w:val="0"/>
        <w:spacing w:line="360" w:lineRule="auto"/>
        <w:widowControl w:val="off"/>
        <w:tabs>
          <w:tab w:val="left" w:pos="5471"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2、除本合同明确调整外，其他材料结算时不予调整。</w:t>
      </w:r>
      <w:bookmarkEnd w:id="422"/>
      <w:r>
        <w:rPr>
          <w:color w:val="000000" w:themeColor="text1"/>
          <w:highlight w:val="none"/>
        </w:rPr>
      </w:r>
      <w:bookmarkEnd w:id="423"/>
      <w:r>
        <w:rPr>
          <w:color w:val="000000" w:themeColor="text1"/>
          <w:highlight w:val="none"/>
        </w:rPr>
      </w:r>
      <w:bookmarkEnd w:id="424"/>
      <w:r>
        <w:rPr>
          <w:color w:val="000000" w:themeColor="text1"/>
          <w:highlight w:val="none"/>
        </w:rPr>
      </w:r>
      <w:bookmarkEnd w:id="425"/>
      <w:r>
        <w:rPr>
          <w:color w:val="000000" w:themeColor="text1"/>
          <w:highlight w:val="none"/>
        </w:rPr>
      </w:r>
      <w:bookmarkEnd w:id="426"/>
      <w:r>
        <w:rPr>
          <w:color w:val="000000" w:themeColor="text1"/>
          <w:highlight w:val="none"/>
        </w:rPr>
      </w:r>
      <w:bookmarkEnd w:id="427"/>
      <w:r>
        <w:rPr>
          <w:color w:val="000000" w:themeColor="text1"/>
          <w:highlight w:val="none"/>
        </w:rPr>
      </w:r>
      <w:r>
        <w:rPr>
          <w:color w:val="000000" w:themeColor="text1"/>
          <w:highlight w:val="none"/>
        </w:rPr>
      </w:r>
    </w:p>
    <w:p>
      <w:pPr>
        <w:pStyle w:val="910"/>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566" w:name="_Toc296346706"/>
      <w:r>
        <w:rPr>
          <w:color w:val="000000" w:themeColor="text1"/>
          <w:highlight w:val="none"/>
        </w:rPr>
      </w:r>
      <w:bookmarkStart w:id="567" w:name="_Toc296891245"/>
      <w:r>
        <w:rPr>
          <w:color w:val="000000" w:themeColor="text1"/>
          <w:highlight w:val="none"/>
        </w:rPr>
      </w:r>
      <w:bookmarkStart w:id="568" w:name="_Toc296503205"/>
      <w:r>
        <w:rPr>
          <w:color w:val="000000" w:themeColor="text1"/>
          <w:highlight w:val="none"/>
        </w:rPr>
      </w:r>
      <w:bookmarkStart w:id="569" w:name="_Toc296891033"/>
      <w:r>
        <w:rPr>
          <w:color w:val="000000" w:themeColor="text1"/>
          <w:highlight w:val="none"/>
        </w:rPr>
      </w:r>
      <w:bookmarkStart w:id="570" w:name="_Toc292559410"/>
      <w:r>
        <w:rPr>
          <w:color w:val="000000" w:themeColor="text1"/>
          <w:highlight w:val="none"/>
        </w:rPr>
      </w:r>
      <w:bookmarkStart w:id="571" w:name="_Toc296944544"/>
      <w:r>
        <w:rPr>
          <w:color w:val="000000" w:themeColor="text1"/>
          <w:highlight w:val="none"/>
        </w:rPr>
      </w:r>
      <w:bookmarkStart w:id="572" w:name="_Toc297048391"/>
      <w:r>
        <w:rPr>
          <w:color w:val="000000" w:themeColor="text1"/>
          <w:highlight w:val="none"/>
        </w:rPr>
      </w:r>
      <w:bookmarkStart w:id="573" w:name="_Toc297120505"/>
      <w:r>
        <w:rPr>
          <w:color w:val="000000" w:themeColor="text1"/>
          <w:highlight w:val="none"/>
        </w:rPr>
      </w:r>
      <w:bookmarkStart w:id="574" w:name="_Toc292559915"/>
      <w:r>
        <w:rPr>
          <w:color w:val="000000" w:themeColor="text1"/>
          <w:highlight w:val="none"/>
        </w:rPr>
      </w:r>
      <w:bookmarkStart w:id="575" w:name="_Toc296347204"/>
      <w:r>
        <w:rPr>
          <w:color w:val="000000" w:themeColor="text1"/>
          <w:highlight w:val="none"/>
        </w:rPr>
      </w:r>
      <w:bookmarkStart w:id="576" w:name="_Toc297123552"/>
      <w:r>
        <w:rPr>
          <w:color w:val="000000" w:themeColor="text1"/>
          <w:highlight w:val="none"/>
        </w:rPr>
      </w:r>
      <w:bookmarkStart w:id="577" w:name="_Toc297216211"/>
      <w:r>
        <w:rPr>
          <w:color w:val="000000" w:themeColor="text1"/>
          <w:highlight w:val="none"/>
        </w:rPr>
      </w:r>
      <w:bookmarkStart w:id="578" w:name="_Toc226573127"/>
      <w:r>
        <w:rPr>
          <w:color w:val="000000" w:themeColor="text1"/>
          <w:highlight w:val="none"/>
        </w:rPr>
      </w:r>
      <w:bookmarkStart w:id="579" w:name="_Toc300935002"/>
      <w:r>
        <w:rPr>
          <w:color w:val="000000" w:themeColor="text1"/>
          <w:highlight w:val="none"/>
        </w:rPr>
      </w:r>
      <w:bookmarkStart w:id="580" w:name="_Toc2095751839"/>
      <w:r>
        <w:rPr>
          <w:color w:val="000000" w:themeColor="text1"/>
          <w:highlight w:val="none"/>
        </w:rPr>
      </w:r>
      <w:bookmarkStart w:id="581" w:name="_Toc303539159"/>
      <w:r>
        <w:rPr>
          <w:color w:val="000000" w:themeColor="text1"/>
          <w:highlight w:val="none"/>
        </w:rPr>
      </w:r>
      <w:bookmarkStart w:id="582" w:name="_Toc304295579"/>
      <w:r>
        <w:rPr>
          <w:color w:val="000000" w:themeColor="text1"/>
          <w:highlight w:val="none"/>
        </w:rPr>
      </w:r>
      <w:bookmarkStart w:id="583" w:name="_Toc312678040"/>
      <w:r>
        <w:rPr>
          <w:rFonts w:hint="eastAsia" w:ascii="宋体" w:hAnsi="宋体" w:eastAsia="宋体" w:cs="宋体"/>
          <w:b w:val="0"/>
          <w:color w:val="000000" w:themeColor="text1"/>
          <w:sz w:val="24"/>
          <w:szCs w:val="24"/>
          <w:highlight w:val="none"/>
        </w:rPr>
        <w:t xml:space="preserve">12. </w:t>
      </w:r>
      <w:bookmarkEnd w:id="566"/>
      <w:r>
        <w:rPr>
          <w:color w:val="000000" w:themeColor="text1"/>
          <w:highlight w:val="none"/>
        </w:rPr>
      </w:r>
      <w:bookmarkEnd w:id="567"/>
      <w:r>
        <w:rPr>
          <w:color w:val="000000" w:themeColor="text1"/>
          <w:highlight w:val="none"/>
        </w:rPr>
      </w:r>
      <w:bookmarkEnd w:id="568"/>
      <w:r>
        <w:rPr>
          <w:color w:val="000000" w:themeColor="text1"/>
          <w:highlight w:val="none"/>
        </w:rPr>
      </w:r>
      <w:bookmarkEnd w:id="569"/>
      <w:r>
        <w:rPr>
          <w:color w:val="000000" w:themeColor="text1"/>
          <w:highlight w:val="none"/>
        </w:rPr>
      </w:r>
      <w:bookmarkEnd w:id="570"/>
      <w:r>
        <w:rPr>
          <w:color w:val="000000" w:themeColor="text1"/>
          <w:highlight w:val="none"/>
        </w:rPr>
      </w:r>
      <w:bookmarkEnd w:id="571"/>
      <w:r>
        <w:rPr>
          <w:color w:val="000000" w:themeColor="text1"/>
          <w:highlight w:val="none"/>
        </w:rPr>
      </w:r>
      <w:bookmarkEnd w:id="572"/>
      <w:r>
        <w:rPr>
          <w:color w:val="000000" w:themeColor="text1"/>
          <w:highlight w:val="none"/>
        </w:rPr>
      </w:r>
      <w:bookmarkEnd w:id="573"/>
      <w:r>
        <w:rPr>
          <w:color w:val="000000" w:themeColor="text1"/>
          <w:highlight w:val="none"/>
        </w:rPr>
      </w:r>
      <w:bookmarkEnd w:id="574"/>
      <w:r>
        <w:rPr>
          <w:color w:val="000000" w:themeColor="text1"/>
          <w:highlight w:val="none"/>
        </w:rPr>
      </w:r>
      <w:bookmarkEnd w:id="575"/>
      <w:r>
        <w:rPr>
          <w:rFonts w:hint="eastAsia" w:ascii="宋体" w:hAnsi="宋体" w:eastAsia="宋体" w:cs="宋体"/>
          <w:b w:val="0"/>
          <w:color w:val="000000" w:themeColor="text1"/>
          <w:sz w:val="24"/>
          <w:szCs w:val="24"/>
          <w:highlight w:val="none"/>
        </w:rPr>
        <w:t xml:space="preserve">合同价格、计量与支付</w:t>
      </w:r>
      <w:bookmarkEnd w:id="576"/>
      <w:r>
        <w:rPr>
          <w:color w:val="000000" w:themeColor="text1"/>
          <w:highlight w:val="none"/>
        </w:rPr>
      </w:r>
      <w:bookmarkEnd w:id="577"/>
      <w:r>
        <w:rPr>
          <w:color w:val="000000" w:themeColor="text1"/>
          <w:highlight w:val="none"/>
        </w:rPr>
      </w:r>
      <w:bookmarkEnd w:id="578"/>
      <w:r>
        <w:rPr>
          <w:color w:val="000000" w:themeColor="text1"/>
          <w:highlight w:val="none"/>
        </w:rPr>
      </w:r>
      <w:bookmarkEnd w:id="579"/>
      <w:r>
        <w:rPr>
          <w:color w:val="000000" w:themeColor="text1"/>
          <w:highlight w:val="none"/>
        </w:rPr>
      </w:r>
      <w:bookmarkEnd w:id="580"/>
      <w:r>
        <w:rPr>
          <w:color w:val="000000" w:themeColor="text1"/>
          <w:highlight w:val="none"/>
        </w:rPr>
      </w:r>
      <w:bookmarkEnd w:id="581"/>
      <w:r>
        <w:rPr>
          <w:color w:val="000000" w:themeColor="text1"/>
          <w:highlight w:val="none"/>
        </w:rPr>
      </w:r>
      <w:bookmarkEnd w:id="582"/>
      <w:r>
        <w:rPr>
          <w:color w:val="000000" w:themeColor="text1"/>
          <w:highlight w:val="none"/>
        </w:rPr>
      </w:r>
      <w:bookmarkEnd w:id="583"/>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584" w:name="_Toc292559411"/>
      <w:r>
        <w:rPr>
          <w:color w:val="000000" w:themeColor="text1"/>
          <w:highlight w:val="none"/>
        </w:rPr>
      </w:r>
      <w:bookmarkStart w:id="585" w:name="_Toc292559916"/>
      <w:r>
        <w:rPr>
          <w:color w:val="000000" w:themeColor="text1"/>
          <w:highlight w:val="none"/>
        </w:rPr>
      </w:r>
      <w:bookmarkStart w:id="586" w:name="_Toc267251461"/>
      <w:r>
        <w:rPr>
          <w:color w:val="000000" w:themeColor="text1"/>
          <w:highlight w:val="none"/>
        </w:rPr>
      </w:r>
      <w:bookmarkStart w:id="587" w:name="_Toc297048392"/>
      <w:r>
        <w:rPr>
          <w:color w:val="000000" w:themeColor="text1"/>
          <w:highlight w:val="none"/>
        </w:rPr>
      </w:r>
      <w:bookmarkStart w:id="588" w:name="_Toc296944545"/>
      <w:r>
        <w:rPr>
          <w:color w:val="000000" w:themeColor="text1"/>
          <w:highlight w:val="none"/>
        </w:rPr>
      </w:r>
      <w:bookmarkStart w:id="589" w:name="_Toc296503206"/>
      <w:r>
        <w:rPr>
          <w:color w:val="000000" w:themeColor="text1"/>
          <w:highlight w:val="none"/>
        </w:rPr>
      </w:r>
      <w:bookmarkStart w:id="590" w:name="_Toc296891034"/>
      <w:r>
        <w:rPr>
          <w:color w:val="000000" w:themeColor="text1"/>
          <w:highlight w:val="none"/>
        </w:rPr>
      </w:r>
      <w:bookmarkStart w:id="591" w:name="_Toc297120506"/>
      <w:r>
        <w:rPr>
          <w:color w:val="000000" w:themeColor="text1"/>
          <w:highlight w:val="none"/>
        </w:rPr>
      </w:r>
      <w:bookmarkStart w:id="592" w:name="_Toc296891246"/>
      <w:r>
        <w:rPr>
          <w:color w:val="000000" w:themeColor="text1"/>
          <w:highlight w:val="none"/>
        </w:rPr>
      </w:r>
      <w:bookmarkStart w:id="593" w:name="_Toc296346707"/>
      <w:r>
        <w:rPr>
          <w:color w:val="000000" w:themeColor="text1"/>
          <w:highlight w:val="none"/>
        </w:rPr>
      </w:r>
      <w:bookmarkStart w:id="594" w:name="_Toc296347205"/>
      <w:r>
        <w:rPr>
          <w:color w:val="000000" w:themeColor="text1"/>
          <w:highlight w:val="none"/>
        </w:rPr>
      </w:r>
      <w:bookmarkStart w:id="595" w:name="_Toc1734401749"/>
      <w:r>
        <w:rPr>
          <w:color w:val="000000" w:themeColor="text1"/>
          <w:highlight w:val="none"/>
        </w:rPr>
      </w:r>
      <w:bookmarkStart w:id="596" w:name="_Toc13589"/>
      <w:r>
        <w:rPr>
          <w:color w:val="000000" w:themeColor="text1"/>
          <w:highlight w:val="none"/>
        </w:rPr>
      </w:r>
      <w:bookmarkStart w:id="597" w:name="_Toc297216212"/>
      <w:r>
        <w:rPr>
          <w:color w:val="000000" w:themeColor="text1"/>
          <w:highlight w:val="none"/>
        </w:rPr>
      </w:r>
      <w:bookmarkStart w:id="598" w:name="_Toc312678041"/>
      <w:r>
        <w:rPr>
          <w:color w:val="000000" w:themeColor="text1"/>
          <w:highlight w:val="none"/>
        </w:rPr>
      </w:r>
      <w:bookmarkStart w:id="599" w:name="_Toc74869891"/>
      <w:r>
        <w:rPr>
          <w:color w:val="000000" w:themeColor="text1"/>
          <w:highlight w:val="none"/>
        </w:rPr>
      </w:r>
      <w:bookmarkStart w:id="600" w:name="_Toc303539160"/>
      <w:r>
        <w:rPr>
          <w:color w:val="000000" w:themeColor="text1"/>
          <w:highlight w:val="none"/>
        </w:rPr>
      </w:r>
      <w:bookmarkStart w:id="601" w:name="_Toc297123553"/>
      <w:r>
        <w:rPr>
          <w:color w:val="000000" w:themeColor="text1"/>
          <w:highlight w:val="none"/>
        </w:rPr>
      </w:r>
      <w:bookmarkStart w:id="602" w:name="_Toc304295580"/>
      <w:r>
        <w:rPr>
          <w:color w:val="000000" w:themeColor="text1"/>
          <w:highlight w:val="none"/>
        </w:rPr>
      </w:r>
      <w:bookmarkStart w:id="603" w:name="_Toc300935003"/>
      <w:r>
        <w:rPr>
          <w:rFonts w:hint="eastAsia" w:ascii="宋体" w:hAnsi="宋体" w:eastAsia="宋体" w:cs="宋体"/>
          <w:color w:val="000000" w:themeColor="text1"/>
          <w:sz w:val="24"/>
          <w:szCs w:val="24"/>
          <w:highlight w:val="none"/>
        </w:rPr>
        <w:t xml:space="preserve">12.1 合</w:t>
      </w:r>
      <w:bookmarkEnd w:id="584"/>
      <w:r>
        <w:rPr>
          <w:color w:val="000000" w:themeColor="text1"/>
          <w:highlight w:val="none"/>
        </w:rPr>
      </w:r>
      <w:bookmarkEnd w:id="585"/>
      <w:r>
        <w:rPr>
          <w:color w:val="000000" w:themeColor="text1"/>
          <w:highlight w:val="none"/>
        </w:rPr>
      </w:r>
      <w:bookmarkEnd w:id="586"/>
      <w:r>
        <w:rPr>
          <w:rFonts w:hint="eastAsia" w:ascii="宋体" w:hAnsi="宋体" w:eastAsia="宋体" w:cs="宋体"/>
          <w:color w:val="000000" w:themeColor="text1"/>
          <w:sz w:val="24"/>
          <w:szCs w:val="24"/>
          <w:highlight w:val="none"/>
        </w:rPr>
        <w:t xml:space="preserve">同价</w:t>
      </w:r>
      <w:bookmarkEnd w:id="587"/>
      <w:r>
        <w:rPr>
          <w:color w:val="000000" w:themeColor="text1"/>
          <w:highlight w:val="none"/>
        </w:rPr>
      </w:r>
      <w:bookmarkEnd w:id="588"/>
      <w:r>
        <w:rPr>
          <w:color w:val="000000" w:themeColor="text1"/>
          <w:highlight w:val="none"/>
        </w:rPr>
      </w:r>
      <w:bookmarkEnd w:id="589"/>
      <w:r>
        <w:rPr>
          <w:color w:val="000000" w:themeColor="text1"/>
          <w:highlight w:val="none"/>
        </w:rPr>
      </w:r>
      <w:bookmarkEnd w:id="590"/>
      <w:r>
        <w:rPr>
          <w:color w:val="000000" w:themeColor="text1"/>
          <w:highlight w:val="none"/>
        </w:rPr>
      </w:r>
      <w:bookmarkEnd w:id="591"/>
      <w:r>
        <w:rPr>
          <w:color w:val="000000" w:themeColor="text1"/>
          <w:highlight w:val="none"/>
        </w:rPr>
      </w:r>
      <w:bookmarkEnd w:id="592"/>
      <w:r>
        <w:rPr>
          <w:color w:val="000000" w:themeColor="text1"/>
          <w:highlight w:val="none"/>
        </w:rPr>
      </w:r>
      <w:bookmarkEnd w:id="593"/>
      <w:r>
        <w:rPr>
          <w:color w:val="000000" w:themeColor="text1"/>
          <w:highlight w:val="none"/>
        </w:rPr>
      </w:r>
      <w:bookmarkEnd w:id="594"/>
      <w:r>
        <w:rPr>
          <w:rFonts w:hint="eastAsia" w:ascii="宋体" w:hAnsi="宋体" w:eastAsia="宋体" w:cs="宋体"/>
          <w:color w:val="000000" w:themeColor="text1"/>
          <w:sz w:val="24"/>
          <w:szCs w:val="24"/>
          <w:highlight w:val="none"/>
        </w:rPr>
        <w:t xml:space="preserve">格形式</w:t>
      </w:r>
      <w:bookmarkEnd w:id="595"/>
      <w:r>
        <w:rPr>
          <w:color w:val="000000" w:themeColor="text1"/>
          <w:highlight w:val="none"/>
        </w:rPr>
      </w:r>
      <w:bookmarkEnd w:id="596"/>
      <w:r>
        <w:rPr>
          <w:color w:val="000000" w:themeColor="text1"/>
          <w:highlight w:val="none"/>
        </w:rPr>
      </w:r>
      <w:bookmarkEnd w:id="597"/>
      <w:r>
        <w:rPr>
          <w:color w:val="000000" w:themeColor="text1"/>
          <w:highlight w:val="none"/>
        </w:rPr>
      </w:r>
      <w:bookmarkEnd w:id="598"/>
      <w:r>
        <w:rPr>
          <w:color w:val="000000" w:themeColor="text1"/>
          <w:highlight w:val="none"/>
        </w:rPr>
      </w:r>
      <w:bookmarkEnd w:id="599"/>
      <w:r>
        <w:rPr>
          <w:color w:val="000000" w:themeColor="text1"/>
          <w:highlight w:val="none"/>
        </w:rPr>
      </w:r>
      <w:bookmarkEnd w:id="600"/>
      <w:r>
        <w:rPr>
          <w:color w:val="000000" w:themeColor="text1"/>
          <w:highlight w:val="none"/>
        </w:rPr>
      </w:r>
      <w:bookmarkEnd w:id="601"/>
      <w:r>
        <w:rPr>
          <w:color w:val="000000" w:themeColor="text1"/>
          <w:highlight w:val="none"/>
        </w:rPr>
      </w:r>
      <w:bookmarkEnd w:id="602"/>
      <w:r>
        <w:rPr>
          <w:color w:val="000000" w:themeColor="text1"/>
          <w:highlight w:val="none"/>
        </w:rPr>
      </w:r>
      <w:bookmarkEnd w:id="603"/>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1.单价合同。</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综合单价包含的风险范围：</w:t>
      </w:r>
      <w:r>
        <w:rPr>
          <w:rFonts w:hint="eastAsia" w:ascii="宋体" w:hAnsi="宋体" w:eastAsia="宋体" w:cs="宋体"/>
          <w:color w:val="000000" w:themeColor="text1"/>
          <w:sz w:val="24"/>
          <w:szCs w:val="24"/>
          <w:highlight w:val="none"/>
          <w:u w:val="single"/>
        </w:rPr>
        <w:t xml:space="preserve">不调整</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风险费用的计算方法：</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风险范围以外合同价格的调整方法：</w:t>
      </w:r>
      <w:r>
        <w:rPr>
          <w:rFonts w:hint="eastAsia" w:ascii="宋体" w:hAnsi="宋体" w:eastAsia="宋体" w:cs="宋体"/>
          <w:color w:val="000000" w:themeColor="text1"/>
          <w:sz w:val="24"/>
          <w:szCs w:val="24"/>
          <w:highlight w:val="none"/>
          <w:u w:val="single"/>
        </w:rPr>
        <w:t xml:space="preserve">风险费用已包含在合同价中</w:t>
      </w:r>
      <w:r>
        <w:rPr>
          <w:rFonts w:hint="eastAsia" w:ascii="宋体" w:hAnsi="宋体" w:eastAsia="宋体" w:cs="宋体"/>
          <w:color w:val="000000" w:themeColor="text1"/>
          <w:sz w:val="24"/>
          <w:szCs w:val="24"/>
          <w:highlight w:val="none"/>
        </w:rPr>
        <w:t xml:space="preserve">。    </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2.总价合同。</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总价包含的风险范围</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i/>
          <w:iCs/>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风险费用的计算方法</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风险范围以外合同价格的调整方法</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3.其他价格方式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604" w:name="_Toc1924091423"/>
      <w:r>
        <w:rPr>
          <w:color w:val="000000" w:themeColor="text1"/>
          <w:highlight w:val="none"/>
        </w:rPr>
      </w:r>
      <w:bookmarkStart w:id="605" w:name="_Toc712673231"/>
      <w:r>
        <w:rPr>
          <w:color w:val="000000" w:themeColor="text1"/>
          <w:highlight w:val="none"/>
        </w:rPr>
      </w:r>
      <w:bookmarkStart w:id="606" w:name="_Toc300935004"/>
      <w:r>
        <w:rPr>
          <w:color w:val="000000" w:themeColor="text1"/>
          <w:highlight w:val="none"/>
        </w:rPr>
      </w:r>
      <w:bookmarkStart w:id="607" w:name="_Toc297123554"/>
      <w:r>
        <w:rPr>
          <w:color w:val="000000" w:themeColor="text1"/>
          <w:highlight w:val="none"/>
        </w:rPr>
      </w:r>
      <w:bookmarkStart w:id="608" w:name="_Toc297216213"/>
      <w:r>
        <w:rPr>
          <w:color w:val="000000" w:themeColor="text1"/>
          <w:highlight w:val="none"/>
        </w:rPr>
      </w:r>
      <w:bookmarkStart w:id="609" w:name="_Toc304295581"/>
      <w:r>
        <w:rPr>
          <w:color w:val="000000" w:themeColor="text1"/>
          <w:highlight w:val="none"/>
        </w:rPr>
      </w:r>
      <w:bookmarkStart w:id="610" w:name="_Toc303539161"/>
      <w:r>
        <w:rPr>
          <w:color w:val="000000" w:themeColor="text1"/>
          <w:highlight w:val="none"/>
        </w:rPr>
      </w:r>
      <w:bookmarkStart w:id="611" w:name="_Toc312678042"/>
      <w:r>
        <w:rPr>
          <w:color w:val="000000" w:themeColor="text1"/>
          <w:highlight w:val="none"/>
        </w:rPr>
      </w:r>
      <w:bookmarkStart w:id="612" w:name="_Toc297120507"/>
      <w:r>
        <w:rPr>
          <w:color w:val="000000" w:themeColor="text1"/>
          <w:highlight w:val="none"/>
        </w:rPr>
      </w:r>
      <w:bookmarkStart w:id="613" w:name="_Toc296346708"/>
      <w:r>
        <w:rPr>
          <w:color w:val="000000" w:themeColor="text1"/>
          <w:highlight w:val="none"/>
        </w:rPr>
      </w:r>
      <w:bookmarkStart w:id="614" w:name="_Toc297048393"/>
      <w:r>
        <w:rPr>
          <w:color w:val="000000" w:themeColor="text1"/>
          <w:highlight w:val="none"/>
        </w:rPr>
      </w:r>
      <w:bookmarkStart w:id="615" w:name="_Toc296891247"/>
      <w:r>
        <w:rPr>
          <w:color w:val="000000" w:themeColor="text1"/>
          <w:highlight w:val="none"/>
        </w:rPr>
      </w:r>
      <w:bookmarkStart w:id="616" w:name="_Toc296891035"/>
      <w:r>
        <w:rPr>
          <w:color w:val="000000" w:themeColor="text1"/>
          <w:highlight w:val="none"/>
        </w:rPr>
      </w:r>
      <w:bookmarkStart w:id="617" w:name="_Toc292559412"/>
      <w:r>
        <w:rPr>
          <w:color w:val="000000" w:themeColor="text1"/>
          <w:highlight w:val="none"/>
        </w:rPr>
      </w:r>
      <w:bookmarkStart w:id="618" w:name="_Toc296503207"/>
      <w:r>
        <w:rPr>
          <w:color w:val="000000" w:themeColor="text1"/>
          <w:highlight w:val="none"/>
        </w:rPr>
      </w:r>
      <w:bookmarkStart w:id="619" w:name="_Toc296347206"/>
      <w:r>
        <w:rPr>
          <w:color w:val="000000" w:themeColor="text1"/>
          <w:highlight w:val="none"/>
        </w:rPr>
      </w:r>
      <w:bookmarkStart w:id="620" w:name="_Toc296944546"/>
      <w:r>
        <w:rPr>
          <w:color w:val="000000" w:themeColor="text1"/>
          <w:highlight w:val="none"/>
        </w:rPr>
      </w:r>
      <w:bookmarkStart w:id="621" w:name="_Toc292559917"/>
      <w:r>
        <w:rPr>
          <w:rFonts w:hint="eastAsia" w:ascii="宋体" w:hAnsi="宋体" w:eastAsia="宋体" w:cs="宋体"/>
          <w:color w:val="000000" w:themeColor="text1"/>
          <w:sz w:val="24"/>
          <w:szCs w:val="24"/>
          <w:highlight w:val="none"/>
        </w:rPr>
        <w:t xml:space="preserve">12.2 预付款</w:t>
      </w:r>
      <w:bookmarkEnd w:id="604"/>
      <w:r>
        <w:rPr>
          <w:color w:val="000000" w:themeColor="text1"/>
          <w:highlight w:val="none"/>
        </w:rPr>
      </w:r>
      <w:bookmarkEnd w:id="605"/>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12.2.1 预付款的支付</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预付款扣回的方式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23"/>
        <w:ind w:left="63" w:right="63" w:firstLine="480"/>
        <w:jc w:val="left"/>
        <w:keepLines/>
        <w:keepNext w:val="0"/>
        <w:pageBreakBefore w:val="0"/>
        <w:spacing w:before="1" w:line="360" w:lineRule="auto"/>
        <w:widowControl w:val="off"/>
        <w:tabs>
          <w:tab w:val="left" w:pos="4202" w:leader="none"/>
          <w:tab w:val="left" w:pos="5729"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预付款支付比例或金额</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预付款支付期限</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rPr>
        <w:t xml:space="preserve">。</w:t>
      </w:r>
      <w:bookmarkEnd w:id="606"/>
      <w:r>
        <w:rPr>
          <w:color w:val="000000" w:themeColor="text1"/>
          <w:highlight w:val="none"/>
        </w:rPr>
      </w:r>
      <w:bookmarkEnd w:id="607"/>
      <w:r>
        <w:rPr>
          <w:color w:val="000000" w:themeColor="text1"/>
          <w:highlight w:val="none"/>
        </w:rPr>
      </w:r>
      <w:bookmarkEnd w:id="608"/>
      <w:r>
        <w:rPr>
          <w:color w:val="000000" w:themeColor="text1"/>
          <w:highlight w:val="none"/>
        </w:rPr>
      </w:r>
      <w:bookmarkEnd w:id="609"/>
      <w:r>
        <w:rPr>
          <w:color w:val="000000" w:themeColor="text1"/>
          <w:highlight w:val="none"/>
        </w:rPr>
      </w:r>
      <w:bookmarkEnd w:id="610"/>
      <w:r>
        <w:rPr>
          <w:color w:val="000000" w:themeColor="text1"/>
          <w:highlight w:val="none"/>
        </w:rPr>
      </w:r>
      <w:bookmarkEnd w:id="611"/>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12.2.2 预付款担保</w:t>
      </w:r>
      <w:r>
        <w:rPr>
          <w:color w:val="000000" w:themeColor="text1"/>
          <w:highlight w:val="none"/>
        </w:rPr>
      </w:r>
    </w:p>
    <w:p>
      <w:pPr>
        <w:pStyle w:val="923"/>
        <w:ind w:left="63" w:right="63"/>
        <w:jc w:val="left"/>
        <w:keepLines/>
        <w:keepNext w:val="0"/>
        <w:pageBreakBefore w:val="0"/>
        <w:spacing w:line="360" w:lineRule="auto"/>
        <w:widowControl w:val="off"/>
        <w:tabs>
          <w:tab w:val="left" w:pos="4734" w:leader="none"/>
          <w:tab w:val="left" w:pos="626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承包人提交预付款担保的期限</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rPr>
        <w:t xml:space="preserve">。预付款担保的形式为</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签订合同后</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个工作日内，承包人需提交支付担保人民币</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元（中标价的</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%），以¨保函或¨保险形式执行。预付款担保的有效期至为止。</w:t>
      </w:r>
      <w:bookmarkEnd w:id="612"/>
      <w:r>
        <w:rPr>
          <w:color w:val="000000" w:themeColor="text1"/>
          <w:highlight w:val="none"/>
        </w:rPr>
      </w:r>
      <w:bookmarkEnd w:id="613"/>
      <w:r>
        <w:rPr>
          <w:color w:val="000000" w:themeColor="text1"/>
          <w:highlight w:val="none"/>
        </w:rPr>
      </w:r>
      <w:bookmarkEnd w:id="614"/>
      <w:r>
        <w:rPr>
          <w:color w:val="000000" w:themeColor="text1"/>
          <w:highlight w:val="none"/>
        </w:rPr>
      </w:r>
      <w:bookmarkEnd w:id="615"/>
      <w:r>
        <w:rPr>
          <w:color w:val="000000" w:themeColor="text1"/>
          <w:highlight w:val="none"/>
        </w:rPr>
      </w:r>
      <w:bookmarkEnd w:id="616"/>
      <w:r>
        <w:rPr>
          <w:color w:val="000000" w:themeColor="text1"/>
          <w:highlight w:val="none"/>
        </w:rPr>
      </w:r>
      <w:bookmarkEnd w:id="617"/>
      <w:r>
        <w:rPr>
          <w:color w:val="000000" w:themeColor="text1"/>
          <w:highlight w:val="none"/>
        </w:rPr>
      </w:r>
      <w:bookmarkEnd w:id="618"/>
      <w:r>
        <w:rPr>
          <w:color w:val="000000" w:themeColor="text1"/>
          <w:highlight w:val="none"/>
        </w:rPr>
      </w:r>
      <w:bookmarkEnd w:id="619"/>
      <w:r>
        <w:rPr>
          <w:color w:val="000000" w:themeColor="text1"/>
          <w:highlight w:val="none"/>
        </w:rPr>
      </w:r>
      <w:bookmarkEnd w:id="620"/>
      <w:r>
        <w:rPr>
          <w:color w:val="000000" w:themeColor="text1"/>
          <w:highlight w:val="none"/>
        </w:rPr>
      </w:r>
      <w:bookmarkEnd w:id="621"/>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622" w:name="_Toc13601"/>
      <w:r>
        <w:rPr>
          <w:color w:val="000000" w:themeColor="text1"/>
          <w:highlight w:val="none"/>
        </w:rPr>
      </w:r>
      <w:bookmarkStart w:id="623" w:name="_Toc1055625342"/>
      <w:r>
        <w:rPr>
          <w:color w:val="000000" w:themeColor="text1"/>
          <w:highlight w:val="none"/>
        </w:rPr>
      </w:r>
      <w:bookmarkStart w:id="624" w:name="_Toc100272494"/>
      <w:r>
        <w:rPr>
          <w:rFonts w:hint="eastAsia" w:ascii="宋体" w:hAnsi="宋体" w:eastAsia="宋体" w:cs="宋体"/>
          <w:color w:val="000000" w:themeColor="text1"/>
          <w:sz w:val="24"/>
          <w:szCs w:val="24"/>
          <w:highlight w:val="none"/>
        </w:rPr>
        <w:t xml:space="preserve">12.3 计量</w:t>
      </w:r>
      <w:bookmarkEnd w:id="622"/>
      <w:r>
        <w:rPr>
          <w:color w:val="000000" w:themeColor="text1"/>
          <w:highlight w:val="none"/>
        </w:rPr>
      </w:r>
      <w:bookmarkEnd w:id="623"/>
      <w:r>
        <w:rPr>
          <w:color w:val="000000" w:themeColor="text1"/>
          <w:highlight w:val="none"/>
        </w:rPr>
      </w:r>
      <w:bookmarkEnd w:id="624"/>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12.3.1 计量原则</w:t>
      </w:r>
      <w:r>
        <w:rPr>
          <w:color w:val="000000" w:themeColor="text1"/>
          <w:highlight w:val="none"/>
        </w:rPr>
      </w:r>
    </w:p>
    <w:p>
      <w:pPr>
        <w:pStyle w:val="923"/>
        <w:ind w:left="63" w:right="63"/>
        <w:jc w:val="left"/>
        <w:keepLines/>
        <w:keepNext w:val="0"/>
        <w:pageBreakBefore w:val="0"/>
        <w:spacing w:before="122" w:line="360" w:lineRule="auto"/>
        <w:widowControl w:val="off"/>
        <w:tabs>
          <w:tab w:val="left" w:pos="2458"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工程量计算规则：</w:t>
      </w:r>
      <w:r>
        <w:rPr>
          <w:rFonts w:hint="eastAsia" w:ascii="宋体" w:hAnsi="宋体" w:eastAsia="宋体" w:cs="宋体"/>
          <w:color w:val="000000" w:themeColor="text1"/>
          <w:spacing w:val="17"/>
          <w:sz w:val="24"/>
          <w:szCs w:val="24"/>
          <w:highlight w:val="none"/>
          <w:u w:val="single"/>
        </w:rPr>
        <w:tab/>
      </w:r>
      <w:r>
        <w:rPr>
          <w:rFonts w:hint="eastAsia" w:ascii="宋体" w:hAnsi="宋体" w:eastAsia="宋体" w:cs="宋体"/>
          <w:color w:val="000000" w:themeColor="text1"/>
          <w:sz w:val="24"/>
          <w:szCs w:val="24"/>
          <w:highlight w:val="none"/>
          <w:u w:val="single"/>
        </w:rPr>
        <w:t xml:space="preserve">本工程执行现行国家标准《建设工程工程量清单计价规范》（GB50500-2013）及《江苏省市政工程计价定额》（2014版）、《江苏省建设工程费用定额》（2014年）、苏建价〔2016〕154 号和相应配套文件，以及有关文件规定和招标人提供的工程量清单。</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12.3.2 计量周期</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关于计量周期的约定：</w:t>
      </w:r>
      <w:r>
        <w:rPr>
          <w:rFonts w:hint="eastAsia" w:ascii="宋体" w:hAnsi="宋体" w:eastAsia="宋体" w:cs="宋体"/>
          <w:color w:val="000000" w:themeColor="text1"/>
          <w:sz w:val="24"/>
          <w:szCs w:val="24"/>
          <w:highlight w:val="none"/>
          <w:u w:val="single"/>
        </w:rPr>
        <w:t xml:space="preserve">工程量的计量按月进行</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12.3.3 单价合同的计量</w:t>
      </w:r>
      <w:r>
        <w:rPr>
          <w:color w:val="000000" w:themeColor="text1"/>
          <w:highlight w:val="none"/>
        </w:rPr>
      </w:r>
    </w:p>
    <w:p>
      <w:pPr>
        <w:pStyle w:val="923"/>
        <w:ind w:left="63" w:right="63"/>
        <w:jc w:val="left"/>
        <w:keepLines/>
        <w:keepNext w:val="0"/>
        <w:pageBreakBefore w:val="0"/>
        <w:spacing w:line="360" w:lineRule="auto"/>
        <w:widowControl w:val="off"/>
        <w:tabs>
          <w:tab w:val="left" w:pos="3659"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关于单价合同计量的约定：</w:t>
      </w:r>
      <w:r>
        <w:rPr>
          <w:rFonts w:hint="eastAsia" w:ascii="宋体" w:hAnsi="宋体" w:eastAsia="宋体" w:cs="宋体"/>
          <w:color w:val="000000" w:themeColor="text1"/>
          <w:sz w:val="24"/>
          <w:szCs w:val="24"/>
          <w:highlight w:val="none"/>
          <w:u w:val="single"/>
        </w:rPr>
        <w:t xml:space="preserve">1、每月25日前提交本月已完工程量报告；2、工程量的测量、验收、计量由承包人申请经监理、发包人、承包人三方代表现场测量，在质量合格、资料手续完备的前提下，经监理工程师、发包人代表签字确认；3、隐蔽工程需在隐蔽前申请测量、验收、计量，否则不予认可。</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12.3.4 总价合同的计量</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关于总价合同计量的约定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12.3.5总价合同采用支付分解表计量支付的，是否适用第12.3.4项〔总价合同的计量〕约定进行计量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12.3.6 其他价格形式合同的计量</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其他价格形式的计量方式和程序：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625" w:name="_Toc1516403745"/>
      <w:r>
        <w:rPr>
          <w:color w:val="000000" w:themeColor="text1"/>
          <w:highlight w:val="none"/>
        </w:rPr>
      </w:r>
      <w:bookmarkStart w:id="626" w:name="_Toc27300"/>
      <w:r>
        <w:rPr>
          <w:color w:val="000000" w:themeColor="text1"/>
          <w:highlight w:val="none"/>
        </w:rPr>
      </w:r>
      <w:bookmarkStart w:id="627" w:name="_Toc16186591"/>
      <w:r>
        <w:rPr>
          <w:rFonts w:hint="eastAsia" w:ascii="宋体" w:hAnsi="宋体" w:eastAsia="宋体" w:cs="宋体"/>
          <w:color w:val="000000" w:themeColor="text1"/>
          <w:sz w:val="24"/>
          <w:szCs w:val="24"/>
          <w:highlight w:val="none"/>
        </w:rPr>
        <w:t xml:space="preserve">12.4 工程进度款支付</w:t>
      </w:r>
      <w:bookmarkEnd w:id="625"/>
      <w:r>
        <w:rPr>
          <w:color w:val="000000" w:themeColor="text1"/>
          <w:highlight w:val="none"/>
        </w:rPr>
      </w:r>
      <w:bookmarkEnd w:id="626"/>
      <w:r>
        <w:rPr>
          <w:color w:val="000000" w:themeColor="text1"/>
          <w:highlight w:val="none"/>
        </w:rPr>
      </w:r>
      <w:bookmarkEnd w:id="627"/>
      <w:r>
        <w:rPr>
          <w:color w:val="000000" w:themeColor="text1"/>
          <w:highlight w:val="none"/>
        </w:rPr>
      </w:r>
      <w:r>
        <w:rPr>
          <w:color w:val="000000" w:themeColor="text1"/>
          <w:highlight w:val="none"/>
        </w:rPr>
      </w:r>
    </w:p>
    <w:p>
      <w:pPr>
        <w:jc w:val="left"/>
        <w:keepLines/>
        <w:keepNext w:val="0"/>
        <w:pageBreakBefore w:val="0"/>
        <w:spacing w:before="1" w:line="360" w:lineRule="auto"/>
        <w:widowControl w:val="off"/>
        <w:tabs>
          <w:tab w:val="left" w:pos="1269" w:leader="none"/>
        </w:tabs>
        <w:rPr>
          <w:rFonts w:hint="eastAsia" w:ascii="宋体" w:hAnsi="宋体" w:eastAsia="宋体" w:cs="宋体"/>
          <w:color w:val="000000" w:themeColor="text1"/>
          <w:sz w:val="24"/>
          <w:szCs w:val="24"/>
          <w:highlight w:val="none"/>
        </w:rPr>
      </w:pPr>
      <w:r>
        <w:rPr>
          <w:color w:val="000000" w:themeColor="text1"/>
          <w:highlight w:val="none"/>
        </w:rPr>
      </w:r>
      <w:bookmarkStart w:id="628" w:name="_Toc297048397"/>
      <w:r>
        <w:rPr>
          <w:color w:val="000000" w:themeColor="text1"/>
          <w:highlight w:val="none"/>
        </w:rPr>
      </w:r>
      <w:bookmarkStart w:id="629" w:name="_Toc296346712"/>
      <w:r>
        <w:rPr>
          <w:color w:val="000000" w:themeColor="text1"/>
          <w:highlight w:val="none"/>
        </w:rPr>
      </w:r>
      <w:bookmarkStart w:id="630" w:name="_Toc297216215"/>
      <w:r>
        <w:rPr>
          <w:color w:val="000000" w:themeColor="text1"/>
          <w:highlight w:val="none"/>
        </w:rPr>
      </w:r>
      <w:bookmarkStart w:id="631" w:name="_Toc292559921"/>
      <w:r>
        <w:rPr>
          <w:color w:val="000000" w:themeColor="text1"/>
          <w:highlight w:val="none"/>
        </w:rPr>
      </w:r>
      <w:bookmarkStart w:id="632" w:name="_Toc292559416"/>
      <w:r>
        <w:rPr>
          <w:color w:val="000000" w:themeColor="text1"/>
          <w:highlight w:val="none"/>
        </w:rPr>
      </w:r>
      <w:bookmarkStart w:id="633" w:name="_Toc296944550"/>
      <w:r>
        <w:rPr>
          <w:color w:val="000000" w:themeColor="text1"/>
          <w:highlight w:val="none"/>
        </w:rPr>
      </w:r>
      <w:bookmarkStart w:id="634" w:name="_Toc296503211"/>
      <w:r>
        <w:rPr>
          <w:color w:val="000000" w:themeColor="text1"/>
          <w:highlight w:val="none"/>
        </w:rPr>
      </w:r>
      <w:bookmarkStart w:id="635" w:name="_Toc297120511"/>
      <w:r>
        <w:rPr>
          <w:color w:val="000000" w:themeColor="text1"/>
          <w:highlight w:val="none"/>
        </w:rPr>
      </w:r>
      <w:bookmarkStart w:id="636" w:name="_Toc296347210"/>
      <w:r>
        <w:rPr>
          <w:color w:val="000000" w:themeColor="text1"/>
          <w:highlight w:val="none"/>
        </w:rPr>
      </w:r>
      <w:bookmarkStart w:id="637" w:name="_Toc303539163"/>
      <w:r>
        <w:rPr>
          <w:color w:val="000000" w:themeColor="text1"/>
          <w:highlight w:val="none"/>
        </w:rPr>
      </w:r>
      <w:bookmarkStart w:id="638" w:name="_Toc297123556"/>
      <w:r>
        <w:rPr>
          <w:color w:val="000000" w:themeColor="text1"/>
          <w:highlight w:val="none"/>
        </w:rPr>
      </w:r>
      <w:bookmarkStart w:id="639" w:name="_Toc296891251"/>
      <w:r>
        <w:rPr>
          <w:color w:val="000000" w:themeColor="text1"/>
          <w:highlight w:val="none"/>
        </w:rPr>
      </w:r>
      <w:bookmarkStart w:id="640" w:name="_Toc296891039"/>
      <w:r>
        <w:rPr>
          <w:color w:val="000000" w:themeColor="text1"/>
          <w:highlight w:val="none"/>
        </w:rPr>
      </w:r>
      <w:bookmarkStart w:id="641" w:name="_Toc300935006"/>
      <w:r>
        <w:rPr>
          <w:rFonts w:hint="eastAsia" w:ascii="宋体" w:hAnsi="宋体" w:eastAsia="宋体" w:cs="宋体"/>
          <w:color w:val="000000" w:themeColor="text1"/>
          <w:sz w:val="24"/>
          <w:szCs w:val="24"/>
          <w:highlight w:val="none"/>
        </w:rPr>
        <w:t xml:space="preserve">12.4.1付款周期</w:t>
      </w:r>
      <w:r>
        <w:rPr>
          <w:color w:val="000000" w:themeColor="text1"/>
          <w:highlight w:val="none"/>
        </w:rPr>
      </w:r>
    </w:p>
    <w:p>
      <w:pPr>
        <w:pStyle w:val="906"/>
        <w:numPr>
          <w:ilvl w:val="0"/>
          <w:numId w:val="24"/>
        </w:numPr>
        <w:ind w:left="120" w:firstLine="480"/>
        <w:jc w:val="left"/>
        <w:keepLines/>
        <w:keepNext w:val="0"/>
        <w:pageBreakBefore w:val="0"/>
        <w:spacing w:before="79"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付款周期的约定：符合《沛县政府投资管理办法》规定，即工程开工确认后付工程中标价的16%，工程量确认完成50%后付中标价的12%，工程竣工验收后付工程中标价的12%；工程竣工验收结算审计后，余款2年内分4次付清，即第一年中秋、春节各付余款25%，第二年中秋、春节各付余款25%。并以沛县审计局审定的工程造价，扣除审减额的5%后作为工程的最终结算依据。</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12.4.2 进度付款申请单的编制</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关于进度付款申请单编制的约定：</w:t>
      </w:r>
      <w:r>
        <w:rPr>
          <w:rFonts w:hint="eastAsia" w:ascii="宋体" w:hAnsi="宋体" w:eastAsia="宋体" w:cs="宋体"/>
          <w:color w:val="000000" w:themeColor="text1"/>
          <w:sz w:val="24"/>
          <w:szCs w:val="24"/>
          <w:highlight w:val="none"/>
          <w:u w:val="single"/>
        </w:rPr>
        <w:t xml:space="preserve">按通用条款执行</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bookmarkEnd w:id="628"/>
      <w:r>
        <w:rPr>
          <w:color w:val="000000" w:themeColor="text1"/>
          <w:highlight w:val="none"/>
        </w:rPr>
      </w:r>
      <w:bookmarkEnd w:id="629"/>
      <w:r>
        <w:rPr>
          <w:color w:val="000000" w:themeColor="text1"/>
          <w:highlight w:val="none"/>
        </w:rPr>
      </w:r>
      <w:bookmarkEnd w:id="630"/>
      <w:r>
        <w:rPr>
          <w:color w:val="000000" w:themeColor="text1"/>
          <w:highlight w:val="none"/>
        </w:rPr>
      </w:r>
      <w:bookmarkEnd w:id="631"/>
      <w:r>
        <w:rPr>
          <w:color w:val="000000" w:themeColor="text1"/>
          <w:highlight w:val="none"/>
        </w:rPr>
      </w:r>
      <w:bookmarkEnd w:id="632"/>
      <w:r>
        <w:rPr>
          <w:color w:val="000000" w:themeColor="text1"/>
          <w:highlight w:val="none"/>
        </w:rPr>
      </w:r>
      <w:bookmarkEnd w:id="633"/>
      <w:r>
        <w:rPr>
          <w:color w:val="000000" w:themeColor="text1"/>
          <w:highlight w:val="none"/>
        </w:rPr>
      </w:r>
      <w:bookmarkEnd w:id="634"/>
      <w:r>
        <w:rPr>
          <w:color w:val="000000" w:themeColor="text1"/>
          <w:highlight w:val="none"/>
        </w:rPr>
      </w:r>
      <w:bookmarkEnd w:id="635"/>
      <w:r>
        <w:rPr>
          <w:color w:val="000000" w:themeColor="text1"/>
          <w:highlight w:val="none"/>
        </w:rPr>
      </w:r>
      <w:bookmarkEnd w:id="636"/>
      <w:r>
        <w:rPr>
          <w:color w:val="000000" w:themeColor="text1"/>
          <w:highlight w:val="none"/>
        </w:rPr>
      </w:r>
      <w:bookmarkEnd w:id="637"/>
      <w:r>
        <w:rPr>
          <w:color w:val="000000" w:themeColor="text1"/>
          <w:highlight w:val="none"/>
        </w:rPr>
      </w:r>
      <w:bookmarkEnd w:id="638"/>
      <w:r>
        <w:rPr>
          <w:color w:val="000000" w:themeColor="text1"/>
          <w:highlight w:val="none"/>
        </w:rPr>
      </w:r>
      <w:bookmarkEnd w:id="639"/>
      <w:r>
        <w:rPr>
          <w:color w:val="000000" w:themeColor="text1"/>
          <w:highlight w:val="none"/>
        </w:rPr>
      </w:r>
      <w:bookmarkEnd w:id="640"/>
      <w:r>
        <w:rPr>
          <w:color w:val="000000" w:themeColor="text1"/>
          <w:highlight w:val="none"/>
        </w:rPr>
      </w:r>
      <w:bookmarkEnd w:id="641"/>
      <w:r>
        <w:rPr>
          <w:rFonts w:hint="eastAsia" w:ascii="宋体" w:hAnsi="宋体" w:eastAsia="宋体" w:cs="宋体"/>
          <w:color w:val="000000" w:themeColor="text1"/>
          <w:sz w:val="24"/>
          <w:szCs w:val="24"/>
          <w:highlight w:val="none"/>
        </w:rPr>
        <w:t xml:space="preserve">2.4.3 进度付款申请单的提交</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（1）单价合同进度付款申请单提交的约定：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 。</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（2）总价合同进度付款申请单提交的约定：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 。</w:t>
      </w:r>
      <w:r>
        <w:rPr>
          <w:color w:val="000000" w:themeColor="text1"/>
          <w:highlight w:val="none"/>
        </w:rPr>
      </w:r>
    </w:p>
    <w:p>
      <w:pPr>
        <w:pStyle w:val="906"/>
        <w:ind w:left="447" w:firstLine="12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（3）其他价格形式合同进度付款申请单提交的约定：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 。12.4.4 进度款审核和支付</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（1）监理人审查并报送发包人的期限：</w:t>
      </w:r>
      <w:r>
        <w:rPr>
          <w:rFonts w:hint="eastAsia" w:ascii="宋体" w:hAnsi="宋体" w:eastAsia="宋体" w:cs="宋体"/>
          <w:color w:val="000000" w:themeColor="text1"/>
          <w:sz w:val="24"/>
          <w:szCs w:val="24"/>
          <w:highlight w:val="none"/>
          <w:u w:val="single"/>
        </w:rPr>
        <w:t xml:space="preserve">按通用条款执行</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发包人完成审批并签发进度款支付证书的期限：</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 。</w:t>
      </w:r>
      <w:r>
        <w:rPr>
          <w:color w:val="000000" w:themeColor="text1"/>
          <w:highlight w:val="none"/>
        </w:rPr>
      </w:r>
    </w:p>
    <w:p>
      <w:pPr>
        <w:pStyle w:val="906"/>
        <w:numPr>
          <w:ilvl w:val="0"/>
          <w:numId w:val="25"/>
        </w:numPr>
        <w:ind w:firstLine="480"/>
        <w:keepLines/>
        <w:keepNext w:val="0"/>
        <w:pageBreakBefore w:val="0"/>
        <w:spacing w:line="360" w:lineRule="auto"/>
        <w:widowControl w:val="off"/>
        <w:tabs>
          <w:tab w:val="left" w:pos="72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承包人根据工程进度申请支付工程款，每期工程进度款按以下方式选择支付：</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 。</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¨按实际完成工程量的百分比支付：</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 。</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¨按形象进度支付：</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 。</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¨按月实际完成工程量%支付；</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 。</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¨其它：</w:t>
      </w:r>
      <w:r>
        <w:rPr>
          <w:rFonts w:hint="eastAsia" w:ascii="宋体" w:hAnsi="宋体" w:eastAsia="宋体" w:cs="宋体"/>
          <w:color w:val="000000" w:themeColor="text1"/>
          <w:sz w:val="24"/>
          <w:szCs w:val="24"/>
          <w:highlight w:val="none"/>
          <w:u w:val="single"/>
        </w:rPr>
        <w:t xml:space="preserve">履行完政府审批手续后支付</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发包人在收到工程款进度申请后</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个工作日内完成支付，累计支付达到合同价款的</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%时，停止支付进度款。</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发包人逾期支付进度款的违约金的计算方式：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 。</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12.4.5 支付分解表的编制</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2.总价合同支付分解表的编制与审批：</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 。</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3.单价合同的总价项目支付分解表的编制与审批：</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 。</w:t>
      </w:r>
      <w:bookmarkEnd w:id="428"/>
      <w:r>
        <w:rPr>
          <w:color w:val="000000" w:themeColor="text1"/>
          <w:highlight w:val="none"/>
        </w:rPr>
      </w:r>
      <w:r>
        <w:rPr>
          <w:color w:val="000000" w:themeColor="text1"/>
          <w:highlight w:val="none"/>
        </w:rPr>
      </w:r>
    </w:p>
    <w:p>
      <w:pPr>
        <w:pStyle w:val="910"/>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642" w:name="_Toc296347218"/>
      <w:r>
        <w:rPr>
          <w:color w:val="000000" w:themeColor="text1"/>
          <w:highlight w:val="none"/>
        </w:rPr>
      </w:r>
      <w:bookmarkStart w:id="643" w:name="_Toc300935015"/>
      <w:r>
        <w:rPr>
          <w:color w:val="000000" w:themeColor="text1"/>
          <w:highlight w:val="none"/>
        </w:rPr>
      </w:r>
      <w:bookmarkStart w:id="644" w:name="_Toc303539172"/>
      <w:r>
        <w:rPr>
          <w:color w:val="000000" w:themeColor="text1"/>
          <w:highlight w:val="none"/>
        </w:rPr>
      </w:r>
      <w:bookmarkStart w:id="645" w:name="_Toc1569476373"/>
      <w:r>
        <w:rPr>
          <w:color w:val="000000" w:themeColor="text1"/>
          <w:highlight w:val="none"/>
        </w:rPr>
      </w:r>
      <w:bookmarkStart w:id="646" w:name="_Toc304295593"/>
      <w:r>
        <w:rPr>
          <w:color w:val="000000" w:themeColor="text1"/>
          <w:highlight w:val="none"/>
        </w:rPr>
      </w:r>
      <w:bookmarkStart w:id="647" w:name="_Toc292559929"/>
      <w:r>
        <w:rPr>
          <w:color w:val="000000" w:themeColor="text1"/>
          <w:highlight w:val="none"/>
        </w:rPr>
      </w:r>
      <w:bookmarkStart w:id="648" w:name="_Toc312678053"/>
      <w:r>
        <w:rPr>
          <w:color w:val="000000" w:themeColor="text1"/>
          <w:highlight w:val="none"/>
        </w:rPr>
      </w:r>
      <w:bookmarkStart w:id="649" w:name="_Toc297216223"/>
      <w:r>
        <w:rPr>
          <w:color w:val="000000" w:themeColor="text1"/>
          <w:highlight w:val="none"/>
        </w:rPr>
      </w:r>
      <w:bookmarkStart w:id="650" w:name="_Toc292559424"/>
      <w:r>
        <w:rPr>
          <w:color w:val="000000" w:themeColor="text1"/>
          <w:highlight w:val="none"/>
        </w:rPr>
      </w:r>
      <w:bookmarkStart w:id="651" w:name="_Toc296346720"/>
      <w:r>
        <w:rPr>
          <w:color w:val="000000" w:themeColor="text1"/>
          <w:highlight w:val="none"/>
        </w:rPr>
      </w:r>
      <w:bookmarkStart w:id="652" w:name="_Toc296944558"/>
      <w:r>
        <w:rPr>
          <w:color w:val="000000" w:themeColor="text1"/>
          <w:highlight w:val="none"/>
        </w:rPr>
      </w:r>
      <w:bookmarkStart w:id="653" w:name="_Toc296891047"/>
      <w:r>
        <w:rPr>
          <w:color w:val="000000" w:themeColor="text1"/>
          <w:highlight w:val="none"/>
        </w:rPr>
      </w:r>
      <w:bookmarkStart w:id="654" w:name="_Toc297048405"/>
      <w:r>
        <w:rPr>
          <w:color w:val="000000" w:themeColor="text1"/>
          <w:highlight w:val="none"/>
        </w:rPr>
      </w:r>
      <w:bookmarkStart w:id="655" w:name="_Toc296503219"/>
      <w:r>
        <w:rPr>
          <w:color w:val="000000" w:themeColor="text1"/>
          <w:highlight w:val="none"/>
        </w:rPr>
      </w:r>
      <w:bookmarkStart w:id="656" w:name="_Toc296891259"/>
      <w:r>
        <w:rPr>
          <w:color w:val="000000" w:themeColor="text1"/>
          <w:highlight w:val="none"/>
        </w:rPr>
      </w:r>
      <w:bookmarkStart w:id="657" w:name="_Toc297120519"/>
      <w:r>
        <w:rPr>
          <w:color w:val="000000" w:themeColor="text1"/>
          <w:highlight w:val="none"/>
        </w:rPr>
      </w:r>
      <w:bookmarkStart w:id="658" w:name="_Toc1114100005"/>
      <w:r>
        <w:rPr>
          <w:color w:val="000000" w:themeColor="text1"/>
          <w:highlight w:val="none"/>
        </w:rPr>
      </w:r>
      <w:bookmarkStart w:id="659" w:name="_Toc297123564"/>
      <w:r>
        <w:rPr>
          <w:rFonts w:hint="eastAsia" w:ascii="宋体" w:hAnsi="宋体" w:eastAsia="宋体" w:cs="宋体"/>
          <w:b w:val="0"/>
          <w:color w:val="000000" w:themeColor="text1"/>
          <w:sz w:val="24"/>
          <w:szCs w:val="24"/>
          <w:highlight w:val="none"/>
        </w:rPr>
        <w:t xml:space="preserve">13.验收和工程试车</w:t>
      </w:r>
      <w:bookmarkEnd w:id="642"/>
      <w:r>
        <w:rPr>
          <w:color w:val="000000" w:themeColor="text1"/>
          <w:highlight w:val="none"/>
        </w:rPr>
      </w:r>
      <w:bookmarkEnd w:id="643"/>
      <w:r>
        <w:rPr>
          <w:color w:val="000000" w:themeColor="text1"/>
          <w:highlight w:val="none"/>
        </w:rPr>
      </w:r>
      <w:bookmarkEnd w:id="644"/>
      <w:r>
        <w:rPr>
          <w:color w:val="000000" w:themeColor="text1"/>
          <w:highlight w:val="none"/>
        </w:rPr>
      </w:r>
      <w:bookmarkEnd w:id="645"/>
      <w:r>
        <w:rPr>
          <w:color w:val="000000" w:themeColor="text1"/>
          <w:highlight w:val="none"/>
        </w:rPr>
      </w:r>
      <w:bookmarkEnd w:id="646"/>
      <w:r>
        <w:rPr>
          <w:color w:val="000000" w:themeColor="text1"/>
          <w:highlight w:val="none"/>
        </w:rPr>
      </w:r>
      <w:bookmarkEnd w:id="647"/>
      <w:r>
        <w:rPr>
          <w:color w:val="000000" w:themeColor="text1"/>
          <w:highlight w:val="none"/>
        </w:rPr>
      </w:r>
      <w:bookmarkEnd w:id="648"/>
      <w:r>
        <w:rPr>
          <w:color w:val="000000" w:themeColor="text1"/>
          <w:highlight w:val="none"/>
        </w:rPr>
      </w:r>
      <w:bookmarkEnd w:id="649"/>
      <w:r>
        <w:rPr>
          <w:color w:val="000000" w:themeColor="text1"/>
          <w:highlight w:val="none"/>
        </w:rPr>
      </w:r>
      <w:bookmarkEnd w:id="650"/>
      <w:r>
        <w:rPr>
          <w:color w:val="000000" w:themeColor="text1"/>
          <w:highlight w:val="none"/>
        </w:rPr>
      </w:r>
      <w:bookmarkEnd w:id="651"/>
      <w:r>
        <w:rPr>
          <w:color w:val="000000" w:themeColor="text1"/>
          <w:highlight w:val="none"/>
        </w:rPr>
      </w:r>
      <w:bookmarkEnd w:id="652"/>
      <w:r>
        <w:rPr>
          <w:color w:val="000000" w:themeColor="text1"/>
          <w:highlight w:val="none"/>
        </w:rPr>
      </w:r>
      <w:bookmarkEnd w:id="653"/>
      <w:r>
        <w:rPr>
          <w:color w:val="000000" w:themeColor="text1"/>
          <w:highlight w:val="none"/>
        </w:rPr>
      </w:r>
      <w:bookmarkEnd w:id="654"/>
      <w:r>
        <w:rPr>
          <w:color w:val="000000" w:themeColor="text1"/>
          <w:highlight w:val="none"/>
        </w:rPr>
      </w:r>
      <w:bookmarkEnd w:id="655"/>
      <w:r>
        <w:rPr>
          <w:color w:val="000000" w:themeColor="text1"/>
          <w:highlight w:val="none"/>
        </w:rPr>
      </w:r>
      <w:bookmarkEnd w:id="656"/>
      <w:r>
        <w:rPr>
          <w:color w:val="000000" w:themeColor="text1"/>
          <w:highlight w:val="none"/>
        </w:rPr>
      </w:r>
      <w:bookmarkEnd w:id="657"/>
      <w:r>
        <w:rPr>
          <w:color w:val="000000" w:themeColor="text1"/>
          <w:highlight w:val="none"/>
        </w:rPr>
      </w:r>
      <w:bookmarkEnd w:id="658"/>
      <w:r>
        <w:rPr>
          <w:color w:val="000000" w:themeColor="text1"/>
          <w:highlight w:val="none"/>
        </w:rPr>
      </w:r>
      <w:bookmarkEnd w:id="659"/>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660" w:name="_Toc750296361"/>
      <w:r>
        <w:rPr>
          <w:color w:val="000000" w:themeColor="text1"/>
          <w:highlight w:val="none"/>
        </w:rPr>
      </w:r>
      <w:bookmarkStart w:id="661" w:name="_Toc17144"/>
      <w:r>
        <w:rPr>
          <w:color w:val="000000" w:themeColor="text1"/>
          <w:highlight w:val="none"/>
        </w:rPr>
      </w:r>
      <w:bookmarkStart w:id="662" w:name="_Toc396975010"/>
      <w:r>
        <w:rPr>
          <w:rFonts w:hint="eastAsia" w:ascii="宋体" w:hAnsi="宋体" w:eastAsia="宋体" w:cs="宋体"/>
          <w:color w:val="000000" w:themeColor="text1"/>
          <w:sz w:val="24"/>
          <w:szCs w:val="24"/>
          <w:highlight w:val="none"/>
        </w:rPr>
        <w:t xml:space="preserve">13.1 分部分项工程验收</w:t>
      </w:r>
      <w:bookmarkEnd w:id="660"/>
      <w:r>
        <w:rPr>
          <w:color w:val="000000" w:themeColor="text1"/>
          <w:highlight w:val="none"/>
        </w:rPr>
      </w:r>
      <w:bookmarkEnd w:id="661"/>
      <w:r>
        <w:rPr>
          <w:color w:val="000000" w:themeColor="text1"/>
          <w:highlight w:val="none"/>
        </w:rPr>
      </w:r>
      <w:bookmarkEnd w:id="662"/>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13.1.1监理人不能按时进行验收时，应提前</w:t>
      </w:r>
      <w:r>
        <w:rPr>
          <w:rFonts w:hint="eastAsia" w:ascii="宋体" w:hAnsi="宋体" w:eastAsia="宋体" w:cs="宋体"/>
          <w:color w:val="000000" w:themeColor="text1"/>
          <w:sz w:val="24"/>
          <w:szCs w:val="24"/>
          <w:highlight w:val="none"/>
          <w:u w:val="single"/>
        </w:rPr>
        <w:t xml:space="preserve">24</w:t>
      </w:r>
      <w:r>
        <w:rPr>
          <w:rFonts w:hint="eastAsia" w:ascii="宋体" w:hAnsi="宋体" w:eastAsia="宋体" w:cs="宋体"/>
          <w:color w:val="000000" w:themeColor="text1"/>
          <w:sz w:val="24"/>
          <w:szCs w:val="24"/>
          <w:highlight w:val="none"/>
        </w:rPr>
        <w:t xml:space="preserve">小时提交书面延期要求。</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关于延期最长不得超过：</w:t>
      </w:r>
      <w:r>
        <w:rPr>
          <w:rFonts w:hint="eastAsia" w:ascii="宋体" w:hAnsi="宋体" w:eastAsia="宋体" w:cs="宋体"/>
          <w:color w:val="000000" w:themeColor="text1"/>
          <w:sz w:val="24"/>
          <w:szCs w:val="24"/>
          <w:highlight w:val="none"/>
          <w:u w:val="single"/>
        </w:rPr>
        <w:t xml:space="preserve">48</w:t>
      </w:r>
      <w:r>
        <w:rPr>
          <w:rFonts w:hint="eastAsia" w:ascii="宋体" w:hAnsi="宋体" w:eastAsia="宋体" w:cs="宋体"/>
          <w:color w:val="000000" w:themeColor="text1"/>
          <w:sz w:val="24"/>
          <w:szCs w:val="24"/>
          <w:highlight w:val="none"/>
        </w:rPr>
        <w:t xml:space="preserve">小时。</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663" w:name="_Toc282243333"/>
      <w:r>
        <w:rPr>
          <w:color w:val="000000" w:themeColor="text1"/>
          <w:highlight w:val="none"/>
        </w:rPr>
      </w:r>
      <w:bookmarkStart w:id="664" w:name="_Toc1898612073"/>
      <w:r>
        <w:rPr>
          <w:color w:val="000000" w:themeColor="text1"/>
          <w:highlight w:val="none"/>
        </w:rPr>
      </w:r>
      <w:bookmarkStart w:id="665" w:name="_Toc12180"/>
      <w:r>
        <w:rPr>
          <w:color w:val="000000" w:themeColor="text1"/>
          <w:highlight w:val="none"/>
        </w:rPr>
      </w:r>
      <w:bookmarkStart w:id="666" w:name="_Toc297048409"/>
      <w:r>
        <w:rPr>
          <w:color w:val="000000" w:themeColor="text1"/>
          <w:highlight w:val="none"/>
        </w:rPr>
      </w:r>
      <w:bookmarkStart w:id="667" w:name="_Toc300935016"/>
      <w:r>
        <w:rPr>
          <w:color w:val="000000" w:themeColor="text1"/>
          <w:highlight w:val="none"/>
        </w:rPr>
      </w:r>
      <w:bookmarkStart w:id="668" w:name="_Toc304295596"/>
      <w:r>
        <w:rPr>
          <w:color w:val="000000" w:themeColor="text1"/>
          <w:highlight w:val="none"/>
        </w:rPr>
      </w:r>
      <w:bookmarkStart w:id="669" w:name="_Toc297123565"/>
      <w:r>
        <w:rPr>
          <w:color w:val="000000" w:themeColor="text1"/>
          <w:highlight w:val="none"/>
        </w:rPr>
      </w:r>
      <w:bookmarkStart w:id="670" w:name="_Toc292559933"/>
      <w:r>
        <w:rPr>
          <w:color w:val="000000" w:themeColor="text1"/>
          <w:highlight w:val="none"/>
        </w:rPr>
      </w:r>
      <w:bookmarkStart w:id="671" w:name="_Toc296347222"/>
      <w:r>
        <w:rPr>
          <w:color w:val="000000" w:themeColor="text1"/>
          <w:highlight w:val="none"/>
        </w:rPr>
      </w:r>
      <w:bookmarkStart w:id="672" w:name="_Toc296891263"/>
      <w:r>
        <w:rPr>
          <w:color w:val="000000" w:themeColor="text1"/>
          <w:highlight w:val="none"/>
        </w:rPr>
      </w:r>
      <w:bookmarkStart w:id="673" w:name="_Toc296891051"/>
      <w:r>
        <w:rPr>
          <w:color w:val="000000" w:themeColor="text1"/>
          <w:highlight w:val="none"/>
        </w:rPr>
      </w:r>
      <w:bookmarkStart w:id="674" w:name="_Toc296346724"/>
      <w:r>
        <w:rPr>
          <w:color w:val="000000" w:themeColor="text1"/>
          <w:highlight w:val="none"/>
        </w:rPr>
      </w:r>
      <w:bookmarkStart w:id="675" w:name="_Toc303539173"/>
      <w:r>
        <w:rPr>
          <w:color w:val="000000" w:themeColor="text1"/>
          <w:highlight w:val="none"/>
        </w:rPr>
      </w:r>
      <w:bookmarkStart w:id="676" w:name="_Toc312678056"/>
      <w:r>
        <w:rPr>
          <w:color w:val="000000" w:themeColor="text1"/>
          <w:highlight w:val="none"/>
        </w:rPr>
      </w:r>
      <w:bookmarkStart w:id="677" w:name="_Toc297216224"/>
      <w:r>
        <w:rPr>
          <w:color w:val="000000" w:themeColor="text1"/>
          <w:highlight w:val="none"/>
        </w:rPr>
      </w:r>
      <w:bookmarkStart w:id="678" w:name="_Toc296503223"/>
      <w:r>
        <w:rPr>
          <w:color w:val="000000" w:themeColor="text1"/>
          <w:highlight w:val="none"/>
        </w:rPr>
      </w:r>
      <w:bookmarkStart w:id="679" w:name="_Toc297120523"/>
      <w:r>
        <w:rPr>
          <w:color w:val="000000" w:themeColor="text1"/>
          <w:highlight w:val="none"/>
        </w:rPr>
      </w:r>
      <w:bookmarkStart w:id="680" w:name="_Toc292559428"/>
      <w:r>
        <w:rPr>
          <w:color w:val="000000" w:themeColor="text1"/>
          <w:highlight w:val="none"/>
        </w:rPr>
      </w:r>
      <w:bookmarkStart w:id="681" w:name="_Toc296944562"/>
      <w:r>
        <w:rPr>
          <w:color w:val="000000" w:themeColor="text1"/>
          <w:highlight w:val="none"/>
        </w:rPr>
      </w:r>
      <w:bookmarkStart w:id="682" w:name="_Toc267251471"/>
      <w:r>
        <w:rPr>
          <w:color w:val="000000" w:themeColor="text1"/>
          <w:highlight w:val="none"/>
        </w:rPr>
      </w:r>
      <w:bookmarkStart w:id="683" w:name="_Toc267251474"/>
      <w:r>
        <w:rPr>
          <w:color w:val="000000" w:themeColor="text1"/>
          <w:highlight w:val="none"/>
        </w:rPr>
      </w:r>
      <w:bookmarkStart w:id="684" w:name="_Toc267251475"/>
      <w:r>
        <w:rPr>
          <w:color w:val="000000" w:themeColor="text1"/>
          <w:highlight w:val="none"/>
        </w:rPr>
      </w:r>
      <w:bookmarkStart w:id="685" w:name="_Toc267251476"/>
      <w:r>
        <w:rPr>
          <w:color w:val="000000" w:themeColor="text1"/>
          <w:highlight w:val="none"/>
        </w:rPr>
      </w:r>
      <w:bookmarkStart w:id="686" w:name="_Toc267251473"/>
      <w:r>
        <w:rPr>
          <w:color w:val="000000" w:themeColor="text1"/>
          <w:highlight w:val="none"/>
        </w:rPr>
      </w:r>
      <w:bookmarkStart w:id="687" w:name="_Toc267251472"/>
      <w:r>
        <w:rPr>
          <w:color w:val="000000" w:themeColor="text1"/>
          <w:highlight w:val="none"/>
        </w:rPr>
      </w:r>
      <w:bookmarkStart w:id="688" w:name="_Toc267251470"/>
      <w:r>
        <w:rPr>
          <w:rFonts w:hint="eastAsia" w:ascii="宋体" w:hAnsi="宋体" w:eastAsia="宋体" w:cs="宋体"/>
          <w:color w:val="000000" w:themeColor="text1"/>
          <w:sz w:val="24"/>
          <w:szCs w:val="24"/>
          <w:highlight w:val="none"/>
        </w:rPr>
        <w:t xml:space="preserve">13.2 竣工验收</w:t>
      </w:r>
      <w:bookmarkEnd w:id="663"/>
      <w:r>
        <w:rPr>
          <w:color w:val="000000" w:themeColor="text1"/>
          <w:highlight w:val="none"/>
        </w:rPr>
      </w:r>
      <w:bookmarkEnd w:id="664"/>
      <w:r>
        <w:rPr>
          <w:color w:val="000000" w:themeColor="text1"/>
          <w:highlight w:val="none"/>
        </w:rPr>
      </w:r>
      <w:bookmarkEnd w:id="665"/>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689" w:name="_Toc1027479745"/>
      <w:r>
        <w:rPr>
          <w:color w:val="000000" w:themeColor="text1"/>
          <w:highlight w:val="none"/>
        </w:rPr>
      </w:r>
      <w:bookmarkStart w:id="690" w:name="_Toc276351635"/>
      <w:r>
        <w:rPr>
          <w:rFonts w:hint="eastAsia" w:ascii="宋体" w:hAnsi="宋体" w:eastAsia="宋体" w:cs="宋体"/>
          <w:color w:val="000000" w:themeColor="text1"/>
          <w:sz w:val="24"/>
          <w:szCs w:val="24"/>
          <w:highlight w:val="none"/>
        </w:rPr>
        <w:t xml:space="preserve">13.2.1 竣工验收条件</w:t>
      </w:r>
      <w:bookmarkEnd w:id="689"/>
      <w:r>
        <w:rPr>
          <w:color w:val="000000" w:themeColor="text1"/>
          <w:highlight w:val="none"/>
        </w:rPr>
      </w:r>
      <w:bookmarkEnd w:id="690"/>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691" w:name="_Toc1893941971"/>
      <w:r>
        <w:rPr>
          <w:color w:val="000000" w:themeColor="text1"/>
          <w:highlight w:val="none"/>
        </w:rPr>
      </w:r>
      <w:bookmarkStart w:id="692" w:name="_Toc1418190231"/>
      <w:r>
        <w:rPr>
          <w:rFonts w:hint="eastAsia" w:ascii="宋体" w:hAnsi="宋体" w:eastAsia="宋体" w:cs="宋体"/>
          <w:color w:val="000000" w:themeColor="text1"/>
          <w:sz w:val="24"/>
          <w:szCs w:val="24"/>
          <w:highlight w:val="none"/>
        </w:rPr>
        <w:t xml:space="preserve">（1）竣工资料内容和份数：</w:t>
      </w:r>
      <w:r>
        <w:rPr>
          <w:rFonts w:hint="eastAsia" w:ascii="宋体" w:hAnsi="宋体" w:eastAsia="宋体" w:cs="宋体"/>
          <w:color w:val="000000" w:themeColor="text1"/>
          <w:sz w:val="24"/>
          <w:szCs w:val="24"/>
          <w:highlight w:val="none"/>
          <w:u w:val="single"/>
        </w:rPr>
        <w:t xml:space="preserve">     按发包人要求执行    </w:t>
      </w:r>
      <w:r>
        <w:rPr>
          <w:rFonts w:hint="eastAsia" w:ascii="宋体" w:hAnsi="宋体" w:eastAsia="宋体" w:cs="宋体"/>
          <w:color w:val="000000" w:themeColor="text1"/>
          <w:sz w:val="24"/>
          <w:szCs w:val="24"/>
          <w:highlight w:val="none"/>
        </w:rPr>
        <w:t xml:space="preserve">。</w:t>
      </w:r>
      <w:bookmarkEnd w:id="666"/>
      <w:r>
        <w:rPr>
          <w:color w:val="000000" w:themeColor="text1"/>
          <w:highlight w:val="none"/>
        </w:rPr>
      </w:r>
      <w:bookmarkEnd w:id="667"/>
      <w:r>
        <w:rPr>
          <w:color w:val="000000" w:themeColor="text1"/>
          <w:highlight w:val="none"/>
        </w:rPr>
      </w:r>
      <w:bookmarkEnd w:id="668"/>
      <w:r>
        <w:rPr>
          <w:color w:val="000000" w:themeColor="text1"/>
          <w:highlight w:val="none"/>
        </w:rPr>
      </w:r>
      <w:bookmarkEnd w:id="669"/>
      <w:r>
        <w:rPr>
          <w:color w:val="000000" w:themeColor="text1"/>
          <w:highlight w:val="none"/>
        </w:rPr>
      </w:r>
      <w:bookmarkEnd w:id="670"/>
      <w:r>
        <w:rPr>
          <w:color w:val="000000" w:themeColor="text1"/>
          <w:highlight w:val="none"/>
        </w:rPr>
      </w:r>
      <w:bookmarkEnd w:id="671"/>
      <w:r>
        <w:rPr>
          <w:color w:val="000000" w:themeColor="text1"/>
          <w:highlight w:val="none"/>
        </w:rPr>
      </w:r>
      <w:bookmarkEnd w:id="672"/>
      <w:r>
        <w:rPr>
          <w:color w:val="000000" w:themeColor="text1"/>
          <w:highlight w:val="none"/>
        </w:rPr>
      </w:r>
      <w:bookmarkEnd w:id="673"/>
      <w:r>
        <w:rPr>
          <w:color w:val="000000" w:themeColor="text1"/>
          <w:highlight w:val="none"/>
        </w:rPr>
      </w:r>
      <w:bookmarkEnd w:id="674"/>
      <w:r>
        <w:rPr>
          <w:color w:val="000000" w:themeColor="text1"/>
          <w:highlight w:val="none"/>
        </w:rPr>
      </w:r>
      <w:bookmarkEnd w:id="675"/>
      <w:r>
        <w:rPr>
          <w:color w:val="000000" w:themeColor="text1"/>
          <w:highlight w:val="none"/>
        </w:rPr>
      </w:r>
      <w:bookmarkEnd w:id="676"/>
      <w:r>
        <w:rPr>
          <w:color w:val="000000" w:themeColor="text1"/>
          <w:highlight w:val="none"/>
        </w:rPr>
      </w:r>
      <w:bookmarkEnd w:id="677"/>
      <w:r>
        <w:rPr>
          <w:color w:val="000000" w:themeColor="text1"/>
          <w:highlight w:val="none"/>
        </w:rPr>
      </w:r>
      <w:bookmarkEnd w:id="678"/>
      <w:r>
        <w:rPr>
          <w:color w:val="000000" w:themeColor="text1"/>
          <w:highlight w:val="none"/>
        </w:rPr>
      </w:r>
      <w:bookmarkEnd w:id="679"/>
      <w:r>
        <w:rPr>
          <w:color w:val="000000" w:themeColor="text1"/>
          <w:highlight w:val="none"/>
        </w:rPr>
      </w:r>
      <w:bookmarkEnd w:id="680"/>
      <w:r>
        <w:rPr>
          <w:color w:val="000000" w:themeColor="text1"/>
          <w:highlight w:val="none"/>
        </w:rPr>
      </w:r>
      <w:bookmarkEnd w:id="681"/>
      <w:r>
        <w:rPr>
          <w:color w:val="000000" w:themeColor="text1"/>
          <w:highlight w:val="none"/>
        </w:rPr>
      </w:r>
      <w:bookmarkEnd w:id="691"/>
      <w:r>
        <w:rPr>
          <w:color w:val="000000" w:themeColor="text1"/>
          <w:highlight w:val="none"/>
        </w:rPr>
      </w:r>
      <w:bookmarkEnd w:id="692"/>
      <w:r>
        <w:rPr>
          <w:color w:val="000000" w:themeColor="text1"/>
          <w:highlight w:val="none"/>
        </w:rPr>
      </w:r>
      <w:bookmarkStart w:id="693" w:name="_Toc280868704"/>
      <w:r>
        <w:rPr>
          <w:color w:val="000000" w:themeColor="text1"/>
          <w:highlight w:val="none"/>
        </w:rPr>
      </w:r>
      <w:bookmarkStart w:id="694" w:name="_Toc280868705"/>
      <w:r>
        <w:rPr>
          <w:color w:val="000000" w:themeColor="text1"/>
          <w:highlight w:val="none"/>
        </w:rPr>
      </w:r>
      <w:bookmarkStart w:id="695" w:name="_Toc280868706"/>
      <w:r>
        <w:rPr>
          <w:color w:val="000000" w:themeColor="text1"/>
          <w:highlight w:val="none"/>
        </w:rPr>
      </w:r>
      <w:bookmarkStart w:id="696" w:name="_Toc280868707"/>
      <w:r>
        <w:rPr>
          <w:color w:val="000000" w:themeColor="text1"/>
          <w:highlight w:val="none"/>
        </w:rPr>
      </w:r>
      <w:bookmarkStart w:id="697" w:name="_Toc280868708"/>
      <w:r>
        <w:rPr>
          <w:color w:val="000000" w:themeColor="text1"/>
          <w:highlight w:val="none"/>
        </w:rPr>
      </w:r>
      <w:bookmarkStart w:id="698" w:name="_Toc280868709"/>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699" w:name="_Toc1570375781"/>
      <w:r>
        <w:rPr>
          <w:color w:val="000000" w:themeColor="text1"/>
          <w:highlight w:val="none"/>
        </w:rPr>
      </w:r>
      <w:bookmarkStart w:id="700" w:name="_Toc1822546722"/>
      <w:r>
        <w:rPr>
          <w:rFonts w:hint="eastAsia" w:ascii="宋体" w:hAnsi="宋体" w:eastAsia="宋体" w:cs="宋体"/>
          <w:color w:val="000000" w:themeColor="text1"/>
          <w:sz w:val="24"/>
          <w:szCs w:val="24"/>
          <w:highlight w:val="none"/>
        </w:rPr>
        <w:t xml:space="preserve">13.2.2竣工验收程序</w:t>
      </w:r>
      <w:bookmarkEnd w:id="693"/>
      <w:r>
        <w:rPr>
          <w:color w:val="000000" w:themeColor="text1"/>
          <w:highlight w:val="none"/>
        </w:rPr>
      </w:r>
      <w:bookmarkEnd w:id="699"/>
      <w:r>
        <w:rPr>
          <w:color w:val="000000" w:themeColor="text1"/>
          <w:highlight w:val="none"/>
        </w:rPr>
      </w:r>
      <w:bookmarkEnd w:id="700"/>
      <w:r>
        <w:rPr>
          <w:color w:val="000000" w:themeColor="text1"/>
          <w:highlight w:val="none"/>
        </w:rPr>
      </w:r>
      <w:r>
        <w:rPr>
          <w:color w:val="000000" w:themeColor="text1"/>
          <w:highlight w:val="none"/>
        </w:rPr>
      </w:r>
    </w:p>
    <w:p>
      <w:pPr>
        <w:pStyle w:val="923"/>
        <w:ind w:left="63" w:right="63"/>
        <w:keepLines/>
        <w:keepNext w:val="0"/>
        <w:pageBreakBefore w:val="0"/>
        <w:spacing w:line="360" w:lineRule="auto"/>
        <w:widowControl w:val="off"/>
        <w:tabs>
          <w:tab w:val="left" w:pos="1268"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关于竣工验收程序的约定：工程具备以下条件的，承包人可以申请竣工验收：</w:t>
      </w:r>
      <w:r>
        <w:rPr>
          <w:color w:val="000000" w:themeColor="text1"/>
          <w:highlight w:val="none"/>
        </w:rPr>
      </w:r>
    </w:p>
    <w:p>
      <w:pPr>
        <w:numPr>
          <w:ilvl w:val="0"/>
          <w:numId w:val="26"/>
        </w:numPr>
        <w:ind w:hanging="530"/>
        <w:jc w:val="left"/>
        <w:keepLines/>
        <w:keepNext w:val="0"/>
        <w:pageBreakBefore w:val="0"/>
        <w:spacing w:before="79" w:line="360" w:lineRule="auto"/>
        <w:widowControl w:val="off"/>
        <w:tabs>
          <w:tab w:val="left" w:pos="1061"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除发包人同意的甩项工作和缺陷修补工作外，合同范围内的全部工程以及有关工作，包括合同要求的试验、试运行以及检验均已完成，并符合合同要求；</w:t>
      </w:r>
      <w:r>
        <w:rPr>
          <w:color w:val="000000" w:themeColor="text1"/>
          <w:highlight w:val="none"/>
        </w:rPr>
      </w:r>
    </w:p>
    <w:p>
      <w:pPr>
        <w:numPr>
          <w:ilvl w:val="0"/>
          <w:numId w:val="26"/>
        </w:numPr>
        <w:ind w:hanging="530"/>
        <w:jc w:val="left"/>
        <w:keepLines/>
        <w:keepNext w:val="0"/>
        <w:pageBreakBefore w:val="0"/>
        <w:spacing w:before="78" w:line="360" w:lineRule="auto"/>
        <w:widowControl w:val="off"/>
        <w:tabs>
          <w:tab w:val="left" w:pos="1061"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已按合同约定编制了甩项工作和缺陷修补工作清单以及相应的施工计划；</w:t>
      </w:r>
      <w:r>
        <w:rPr>
          <w:color w:val="000000" w:themeColor="text1"/>
          <w:highlight w:val="none"/>
        </w:rPr>
      </w:r>
    </w:p>
    <w:p>
      <w:pPr>
        <w:numPr>
          <w:ilvl w:val="0"/>
          <w:numId w:val="26"/>
        </w:numPr>
        <w:ind w:hanging="530"/>
        <w:jc w:val="left"/>
        <w:keepLines/>
        <w:keepNext w:val="0"/>
        <w:pageBreakBefore w:val="0"/>
        <w:spacing w:before="78" w:line="360" w:lineRule="auto"/>
        <w:widowControl w:val="off"/>
        <w:tabs>
          <w:tab w:val="left" w:pos="1061"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已按合同约定的内容和份数备齐竣工资料。</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发包人不按照本项约定组织竣工验收、颁发工程接收证书的违约金的计算方法：</w:t>
      </w:r>
      <w:r>
        <w:rPr>
          <w:rFonts w:hint="eastAsia" w:ascii="宋体" w:hAnsi="宋体" w:eastAsia="宋体" w:cs="宋体"/>
          <w:color w:val="000000" w:themeColor="text1"/>
          <w:sz w:val="24"/>
          <w:szCs w:val="24"/>
          <w:highlight w:val="none"/>
          <w:u w:val="single"/>
        </w:rPr>
        <w:t xml:space="preserve">                 /                     </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bookmarkEnd w:id="694"/>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13.2.3移交、接收全部与部分工程</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绿化工程移交期限：</w:t>
      </w:r>
      <w:bookmarkEnd w:id="695"/>
      <w:r>
        <w:rPr>
          <w:rFonts w:hint="eastAsia" w:ascii="宋体" w:hAnsi="宋体" w:eastAsia="宋体" w:cs="宋体"/>
          <w:color w:val="000000" w:themeColor="text1"/>
          <w:sz w:val="24"/>
          <w:szCs w:val="24"/>
          <w:highlight w:val="none"/>
          <w:u w:val="single"/>
        </w:rPr>
        <w:t xml:space="preserve">合同当事人应当在颁发工程接收证书后7天内完成工程的有向其他部门移交需求的，承包人需按要求移交，否则招标人移交后支付工程款。</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其他工程移交期限：</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 。</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发包人未按本合同约定接收全部或部分工程的，违约金的计算方法为：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w:t>
      </w:r>
      <w:bookmarkEnd w:id="696"/>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承包人未按时移交工程的，违约金的计算方法为：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13.3 工程试车</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13.3.1 试车程序</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工程试车内容：</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（1）单机无负荷试车费用由</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承担；</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（2）无负荷联动试车费用由</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承担。</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13.3.2 投料试车</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关于投料试车相关事项的约定：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bookmarkEnd w:id="697"/>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color w:val="000000" w:themeColor="text1"/>
          <w:highlight w:val="none"/>
        </w:rPr>
      </w:r>
      <w:bookmarkStart w:id="701" w:name="_Toc19772"/>
      <w:r>
        <w:rPr>
          <w:rFonts w:hint="eastAsia" w:ascii="宋体" w:hAnsi="宋体" w:eastAsia="宋体" w:cs="宋体"/>
          <w:color w:val="000000" w:themeColor="text1"/>
          <w:sz w:val="24"/>
          <w:szCs w:val="24"/>
          <w:highlight w:val="none"/>
        </w:rPr>
        <w:t xml:space="preserve">13.4 竣工退场</w:t>
      </w:r>
      <w:bookmarkEnd w:id="701"/>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13.4.1 竣工退场</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承包人完成竣工退场的期限：</w:t>
      </w:r>
      <w:r>
        <w:rPr>
          <w:rFonts w:hint="eastAsia" w:ascii="宋体" w:hAnsi="宋体" w:eastAsia="宋体" w:cs="宋体"/>
          <w:color w:val="000000" w:themeColor="text1"/>
          <w:sz w:val="24"/>
          <w:szCs w:val="24"/>
          <w:highlight w:val="none"/>
          <w:u w:val="single"/>
        </w:rPr>
        <w:t xml:space="preserve">7日内</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10"/>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702" w:name="_Toc295889295"/>
      <w:r>
        <w:rPr>
          <w:color w:val="000000" w:themeColor="text1"/>
          <w:highlight w:val="none"/>
        </w:rPr>
      </w:r>
      <w:bookmarkStart w:id="703" w:name="_Toc1123811034"/>
      <w:r>
        <w:rPr>
          <w:rFonts w:hint="eastAsia" w:ascii="宋体" w:hAnsi="宋体" w:eastAsia="宋体" w:cs="宋体"/>
          <w:b w:val="0"/>
          <w:color w:val="000000" w:themeColor="text1"/>
          <w:sz w:val="24"/>
          <w:szCs w:val="24"/>
          <w:highlight w:val="none"/>
        </w:rPr>
        <w:t xml:space="preserve">14.竣工结算</w:t>
      </w:r>
      <w:bookmarkEnd w:id="702"/>
      <w:r>
        <w:rPr>
          <w:color w:val="000000" w:themeColor="text1"/>
          <w:highlight w:val="none"/>
        </w:rPr>
      </w:r>
      <w:bookmarkEnd w:id="703"/>
      <w:r>
        <w:rPr>
          <w:color w:val="000000" w:themeColor="text1"/>
          <w:highlight w:val="none"/>
        </w:rPr>
      </w:r>
      <w:r>
        <w:rPr>
          <w:color w:val="000000" w:themeColor="text1"/>
          <w:highlight w:val="none"/>
        </w:rPr>
      </w:r>
    </w:p>
    <w:p>
      <w:pPr>
        <w:pStyle w:val="906"/>
        <w:ind w:firstLine="480"/>
        <w:keepLines/>
        <w:keepNext w:val="0"/>
        <w:pageBreakBefore w:val="0"/>
        <w:spacing w:after="120"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704" w:name="_Toc3577"/>
      <w:r>
        <w:rPr>
          <w:color w:val="000000" w:themeColor="text1"/>
          <w:highlight w:val="none"/>
        </w:rPr>
      </w:r>
      <w:bookmarkStart w:id="705" w:name="_Toc2011892871"/>
      <w:r>
        <w:rPr>
          <w:color w:val="000000" w:themeColor="text1"/>
          <w:highlight w:val="none"/>
        </w:rPr>
      </w:r>
      <w:bookmarkStart w:id="706" w:name="_Toc1257404679"/>
      <w:r>
        <w:rPr>
          <w:rFonts w:hint="eastAsia" w:ascii="宋体" w:hAnsi="宋体" w:eastAsia="宋体" w:cs="宋体"/>
          <w:color w:val="000000" w:themeColor="text1"/>
          <w:sz w:val="24"/>
          <w:szCs w:val="24"/>
          <w:highlight w:val="none"/>
        </w:rPr>
        <w:t xml:space="preserve">14.1 竣工结算申请</w:t>
      </w:r>
      <w:bookmarkEnd w:id="704"/>
      <w:r>
        <w:rPr>
          <w:color w:val="000000" w:themeColor="text1"/>
          <w:highlight w:val="none"/>
        </w:rPr>
      </w:r>
      <w:bookmarkEnd w:id="705"/>
      <w:r>
        <w:rPr>
          <w:color w:val="000000" w:themeColor="text1"/>
          <w:highlight w:val="none"/>
        </w:rPr>
      </w:r>
      <w:bookmarkEnd w:id="706"/>
      <w:r>
        <w:rPr>
          <w:color w:val="000000" w:themeColor="text1"/>
          <w:highlight w:val="none"/>
        </w:rPr>
      </w:r>
      <w:r>
        <w:rPr>
          <w:color w:val="000000" w:themeColor="text1"/>
          <w:highlight w:val="none"/>
        </w:rPr>
      </w:r>
    </w:p>
    <w:p>
      <w:pPr>
        <w:pStyle w:val="923"/>
        <w:ind w:left="63" w:right="63"/>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承包人提交竣工结算申请单的期限：</w:t>
      </w:r>
      <w:r>
        <w:rPr>
          <w:rFonts w:hint="eastAsia" w:ascii="宋体" w:hAnsi="宋体" w:eastAsia="宋体" w:cs="宋体"/>
          <w:color w:val="000000" w:themeColor="text1"/>
          <w:sz w:val="24"/>
          <w:szCs w:val="24"/>
          <w:highlight w:val="none"/>
          <w:u w:val="single"/>
        </w:rPr>
        <w:t xml:space="preserve">承包人应在工程竣工验收合格后 28 天内向发包人和监理人提交竣工结算申请单，并提交完整的结算资料。</w:t>
      </w:r>
      <w:r>
        <w:rPr>
          <w:color w:val="000000" w:themeColor="text1"/>
          <w:highlight w:val="none"/>
        </w:rPr>
      </w:r>
    </w:p>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竣工结算申请单应包括的内容：</w:t>
      </w:r>
      <w:r>
        <w:rPr>
          <w:rFonts w:hint="eastAsia" w:ascii="宋体" w:hAnsi="宋体" w:eastAsia="宋体" w:cs="宋体"/>
          <w:color w:val="000000" w:themeColor="text1"/>
          <w:sz w:val="24"/>
          <w:szCs w:val="24"/>
          <w:highlight w:val="none"/>
          <w:u w:val="single"/>
        </w:rPr>
        <w:t xml:space="preserve">（1）竣工结算合同价格；</w:t>
      </w:r>
      <w:r>
        <w:rPr>
          <w:color w:val="000000" w:themeColor="text1"/>
          <w:highlight w:val="none"/>
        </w:rPr>
      </w:r>
    </w:p>
    <w:p>
      <w:pPr>
        <w:numPr>
          <w:ilvl w:val="0"/>
          <w:numId w:val="27"/>
        </w:numPr>
        <w:ind w:hanging="530"/>
        <w:jc w:val="left"/>
        <w:keepLines/>
        <w:keepNext w:val="0"/>
        <w:pageBreakBefore w:val="0"/>
        <w:spacing w:before="78" w:line="360" w:lineRule="auto"/>
        <w:widowControl w:val="off"/>
        <w:tabs>
          <w:tab w:val="left" w:pos="1061" w:leader="none"/>
          <w:tab w:val="left" w:pos="1320"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发包人已支付承包人的款项；</w:t>
      </w:r>
      <w:r>
        <w:rPr>
          <w:color w:val="000000" w:themeColor="text1"/>
          <w:highlight w:val="none"/>
        </w:rPr>
      </w:r>
    </w:p>
    <w:p>
      <w:pPr>
        <w:numPr>
          <w:ilvl w:val="0"/>
          <w:numId w:val="27"/>
        </w:numPr>
        <w:ind w:hanging="530"/>
        <w:jc w:val="left"/>
        <w:keepLines/>
        <w:keepNext w:val="0"/>
        <w:pageBreakBefore w:val="0"/>
        <w:spacing w:before="79" w:line="360" w:lineRule="auto"/>
        <w:widowControl w:val="off"/>
        <w:tabs>
          <w:tab w:val="left" w:pos="1061" w:leader="none"/>
          <w:tab w:val="left" w:pos="1320"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应扣留的质量保证金；</w:t>
      </w:r>
      <w:r>
        <w:rPr>
          <w:color w:val="000000" w:themeColor="text1"/>
          <w:highlight w:val="none"/>
        </w:rPr>
      </w:r>
    </w:p>
    <w:p>
      <w:pPr>
        <w:numPr>
          <w:ilvl w:val="0"/>
          <w:numId w:val="27"/>
        </w:numPr>
        <w:ind w:hanging="530"/>
        <w:jc w:val="left"/>
        <w:keepLines/>
        <w:keepNext w:val="0"/>
        <w:pageBreakBefore w:val="0"/>
        <w:spacing w:before="78" w:line="360" w:lineRule="auto"/>
        <w:widowControl w:val="off"/>
        <w:tabs>
          <w:tab w:val="left" w:pos="1061" w:leader="none"/>
          <w:tab w:val="left" w:pos="1320"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发包人应支付承包人的合同价款。</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color w:val="000000" w:themeColor="text1"/>
          <w:highlight w:val="none"/>
        </w:rPr>
      </w:r>
      <w:bookmarkStart w:id="707" w:name="_Toc30710"/>
      <w:r>
        <w:rPr>
          <w:rFonts w:hint="eastAsia" w:ascii="宋体" w:hAnsi="宋体" w:eastAsia="宋体" w:cs="宋体"/>
          <w:color w:val="000000" w:themeColor="text1"/>
          <w:sz w:val="24"/>
          <w:szCs w:val="24"/>
          <w:highlight w:val="none"/>
        </w:rPr>
        <w:t xml:space="preserve">14.2 竣工结算审核</w:t>
      </w:r>
      <w:bookmarkEnd w:id="707"/>
      <w:r>
        <w:rPr>
          <w:color w:val="000000" w:themeColor="text1"/>
          <w:highlight w:val="none"/>
        </w:rPr>
      </w:r>
      <w:r>
        <w:rPr>
          <w:color w:val="000000" w:themeColor="text1"/>
          <w:highlight w:val="none"/>
        </w:rPr>
      </w:r>
    </w:p>
    <w:p>
      <w:pPr>
        <w:pStyle w:val="923"/>
        <w:ind w:left="63" w:right="63"/>
        <w:jc w:val="left"/>
        <w:keepLines/>
        <w:keepNext w:val="0"/>
        <w:pageBreakBefore w:val="0"/>
        <w:spacing w:line="360" w:lineRule="auto"/>
        <w:widowControl w:val="off"/>
        <w:tabs>
          <w:tab w:val="left" w:pos="4314" w:leader="none"/>
        </w:tabs>
        <w:rPr>
          <w:rFonts w:hint="eastAsia" w:ascii="宋体" w:hAnsi="宋体" w:eastAsia="宋体" w:cs="宋体"/>
          <w:color w:val="000000" w:themeColor="text1"/>
          <w:sz w:val="24"/>
          <w:szCs w:val="24"/>
          <w:highlight w:val="none"/>
          <w:u w:val="single"/>
        </w:rPr>
      </w:pPr>
      <w:r>
        <w:rPr>
          <w:color w:val="000000" w:themeColor="text1"/>
          <w:highlight w:val="none"/>
        </w:rPr>
      </w:r>
      <w:bookmarkStart w:id="708" w:name="_Toc1509410444"/>
      <w:r>
        <w:rPr>
          <w:color w:val="000000" w:themeColor="text1"/>
          <w:highlight w:val="none"/>
        </w:rPr>
      </w:r>
      <w:bookmarkStart w:id="709" w:name="_Toc2011675479"/>
      <w:r>
        <w:rPr>
          <w:rFonts w:hint="eastAsia" w:ascii="宋体" w:hAnsi="宋体" w:eastAsia="宋体" w:cs="宋体"/>
          <w:color w:val="000000" w:themeColor="text1"/>
          <w:sz w:val="24"/>
          <w:szCs w:val="24"/>
          <w:highlight w:val="none"/>
        </w:rPr>
        <w:t xml:space="preserve">发包人审批竣工付款申请单的期限：</w:t>
      </w:r>
      <w:r>
        <w:rPr>
          <w:rFonts w:hint="eastAsia" w:ascii="宋体" w:hAnsi="宋体" w:eastAsia="宋体" w:cs="宋体"/>
          <w:color w:val="000000" w:themeColor="text1"/>
          <w:sz w:val="24"/>
          <w:szCs w:val="24"/>
          <w:highlight w:val="none"/>
          <w:u w:val="single"/>
        </w:rPr>
        <w:t xml:space="preserve">竣工结算报沛县审计局审计，待沛县审计局出具审计报告后另行约定</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 xml:space="preserve">。</w:t>
      </w:r>
      <w:bookmarkEnd w:id="708"/>
      <w:r>
        <w:rPr>
          <w:color w:val="000000" w:themeColor="text1"/>
          <w:highlight w:val="none"/>
        </w:rPr>
      </w:r>
      <w:bookmarkEnd w:id="709"/>
      <w:r>
        <w:rPr>
          <w:color w:val="000000" w:themeColor="text1"/>
          <w:highlight w:val="none"/>
        </w:rPr>
      </w:r>
      <w:r>
        <w:rPr>
          <w:color w:val="000000" w:themeColor="text1"/>
          <w:highlight w:val="none"/>
        </w:rPr>
      </w:r>
    </w:p>
    <w:p>
      <w:pPr>
        <w:pStyle w:val="923"/>
        <w:ind w:left="63" w:right="63"/>
        <w:keepLines/>
        <w:keepNext w:val="0"/>
        <w:pageBreakBefore w:val="0"/>
        <w:spacing w:before="78" w:line="360" w:lineRule="auto"/>
        <w:widowControl w:val="off"/>
        <w:tabs>
          <w:tab w:val="left" w:pos="8829"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发包人完成竣工付款的期限：</w:t>
      </w:r>
      <w:r>
        <w:rPr>
          <w:rFonts w:hint="eastAsia" w:ascii="宋体" w:hAnsi="宋体" w:eastAsia="宋体" w:cs="宋体"/>
          <w:color w:val="000000" w:themeColor="text1"/>
          <w:sz w:val="24"/>
          <w:szCs w:val="24"/>
          <w:highlight w:val="none"/>
          <w:u w:val="single"/>
        </w:rPr>
        <w:t xml:space="preserve">取得沛县审计局审计报告后按沛政发【2015】66号文执行</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23"/>
        <w:ind w:left="63" w:right="63"/>
        <w:keepLines/>
        <w:keepNext w:val="0"/>
        <w:pageBreakBefore w:val="0"/>
        <w:spacing w:before="72"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关于竣工付款证书异议部分复核的方式和程序：</w:t>
      </w:r>
      <w:r>
        <w:rPr>
          <w:rFonts w:hint="eastAsia" w:ascii="宋体" w:hAnsi="宋体" w:eastAsia="宋体" w:cs="宋体"/>
          <w:color w:val="000000" w:themeColor="text1"/>
          <w:sz w:val="24"/>
          <w:szCs w:val="24"/>
          <w:highlight w:val="none"/>
          <w:u w:val="single"/>
        </w:rPr>
        <w:t xml:space="preserve">按通用条款执行。</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u w:val="single"/>
        </w:rPr>
        <w:t xml:space="preserve">取</w:t>
      </w:r>
      <w:r>
        <w:rPr>
          <w:rFonts w:hint="eastAsia" w:ascii="宋体" w:hAnsi="宋体" w:eastAsia="宋体" w:cs="宋体"/>
          <w:color w:val="000000" w:themeColor="text1"/>
          <w:spacing w:val="-3"/>
          <w:sz w:val="24"/>
          <w:szCs w:val="24"/>
          <w:highlight w:val="none"/>
          <w:u w:val="single"/>
        </w:rPr>
        <w:t xml:space="preserve">得</w:t>
      </w:r>
      <w:r>
        <w:rPr>
          <w:rFonts w:hint="eastAsia" w:ascii="宋体" w:hAnsi="宋体" w:eastAsia="宋体" w:cs="宋体"/>
          <w:color w:val="000000" w:themeColor="text1"/>
          <w:sz w:val="24"/>
          <w:szCs w:val="24"/>
          <w:highlight w:val="none"/>
          <w:u w:val="single"/>
        </w:rPr>
        <w:t xml:space="preserve">沛</w:t>
      </w:r>
      <w:r>
        <w:rPr>
          <w:rFonts w:hint="eastAsia" w:ascii="宋体" w:hAnsi="宋体" w:eastAsia="宋体" w:cs="宋体"/>
          <w:color w:val="000000" w:themeColor="text1"/>
          <w:spacing w:val="-3"/>
          <w:sz w:val="24"/>
          <w:szCs w:val="24"/>
          <w:highlight w:val="none"/>
          <w:u w:val="single"/>
        </w:rPr>
        <w:t xml:space="preserve">县</w:t>
      </w:r>
      <w:r>
        <w:rPr>
          <w:rFonts w:hint="eastAsia" w:ascii="宋体" w:hAnsi="宋体" w:eastAsia="宋体" w:cs="宋体"/>
          <w:color w:val="000000" w:themeColor="text1"/>
          <w:sz w:val="24"/>
          <w:szCs w:val="24"/>
          <w:highlight w:val="none"/>
          <w:u w:val="single"/>
        </w:rPr>
        <w:t xml:space="preserve">审</w:t>
      </w:r>
      <w:r>
        <w:rPr>
          <w:rFonts w:hint="eastAsia" w:ascii="宋体" w:hAnsi="宋体" w:eastAsia="宋体" w:cs="宋体"/>
          <w:color w:val="000000" w:themeColor="text1"/>
          <w:spacing w:val="-3"/>
          <w:sz w:val="24"/>
          <w:szCs w:val="24"/>
          <w:highlight w:val="none"/>
          <w:u w:val="single"/>
        </w:rPr>
        <w:t xml:space="preserve">计</w:t>
      </w:r>
      <w:r>
        <w:rPr>
          <w:rFonts w:hint="eastAsia" w:ascii="宋体" w:hAnsi="宋体" w:eastAsia="宋体" w:cs="宋体"/>
          <w:color w:val="000000" w:themeColor="text1"/>
          <w:sz w:val="24"/>
          <w:szCs w:val="24"/>
          <w:highlight w:val="none"/>
          <w:u w:val="single"/>
        </w:rPr>
        <w:t xml:space="preserve">局</w:t>
      </w:r>
      <w:r>
        <w:rPr>
          <w:rFonts w:hint="eastAsia" w:ascii="宋体" w:hAnsi="宋体" w:eastAsia="宋体" w:cs="宋体"/>
          <w:color w:val="000000" w:themeColor="text1"/>
          <w:spacing w:val="-3"/>
          <w:sz w:val="24"/>
          <w:szCs w:val="24"/>
          <w:highlight w:val="none"/>
          <w:u w:val="single"/>
        </w:rPr>
        <w:t xml:space="preserve">审</w:t>
      </w:r>
      <w:r>
        <w:rPr>
          <w:rFonts w:hint="eastAsia" w:ascii="宋体" w:hAnsi="宋体" w:eastAsia="宋体" w:cs="宋体"/>
          <w:color w:val="000000" w:themeColor="text1"/>
          <w:sz w:val="24"/>
          <w:szCs w:val="24"/>
          <w:highlight w:val="none"/>
          <w:u w:val="single"/>
        </w:rPr>
        <w:t xml:space="preserve">计报</w:t>
      </w:r>
      <w:r>
        <w:rPr>
          <w:rFonts w:hint="eastAsia" w:ascii="宋体" w:hAnsi="宋体" w:eastAsia="宋体" w:cs="宋体"/>
          <w:color w:val="000000" w:themeColor="text1"/>
          <w:spacing w:val="-3"/>
          <w:sz w:val="24"/>
          <w:szCs w:val="24"/>
          <w:highlight w:val="none"/>
          <w:u w:val="single"/>
        </w:rPr>
        <w:t xml:space="preserve">告</w:t>
      </w:r>
      <w:r>
        <w:rPr>
          <w:rFonts w:hint="eastAsia" w:ascii="宋体" w:hAnsi="宋体" w:eastAsia="宋体" w:cs="宋体"/>
          <w:color w:val="000000" w:themeColor="text1"/>
          <w:sz w:val="24"/>
          <w:szCs w:val="24"/>
          <w:highlight w:val="none"/>
          <w:u w:val="single"/>
        </w:rPr>
        <w:t xml:space="preserve">后</w:t>
      </w:r>
      <w:r>
        <w:rPr>
          <w:rFonts w:hint="eastAsia" w:ascii="宋体" w:hAnsi="宋体" w:eastAsia="宋体" w:cs="宋体"/>
          <w:color w:val="000000" w:themeColor="text1"/>
          <w:spacing w:val="-3"/>
          <w:sz w:val="24"/>
          <w:szCs w:val="24"/>
          <w:highlight w:val="none"/>
          <w:u w:val="single"/>
        </w:rPr>
        <w:t xml:space="preserve">按</w:t>
      </w:r>
      <w:r>
        <w:rPr>
          <w:rFonts w:hint="eastAsia" w:ascii="宋体" w:hAnsi="宋体" w:eastAsia="宋体" w:cs="宋体"/>
          <w:color w:val="000000" w:themeColor="text1"/>
          <w:sz w:val="24"/>
          <w:szCs w:val="24"/>
          <w:highlight w:val="none"/>
          <w:u w:val="single"/>
        </w:rPr>
        <w:t xml:space="preserve">沛</w:t>
      </w:r>
      <w:r>
        <w:rPr>
          <w:rFonts w:hint="eastAsia" w:ascii="宋体" w:hAnsi="宋体" w:eastAsia="宋体" w:cs="宋体"/>
          <w:color w:val="000000" w:themeColor="text1"/>
          <w:spacing w:val="-3"/>
          <w:sz w:val="24"/>
          <w:szCs w:val="24"/>
          <w:highlight w:val="none"/>
          <w:u w:val="single"/>
        </w:rPr>
        <w:t xml:space="preserve">政</w:t>
      </w:r>
      <w:r>
        <w:rPr>
          <w:rFonts w:hint="eastAsia" w:ascii="宋体" w:hAnsi="宋体" w:eastAsia="宋体" w:cs="宋体"/>
          <w:color w:val="000000" w:themeColor="text1"/>
          <w:spacing w:val="-53"/>
          <w:sz w:val="24"/>
          <w:szCs w:val="24"/>
          <w:highlight w:val="none"/>
          <w:u w:val="single"/>
        </w:rPr>
        <w:t xml:space="preserve">发</w:t>
      </w:r>
      <w:r>
        <w:rPr>
          <w:rFonts w:hint="eastAsia" w:ascii="宋体" w:hAnsi="宋体" w:eastAsia="宋体" w:cs="宋体"/>
          <w:color w:val="000000" w:themeColor="text1"/>
          <w:spacing w:val="-3"/>
          <w:sz w:val="24"/>
          <w:szCs w:val="24"/>
          <w:highlight w:val="none"/>
          <w:u w:val="single"/>
        </w:rPr>
        <w:t xml:space="preserve">【</w:t>
      </w:r>
      <w:r>
        <w:rPr>
          <w:rFonts w:hint="eastAsia" w:ascii="宋体" w:hAnsi="宋体" w:eastAsia="宋体" w:cs="宋体"/>
          <w:color w:val="000000" w:themeColor="text1"/>
          <w:sz w:val="24"/>
          <w:szCs w:val="24"/>
          <w:highlight w:val="none"/>
          <w:u w:val="single"/>
        </w:rPr>
        <w:t xml:space="preserve">2015</w:t>
      </w:r>
      <w:r>
        <w:rPr>
          <w:rFonts w:hint="eastAsia" w:ascii="宋体" w:hAnsi="宋体" w:eastAsia="宋体" w:cs="宋体"/>
          <w:color w:val="000000" w:themeColor="text1"/>
          <w:spacing w:val="-55"/>
          <w:sz w:val="24"/>
          <w:szCs w:val="24"/>
          <w:highlight w:val="none"/>
          <w:u w:val="single"/>
        </w:rPr>
        <w:t xml:space="preserve">】</w:t>
      </w:r>
      <w:r>
        <w:rPr>
          <w:rFonts w:hint="eastAsia" w:ascii="宋体" w:hAnsi="宋体" w:eastAsia="宋体" w:cs="宋体"/>
          <w:color w:val="000000" w:themeColor="text1"/>
          <w:sz w:val="24"/>
          <w:szCs w:val="24"/>
          <w:highlight w:val="none"/>
          <w:u w:val="single"/>
        </w:rPr>
        <w:t xml:space="preserve">66</w:t>
      </w:r>
      <w:r>
        <w:rPr>
          <w:rFonts w:hint="eastAsia" w:ascii="宋体" w:hAnsi="宋体" w:eastAsia="宋体" w:cs="宋体"/>
          <w:color w:val="000000" w:themeColor="text1"/>
          <w:spacing w:val="-3"/>
          <w:sz w:val="24"/>
          <w:szCs w:val="24"/>
          <w:highlight w:val="none"/>
          <w:u w:val="single"/>
        </w:rPr>
        <w:t xml:space="preserve">号</w:t>
      </w:r>
      <w:r>
        <w:rPr>
          <w:rFonts w:hint="eastAsia" w:ascii="宋体" w:hAnsi="宋体" w:eastAsia="宋体" w:cs="宋体"/>
          <w:color w:val="000000" w:themeColor="text1"/>
          <w:sz w:val="24"/>
          <w:szCs w:val="24"/>
          <w:highlight w:val="none"/>
          <w:u w:val="single"/>
        </w:rPr>
        <w:t xml:space="preserve">文</w:t>
      </w:r>
      <w:r>
        <w:rPr>
          <w:rFonts w:hint="eastAsia" w:ascii="宋体" w:hAnsi="宋体" w:eastAsia="宋体" w:cs="宋体"/>
          <w:color w:val="000000" w:themeColor="text1"/>
          <w:spacing w:val="-3"/>
          <w:sz w:val="24"/>
          <w:szCs w:val="24"/>
          <w:highlight w:val="none"/>
          <w:u w:val="single"/>
        </w:rPr>
        <w:t xml:space="preserve">执</w:t>
      </w:r>
      <w:r>
        <w:rPr>
          <w:rFonts w:hint="eastAsia" w:ascii="宋体" w:hAnsi="宋体" w:eastAsia="宋体" w:cs="宋体"/>
          <w:color w:val="000000" w:themeColor="text1"/>
          <w:sz w:val="24"/>
          <w:szCs w:val="24"/>
          <w:highlight w:val="none"/>
          <w:u w:val="single"/>
        </w:rPr>
        <w:t xml:space="preserve">行</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关于竣工付款证书异议部分复核的方式和程序：</w:t>
      </w:r>
      <w:r>
        <w:rPr>
          <w:rFonts w:hint="eastAsia" w:ascii="宋体" w:hAnsi="宋体" w:eastAsia="宋体" w:cs="宋体"/>
          <w:color w:val="000000" w:themeColor="text1"/>
          <w:sz w:val="24"/>
          <w:szCs w:val="24"/>
          <w:highlight w:val="none"/>
          <w:u w:val="single"/>
        </w:rPr>
        <w:t xml:space="preserve">按通用条款执行</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color w:val="000000" w:themeColor="text1"/>
          <w:highlight w:val="none"/>
        </w:rPr>
      </w:r>
      <w:bookmarkStart w:id="710" w:name="_Toc10781"/>
      <w:r>
        <w:rPr>
          <w:rFonts w:hint="eastAsia" w:ascii="宋体" w:hAnsi="宋体" w:eastAsia="宋体" w:cs="宋体"/>
          <w:color w:val="000000" w:themeColor="text1"/>
          <w:sz w:val="24"/>
          <w:szCs w:val="24"/>
          <w:highlight w:val="none"/>
        </w:rPr>
        <w:t xml:space="preserve">14.3 最终结清</w:t>
      </w:r>
      <w:bookmarkEnd w:id="710"/>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14.3.1 最终结清申请单</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承包人提交最终结清申请单的份数：</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承包人提交最终结算申请单的期限：</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14.3.2 最终结清证书和支付</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（1）发包人完成最终结清申请单的审批并颁发最终结清证书的期限：</w:t>
      </w:r>
      <w:r>
        <w:rPr>
          <w:rFonts w:hint="eastAsia" w:ascii="宋体" w:hAnsi="宋体" w:eastAsia="宋体" w:cs="宋体"/>
          <w:color w:val="000000" w:themeColor="text1"/>
          <w:sz w:val="24"/>
          <w:szCs w:val="24"/>
          <w:highlight w:val="none"/>
          <w:u w:val="single"/>
        </w:rPr>
        <w:t xml:space="preserve">取得沛县审计局审计报告后按沛政发【2015】66 号文执行</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left="531"/>
        <w:jc w:val="left"/>
        <w:keepLines/>
        <w:keepNext w:val="0"/>
        <w:pageBreakBefore w:val="0"/>
        <w:spacing w:before="78" w:line="360" w:lineRule="auto"/>
        <w:widowControl w:val="off"/>
        <w:tabs>
          <w:tab w:val="left" w:pos="657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（2）发包人完成支付的期限：</w:t>
      </w:r>
      <w:r>
        <w:rPr>
          <w:rFonts w:hint="eastAsia" w:ascii="宋体" w:hAnsi="宋体" w:eastAsia="宋体" w:cs="宋体"/>
          <w:color w:val="000000" w:themeColor="text1"/>
          <w:sz w:val="24"/>
          <w:szCs w:val="24"/>
          <w:highlight w:val="none"/>
          <w:u w:val="single"/>
        </w:rPr>
        <w:t xml:space="preserve">按沛政发【2015】66号文执行。</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color w:val="000000" w:themeColor="text1"/>
          <w:highlight w:val="none"/>
        </w:rPr>
      </w:r>
      <w:bookmarkStart w:id="711" w:name="_Toc19199"/>
      <w:r>
        <w:rPr>
          <w:rFonts w:hint="eastAsia" w:ascii="宋体" w:hAnsi="宋体" w:eastAsia="宋体" w:cs="宋体"/>
          <w:color w:val="000000" w:themeColor="text1"/>
          <w:sz w:val="24"/>
          <w:szCs w:val="24"/>
          <w:highlight w:val="none"/>
        </w:rPr>
        <w:t xml:space="preserve">14.4 竣工归档资料</w:t>
      </w:r>
      <w:bookmarkEnd w:id="711"/>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本款补充：</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（1）施工中未发生设计变更，施工后由承包人在发包人提供的施工图纸加盖竣工图章提交发包人。</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（2）施工过程中发生设计变更的，需经相关方书面确认后由设计单位出具设计变更材料，由承包人提供加盖竣工图章的竣工图给发包人。</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（3）工程竣工验收结算后7天内，承包人应提供给发包人</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套完整符合要求的竣工图、竣工归档资料。</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竣工归档资料的形式和格式：。</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（4）因承包人拖延或不办理竣工归档资料时，经发包人催告，1个月内未按发包人要求提供相关竣工归档资料的，发包人有权委托第三方机构整理，相关费用由承包方承担。</w:t>
      </w:r>
      <w:bookmarkEnd w:id="682"/>
      <w:r>
        <w:rPr>
          <w:color w:val="000000" w:themeColor="text1"/>
          <w:highlight w:val="none"/>
        </w:rPr>
      </w:r>
      <w:bookmarkEnd w:id="683"/>
      <w:r>
        <w:rPr>
          <w:color w:val="000000" w:themeColor="text1"/>
          <w:highlight w:val="none"/>
        </w:rPr>
      </w:r>
      <w:bookmarkEnd w:id="684"/>
      <w:r>
        <w:rPr>
          <w:color w:val="000000" w:themeColor="text1"/>
          <w:highlight w:val="none"/>
        </w:rPr>
      </w:r>
      <w:bookmarkEnd w:id="685"/>
      <w:r>
        <w:rPr>
          <w:color w:val="000000" w:themeColor="text1"/>
          <w:highlight w:val="none"/>
        </w:rPr>
      </w:r>
      <w:bookmarkEnd w:id="686"/>
      <w:r>
        <w:rPr>
          <w:color w:val="000000" w:themeColor="text1"/>
          <w:highlight w:val="none"/>
        </w:rPr>
      </w:r>
      <w:bookmarkEnd w:id="687"/>
      <w:r>
        <w:rPr>
          <w:color w:val="000000" w:themeColor="text1"/>
          <w:highlight w:val="none"/>
        </w:rPr>
      </w:r>
      <w:bookmarkEnd w:id="688"/>
      <w:r>
        <w:rPr>
          <w:color w:val="000000" w:themeColor="text1"/>
          <w:highlight w:val="none"/>
        </w:rPr>
      </w:r>
      <w:bookmarkEnd w:id="698"/>
      <w:r>
        <w:rPr>
          <w:color w:val="000000" w:themeColor="text1"/>
          <w:highlight w:val="none"/>
        </w:rPr>
      </w:r>
      <w:r>
        <w:rPr>
          <w:color w:val="000000" w:themeColor="text1"/>
          <w:highlight w:val="none"/>
        </w:rPr>
      </w:r>
    </w:p>
    <w:p>
      <w:pPr>
        <w:pStyle w:val="910"/>
        <w:numPr>
          <w:ilvl w:val="0"/>
          <w:numId w:val="0"/>
        </w:numPr>
        <w:ind w:left="284"/>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color w:val="000000" w:themeColor="text1"/>
          <w:highlight w:val="none"/>
        </w:rPr>
      </w:r>
      <w:bookmarkStart w:id="712" w:name="_Toc1320788901"/>
      <w:r>
        <w:rPr>
          <w:color w:val="000000" w:themeColor="text1"/>
          <w:highlight w:val="none"/>
        </w:rPr>
      </w:r>
      <w:bookmarkStart w:id="713" w:name="_Toc490192013"/>
      <w:r>
        <w:rPr>
          <w:color w:val="000000" w:themeColor="text1"/>
          <w:highlight w:val="none"/>
        </w:rPr>
      </w:r>
      <w:bookmarkStart w:id="714" w:name="_Toc267251483"/>
      <w:r>
        <w:rPr>
          <w:color w:val="000000" w:themeColor="text1"/>
          <w:highlight w:val="none"/>
        </w:rPr>
      </w:r>
      <w:bookmarkStart w:id="715" w:name="_Toc267251485"/>
      <w:r>
        <w:rPr>
          <w:color w:val="000000" w:themeColor="text1"/>
          <w:highlight w:val="none"/>
        </w:rPr>
      </w:r>
      <w:bookmarkStart w:id="716" w:name="_Toc267251482"/>
      <w:r>
        <w:rPr>
          <w:color w:val="000000" w:themeColor="text1"/>
          <w:highlight w:val="none"/>
        </w:rPr>
      </w:r>
      <w:bookmarkStart w:id="717" w:name="_Toc267251484"/>
      <w:r>
        <w:rPr>
          <w:color w:val="000000" w:themeColor="text1"/>
          <w:highlight w:val="none"/>
        </w:rPr>
      </w:r>
      <w:bookmarkStart w:id="718" w:name="_Toc267251489"/>
      <w:r>
        <w:rPr>
          <w:color w:val="000000" w:themeColor="text1"/>
          <w:highlight w:val="none"/>
        </w:rPr>
      </w:r>
      <w:bookmarkStart w:id="719" w:name="_Toc267251490"/>
      <w:r>
        <w:rPr>
          <w:color w:val="000000" w:themeColor="text1"/>
          <w:highlight w:val="none"/>
        </w:rPr>
      </w:r>
      <w:bookmarkStart w:id="720" w:name="_Toc267251486"/>
      <w:r>
        <w:rPr>
          <w:color w:val="000000" w:themeColor="text1"/>
          <w:highlight w:val="none"/>
        </w:rPr>
      </w:r>
      <w:bookmarkStart w:id="721" w:name="_Toc267251488"/>
      <w:r>
        <w:rPr>
          <w:color w:val="000000" w:themeColor="text1"/>
          <w:highlight w:val="none"/>
        </w:rPr>
      </w:r>
      <w:bookmarkStart w:id="722" w:name="_Toc267251492"/>
      <w:r>
        <w:rPr>
          <w:color w:val="000000" w:themeColor="text1"/>
          <w:highlight w:val="none"/>
        </w:rPr>
      </w:r>
      <w:bookmarkStart w:id="723" w:name="_Toc267251501"/>
      <w:r>
        <w:rPr>
          <w:color w:val="000000" w:themeColor="text1"/>
          <w:highlight w:val="none"/>
        </w:rPr>
      </w:r>
      <w:bookmarkStart w:id="724" w:name="_Toc267251498"/>
      <w:r>
        <w:rPr>
          <w:color w:val="000000" w:themeColor="text1"/>
          <w:highlight w:val="none"/>
        </w:rPr>
      </w:r>
      <w:bookmarkStart w:id="725" w:name="_Toc267251502"/>
      <w:r>
        <w:rPr>
          <w:color w:val="000000" w:themeColor="text1"/>
          <w:highlight w:val="none"/>
        </w:rPr>
      </w:r>
      <w:bookmarkStart w:id="726" w:name="_Toc267251496"/>
      <w:r>
        <w:rPr>
          <w:color w:val="000000" w:themeColor="text1"/>
          <w:highlight w:val="none"/>
        </w:rPr>
      </w:r>
      <w:bookmarkStart w:id="727" w:name="_Toc267251494"/>
      <w:r>
        <w:rPr>
          <w:color w:val="000000" w:themeColor="text1"/>
          <w:highlight w:val="none"/>
        </w:rPr>
      </w:r>
      <w:bookmarkStart w:id="728" w:name="_Toc267251493"/>
      <w:r>
        <w:rPr>
          <w:color w:val="000000" w:themeColor="text1"/>
          <w:highlight w:val="none"/>
        </w:rPr>
      </w:r>
      <w:bookmarkStart w:id="729" w:name="_Toc267251491"/>
      <w:r>
        <w:rPr>
          <w:color w:val="000000" w:themeColor="text1"/>
          <w:highlight w:val="none"/>
        </w:rPr>
      </w:r>
      <w:bookmarkStart w:id="730" w:name="_Toc267251497"/>
      <w:r>
        <w:rPr>
          <w:color w:val="000000" w:themeColor="text1"/>
          <w:highlight w:val="none"/>
        </w:rPr>
      </w:r>
      <w:bookmarkStart w:id="731" w:name="_Toc267251499"/>
      <w:r>
        <w:rPr>
          <w:color w:val="000000" w:themeColor="text1"/>
          <w:highlight w:val="none"/>
        </w:rPr>
      </w:r>
      <w:bookmarkStart w:id="732" w:name="_Toc267251495"/>
      <w:r>
        <w:rPr>
          <w:color w:val="000000" w:themeColor="text1"/>
          <w:highlight w:val="none"/>
        </w:rPr>
      </w:r>
      <w:bookmarkStart w:id="733" w:name="_Toc267251503"/>
      <w:r>
        <w:rPr>
          <w:color w:val="000000" w:themeColor="text1"/>
          <w:highlight w:val="none"/>
        </w:rPr>
      </w:r>
      <w:bookmarkStart w:id="734" w:name="_Toc267251506"/>
      <w:r>
        <w:rPr>
          <w:color w:val="000000" w:themeColor="text1"/>
          <w:highlight w:val="none"/>
        </w:rPr>
      </w:r>
      <w:bookmarkStart w:id="735" w:name="_Toc267251507"/>
      <w:r>
        <w:rPr>
          <w:color w:val="000000" w:themeColor="text1"/>
          <w:highlight w:val="none"/>
        </w:rPr>
      </w:r>
      <w:bookmarkStart w:id="736" w:name="_Toc267251504"/>
      <w:r>
        <w:rPr>
          <w:color w:val="000000" w:themeColor="text1"/>
          <w:highlight w:val="none"/>
        </w:rPr>
      </w:r>
      <w:bookmarkStart w:id="737" w:name="_Toc267251508"/>
      <w:r>
        <w:rPr>
          <w:color w:val="000000" w:themeColor="text1"/>
          <w:highlight w:val="none"/>
        </w:rPr>
      </w:r>
      <w:bookmarkStart w:id="738" w:name="_Toc267251510"/>
      <w:r>
        <w:rPr>
          <w:color w:val="000000" w:themeColor="text1"/>
          <w:highlight w:val="none"/>
        </w:rPr>
      </w:r>
      <w:bookmarkStart w:id="739" w:name="_Toc267251515"/>
      <w:r>
        <w:rPr>
          <w:color w:val="000000" w:themeColor="text1"/>
          <w:highlight w:val="none"/>
        </w:rPr>
      </w:r>
      <w:bookmarkStart w:id="740" w:name="_Toc267251514"/>
      <w:r>
        <w:rPr>
          <w:color w:val="000000" w:themeColor="text1"/>
          <w:highlight w:val="none"/>
        </w:rPr>
      </w:r>
      <w:bookmarkStart w:id="741" w:name="_Toc267251513"/>
      <w:r>
        <w:rPr>
          <w:color w:val="000000" w:themeColor="text1"/>
          <w:highlight w:val="none"/>
        </w:rPr>
      </w:r>
      <w:bookmarkStart w:id="742" w:name="_Toc267251511"/>
      <w:r>
        <w:rPr>
          <w:color w:val="000000" w:themeColor="text1"/>
          <w:highlight w:val="none"/>
        </w:rPr>
      </w:r>
      <w:bookmarkStart w:id="743" w:name="_Toc267251509"/>
      <w:r>
        <w:rPr>
          <w:rFonts w:hint="eastAsia" w:ascii="宋体" w:hAnsi="宋体" w:eastAsia="宋体" w:cs="宋体"/>
          <w:b w:val="0"/>
          <w:color w:val="000000" w:themeColor="text1"/>
          <w:sz w:val="24"/>
          <w:szCs w:val="24"/>
          <w:highlight w:val="none"/>
        </w:rPr>
        <w:t xml:space="preserve">15. 缺陷责任期与保修</w:t>
      </w:r>
      <w:bookmarkEnd w:id="712"/>
      <w:r>
        <w:rPr>
          <w:color w:val="000000" w:themeColor="text1"/>
          <w:highlight w:val="none"/>
        </w:rPr>
      </w:r>
      <w:bookmarkEnd w:id="713"/>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color w:val="000000" w:themeColor="text1"/>
          <w:highlight w:val="none"/>
        </w:rPr>
      </w:r>
      <w:bookmarkStart w:id="744" w:name="_Toc18125"/>
      <w:r>
        <w:rPr>
          <w:rFonts w:hint="eastAsia" w:ascii="宋体" w:hAnsi="宋体" w:eastAsia="宋体" w:cs="宋体"/>
          <w:color w:val="000000" w:themeColor="text1"/>
          <w:sz w:val="24"/>
          <w:szCs w:val="24"/>
          <w:highlight w:val="none"/>
        </w:rPr>
        <w:t xml:space="preserve">15.1缺陷责任期</w:t>
      </w:r>
      <w:bookmarkEnd w:id="714"/>
      <w:r>
        <w:rPr>
          <w:color w:val="000000" w:themeColor="text1"/>
          <w:highlight w:val="none"/>
        </w:rPr>
      </w:r>
      <w:bookmarkEnd w:id="744"/>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缺陷责任期的具体期限：</w:t>
      </w:r>
      <w:r>
        <w:rPr>
          <w:rFonts w:hint="eastAsia" w:ascii="宋体" w:hAnsi="宋体" w:eastAsia="宋体" w:cs="宋体"/>
          <w:color w:val="000000" w:themeColor="text1"/>
          <w:sz w:val="24"/>
          <w:szCs w:val="24"/>
          <w:highlight w:val="none"/>
          <w:u w:val="single"/>
        </w:rPr>
        <w:t xml:space="preserve">交付使用后24个月</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15.2质量保证金</w:t>
      </w:r>
      <w:r>
        <w:rPr>
          <w:color w:val="000000" w:themeColor="text1"/>
          <w:highlight w:val="none"/>
        </w:rPr>
      </w:r>
    </w:p>
    <w:p>
      <w:pPr>
        <w:pStyle w:val="923"/>
        <w:ind w:left="63" w:right="63" w:firstLine="420"/>
        <w:keepLines/>
        <w:keepNext w:val="0"/>
        <w:pageBreakBefore w:val="0"/>
        <w:spacing w:line="360" w:lineRule="auto"/>
        <w:widowControl w:val="off"/>
        <w:tabs>
          <w:tab w:val="left" w:pos="4489" w:leader="none"/>
          <w:tab w:val="left" w:pos="5224"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关于是否扣留质量保证金的约定：</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 xml:space="preserve">扣留</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在工程项目竣工前，承包人按专用合同条款第3.7条提供履约担保的，发包人不得同时预留工程质量保证金。</w:t>
      </w:r>
      <w:r>
        <w:rPr>
          <w:color w:val="000000" w:themeColor="text1"/>
          <w:highlight w:val="none"/>
        </w:rPr>
      </w:r>
    </w:p>
    <w:p>
      <w:pPr>
        <w:ind w:right="5360" w:firstLine="480"/>
        <w:jc w:val="left"/>
        <w:keepLines/>
        <w:keepNext w:val="0"/>
        <w:pageBreakBefore w:val="0"/>
        <w:spacing w:line="360" w:lineRule="auto"/>
        <w:widowControl w:val="off"/>
        <w:tabs>
          <w:tab w:val="left" w:pos="1269" w:leader="none"/>
          <w:tab w:val="left" w:pos="3263"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15.2.1承包人提供质量保证金的方式质量   保证金采用以下第</w:t>
      </w:r>
      <w:r>
        <w:rPr>
          <w:rFonts w:hint="eastAsia" w:ascii="宋体" w:hAnsi="宋体" w:eastAsia="宋体" w:cs="宋体"/>
          <w:color w:val="000000" w:themeColor="text1"/>
          <w:sz w:val="24"/>
          <w:szCs w:val="24"/>
          <w:highlight w:val="none"/>
          <w:u w:val="single"/>
        </w:rPr>
        <w:t xml:space="preserve">(2)</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rPr>
        <w:t xml:space="preserve">种方式：</w:t>
      </w:r>
      <w:r>
        <w:rPr>
          <w:color w:val="000000" w:themeColor="text1"/>
          <w:highlight w:val="none"/>
        </w:rPr>
      </w:r>
    </w:p>
    <w:p>
      <w:pPr>
        <w:ind w:left="600" w:firstLine="200"/>
        <w:jc w:val="left"/>
        <w:keepLines/>
        <w:keepNext w:val="0"/>
        <w:pageBreakBefore w:val="0"/>
        <w:spacing w:line="360" w:lineRule="auto"/>
        <w:widowControl w:val="off"/>
        <w:tabs>
          <w:tab w:val="left" w:pos="1061" w:leader="none"/>
          <w:tab w:val="left" w:pos="4734" w:leader="none"/>
          <w:tab w:val="left" w:pos="605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（1）质量保证金保函，保证金额为：</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 xml:space="preserve">；</w:t>
      </w:r>
      <w:r>
        <w:rPr>
          <w:color w:val="000000" w:themeColor="text1"/>
          <w:highlight w:val="none"/>
        </w:rPr>
      </w:r>
    </w:p>
    <w:p>
      <w:pPr>
        <w:ind w:left="600" w:firstLine="200"/>
        <w:jc w:val="left"/>
        <w:keepLines/>
        <w:keepNext w:val="0"/>
        <w:pageBreakBefore w:val="0"/>
        <w:spacing w:line="360" w:lineRule="auto"/>
        <w:widowControl w:val="off"/>
        <w:tabs>
          <w:tab w:val="left" w:pos="1061" w:leader="none"/>
          <w:tab w:val="left" w:pos="1479" w:leader="none"/>
          <w:tab w:val="left" w:pos="1793"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%的结算款；</w:t>
      </w:r>
      <w:r>
        <w:rPr>
          <w:color w:val="000000" w:themeColor="text1"/>
          <w:highlight w:val="none"/>
        </w:rPr>
      </w:r>
    </w:p>
    <w:p>
      <w:pPr>
        <w:ind w:left="600" w:firstLine="200"/>
        <w:jc w:val="left"/>
        <w:keepLines/>
        <w:keepNext w:val="0"/>
        <w:pageBreakBefore w:val="0"/>
        <w:spacing w:line="360" w:lineRule="auto"/>
        <w:widowControl w:val="off"/>
        <w:tabs>
          <w:tab w:val="left" w:pos="1061" w:leader="none"/>
          <w:tab w:val="left" w:pos="4734" w:leader="none"/>
          <w:tab w:val="left" w:pos="6158"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（3）其他方式:</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left="518" w:firstLine="200"/>
        <w:jc w:val="left"/>
        <w:keepLines/>
        <w:keepNext w:val="0"/>
        <w:pageBreakBefore w:val="0"/>
        <w:spacing w:line="360" w:lineRule="auto"/>
        <w:widowControl w:val="off"/>
        <w:tabs>
          <w:tab w:val="left" w:pos="1269"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15.2.2质量保证金的扣留</w:t>
      </w:r>
      <w:r>
        <w:rPr>
          <w:color w:val="000000" w:themeColor="text1"/>
          <w:highlight w:val="none"/>
        </w:rPr>
      </w:r>
    </w:p>
    <w:p>
      <w:pPr>
        <w:pStyle w:val="923"/>
        <w:ind w:right="63" w:firstLine="480"/>
        <w:jc w:val="left"/>
        <w:keepLines/>
        <w:keepNext w:val="0"/>
        <w:pageBreakBefore w:val="0"/>
        <w:spacing w:after="0" w:line="360" w:lineRule="auto"/>
        <w:widowControl w:val="off"/>
        <w:tabs>
          <w:tab w:val="left" w:pos="3580" w:leader="none"/>
          <w:tab w:val="left" w:pos="3894"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质量保证金的扣留采取以下第</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种方式：</w:t>
      </w:r>
      <w:r>
        <w:rPr>
          <w:color w:val="000000" w:themeColor="text1"/>
          <w:highlight w:val="none"/>
        </w:rPr>
      </w:r>
    </w:p>
    <w:p>
      <w:pPr>
        <w:numPr>
          <w:ilvl w:val="0"/>
          <w:numId w:val="28"/>
        </w:numPr>
        <w:ind w:left="0" w:right="526" w:firstLine="480"/>
        <w:jc w:val="left"/>
        <w:keepLines/>
        <w:keepNext w:val="0"/>
        <w:pageBreakBefore w:val="0"/>
        <w:spacing w:before="0" w:line="360" w:lineRule="auto"/>
        <w:widowControl w:val="off"/>
        <w:tabs>
          <w:tab w:val="left" w:pos="106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在支付工程进度款时逐次扣留，在此情形下，质量保证金的计算基数不包括预付款的 支付、扣回以及价格调整的金额；</w:t>
      </w:r>
      <w:r>
        <w:rPr>
          <w:color w:val="000000" w:themeColor="text1"/>
          <w:highlight w:val="none"/>
        </w:rPr>
      </w:r>
    </w:p>
    <w:p>
      <w:pPr>
        <w:numPr>
          <w:ilvl w:val="0"/>
          <w:numId w:val="28"/>
        </w:numPr>
        <w:ind w:left="0" w:firstLine="480"/>
        <w:jc w:val="left"/>
        <w:keepLines/>
        <w:keepNext w:val="0"/>
        <w:pageBreakBefore w:val="0"/>
        <w:spacing w:before="0" w:line="360" w:lineRule="auto"/>
        <w:widowControl w:val="off"/>
        <w:tabs>
          <w:tab w:val="left" w:pos="1066"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工程竣工结算时一次性扣留质量保证金；</w:t>
      </w:r>
      <w:r>
        <w:rPr>
          <w:color w:val="000000" w:themeColor="text1"/>
          <w:highlight w:val="none"/>
        </w:rPr>
      </w:r>
    </w:p>
    <w:p>
      <w:pPr>
        <w:ind w:left="600" w:right="3575" w:firstLine="0"/>
        <w:jc w:val="left"/>
        <w:keepLines/>
        <w:keepNext w:val="0"/>
        <w:pageBreakBefore w:val="0"/>
        <w:spacing w:line="360" w:lineRule="auto"/>
        <w:widowControl w:val="off"/>
        <w:tabs>
          <w:tab w:val="left" w:pos="1061" w:leader="none"/>
          <w:tab w:val="left" w:pos="2737" w:leader="none"/>
          <w:tab w:val="left" w:pos="478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(3)其他扣留方式:</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从最后一批应付工程款扣留</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w:t>
      </w:r>
      <w:r>
        <w:rPr>
          <w:color w:val="000000" w:themeColor="text1"/>
          <w:highlight w:val="none"/>
        </w:rPr>
      </w:r>
    </w:p>
    <w:p>
      <w:pPr>
        <w:ind w:left="600" w:right="3575" w:firstLine="0"/>
        <w:jc w:val="left"/>
        <w:keepLines/>
        <w:keepNext w:val="0"/>
        <w:pageBreakBefore w:val="0"/>
        <w:spacing w:line="360" w:lineRule="auto"/>
        <w:widowControl w:val="off"/>
        <w:tabs>
          <w:tab w:val="left" w:pos="1061" w:leader="none"/>
          <w:tab w:val="left" w:pos="2737" w:leader="none"/>
          <w:tab w:val="left" w:pos="5678"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关于质量保证金的补充约定：</w:t>
      </w:r>
      <w:r>
        <w:rPr>
          <w:color w:val="000000" w:themeColor="text1"/>
          <w:highlight w:val="none"/>
        </w:rPr>
      </w:r>
    </w:p>
    <w:p>
      <w:pPr>
        <w:pStyle w:val="923"/>
        <w:ind w:right="63" w:firstLine="480"/>
        <w:jc w:val="left"/>
        <w:keepLines/>
        <w:keepNext w:val="0"/>
        <w:pageBreakBefore w:val="0"/>
        <w:spacing w:after="0" w:line="360" w:lineRule="auto"/>
        <w:widowControl w:val="off"/>
        <w:tabs>
          <w:tab w:val="left" w:pos="6158"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972185</wp:posOffset>
                </wp:positionH>
                <wp:positionV relativeFrom="paragraph">
                  <wp:posOffset>151130</wp:posOffset>
                </wp:positionV>
                <wp:extent cx="3839210" cy="0"/>
                <wp:effectExtent l="0" t="4445"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3839210" cy="0"/>
                        </a:xfrm>
                        <a:prstGeom prst="line">
                          <a:avLst/>
                        </a:prstGeom>
                        <a:solidFill>
                          <a:srgbClr val="FFFFFF"/>
                        </a:solidFill>
                        <a:ln w="6096">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76.5pt,11.9pt" to="378.9pt,11.9pt" fillcolor="#FFFFFF" strokecolor="#000000" strokeweight="0.48pt"/>
            </w:pict>
          </mc:Fallback>
        </mc:AlternateConten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15.3保修</w:t>
      </w:r>
      <w:r>
        <w:rPr>
          <w:color w:val="000000" w:themeColor="text1"/>
          <w:highlight w:val="none"/>
        </w:rPr>
      </w:r>
    </w:p>
    <w:p>
      <w:pPr>
        <w:pStyle w:val="906"/>
        <w:ind w:firstLine="468"/>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15.3.1 保修责任</w:t>
      </w:r>
      <w:r>
        <w:rPr>
          <w:color w:val="000000" w:themeColor="text1"/>
          <w:highlight w:val="none"/>
        </w:rPr>
      </w:r>
    </w:p>
    <w:p>
      <w:pPr>
        <w:pStyle w:val="906"/>
        <w:ind w:firstLine="468"/>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工程保修期为：</w:t>
      </w:r>
      <w:r>
        <w:rPr>
          <w:rFonts w:hint="eastAsia" w:ascii="宋体" w:hAnsi="宋体" w:eastAsia="宋体" w:cs="宋体"/>
          <w:color w:val="000000" w:themeColor="text1"/>
          <w:sz w:val="24"/>
          <w:szCs w:val="24"/>
          <w:highlight w:val="none"/>
          <w:u w:val="single"/>
        </w:rPr>
        <w:t xml:space="preserve">详见保修书。</w:t>
      </w:r>
      <w:r>
        <w:rPr>
          <w:rFonts w:hint="eastAsia" w:ascii="宋体" w:hAnsi="宋体" w:eastAsia="宋体" w:cs="宋体"/>
          <w:color w:val="000000" w:themeColor="text1"/>
          <w:sz w:val="24"/>
          <w:szCs w:val="24"/>
          <w:highlight w:val="none"/>
        </w:rPr>
        <w:t xml:space="preserve"> </w:t>
      </w:r>
      <w:bookmarkEnd w:id="715"/>
      <w:r>
        <w:rPr>
          <w:color w:val="000000" w:themeColor="text1"/>
          <w:highlight w:val="none"/>
        </w:rPr>
      </w:r>
      <w:bookmarkEnd w:id="716"/>
      <w:r>
        <w:rPr>
          <w:color w:val="000000" w:themeColor="text1"/>
          <w:highlight w:val="none"/>
        </w:rPr>
      </w:r>
      <w:bookmarkEnd w:id="717"/>
      <w:r>
        <w:rPr>
          <w:color w:val="000000" w:themeColor="text1"/>
          <w:highlight w:val="none"/>
        </w:rPr>
      </w:r>
      <w:r>
        <w:rPr>
          <w:color w:val="000000" w:themeColor="text1"/>
          <w:highlight w:val="none"/>
        </w:rPr>
      </w:r>
    </w:p>
    <w:p>
      <w:pPr>
        <w:pStyle w:val="906"/>
        <w:ind w:firstLine="468"/>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15.3.2 修复通知</w:t>
      </w:r>
      <w:r>
        <w:rPr>
          <w:color w:val="000000" w:themeColor="text1"/>
          <w:highlight w:val="none"/>
        </w:rPr>
      </w:r>
    </w:p>
    <w:p>
      <w:pPr>
        <w:pStyle w:val="906"/>
        <w:ind w:firstLine="468"/>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承包人收到保修通知并到达工程现场的合理时间：</w:t>
      </w:r>
      <w:r>
        <w:rPr>
          <w:rFonts w:hint="eastAsia" w:ascii="宋体" w:hAnsi="宋体" w:eastAsia="宋体" w:cs="宋体"/>
          <w:color w:val="000000" w:themeColor="text1"/>
          <w:sz w:val="24"/>
          <w:szCs w:val="24"/>
          <w:highlight w:val="none"/>
          <w:u w:val="single"/>
        </w:rPr>
        <w:t xml:space="preserve">24小时内</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745" w:name="_Toc652859120"/>
      <w:r>
        <w:rPr>
          <w:color w:val="000000" w:themeColor="text1"/>
          <w:highlight w:val="none"/>
        </w:rPr>
      </w:r>
      <w:bookmarkStart w:id="746" w:name="_Toc1846040712"/>
      <w:r>
        <w:rPr>
          <w:rFonts w:hint="eastAsia" w:ascii="宋体" w:hAnsi="宋体" w:eastAsia="宋体" w:cs="宋体"/>
          <w:color w:val="000000" w:themeColor="text1"/>
          <w:sz w:val="24"/>
          <w:szCs w:val="24"/>
          <w:highlight w:val="none"/>
        </w:rPr>
        <w:t xml:space="preserve">15.4绿化养护期</w:t>
      </w:r>
      <w:bookmarkEnd w:id="745"/>
      <w:r>
        <w:rPr>
          <w:color w:val="000000" w:themeColor="text1"/>
          <w:highlight w:val="none"/>
        </w:rPr>
      </w:r>
      <w:bookmarkEnd w:id="746"/>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绿化养护期的具体期限：</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绿化养护期内双方责任约定：</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绿化养护期内水电费支付：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w:t>
      </w:r>
      <w:bookmarkEnd w:id="718"/>
      <w:r>
        <w:rPr>
          <w:color w:val="000000" w:themeColor="text1"/>
          <w:highlight w:val="none"/>
        </w:rPr>
      </w:r>
      <w:bookmarkEnd w:id="719"/>
      <w:r>
        <w:rPr>
          <w:color w:val="000000" w:themeColor="text1"/>
          <w:highlight w:val="none"/>
        </w:rPr>
      </w:r>
      <w:bookmarkEnd w:id="720"/>
      <w:r>
        <w:rPr>
          <w:color w:val="000000" w:themeColor="text1"/>
          <w:highlight w:val="none"/>
        </w:rPr>
      </w:r>
      <w:bookmarkEnd w:id="721"/>
      <w:r>
        <w:rPr>
          <w:color w:val="000000" w:themeColor="text1"/>
          <w:highlight w:val="none"/>
        </w:rPr>
      </w:r>
      <w:r>
        <w:rPr>
          <w:color w:val="000000" w:themeColor="text1"/>
          <w:highlight w:val="none"/>
        </w:rPr>
      </w:r>
    </w:p>
    <w:p>
      <w:pPr>
        <w:pStyle w:val="910"/>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747" w:name="_Toc543386448"/>
      <w:r>
        <w:rPr>
          <w:color w:val="000000" w:themeColor="text1"/>
          <w:highlight w:val="none"/>
        </w:rPr>
      </w:r>
      <w:bookmarkStart w:id="748" w:name="_Toc922596978"/>
      <w:r>
        <w:rPr>
          <w:color w:val="000000" w:themeColor="text1"/>
          <w:highlight w:val="none"/>
        </w:rPr>
      </w:r>
      <w:bookmarkStart w:id="749" w:name="_Toc280868717"/>
      <w:r>
        <w:rPr>
          <w:color w:val="000000" w:themeColor="text1"/>
          <w:highlight w:val="none"/>
        </w:rPr>
      </w:r>
      <w:bookmarkStart w:id="750" w:name="_Toc280868718"/>
      <w:r>
        <w:rPr>
          <w:rFonts w:hint="eastAsia" w:ascii="宋体" w:hAnsi="宋体" w:eastAsia="宋体" w:cs="宋体"/>
          <w:b w:val="0"/>
          <w:color w:val="000000" w:themeColor="text1"/>
          <w:sz w:val="24"/>
          <w:szCs w:val="24"/>
          <w:highlight w:val="none"/>
        </w:rPr>
        <w:t xml:space="preserve">16. 违约</w:t>
      </w:r>
      <w:bookmarkEnd w:id="747"/>
      <w:r>
        <w:rPr>
          <w:color w:val="000000" w:themeColor="text1"/>
          <w:highlight w:val="none"/>
        </w:rPr>
      </w:r>
      <w:bookmarkEnd w:id="748"/>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751" w:name="_Toc41673421"/>
      <w:r>
        <w:rPr>
          <w:color w:val="000000" w:themeColor="text1"/>
          <w:highlight w:val="none"/>
        </w:rPr>
      </w:r>
      <w:bookmarkStart w:id="752" w:name="_Toc776232141"/>
      <w:r>
        <w:rPr>
          <w:color w:val="000000" w:themeColor="text1"/>
          <w:highlight w:val="none"/>
        </w:rPr>
      </w:r>
      <w:bookmarkStart w:id="753" w:name="_Toc12830"/>
      <w:r>
        <w:rPr>
          <w:rFonts w:hint="eastAsia" w:ascii="宋体" w:hAnsi="宋体" w:eastAsia="宋体" w:cs="宋体"/>
          <w:color w:val="000000" w:themeColor="text1"/>
          <w:sz w:val="24"/>
          <w:szCs w:val="24"/>
          <w:highlight w:val="none"/>
        </w:rPr>
        <w:t xml:space="preserve">16.1 发包人违约</w:t>
      </w:r>
      <w:bookmarkEnd w:id="751"/>
      <w:r>
        <w:rPr>
          <w:color w:val="000000" w:themeColor="text1"/>
          <w:highlight w:val="none"/>
        </w:rPr>
      </w:r>
      <w:bookmarkEnd w:id="752"/>
      <w:r>
        <w:rPr>
          <w:color w:val="000000" w:themeColor="text1"/>
          <w:highlight w:val="none"/>
        </w:rPr>
      </w:r>
      <w:bookmarkEnd w:id="753"/>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16.1.1发包人违约的情形</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发包人违约的其他情形：</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left="1200" w:hanging="120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16.1.2 发包人违约的责任</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发包人违约责任的承担方式和计算方法：</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（1）因发包人原因未能在计划开工日期前7天内下达开工通知的违约责任：</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（2）因发包人原因未能按合同约定支付合同价款的违约责任：</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（5）因发包人违反合同约定造成暂停施工的违约责任：</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（6）发包人无正当理由没有在约定期限内发出复工指示，导致承包人无法复工的违约责任：</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（7）其他：</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16.1.3 因发包人违约解除合同</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承包人按16.1.1项〔发包人违约的情形〕约定暂停施工满</w:t>
      </w:r>
      <w:r>
        <w:rPr>
          <w:rFonts w:hint="eastAsia" w:ascii="宋体" w:hAnsi="宋体" w:eastAsia="宋体" w:cs="宋体"/>
          <w:color w:val="000000" w:themeColor="text1"/>
          <w:sz w:val="24"/>
          <w:szCs w:val="24"/>
          <w:highlight w:val="none"/>
          <w:u w:val="single"/>
        </w:rPr>
        <w:t xml:space="preserve">/</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天后发包人仍不纠正其违约行为并致使合同目的不能实现的，承包人有权解除合同。</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754" w:name="_Toc10226"/>
      <w:r>
        <w:rPr>
          <w:color w:val="000000" w:themeColor="text1"/>
          <w:highlight w:val="none"/>
        </w:rPr>
      </w:r>
      <w:bookmarkStart w:id="755" w:name="_Toc808083520"/>
      <w:r>
        <w:rPr>
          <w:color w:val="000000" w:themeColor="text1"/>
          <w:highlight w:val="none"/>
        </w:rPr>
      </w:r>
      <w:bookmarkStart w:id="756" w:name="_Toc356979891"/>
      <w:r>
        <w:rPr>
          <w:rFonts w:hint="eastAsia" w:ascii="宋体" w:hAnsi="宋体" w:eastAsia="宋体" w:cs="宋体"/>
          <w:color w:val="000000" w:themeColor="text1"/>
          <w:sz w:val="24"/>
          <w:szCs w:val="24"/>
          <w:highlight w:val="none"/>
        </w:rPr>
        <w:t xml:space="preserve">16.2 承包人违约</w:t>
      </w:r>
      <w:bookmarkEnd w:id="754"/>
      <w:r>
        <w:rPr>
          <w:color w:val="000000" w:themeColor="text1"/>
          <w:highlight w:val="none"/>
        </w:rPr>
      </w:r>
      <w:bookmarkEnd w:id="755"/>
      <w:r>
        <w:rPr>
          <w:color w:val="000000" w:themeColor="text1"/>
          <w:highlight w:val="none"/>
        </w:rPr>
      </w:r>
      <w:bookmarkEnd w:id="756"/>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16.2.1 承包人违约的情形</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承包人违约的其他情形：</w:t>
      </w:r>
      <w:r>
        <w:rPr>
          <w:rFonts w:hint="eastAsia" w:ascii="宋体" w:hAnsi="宋体" w:eastAsia="宋体" w:cs="宋体"/>
          <w:color w:val="000000" w:themeColor="text1"/>
          <w:sz w:val="24"/>
          <w:szCs w:val="24"/>
          <w:highlight w:val="none"/>
          <w:u w:val="single"/>
        </w:rPr>
        <w:t xml:space="preserve">    中标后被发现有非法转包、违法分包、借用资质行为的中标人（承包人），发包方有权单方面解除施工合同，清退施工人员并按合同总价的 10%收取违约金，在这种情况下，承包人在收到解除合同通知七日内退场，并且不得提出任何对发包人不利的要求并承担发包人相关损</w:t>
      </w:r>
      <w:r>
        <w:rPr>
          <w:rFonts w:hint="eastAsia" w:ascii="宋体" w:hAnsi="宋体" w:eastAsia="宋体" w:cs="宋体"/>
          <w:color w:val="000000" w:themeColor="text1"/>
          <w:sz w:val="24"/>
          <w:szCs w:val="24"/>
          <w:highlight w:val="none"/>
          <w:u w:val="single"/>
          <w:lang w:val="en-US" w:eastAsia="zh-CN"/>
        </w:rPr>
        <w:t xml:space="preserve">失</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16.2.2承包人违约的责任</w:t>
      </w:r>
      <w:r>
        <w:rPr>
          <w:color w:val="000000" w:themeColor="text1"/>
          <w:highlight w:val="none"/>
        </w:rPr>
      </w:r>
    </w:p>
    <w:p>
      <w:pPr>
        <w:pStyle w:val="923"/>
        <w:ind w:left="63" w:right="63"/>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承包人违约责任的承担方式和计算方法：</w:t>
      </w:r>
      <w:r>
        <w:rPr>
          <w:rFonts w:hint="eastAsia" w:ascii="宋体" w:hAnsi="宋体" w:eastAsia="宋体" w:cs="宋体"/>
          <w:color w:val="000000" w:themeColor="text1"/>
          <w:sz w:val="24"/>
          <w:szCs w:val="24"/>
          <w:highlight w:val="none"/>
          <w:u w:val="single"/>
        </w:rPr>
        <w:t xml:space="preserve">1、施工中出现质量问题，由</w:t>
      </w:r>
      <w:r>
        <w:rPr>
          <w:rFonts w:hint="eastAsia" w:ascii="宋体" w:hAnsi="宋体" w:eastAsia="宋体" w:cs="宋体"/>
          <w:color w:val="000000" w:themeColor="text1"/>
          <w:sz w:val="24"/>
          <w:szCs w:val="24"/>
          <w:highlight w:val="none"/>
          <w:u w:val="single"/>
        </w:rPr>
        <w:t xml:space="preserve">承包人无偿返工至合格，并承担一切后果及经济赔偿责任，且工期不予顺延 ；2、如承包人违约，当约定的违约金不足以弥补发包人所受到的损失时，还应赔偿损失。3、发生人身、财产损失的安全事故，承包人应立刻将损失赔偿完毕，并保证不得造成社会不利影响。否则，发包人有权垫付上述费用，承包人应向发包人双倍支付垫付的款项。4、因承包人未能按时支付工人工资而造成不良社会影响的，发包人有权为安抚民工而在事先告之承包人的情况下向民工支付工资，并双倍从工程进度款中扣除，上报建设主管部门对承包人进行处置。5、承包人放弃调减违约金的权利。</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16.2.3 因承包人违约解除合同</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关于承包人违约解除合同的特别约定：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10"/>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757" w:name="_Toc2079114017"/>
      <w:r>
        <w:rPr>
          <w:color w:val="000000" w:themeColor="text1"/>
          <w:highlight w:val="none"/>
        </w:rPr>
      </w:r>
      <w:bookmarkStart w:id="758" w:name="_Toc812123563"/>
      <w:r>
        <w:rPr>
          <w:rFonts w:hint="eastAsia" w:ascii="宋体" w:hAnsi="宋体" w:eastAsia="宋体" w:cs="宋体"/>
          <w:b w:val="0"/>
          <w:color w:val="000000" w:themeColor="text1"/>
          <w:sz w:val="24"/>
          <w:szCs w:val="24"/>
          <w:highlight w:val="none"/>
        </w:rPr>
        <w:t xml:space="preserve">17. 不可抗力</w:t>
      </w:r>
      <w:bookmarkEnd w:id="749"/>
      <w:r>
        <w:rPr>
          <w:color w:val="000000" w:themeColor="text1"/>
          <w:highlight w:val="none"/>
        </w:rPr>
      </w:r>
      <w:bookmarkEnd w:id="757"/>
      <w:r>
        <w:rPr>
          <w:color w:val="000000" w:themeColor="text1"/>
          <w:highlight w:val="none"/>
        </w:rPr>
      </w:r>
      <w:bookmarkEnd w:id="758"/>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759" w:name="_Toc9363"/>
      <w:r>
        <w:rPr>
          <w:color w:val="000000" w:themeColor="text1"/>
          <w:highlight w:val="none"/>
        </w:rPr>
      </w:r>
      <w:bookmarkStart w:id="760" w:name="_Toc1806635917"/>
      <w:r>
        <w:rPr>
          <w:color w:val="000000" w:themeColor="text1"/>
          <w:highlight w:val="none"/>
        </w:rPr>
      </w:r>
      <w:bookmarkStart w:id="761" w:name="_Toc1018645862"/>
      <w:r>
        <w:rPr>
          <w:rFonts w:hint="eastAsia" w:ascii="宋体" w:hAnsi="宋体" w:eastAsia="宋体" w:cs="宋体"/>
          <w:color w:val="000000" w:themeColor="text1"/>
          <w:sz w:val="24"/>
          <w:szCs w:val="24"/>
          <w:highlight w:val="none"/>
        </w:rPr>
        <w:t xml:space="preserve">17.1 不可抗力的确认</w:t>
      </w:r>
      <w:bookmarkEnd w:id="759"/>
      <w:r>
        <w:rPr>
          <w:color w:val="000000" w:themeColor="text1"/>
          <w:highlight w:val="none"/>
        </w:rPr>
      </w:r>
      <w:bookmarkEnd w:id="760"/>
      <w:r>
        <w:rPr>
          <w:color w:val="000000" w:themeColor="text1"/>
          <w:highlight w:val="none"/>
        </w:rPr>
      </w:r>
      <w:bookmarkEnd w:id="761"/>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除通用合同条款约定的不可抗力事件之外，视为不可抗力的其他情形：</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762" w:name="_Toc24645"/>
      <w:r>
        <w:rPr>
          <w:color w:val="000000" w:themeColor="text1"/>
          <w:highlight w:val="none"/>
        </w:rPr>
      </w:r>
      <w:bookmarkStart w:id="763" w:name="_Toc1010713786"/>
      <w:r>
        <w:rPr>
          <w:color w:val="000000" w:themeColor="text1"/>
          <w:highlight w:val="none"/>
        </w:rPr>
      </w:r>
      <w:bookmarkStart w:id="764" w:name="_Toc11690251"/>
      <w:r>
        <w:rPr>
          <w:rFonts w:hint="eastAsia" w:ascii="宋体" w:hAnsi="宋体" w:eastAsia="宋体" w:cs="宋体"/>
          <w:color w:val="000000" w:themeColor="text1"/>
          <w:sz w:val="24"/>
          <w:szCs w:val="24"/>
          <w:highlight w:val="none"/>
        </w:rPr>
        <w:t xml:space="preserve">17.2 因不可抗力解除合同</w:t>
      </w:r>
      <w:bookmarkEnd w:id="762"/>
      <w:r>
        <w:rPr>
          <w:color w:val="000000" w:themeColor="text1"/>
          <w:highlight w:val="none"/>
        </w:rPr>
      </w:r>
      <w:bookmarkEnd w:id="763"/>
      <w:r>
        <w:rPr>
          <w:color w:val="000000" w:themeColor="text1"/>
          <w:highlight w:val="none"/>
        </w:rPr>
      </w:r>
      <w:bookmarkEnd w:id="764"/>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合同解除后，发包人应在商定时间后完成款项的支付。</w:t>
      </w:r>
      <w:r>
        <w:rPr>
          <w:color w:val="000000" w:themeColor="text1"/>
          <w:highlight w:val="none"/>
        </w:rPr>
      </w:r>
    </w:p>
    <w:p>
      <w:pPr>
        <w:pStyle w:val="910"/>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765" w:name="_Toc266453569"/>
      <w:r>
        <w:rPr>
          <w:color w:val="000000" w:themeColor="text1"/>
          <w:highlight w:val="none"/>
        </w:rPr>
      </w:r>
      <w:bookmarkStart w:id="766" w:name="_Toc1270684127"/>
      <w:r>
        <w:rPr>
          <w:rFonts w:hint="eastAsia" w:ascii="宋体" w:hAnsi="宋体" w:eastAsia="宋体" w:cs="宋体"/>
          <w:b w:val="0"/>
          <w:color w:val="000000" w:themeColor="text1"/>
          <w:sz w:val="24"/>
          <w:szCs w:val="24"/>
          <w:highlight w:val="none"/>
        </w:rPr>
        <w:t xml:space="preserve">18. 保险</w:t>
      </w:r>
      <w:bookmarkEnd w:id="750"/>
      <w:r>
        <w:rPr>
          <w:color w:val="000000" w:themeColor="text1"/>
          <w:highlight w:val="none"/>
        </w:rPr>
      </w:r>
      <w:bookmarkEnd w:id="765"/>
      <w:r>
        <w:rPr>
          <w:color w:val="000000" w:themeColor="text1"/>
          <w:highlight w:val="none"/>
        </w:rPr>
      </w:r>
      <w:bookmarkEnd w:id="766"/>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767" w:name="_Toc995365961"/>
      <w:r>
        <w:rPr>
          <w:color w:val="000000" w:themeColor="text1"/>
          <w:highlight w:val="none"/>
        </w:rPr>
      </w:r>
      <w:bookmarkStart w:id="768" w:name="_Toc552342053"/>
      <w:r>
        <w:rPr>
          <w:color w:val="000000" w:themeColor="text1"/>
          <w:highlight w:val="none"/>
        </w:rPr>
      </w:r>
      <w:bookmarkStart w:id="769" w:name="_Toc29058"/>
      <w:r>
        <w:rPr>
          <w:rFonts w:hint="eastAsia" w:ascii="宋体" w:hAnsi="宋体" w:eastAsia="宋体" w:cs="宋体"/>
          <w:color w:val="000000" w:themeColor="text1"/>
          <w:sz w:val="24"/>
          <w:szCs w:val="24"/>
          <w:highlight w:val="none"/>
        </w:rPr>
        <w:t xml:space="preserve">18.1 工程保险</w:t>
      </w:r>
      <w:bookmarkEnd w:id="767"/>
      <w:r>
        <w:rPr>
          <w:color w:val="000000" w:themeColor="text1"/>
          <w:highlight w:val="none"/>
        </w:rPr>
      </w:r>
      <w:bookmarkEnd w:id="768"/>
      <w:r>
        <w:rPr>
          <w:color w:val="000000" w:themeColor="text1"/>
          <w:highlight w:val="none"/>
        </w:rPr>
      </w:r>
      <w:bookmarkEnd w:id="769"/>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关于工程保险的特别约定：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770" w:name="_Toc1356197126"/>
      <w:r>
        <w:rPr>
          <w:color w:val="000000" w:themeColor="text1"/>
          <w:highlight w:val="none"/>
        </w:rPr>
      </w:r>
      <w:bookmarkStart w:id="771" w:name="_Toc11083"/>
      <w:r>
        <w:rPr>
          <w:color w:val="000000" w:themeColor="text1"/>
          <w:highlight w:val="none"/>
        </w:rPr>
      </w:r>
      <w:bookmarkStart w:id="772" w:name="_Toc1714078037"/>
      <w:r>
        <w:rPr>
          <w:rFonts w:hint="eastAsia" w:ascii="宋体" w:hAnsi="宋体" w:eastAsia="宋体" w:cs="宋体"/>
          <w:color w:val="000000" w:themeColor="text1"/>
          <w:sz w:val="24"/>
          <w:szCs w:val="24"/>
          <w:highlight w:val="none"/>
        </w:rPr>
        <w:t xml:space="preserve">18.2 其他保险</w:t>
      </w:r>
      <w:bookmarkEnd w:id="770"/>
      <w:r>
        <w:rPr>
          <w:color w:val="000000" w:themeColor="text1"/>
          <w:highlight w:val="none"/>
        </w:rPr>
      </w:r>
      <w:bookmarkEnd w:id="771"/>
      <w:r>
        <w:rPr>
          <w:color w:val="000000" w:themeColor="text1"/>
          <w:highlight w:val="none"/>
        </w:rPr>
      </w:r>
      <w:bookmarkEnd w:id="772"/>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关于其他保险的约定：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承包人是否应为其施工设备等办理财产保险：</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773" w:name="_Toc221254894"/>
      <w:r>
        <w:rPr>
          <w:color w:val="000000" w:themeColor="text1"/>
          <w:highlight w:val="none"/>
        </w:rPr>
      </w:r>
      <w:bookmarkStart w:id="774" w:name="_Toc23310917"/>
      <w:r>
        <w:rPr>
          <w:color w:val="000000" w:themeColor="text1"/>
          <w:highlight w:val="none"/>
        </w:rPr>
      </w:r>
      <w:bookmarkStart w:id="775" w:name="_Toc4543"/>
      <w:r>
        <w:rPr>
          <w:rFonts w:hint="eastAsia" w:ascii="宋体" w:hAnsi="宋体" w:eastAsia="宋体" w:cs="宋体"/>
          <w:color w:val="000000" w:themeColor="text1"/>
          <w:sz w:val="24"/>
          <w:szCs w:val="24"/>
          <w:highlight w:val="none"/>
        </w:rPr>
        <w:t xml:space="preserve">18.3 通知义务</w:t>
      </w:r>
      <w:bookmarkEnd w:id="773"/>
      <w:r>
        <w:rPr>
          <w:color w:val="000000" w:themeColor="text1"/>
          <w:highlight w:val="none"/>
        </w:rPr>
      </w:r>
      <w:bookmarkEnd w:id="774"/>
      <w:r>
        <w:rPr>
          <w:color w:val="000000" w:themeColor="text1"/>
          <w:highlight w:val="none"/>
        </w:rPr>
      </w:r>
      <w:bookmarkEnd w:id="775"/>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关于变更保险合同时的通知义务的约定：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bookmarkEnd w:id="722"/>
      <w:r>
        <w:rPr>
          <w:color w:val="000000" w:themeColor="text1"/>
          <w:highlight w:val="none"/>
        </w:rPr>
      </w:r>
      <w:bookmarkEnd w:id="723"/>
      <w:r>
        <w:rPr>
          <w:color w:val="000000" w:themeColor="text1"/>
          <w:highlight w:val="none"/>
        </w:rPr>
      </w:r>
      <w:bookmarkEnd w:id="724"/>
      <w:r>
        <w:rPr>
          <w:color w:val="000000" w:themeColor="text1"/>
          <w:highlight w:val="none"/>
        </w:rPr>
      </w:r>
      <w:bookmarkEnd w:id="725"/>
      <w:r>
        <w:rPr>
          <w:color w:val="000000" w:themeColor="text1"/>
          <w:highlight w:val="none"/>
        </w:rPr>
      </w:r>
      <w:bookmarkEnd w:id="726"/>
      <w:r>
        <w:rPr>
          <w:color w:val="000000" w:themeColor="text1"/>
          <w:highlight w:val="none"/>
        </w:rPr>
      </w:r>
      <w:bookmarkEnd w:id="727"/>
      <w:r>
        <w:rPr>
          <w:color w:val="000000" w:themeColor="text1"/>
          <w:highlight w:val="none"/>
        </w:rPr>
      </w:r>
      <w:bookmarkEnd w:id="728"/>
      <w:r>
        <w:rPr>
          <w:color w:val="000000" w:themeColor="text1"/>
          <w:highlight w:val="none"/>
        </w:rPr>
      </w:r>
      <w:bookmarkEnd w:id="729"/>
      <w:r>
        <w:rPr>
          <w:color w:val="000000" w:themeColor="text1"/>
          <w:highlight w:val="none"/>
        </w:rPr>
      </w:r>
      <w:bookmarkEnd w:id="730"/>
      <w:r>
        <w:rPr>
          <w:color w:val="000000" w:themeColor="text1"/>
          <w:highlight w:val="none"/>
        </w:rPr>
      </w:r>
      <w:bookmarkEnd w:id="731"/>
      <w:r>
        <w:rPr>
          <w:color w:val="000000" w:themeColor="text1"/>
          <w:highlight w:val="none"/>
        </w:rPr>
      </w:r>
      <w:bookmarkEnd w:id="732"/>
      <w:r>
        <w:rPr>
          <w:color w:val="000000" w:themeColor="text1"/>
          <w:highlight w:val="none"/>
        </w:rPr>
      </w:r>
      <w:bookmarkEnd w:id="733"/>
      <w:r>
        <w:rPr>
          <w:color w:val="000000" w:themeColor="text1"/>
          <w:highlight w:val="none"/>
        </w:rPr>
      </w:r>
      <w:r>
        <w:rPr>
          <w:color w:val="000000" w:themeColor="text1"/>
          <w:highlight w:val="none"/>
        </w:rPr>
      </w:r>
    </w:p>
    <w:p>
      <w:pPr>
        <w:pStyle w:val="910"/>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776" w:name="_Toc417085405"/>
      <w:r>
        <w:rPr>
          <w:color w:val="000000" w:themeColor="text1"/>
          <w:highlight w:val="none"/>
        </w:rPr>
      </w:r>
      <w:bookmarkStart w:id="777" w:name="_Toc226165635"/>
      <w:r>
        <w:rPr>
          <w:rFonts w:hint="eastAsia" w:ascii="宋体" w:hAnsi="宋体" w:eastAsia="宋体" w:cs="宋体"/>
          <w:b w:val="0"/>
          <w:color w:val="000000" w:themeColor="text1"/>
          <w:sz w:val="24"/>
          <w:szCs w:val="24"/>
          <w:highlight w:val="none"/>
        </w:rPr>
        <w:t xml:space="preserve">19. 争议解决</w:t>
      </w:r>
      <w:bookmarkEnd w:id="776"/>
      <w:r>
        <w:rPr>
          <w:color w:val="000000" w:themeColor="text1"/>
          <w:highlight w:val="none"/>
        </w:rPr>
      </w:r>
      <w:bookmarkEnd w:id="777"/>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778" w:name="_Toc1731520220"/>
      <w:r>
        <w:rPr>
          <w:color w:val="000000" w:themeColor="text1"/>
          <w:highlight w:val="none"/>
        </w:rPr>
      </w:r>
      <w:bookmarkStart w:id="779" w:name="_Toc846612084"/>
      <w:r>
        <w:rPr>
          <w:color w:val="000000" w:themeColor="text1"/>
          <w:highlight w:val="none"/>
        </w:rPr>
      </w:r>
      <w:bookmarkStart w:id="780" w:name="_Toc4610"/>
      <w:r>
        <w:rPr>
          <w:rFonts w:hint="eastAsia" w:ascii="宋体" w:hAnsi="宋体" w:eastAsia="宋体" w:cs="宋体"/>
          <w:color w:val="000000" w:themeColor="text1"/>
          <w:sz w:val="24"/>
          <w:szCs w:val="24"/>
          <w:highlight w:val="none"/>
        </w:rPr>
        <w:t xml:space="preserve">19.1 争议评审</w:t>
      </w:r>
      <w:bookmarkEnd w:id="778"/>
      <w:r>
        <w:rPr>
          <w:color w:val="000000" w:themeColor="text1"/>
          <w:highlight w:val="none"/>
        </w:rPr>
      </w:r>
      <w:bookmarkEnd w:id="779"/>
      <w:r>
        <w:rPr>
          <w:color w:val="000000" w:themeColor="text1"/>
          <w:highlight w:val="none"/>
        </w:rPr>
      </w:r>
      <w:bookmarkEnd w:id="780"/>
      <w:r>
        <w:rPr>
          <w:color w:val="000000" w:themeColor="text1"/>
          <w:highlight w:val="none"/>
        </w:rPr>
      </w:r>
      <w:r>
        <w:rPr>
          <w:color w:val="000000" w:themeColor="text1"/>
          <w:highlight w:val="none"/>
        </w:rPr>
      </w:r>
    </w:p>
    <w:p>
      <w:pPr>
        <w:pStyle w:val="906"/>
        <w:ind w:left="149" w:firstLine="36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合同当事人是否同意将工程争议提交争议评审小组决定：</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bookmarkEnd w:id="734"/>
      <w:r>
        <w:rPr>
          <w:color w:val="000000" w:themeColor="text1"/>
          <w:highlight w:val="none"/>
        </w:rPr>
      </w:r>
      <w:bookmarkEnd w:id="735"/>
      <w:r>
        <w:rPr>
          <w:color w:val="000000" w:themeColor="text1"/>
          <w:highlight w:val="none"/>
        </w:rPr>
      </w:r>
      <w:bookmarkEnd w:id="736"/>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19.1.1 争议评审小组的确定</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关于评审机构的约定：/。</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争议评审小组成员的确定：/。</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选定争议评审员的期限：/。</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争议评审小组成员的报酬承担方式：/。</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其他事项的约定：/。</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19.1.2 争议评审小组的决定</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合同当事人关于本项的约定：/</w:t>
      </w:r>
      <w:r>
        <w:rPr>
          <w:color w:val="000000" w:themeColor="text1"/>
          <w:highlight w:val="none"/>
        </w:rPr>
      </w:r>
    </w:p>
    <w:p>
      <w:pPr>
        <w:pStyle w:val="906"/>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781" w:name="_Toc2061672555"/>
      <w:r>
        <w:rPr>
          <w:color w:val="000000" w:themeColor="text1"/>
          <w:highlight w:val="none"/>
        </w:rPr>
      </w:r>
      <w:bookmarkStart w:id="782" w:name="_Toc30811"/>
      <w:r>
        <w:rPr>
          <w:color w:val="000000" w:themeColor="text1"/>
          <w:highlight w:val="none"/>
        </w:rPr>
      </w:r>
      <w:bookmarkStart w:id="783" w:name="_Toc1638028047"/>
      <w:r>
        <w:rPr>
          <w:rFonts w:hint="eastAsia" w:ascii="宋体" w:hAnsi="宋体" w:eastAsia="宋体" w:cs="宋体"/>
          <w:color w:val="000000" w:themeColor="text1"/>
          <w:sz w:val="24"/>
          <w:szCs w:val="24"/>
          <w:highlight w:val="none"/>
        </w:rPr>
        <w:t xml:space="preserve">19.2仲裁或诉讼</w:t>
      </w:r>
      <w:bookmarkEnd w:id="737"/>
      <w:r>
        <w:rPr>
          <w:color w:val="000000" w:themeColor="text1"/>
          <w:highlight w:val="none"/>
        </w:rPr>
      </w:r>
      <w:bookmarkEnd w:id="781"/>
      <w:r>
        <w:rPr>
          <w:color w:val="000000" w:themeColor="text1"/>
          <w:highlight w:val="none"/>
        </w:rPr>
      </w:r>
      <w:bookmarkEnd w:id="782"/>
      <w:r>
        <w:rPr>
          <w:color w:val="000000" w:themeColor="text1"/>
          <w:highlight w:val="none"/>
        </w:rPr>
      </w:r>
      <w:bookmarkEnd w:id="783"/>
      <w:r>
        <w:rPr>
          <w:color w:val="000000" w:themeColor="text1"/>
          <w:highlight w:val="none"/>
        </w:rPr>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因合同及合同有关事项发生的争议，按下列第2种方式解决：</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（1）向</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仲裁委员会申请仲裁；</w:t>
      </w:r>
      <w:r>
        <w:rPr>
          <w:color w:val="000000" w:themeColor="text1"/>
          <w:highlight w:val="none"/>
        </w:rPr>
      </w:r>
    </w:p>
    <w:p>
      <w:pPr>
        <w:pStyle w:val="906"/>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（2）依法向</w:t>
      </w:r>
      <w:r>
        <w:rPr>
          <w:rFonts w:hint="eastAsia" w:ascii="宋体" w:hAnsi="宋体" w:eastAsia="宋体" w:cs="宋体"/>
          <w:color w:val="000000" w:themeColor="text1"/>
          <w:sz w:val="24"/>
          <w:szCs w:val="24"/>
          <w:highlight w:val="none"/>
          <w:u w:val="single"/>
        </w:rPr>
        <w:t xml:space="preserve">工程所在地</w:t>
      </w:r>
      <w:r>
        <w:rPr>
          <w:rFonts w:hint="eastAsia" w:ascii="宋体" w:hAnsi="宋体" w:eastAsia="宋体" w:cs="宋体"/>
          <w:color w:val="000000" w:themeColor="text1"/>
          <w:sz w:val="24"/>
          <w:szCs w:val="24"/>
          <w:highlight w:val="none"/>
        </w:rPr>
        <w:t xml:space="preserve">人民法院起诉。</w:t>
      </w:r>
      <w:bookmarkEnd w:id="738"/>
      <w:r>
        <w:rPr>
          <w:color w:val="000000" w:themeColor="text1"/>
          <w:highlight w:val="none"/>
        </w:rPr>
      </w:r>
      <w:bookmarkEnd w:id="739"/>
      <w:r>
        <w:rPr>
          <w:color w:val="000000" w:themeColor="text1"/>
          <w:highlight w:val="none"/>
        </w:rPr>
      </w:r>
      <w:bookmarkEnd w:id="740"/>
      <w:r>
        <w:rPr>
          <w:color w:val="000000" w:themeColor="text1"/>
          <w:highlight w:val="none"/>
        </w:rPr>
      </w:r>
      <w:bookmarkEnd w:id="741"/>
      <w:r>
        <w:rPr>
          <w:color w:val="000000" w:themeColor="text1"/>
          <w:highlight w:val="none"/>
        </w:rPr>
      </w:r>
      <w:bookmarkEnd w:id="742"/>
      <w:r>
        <w:rPr>
          <w:color w:val="000000" w:themeColor="text1"/>
          <w:highlight w:val="none"/>
        </w:rPr>
      </w:r>
      <w:bookmarkEnd w:id="743"/>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784" w:name="_Toc452738762"/>
      <w:r>
        <w:rPr>
          <w:color w:val="000000" w:themeColor="text1"/>
          <w:highlight w:val="none"/>
        </w:rPr>
      </w:r>
      <w:bookmarkStart w:id="785" w:name="_Toc6183"/>
      <w:r>
        <w:rPr>
          <w:color w:val="000000" w:themeColor="text1"/>
          <w:highlight w:val="none"/>
        </w:rPr>
      </w:r>
      <w:bookmarkStart w:id="786" w:name="_Toc365353596"/>
      <w:r>
        <w:rPr>
          <w:rFonts w:hint="eastAsia" w:ascii="宋体" w:hAnsi="宋体" w:eastAsia="宋体" w:cs="宋体"/>
          <w:color w:val="000000" w:themeColor="text1"/>
          <w:sz w:val="24"/>
          <w:szCs w:val="24"/>
          <w:highlight w:val="none"/>
        </w:rPr>
        <w:t xml:space="preserve">19.3 通知送达</w:t>
      </w:r>
      <w:bookmarkEnd w:id="784"/>
      <w:r>
        <w:rPr>
          <w:color w:val="000000" w:themeColor="text1"/>
          <w:highlight w:val="none"/>
        </w:rPr>
      </w:r>
      <w:bookmarkEnd w:id="785"/>
      <w:r>
        <w:rPr>
          <w:color w:val="000000" w:themeColor="text1"/>
          <w:highlight w:val="none"/>
        </w:rPr>
      </w:r>
      <w:bookmarkEnd w:id="786"/>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color w:val="000000" w:themeColor="text1"/>
          <w:highlight w:val="none"/>
        </w:rPr>
      </w:r>
      <w:bookmarkStart w:id="787" w:name="_Toc1414635822"/>
      <w:r>
        <w:rPr>
          <w:color w:val="000000" w:themeColor="text1"/>
          <w:highlight w:val="none"/>
        </w:rPr>
      </w:r>
      <w:bookmarkStart w:id="788" w:name="_Toc626862138"/>
      <w:r>
        <w:rPr>
          <w:color w:val="000000" w:themeColor="text1"/>
          <w:highlight w:val="none"/>
        </w:rPr>
      </w:r>
      <w:bookmarkStart w:id="789" w:name="_Toc18712"/>
      <w:r>
        <w:rPr>
          <w:rFonts w:hint="eastAsia" w:ascii="宋体" w:hAnsi="宋体" w:eastAsia="宋体" w:cs="宋体"/>
          <w:color w:val="000000" w:themeColor="text1"/>
          <w:sz w:val="24"/>
          <w:szCs w:val="24"/>
          <w:highlight w:val="none"/>
        </w:rPr>
        <w:t xml:space="preserve">双方确认本合同载明的联系方式（联系电话、电子信箱、传真号码及通信地址）准确无误，如有变更应以书面方式及时通知另一方。由于一方联系方式错误、不详或者无法识别等导致无法送达，或者联系方式变更未及时通知另一方，以及其他不可归责于送达方原因造成相关通知或者文件无法送达、拒绝签收，则相关通知或文件自寄送或发送后第3天起视为已送达。</w:t>
      </w:r>
      <w:bookmarkEnd w:id="787"/>
      <w:r>
        <w:rPr>
          <w:color w:val="000000" w:themeColor="text1"/>
          <w:highlight w:val="none"/>
        </w:rPr>
      </w:r>
      <w:bookmarkEnd w:id="788"/>
      <w:r>
        <w:rPr>
          <w:color w:val="000000" w:themeColor="text1"/>
          <w:highlight w:val="none"/>
        </w:rPr>
      </w:r>
      <w:r>
        <w:rPr>
          <w:color w:val="000000" w:themeColor="text1"/>
          <w:highlight w:val="none"/>
        </w:rPr>
      </w:r>
    </w:p>
    <w:p>
      <w:pPr>
        <w:pStyle w:val="906"/>
        <w:ind w:firstLine="482"/>
        <w:keepLines/>
        <w:keepNext w:val="0"/>
        <w:pageBreakBefore w:val="0"/>
        <w:spacing w:line="360" w:lineRule="auto"/>
        <w:widowControl w:val="off"/>
        <w:rPr>
          <w:rFonts w:hint="eastAsia" w:ascii="宋体" w:hAnsi="宋体" w:eastAsia="宋体" w:cs="宋体"/>
          <w:b/>
          <w:color w:val="000000" w:themeColor="text1"/>
          <w:sz w:val="24"/>
          <w:szCs w:val="24"/>
          <w:highlight w:val="none"/>
        </w:rPr>
        <w:outlineLvl w:val="2"/>
      </w:pPr>
      <w:r>
        <w:rPr>
          <w:rFonts w:hint="eastAsia" w:ascii="宋体" w:hAnsi="宋体" w:eastAsia="宋体" w:cs="宋体"/>
          <w:b/>
          <w:color w:val="000000" w:themeColor="text1"/>
          <w:sz w:val="24"/>
          <w:szCs w:val="24"/>
          <w:highlight w:val="none"/>
        </w:rPr>
        <w:t xml:space="preserve">20.补充条款</w:t>
      </w:r>
      <w:r>
        <w:rPr>
          <w:color w:val="000000" w:themeColor="text1"/>
          <w:highlight w:val="none"/>
        </w:rPr>
      </w:r>
    </w:p>
    <w:p>
      <w:pPr>
        <w:pStyle w:val="916"/>
        <w:ind w:firstLine="482"/>
        <w:jc w:val="both"/>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1、本工程执行</w:t>
      </w:r>
      <w:r>
        <w:rPr>
          <w:rFonts w:hint="eastAsia" w:ascii="宋体" w:hAnsi="宋体" w:eastAsia="宋体" w:cs="宋体"/>
          <w:bCs/>
          <w:color w:val="000000" w:themeColor="text1"/>
          <w:sz w:val="24"/>
          <w:szCs w:val="24"/>
          <w:highlight w:val="none"/>
          <w:lang w:val="en-US" w:eastAsia="zh-CN"/>
        </w:rPr>
        <w:t xml:space="preserve">《江苏省建设工程估算指标》、</w:t>
      </w:r>
      <w:r>
        <w:rPr>
          <w:rFonts w:hint="eastAsia" w:ascii="宋体" w:hAnsi="宋体" w:eastAsia="宋体" w:cs="宋体"/>
          <w:bCs/>
          <w:color w:val="000000" w:themeColor="text1"/>
          <w:sz w:val="24"/>
          <w:szCs w:val="24"/>
          <w:highlight w:val="none"/>
          <w:lang w:val="zh-CN" w:eastAsia="zh-CN"/>
        </w:rPr>
        <w:t xml:space="preserve">《建设工程工程量清单计价规范》（GB50500-2013）、《房屋建筑与装饰工程工程量计算规范》（GB50854-2013）、《通用安装工程工程量计算规范》（GB50856-2013）、《江苏省建筑与装饰工程计价定额》（2014）、《江苏省安装工程计价定额》（2014）、《江苏省</w:t>
      </w:r>
      <w:r>
        <w:rPr>
          <w:rFonts w:hint="eastAsia" w:ascii="宋体" w:hAnsi="宋体" w:eastAsia="宋体" w:cs="宋体"/>
          <w:bCs/>
          <w:color w:val="000000" w:themeColor="text1"/>
          <w:sz w:val="24"/>
          <w:szCs w:val="24"/>
          <w:highlight w:val="none"/>
          <w:lang w:val="en-US" w:eastAsia="zh-CN"/>
        </w:rPr>
        <w:t xml:space="preserve">房屋修缮工程计价表</w:t>
      </w:r>
      <w:r>
        <w:rPr>
          <w:rFonts w:hint="eastAsia" w:ascii="宋体" w:hAnsi="宋体" w:eastAsia="宋体" w:cs="宋体"/>
          <w:bCs/>
          <w:color w:val="000000" w:themeColor="text1"/>
          <w:sz w:val="24"/>
          <w:szCs w:val="24"/>
          <w:highlight w:val="none"/>
          <w:lang w:val="zh-CN" w:eastAsia="zh-CN"/>
        </w:rPr>
        <w:t xml:space="preserve">》（20</w:t>
      </w:r>
      <w:r>
        <w:rPr>
          <w:rFonts w:hint="eastAsia" w:ascii="宋体" w:hAnsi="宋体" w:eastAsia="宋体" w:cs="宋体"/>
          <w:bCs/>
          <w:color w:val="000000" w:themeColor="text1"/>
          <w:sz w:val="24"/>
          <w:szCs w:val="24"/>
          <w:highlight w:val="none"/>
          <w:lang w:val="en-US" w:eastAsia="zh-CN"/>
        </w:rPr>
        <w:t xml:space="preserve">09</w:t>
      </w:r>
      <w:r>
        <w:rPr>
          <w:rFonts w:hint="eastAsia" w:ascii="宋体" w:hAnsi="宋体" w:eastAsia="宋体" w:cs="宋体"/>
          <w:bCs/>
          <w:color w:val="000000" w:themeColor="text1"/>
          <w:sz w:val="24"/>
          <w:szCs w:val="24"/>
          <w:highlight w:val="none"/>
          <w:lang w:val="zh-CN" w:eastAsia="zh-CN"/>
        </w:rPr>
        <w:t xml:space="preserve">）、《江苏省市政工程计价定额》(2014）、《江苏省仿古建筑与园林工程计价表》(20</w:t>
      </w:r>
      <w:r>
        <w:rPr>
          <w:rFonts w:hint="eastAsia" w:ascii="宋体" w:hAnsi="宋体" w:eastAsia="宋体" w:cs="宋体"/>
          <w:bCs/>
          <w:color w:val="000000" w:themeColor="text1"/>
          <w:sz w:val="24"/>
          <w:szCs w:val="24"/>
          <w:highlight w:val="none"/>
          <w:lang w:val="en-US" w:eastAsia="zh-CN"/>
        </w:rPr>
        <w:t xml:space="preserve">07</w:t>
      </w:r>
      <w:r>
        <w:rPr>
          <w:rFonts w:hint="eastAsia" w:ascii="宋体" w:hAnsi="宋体" w:eastAsia="宋体" w:cs="宋体"/>
          <w:bCs/>
          <w:color w:val="000000" w:themeColor="text1"/>
          <w:sz w:val="24"/>
          <w:szCs w:val="24"/>
          <w:highlight w:val="none"/>
          <w:lang w:val="zh-CN" w:eastAsia="zh-CN"/>
        </w:rPr>
        <w:t xml:space="preserve">）《江苏省建设工程费用定额》（2014）营改增</w:t>
      </w:r>
      <w:r>
        <w:rPr>
          <w:rFonts w:hint="eastAsia" w:ascii="宋体" w:hAnsi="宋体" w:eastAsia="宋体" w:cs="宋体"/>
          <w:bCs/>
          <w:color w:val="000000" w:themeColor="text1"/>
          <w:sz w:val="24"/>
          <w:szCs w:val="24"/>
          <w:highlight w:val="none"/>
          <w:lang w:val="en-US" w:eastAsia="zh-CN"/>
        </w:rPr>
        <w:t xml:space="preserve">相关</w:t>
      </w:r>
      <w:r>
        <w:rPr>
          <w:rFonts w:hint="eastAsia" w:ascii="宋体" w:hAnsi="宋体" w:eastAsia="宋体" w:cs="宋体"/>
          <w:bCs/>
          <w:color w:val="000000" w:themeColor="text1"/>
          <w:sz w:val="24"/>
          <w:szCs w:val="24"/>
          <w:highlight w:val="none"/>
          <w:lang w:val="zh-CN" w:eastAsia="zh-CN"/>
        </w:rPr>
        <w:t xml:space="preserve">文件、施工图纸、</w:t>
      </w:r>
      <w:r>
        <w:rPr>
          <w:rFonts w:hint="eastAsia" w:ascii="宋体" w:hAnsi="宋体" w:eastAsia="宋体" w:cs="宋体"/>
          <w:bCs/>
          <w:color w:val="000000" w:themeColor="text1"/>
          <w:sz w:val="24"/>
          <w:szCs w:val="24"/>
          <w:highlight w:val="none"/>
          <w:lang w:val="en-US" w:eastAsia="zh-CN"/>
        </w:rPr>
        <w:t xml:space="preserve">苏价服[2004]26号、苏财综[2004]11号等标准收费文件及</w:t>
      </w:r>
      <w:r>
        <w:rPr>
          <w:rFonts w:hint="eastAsia" w:ascii="宋体" w:hAnsi="宋体" w:eastAsia="宋体" w:cs="宋体"/>
          <w:bCs/>
          <w:color w:val="000000" w:themeColor="text1"/>
          <w:sz w:val="24"/>
          <w:szCs w:val="24"/>
          <w:highlight w:val="none"/>
          <w:lang w:val="zh-CN" w:eastAsia="zh-CN"/>
        </w:rPr>
        <w:t xml:space="preserve">有关文件规定。</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2、养护费执行《江苏省城市园林绿化养护管理计价定额》（2017 年版）三级。</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3、特殊规格苗木执行购货合同价格(须经发包人审核同意后)。</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4、土方工程（含清杂、回填）执行江苏省市政定额。</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5、绿化部分：绿化苗木的综合单价应包括树穴开挖、更换种植土、苗木种植、苗木购置、运输、装卸、施肥浇水、缠草绳、搭扶木、病虫害的防治、二年养护费、利润、税金等所有费用。个别规格品种不全时，须经招标人同意后可选其他规格苗木代替，发生的费用增减等问题另行协商。</w:t>
      </w:r>
      <w:r>
        <w:rPr>
          <w:color w:val="000000" w:themeColor="text1"/>
          <w:highlight w:val="none"/>
        </w:rPr>
      </w:r>
    </w:p>
    <w:p>
      <w:pPr>
        <w:pStyle w:val="906"/>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6、景观（土建）部分：综合单价中应包括施工图纸所含内容，以及工程量清单报价表中的价格应包括工程管理费、利润、应缴的各项费用、政策性文件规定及施工进程中包含的所有风险、责任等各项应有费用。并含相应的平整场地、地基处理等全部内容的全部费用。</w:t>
      </w:r>
      <w:r>
        <w:rPr>
          <w:color w:val="000000" w:themeColor="text1"/>
          <w:highlight w:val="none"/>
        </w:rPr>
      </w:r>
    </w:p>
    <w:p>
      <w:pPr>
        <w:pStyle w:val="906"/>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7、承包人养护期内执行徐政发[2008]26 号《徐州市关于开展全市绿地养护管理达标及精品绿地评选活动的通知》及省市规范标准，达到精品绿地养护标准。养护费以承包人中标的商务标养护费用报价为准，接受沛县园林服务中心园林绿化管理科考核，根据园林绿化管理科新建绿地考核标准的考核结果分批拨付养护费用，剩余款项作为违约金支付给甲方，用于该绿地的养护标准提升。养护期内如出现3次（含3次）以上达不到考核优质标准的，发包人有权收回承包方养护权，不再支付养护费用。</w:t>
      </w:r>
      <w:r>
        <w:rPr>
          <w:color w:val="000000" w:themeColor="text1"/>
          <w:highlight w:val="none"/>
        </w:rPr>
      </w:r>
    </w:p>
    <w:p>
      <w:pPr>
        <w:pStyle w:val="906"/>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8、随时更换死亡树木及植被，如更换不及时，发包人有权组织更换，其发生费用由承包方承担。死亡苗木补植后养护期顺延二年。</w:t>
      </w:r>
      <w:r>
        <w:rPr>
          <w:color w:val="000000" w:themeColor="text1"/>
          <w:highlight w:val="none"/>
        </w:rPr>
      </w:r>
    </w:p>
    <w:p>
      <w:pPr>
        <w:pStyle w:val="906"/>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page">
                  <wp:posOffset>972185</wp:posOffset>
                </wp:positionH>
                <wp:positionV relativeFrom="paragraph">
                  <wp:posOffset>576580</wp:posOffset>
                </wp:positionV>
                <wp:extent cx="306070" cy="0"/>
                <wp:effectExtent l="0" t="4445" r="0" b="508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306070" cy="0"/>
                        </a:xfrm>
                        <a:prstGeom prst="line">
                          <a:avLst/>
                        </a:prstGeom>
                        <a:solidFill>
                          <a:srgbClr val="FFFFFF"/>
                        </a:solidFill>
                        <a:ln w="7620">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76.5pt,45.4pt" to="100.6pt,45.4pt" fillcolor="#FFFFFF" strokecolor="#000000" strokeweight="0.60pt"/>
            </w:pict>
          </mc:Fallback>
        </mc:AlternateContent>
      </w:r>
      <w:r>
        <w:rPr>
          <w:rFonts w:hint="eastAsia" w:ascii="宋体" w:hAnsi="宋体" w:eastAsia="宋体" w:cs="宋体"/>
          <w:color w:val="000000" w:themeColor="text1"/>
          <w:sz w:val="24"/>
          <w:szCs w:val="24"/>
          <w:highlight w:val="none"/>
        </w:rPr>
        <w:t xml:space="preserve">9、执行沛政发[2007]5 号文件、沛政发[2011]34 号文件、沛政纪【2013】8 号文。</w:t>
      </w:r>
      <w:r>
        <w:rPr>
          <w:color w:val="000000" w:themeColor="text1"/>
          <w:highlight w:val="none"/>
        </w:rPr>
      </w:r>
    </w:p>
    <w:p>
      <w:pPr>
        <w:pStyle w:val="906"/>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10、本工程对中标项目负责人及三大员（施工员、质检员、安全员）要求如下：在项目建设期内未经招标人书面同意，不得更换和离开施工现场；否则按8000元/人•天处罚，直至取消中标资格、清退出场，并承担一切相关损失。其中，项目负责人每擅自离开工地 1 天，扣罚 5000 元/天；三大员每擅自离开工地 1 天，扣罚 1000 元/人•天。项目负责人三天不在岗在位，招标人有权自行组织施工，由此产生的相关费用及责任由中标人承担。</w:t>
      </w:r>
      <w:r>
        <w:rPr>
          <w:color w:val="000000" w:themeColor="text1"/>
          <w:highlight w:val="none"/>
        </w:rPr>
      </w:r>
    </w:p>
    <w:p>
      <w:pPr>
        <w:pStyle w:val="906"/>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 11、招标范围内的卫生保洁由中标人负责，时间截止到工程全部交接结束为止。</w:t>
      </w:r>
      <w:r>
        <w:rPr>
          <w:color w:val="000000" w:themeColor="text1"/>
          <w:highlight w:val="none"/>
        </w:rPr>
      </w:r>
    </w:p>
    <w:p>
      <w:pPr>
        <w:pStyle w:val="906"/>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12、乙方在栽植后第一年验收时苗木的成活率未达到 95%（含 95%）以上时，每低 1%，甲方将扣减工程总价款的 1%。</w:t>
      </w:r>
      <w:r>
        <w:rPr>
          <w:color w:val="000000" w:themeColor="text1"/>
          <w:highlight w:val="none"/>
        </w:rPr>
      </w:r>
    </w:p>
    <w:p>
      <w:pPr>
        <w:pStyle w:val="906"/>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13、质量与检验：工程质量应符合国家现行施工规范标准，并按照徐州市园林局 1999 年实施的《徐州市园林绿化工程植物栽植技术规程（试行）》组织栽植施工。</w:t>
      </w:r>
      <w:r>
        <w:rPr>
          <w:color w:val="000000" w:themeColor="text1"/>
          <w:highlight w:val="none"/>
        </w:rPr>
      </w:r>
    </w:p>
    <w:p>
      <w:pPr>
        <w:pStyle w:val="906"/>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14、本工程要求质量等级为合格</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15、创优要求：无</w:t>
      </w:r>
      <w:r>
        <w:rPr>
          <w:color w:val="000000" w:themeColor="text1"/>
          <w:highlight w:val="none"/>
        </w:rPr>
      </w:r>
    </w:p>
    <w:p>
      <w:pPr>
        <w:pStyle w:val="906"/>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15.1、符合《工程施工质量验收规范》标准；</w:t>
      </w:r>
      <w:r>
        <w:rPr>
          <w:color w:val="000000" w:themeColor="text1"/>
          <w:highlight w:val="none"/>
        </w:rPr>
      </w:r>
    </w:p>
    <w:p>
      <w:pPr>
        <w:pStyle w:val="906"/>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15.2、符合国家、江苏省、徐州市有关绿化工程的规范、标准；</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15.3、符合设计图纸的规定、要求；</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15.4、按照《徐州市园林绿化工程植物栽植技术规程》（实行）组织栽植施工，符合招标文件的有关要求。施工结束后，在养护期内一直保持良好的绿化效果，直至交接；</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15.5、施工时应根据实际情况进行必要的土壤改良、施肥等（乔木每树穴施基肥10 公分厚、灌木平均施基肥 5 公分厚）；</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15.6、所植苗木均带冠，根系完整、树杆通直；树形均匀、美观、丰满、无病虫害和缺损，球类植物均是精球（成品球），不脱脚；</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15.7、乔木用 4 根杉木支撑，小头直径不少于 5-8 公分，灌木用杉木扁担撑支撑。所有树木支撑要求保存至工程移交，不得缺失，否则按缺失数量扣除缺失部分的相关费用。</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15.8、关于工程奖项的约定：无</w:t>
      </w:r>
      <w:r>
        <w:rPr>
          <w:color w:val="000000" w:themeColor="text1"/>
          <w:highlight w:val="none"/>
        </w:rPr>
      </w:r>
    </w:p>
    <w:p>
      <w:pPr>
        <w:pStyle w:val="90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16、 a.承包人所提供的一切施工设备、临时工程和材料一经携入现场就应当认为是专供本工程的施工和建成之用，未经监理工程师的书面同意(不得无理拒绝)，承包人不得将其或其中的任何一部分移走(为了将其从现场的某部分移至另一部分者除外)。b.设备的撤离：在本工程竣工时，承包人应把他所提供的留在现场的所有上述施工设备和临时工程以及任何未使用的材料撤离现场。c.发包人在任何时候对上述任何施工设备、临时工程或材料所受的损失或伤害概不负责。</w:t>
      </w:r>
      <w:r>
        <w:rPr>
          <w:color w:val="000000" w:themeColor="text1"/>
          <w:highlight w:val="none"/>
        </w:rPr>
      </w:r>
    </w:p>
    <w:p>
      <w:pPr>
        <w:pStyle w:val="90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17、农忙季节不得停工。</w:t>
      </w:r>
      <w:r>
        <w:rPr>
          <w:color w:val="000000" w:themeColor="text1"/>
          <w:highlight w:val="none"/>
        </w:rPr>
      </w:r>
    </w:p>
    <w:p>
      <w:pPr>
        <w:pStyle w:val="90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18、承包人签订施工合同后，应在发包人指定的银行开设工程款专户。竣工验收合格前不得将本工程的工程款挪作它用，不得拖欠工人工资。发包人有权对帐户进行定期或不定期的检查，并对该帐户工程款的使用有监控权，以确保工程款专款专用。如发现有挪用现象，按挪用款额的15%支付违约金。承包人应及时足额支付农民工工资，逾期不付，按《国务院办公厅关于全面治理拖欠农民工工资问题的意见》（国办发〔2016〕1号）、《省政府办公厅关于全面治理拖欠农民工工资问题的实施</w:t>
      </w:r>
      <w:r>
        <w:rPr>
          <w:rFonts w:hint="eastAsia" w:ascii="宋体" w:hAnsi="宋体" w:eastAsia="宋体" w:cs="宋体"/>
          <w:color w:val="000000" w:themeColor="text1"/>
          <w:sz w:val="24"/>
          <w:szCs w:val="24"/>
          <w:highlight w:val="none"/>
        </w:rPr>
        <w:t xml:space="preserve">意见》（苏政办发﹝2016﹞85号）的规定执行。如出现工人投诉或上访等事件造成不良社会影响的，发包人有权采取扣除工程造价劳务费用、列入拖欠工资企业“黑名单”等相关处罚措施。因农民工工资上访超过两次（含两次）以上的，承包人将被列入沛县园林项目黑名单，将被拒绝参加沛县园林服务中心招标的其他项目投标资格。为响应住建部政策，保障项目不拖欠农民工工资，维护社会稳定。承包方接受建设期拖欠的农民工工资可以直接用履约保证金支付，养护期缴纳中标价的2%，作为不拖欠农民工工资保证金，可以直接用于养护期内拖欠的农民工工资的支付。</w:t>
      </w:r>
      <w:r>
        <w:rPr>
          <w:color w:val="000000" w:themeColor="text1"/>
          <w:highlight w:val="none"/>
        </w:rPr>
      </w:r>
    </w:p>
    <w:p>
      <w:pPr>
        <w:pStyle w:val="90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19、承包方应严格按照施工图纸、图纸中设计、工程施工说明和相关标准规范施工，在施工过程中，如发现承包方擅自修改施工图纸，偷工减料，材质代换等问题，除限期整改外，还需按该分项工程以及上下关联工序总造价的三倍进行罚款，如因此影响总体工程验收，则承包方须承担发包方全部经济损失。</w:t>
      </w:r>
      <w:r>
        <w:rPr>
          <w:color w:val="000000" w:themeColor="text1"/>
          <w:highlight w:val="none"/>
        </w:rPr>
      </w:r>
    </w:p>
    <w:p>
      <w:pPr>
        <w:pStyle w:val="90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20、承包人不按照图纸、图纸中设计、工程施工说明及相关规范进行施工的每次罚款 5000 元，经监理建设方指出拒不整改的每次罚款 20000 元，给发包人造成损失的由承包人承担。</w:t>
      </w:r>
      <w:r>
        <w:rPr>
          <w:color w:val="000000" w:themeColor="text1"/>
          <w:highlight w:val="none"/>
        </w:rPr>
      </w:r>
    </w:p>
    <w:p>
      <w:pPr>
        <w:pStyle w:val="90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21 甲乙双方约定审计单位为沛县审计局。承包人应认真编制竣工结算报告，不得高估冒算。审计费用由承包人承担，竣工结算金额以审计局最终审计结果为准。竣工验收后的现场与招标工程量清单及施工图纸不符部分的工程量要以沛县审计局审计结果为准。</w:t>
      </w:r>
      <w:r>
        <w:rPr>
          <w:color w:val="000000" w:themeColor="text1"/>
          <w:highlight w:val="none"/>
        </w:rPr>
      </w:r>
    </w:p>
    <w:p>
      <w:pPr>
        <w:pStyle w:val="90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22.中标后被发现有出卖资质，非法挂靠、转包和违法分包行为的中标人（承包人），发包方有权单方面解除施工合同，清退施工人员并按合同总价的 10%收取违约金，在这种情况下，承包人在收到解除合同通知七日内退场，并且不得提出任何对发包人不利的要求并承担发包人相关损失。</w:t>
      </w:r>
      <w:r>
        <w:rPr>
          <w:color w:val="000000" w:themeColor="text1"/>
          <w:highlight w:val="none"/>
        </w:rPr>
      </w:r>
    </w:p>
    <w:p>
      <w:pPr>
        <w:pStyle w:val="90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23、本合同履行期内，承包人与第三方产生的债权、债务均由承包人自行解决，与发包人无关。</w:t>
      </w:r>
      <w:r>
        <w:rPr>
          <w:color w:val="000000" w:themeColor="text1"/>
          <w:highlight w:val="none"/>
        </w:rPr>
      </w:r>
    </w:p>
    <w:p>
      <w:pPr>
        <w:pStyle w:val="90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24、乙方应严格按照施工图纸、招标工程量清单及投标文件组织施工，施工过程乙方应积极采取有效措施确保施工中及工程竣工验收后不会对工程周边环境、农用地及农作物（经济作物）产生影响，否则，由此造成的一切经济损失由乙方承担。</w:t>
      </w:r>
      <w:r>
        <w:rPr>
          <w:color w:val="000000" w:themeColor="text1"/>
          <w:highlight w:val="none"/>
        </w:rPr>
      </w:r>
    </w:p>
    <w:p>
      <w:pPr>
        <w:pStyle w:val="90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25、工程中标公示结束第二天，中标单位应组织进驻现场施工，否则每推迟一天按10000 元/天罚款。中标单位连续五天不到施工现场的，发包人有权报建筑主管部门更换承包人，且不承担任何责任。因承包方原因造成工程无法完工，承包方同意退场清算并以沛县审计局审计为准。承包方因投标报价或市场波动等原因造成工程未完成的部分，发包方可根据市场询价等方式对未完成部分的差价向承包方追偿。</w:t>
      </w:r>
      <w:r>
        <w:rPr>
          <w:color w:val="000000" w:themeColor="text1"/>
          <w:highlight w:val="none"/>
        </w:rPr>
      </w:r>
    </w:p>
    <w:p>
      <w:pPr>
        <w:pStyle w:val="90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26、本工程要求全封闭围挡施工，建筑围挡达相关规范及文明城创建要求，喷雾防尘设施必须覆盖全部施工作业区。按照六个 100%标准执行：施工现场围挡 100%、施工道路硬化 100%、裸土覆盖 100%、现场喷淋设备 100%、出入车辆冲洗 100%、渣土车运输封闭 100%，均包括在投标报价内。未按文明施工要求施工的，查到后，按5000元/次罚款。</w:t>
      </w:r>
      <w:r>
        <w:rPr>
          <w:color w:val="000000" w:themeColor="text1"/>
          <w:highlight w:val="none"/>
        </w:rPr>
      </w:r>
    </w:p>
    <w:p>
      <w:pPr>
        <w:pStyle w:val="90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27、安全施工措施费用已含在中标合同总价内，应专款专用，承包人不准挪作它用，承包人应按工程要求提供和维护施工照明、看守、围栏和警示。未按安全施工要求施工的，查到后，按5000元/次罚款。因承包人未履行上述义务造成的工程财产损失及人身伤害，由承包人承担法律责任并承担因此而发生的所有费用</w:t>
      </w:r>
      <w:r>
        <w:rPr>
          <w:color w:val="000000" w:themeColor="text1"/>
          <w:highlight w:val="none"/>
        </w:rPr>
      </w:r>
    </w:p>
    <w:p>
      <w:pPr>
        <w:pStyle w:val="90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28、每月25日前提交本月已完工程量报告；工程量的测量、验收、计量由承包人申请经监理、发包人、承包人三方代表现场测量，在质量合格、资料手续完备的前提下，经监理工程师、发包人代表签字确认；隐蔽工程需在隐蔽前申请测量、验收、计量，否则不予认可</w:t>
      </w:r>
      <w:r>
        <w:rPr>
          <w:color w:val="000000" w:themeColor="text1"/>
          <w:highlight w:val="none"/>
        </w:rPr>
      </w:r>
    </w:p>
    <w:p>
      <w:pPr>
        <w:pStyle w:val="90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29、开工前提供施工组织设计和施工总进度计划，每个分部工程施工前 15天向发包人提供该分部工程的详细进度计划。开工后每周五提供上周每日完成工作量及下周每日完成工作量进度计划，并提供调整后的总进度计划。每月 25日前报送本月工程进度完成报表和次月的工程形象进度计划。如没有按期完成计划，延期按5000元/天罚款</w:t>
      </w:r>
      <w:r>
        <w:rPr>
          <w:color w:val="000000" w:themeColor="text1"/>
          <w:highlight w:val="none"/>
        </w:rPr>
      </w:r>
    </w:p>
    <w:p>
      <w:pPr>
        <w:pStyle w:val="90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养护到期，发包人依据《沛县园林绿化项目交接管理制度》自行组织或委托县财政、审计局认证的第三方审计事务所进行验收，验收合格出具竣工验收证书、移交清单完成移交后，支付最后一笔工程款。经第三方审计事务所首次验收合格的，发包人承担委托费用；首次验收不合格的，承包人承担此项目的首次验收和以后验收的委托费用。(委托费用在县审计局收费标准范围内)</w:t>
      </w:r>
      <w:r>
        <w:rPr>
          <w:color w:val="000000" w:themeColor="text1"/>
          <w:highlight w:val="none"/>
        </w:rPr>
      </w:r>
    </w:p>
    <w:p>
      <w:pPr>
        <w:pStyle w:val="90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项目的罚款可以从保证金中扣除，因罚款扣除造成保证金缺失的部分，由承包方在罚款扣除后3天内补缴齐全。</w:t>
      </w:r>
      <w:r>
        <w:rPr>
          <w:color w:val="000000" w:themeColor="text1"/>
          <w:highlight w:val="none"/>
        </w:rPr>
      </w:r>
    </w:p>
    <w:p>
      <w:pPr>
        <w:pStyle w:val="90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附件1：绿化养护责任书</w:t>
      </w:r>
      <w:r>
        <w:rPr>
          <w:color w:val="000000" w:themeColor="text1"/>
          <w:highlight w:val="none"/>
        </w:rPr>
      </w:r>
    </w:p>
    <w:p>
      <w:pPr>
        <w:pStyle w:val="90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附件2：工程质量保修书</w:t>
      </w:r>
      <w:r>
        <w:rPr>
          <w:color w:val="000000" w:themeColor="text1"/>
          <w:highlight w:val="none"/>
        </w:rPr>
      </w:r>
    </w:p>
    <w:p>
      <w:pPr>
        <w:pStyle w:val="90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附件3：廉政建设责任书</w:t>
      </w:r>
      <w:r>
        <w:rPr>
          <w:color w:val="000000" w:themeColor="text1"/>
          <w:highlight w:val="none"/>
        </w:rPr>
      </w:r>
    </w:p>
    <w:p>
      <w:pPr>
        <w:pStyle w:val="90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附件4：承包人用于本工程施工的机械设备表</w:t>
      </w:r>
      <w:r>
        <w:rPr>
          <w:color w:val="000000" w:themeColor="text1"/>
          <w:highlight w:val="none"/>
        </w:rPr>
      </w:r>
    </w:p>
    <w:p>
      <w:pPr>
        <w:pStyle w:val="90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附件5：承包人主要施工管理人员表</w:t>
      </w:r>
      <w:r>
        <w:rPr>
          <w:color w:val="000000" w:themeColor="text1"/>
          <w:highlight w:val="none"/>
        </w:rPr>
      </w:r>
    </w:p>
    <w:p>
      <w:pPr>
        <w:pStyle w:val="90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附件6：发包人主要管理人员表</w:t>
      </w:r>
      <w:r>
        <w:rPr>
          <w:color w:val="000000" w:themeColor="text1"/>
          <w:highlight w:val="none"/>
        </w:rPr>
      </w:r>
    </w:p>
    <w:p>
      <w:pPr>
        <w:pStyle w:val="90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sectPr>
          <w:footnotePr/>
          <w:endnotePr/>
          <w:type w:val="nextPage"/>
          <w:pgSz w:w="11906" w:h="16838" w:orient="portrait"/>
          <w:pgMar w:top="2098" w:right="1757" w:bottom="1984" w:left="1757" w:header="851" w:footer="1417" w:gutter="0"/>
          <w:cols w:num="1" w:sep="0" w:space="1701" w:equalWidth="1"/>
          <w:docGrid w:linePitch="360"/>
        </w:sectPr>
        <w:outlineLvl w:val="2"/>
      </w:pPr>
      <w:r>
        <w:rPr>
          <w:rFonts w:hint="eastAsia" w:ascii="宋体" w:hAnsi="宋体" w:eastAsia="宋体" w:cs="宋体"/>
          <w:color w:val="000000" w:themeColor="text1"/>
          <w:sz w:val="24"/>
          <w:szCs w:val="24"/>
          <w:highlight w:val="none"/>
        </w:rPr>
      </w:r>
      <w:bookmarkEnd w:id="789"/>
      <w:r>
        <w:rPr>
          <w:color w:val="000000" w:themeColor="text1"/>
        </w:rPr>
      </w:r>
      <w:r>
        <w:rPr>
          <w:color w:val="000000" w:themeColor="text1"/>
          <w:highlight w:val="none"/>
        </w:rPr>
      </w:r>
    </w:p>
    <w:p>
      <w:pPr>
        <w:pStyle w:val="906"/>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1"/>
      </w:pPr>
      <w:r>
        <w:rPr>
          <w:color w:val="000000" w:themeColor="text1"/>
          <w:highlight w:val="none"/>
        </w:rPr>
      </w:r>
      <w:bookmarkStart w:id="790" w:name="_Toc2144979508"/>
      <w:r>
        <w:rPr>
          <w:color w:val="000000" w:themeColor="text1"/>
          <w:highlight w:val="none"/>
        </w:rPr>
      </w:r>
      <w:bookmarkStart w:id="791" w:name="_Toc1357349786"/>
      <w:r>
        <w:rPr>
          <w:color w:val="000000" w:themeColor="text1"/>
          <w:highlight w:val="none"/>
        </w:rPr>
      </w:r>
      <w:bookmarkStart w:id="792" w:name="_Toc1799881692"/>
      <w:r>
        <w:rPr>
          <w:rFonts w:hint="eastAsia" w:ascii="宋体" w:hAnsi="宋体" w:eastAsia="宋体" w:cs="宋体"/>
          <w:color w:val="000000" w:themeColor="text1"/>
          <w:sz w:val="24"/>
          <w:szCs w:val="24"/>
          <w:highlight w:val="none"/>
        </w:rPr>
        <w:t xml:space="preserve">附件1:</w:t>
      </w:r>
      <w:bookmarkEnd w:id="790"/>
      <w:r>
        <w:rPr>
          <w:color w:val="000000" w:themeColor="text1"/>
          <w:highlight w:val="none"/>
        </w:rPr>
      </w:r>
      <w:bookmarkEnd w:id="791"/>
      <w:r>
        <w:rPr>
          <w:color w:val="000000" w:themeColor="text1"/>
          <w:highlight w:val="none"/>
        </w:rPr>
      </w:r>
      <w:bookmarkEnd w:id="792"/>
      <w:r>
        <w:rPr>
          <w:color w:val="000000" w:themeColor="text1"/>
          <w:highlight w:val="none"/>
        </w:rPr>
      </w:r>
      <w:r>
        <w:rPr>
          <w:color w:val="000000" w:themeColor="text1"/>
          <w:highlight w:val="none"/>
        </w:rPr>
      </w:r>
    </w:p>
    <w:p>
      <w:pPr>
        <w:pStyle w:val="910"/>
        <w:numPr>
          <w:ilvl w:val="0"/>
          <w:numId w:val="0"/>
        </w:numPr>
        <w:ind w:left="284"/>
        <w:jc w:val="center"/>
        <w:keepLines w:val="0"/>
        <w:keepNext w:val="0"/>
        <w:pageBreakBefore w:val="0"/>
        <w:spacing w:before="0"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793" w:name="_Toc2133128467"/>
      <w:r>
        <w:rPr>
          <w:color w:val="000000" w:themeColor="text1"/>
          <w:highlight w:val="none"/>
        </w:rPr>
      </w:r>
      <w:bookmarkStart w:id="794" w:name="_Toc1792836188"/>
      <w:r>
        <w:rPr>
          <w:rFonts w:hint="eastAsia" w:ascii="宋体" w:hAnsi="宋体" w:eastAsia="宋体" w:cs="宋体"/>
          <w:b w:val="0"/>
          <w:color w:val="000000" w:themeColor="text1"/>
          <w:sz w:val="24"/>
          <w:szCs w:val="24"/>
          <w:highlight w:val="none"/>
        </w:rPr>
        <w:t xml:space="preserve">绿化养护责任书</w:t>
      </w:r>
      <w:bookmarkEnd w:id="793"/>
      <w:r>
        <w:rPr>
          <w:color w:val="000000" w:themeColor="text1"/>
          <w:highlight w:val="none"/>
        </w:rPr>
      </w:r>
      <w:bookmarkEnd w:id="794"/>
      <w:r>
        <w:rPr>
          <w:color w:val="000000" w:themeColor="text1"/>
          <w:highlight w:val="none"/>
        </w:rPr>
      </w:r>
      <w:r>
        <w:rPr>
          <w:color w:val="000000" w:themeColor="text1"/>
          <w:highlight w:val="none"/>
        </w:rPr>
      </w:r>
    </w:p>
    <w:p>
      <w:pPr>
        <w:pStyle w:val="906"/>
        <w:ind w:firstLine="60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发包人和承包人根据《园林绿化养护标准》（CJJ/T287）或（地方标准）等相关规定，经协商一致就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（工程全称）签订绿化养护责任书。</w:t>
      </w:r>
      <w:r>
        <w:rPr>
          <w:color w:val="000000" w:themeColor="text1"/>
          <w:highlight w:val="none"/>
        </w:rPr>
      </w:r>
    </w:p>
    <w:p>
      <w:pPr>
        <w:pStyle w:val="906"/>
        <w:ind w:firstLine="600"/>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一、责任范围和内容</w:t>
      </w:r>
      <w:r>
        <w:rPr>
          <w:color w:val="000000" w:themeColor="text1"/>
          <w:highlight w:val="none"/>
        </w:rPr>
      </w:r>
    </w:p>
    <w:p>
      <w:pPr>
        <w:pStyle w:val="906"/>
        <w:ind w:firstLine="60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承包人在绿化养护期内，按照有关法律规定和合同约定，承担施工范围内的绿化养护责任。</w:t>
      </w:r>
      <w:r>
        <w:rPr>
          <w:color w:val="000000" w:themeColor="text1"/>
          <w:highlight w:val="none"/>
        </w:rPr>
      </w:r>
    </w:p>
    <w:p>
      <w:pPr>
        <w:pStyle w:val="906"/>
        <w:ind w:firstLine="600"/>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内容包括对养护范围内植物采取的整形修剪、松土除草、灌溉与排水、施肥、有害生物防治、改植与补植、绿地防护（如防台风、防寒）等技术措施；</w:t>
      </w:r>
      <w:r>
        <w:rPr>
          <w:rFonts w:hint="eastAsia" w:ascii="宋体" w:hAnsi="宋体" w:eastAsia="宋体" w:cs="宋体"/>
          <w:bCs/>
          <w:color w:val="000000" w:themeColor="text1"/>
          <w:sz w:val="24"/>
          <w:szCs w:val="24"/>
          <w:highlight w:val="none"/>
        </w:rPr>
        <w:t xml:space="preserve">其他内容</w:t>
      </w:r>
      <w:r>
        <w:rPr>
          <w:rFonts w:hint="eastAsia" w:ascii="宋体" w:hAnsi="宋体" w:eastAsia="宋体" w:cs="宋体"/>
          <w:color w:val="000000" w:themeColor="text1"/>
          <w:sz w:val="24"/>
          <w:szCs w:val="24"/>
          <w:highlight w:val="none"/>
        </w:rPr>
        <w:t xml:space="preserve">双方约定如下：  。</w:t>
      </w:r>
      <w:r>
        <w:rPr>
          <w:color w:val="000000" w:themeColor="text1"/>
          <w:highlight w:val="none"/>
        </w:rPr>
      </w:r>
    </w:p>
    <w:p>
      <w:pPr>
        <w:pStyle w:val="906"/>
        <w:ind w:firstLine="600"/>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二、养护标准</w:t>
      </w:r>
      <w:r>
        <w:rPr>
          <w:color w:val="000000" w:themeColor="text1"/>
          <w:highlight w:val="none"/>
        </w:rPr>
      </w:r>
    </w:p>
    <w:p>
      <w:pPr>
        <w:pStyle w:val="906"/>
        <w:ind w:firstLine="60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绿化养护质量按照《园林绿化养护标准》（CJJ/T287）或（地方标准）中级标准。</w:t>
      </w:r>
      <w:r>
        <w:rPr>
          <w:color w:val="000000" w:themeColor="text1"/>
          <w:highlight w:val="none"/>
        </w:rPr>
      </w:r>
    </w:p>
    <w:p>
      <w:pPr>
        <w:pStyle w:val="906"/>
        <w:ind w:firstLine="600"/>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三、考核标准</w:t>
      </w:r>
      <w:r>
        <w:rPr>
          <w:color w:val="000000" w:themeColor="text1"/>
          <w:highlight w:val="none"/>
        </w:rPr>
      </w:r>
    </w:p>
    <w:p>
      <w:pPr>
        <w:pStyle w:val="906"/>
        <w:ind w:firstLine="453"/>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由发包人按（国家标准行业标准地方标准）中级标准进行考核，相关费用从质量保证金中扣除。</w:t>
      </w:r>
      <w:r>
        <w:rPr>
          <w:color w:val="000000" w:themeColor="text1"/>
          <w:highlight w:val="none"/>
        </w:rPr>
      </w:r>
    </w:p>
    <w:p>
      <w:pPr>
        <w:pStyle w:val="906"/>
        <w:ind w:firstLine="600"/>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四、绿化养护期</w:t>
      </w:r>
      <w:r>
        <w:rPr>
          <w:color w:val="000000" w:themeColor="text1"/>
          <w:highlight w:val="none"/>
        </w:rPr>
      </w:r>
    </w:p>
    <w:p>
      <w:pPr>
        <w:pStyle w:val="906"/>
        <w:ind w:firstLine="60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绿化养护期24个月，从工程竣工验收合格之日起计算。</w:t>
      </w:r>
      <w:r>
        <w:rPr>
          <w:color w:val="000000" w:themeColor="text1"/>
          <w:highlight w:val="none"/>
        </w:rPr>
      </w:r>
    </w:p>
    <w:p>
      <w:pPr>
        <w:pStyle w:val="906"/>
        <w:ind w:firstLine="600"/>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五、养护责任</w:t>
      </w:r>
      <w:r>
        <w:rPr>
          <w:color w:val="000000" w:themeColor="text1"/>
          <w:highlight w:val="none"/>
        </w:rPr>
      </w:r>
    </w:p>
    <w:p>
      <w:pPr>
        <w:pStyle w:val="906"/>
        <w:ind w:left="105" w:firstLine="60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1．为确保养护质量，承包人应安排专业队伍和人员进行养护管理。</w:t>
      </w:r>
      <w:r>
        <w:rPr>
          <w:color w:val="000000" w:themeColor="text1"/>
          <w:highlight w:val="none"/>
        </w:rPr>
      </w:r>
    </w:p>
    <w:p>
      <w:pPr>
        <w:pStyle w:val="906"/>
        <w:ind w:left="105" w:firstLine="60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承包人在养护过程中应采取安全措施，避免造成对第三方人身和财产的损害。因承包人操作不当、管理不善而造成人身伤害或财产损失的，由承包人承担。发生紧急事故需处置的，承包人在接到事故通知后，应当立即到达事故现场处置。</w:t>
      </w:r>
      <w:r>
        <w:rPr>
          <w:color w:val="000000" w:themeColor="text1"/>
          <w:highlight w:val="none"/>
        </w:rPr>
      </w:r>
    </w:p>
    <w:p>
      <w:pPr>
        <w:pStyle w:val="906"/>
        <w:ind w:left="105" w:firstLine="60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3．苗木成活率按合同约定执行，发生苗木等植物材料死亡，须按原设计品种和规格及时更换，更换费用由承包人承担。</w:t>
      </w:r>
      <w:r>
        <w:rPr>
          <w:color w:val="000000" w:themeColor="text1"/>
          <w:highlight w:val="none"/>
        </w:rPr>
      </w:r>
    </w:p>
    <w:p>
      <w:pPr>
        <w:pStyle w:val="906"/>
        <w:ind w:left="105" w:firstLine="60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4．绿化养护期满后，由发包人组织验收。</w:t>
      </w:r>
      <w:r>
        <w:rPr>
          <w:color w:val="000000" w:themeColor="text1"/>
          <w:highlight w:val="none"/>
        </w:rPr>
      </w:r>
    </w:p>
    <w:p>
      <w:pPr>
        <w:pStyle w:val="906"/>
        <w:ind w:left="105" w:firstLine="60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5．其他责任约定：无。</w:t>
      </w:r>
      <w:r>
        <w:rPr>
          <w:color w:val="000000" w:themeColor="text1"/>
          <w:highlight w:val="none"/>
        </w:rPr>
      </w:r>
    </w:p>
    <w:p>
      <w:pPr>
        <w:pStyle w:val="906"/>
        <w:ind w:firstLine="600"/>
        <w:keepLines/>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六、养护费用</w:t>
      </w:r>
      <w:r>
        <w:rPr>
          <w:color w:val="000000" w:themeColor="text1"/>
          <w:highlight w:val="none"/>
        </w:rPr>
      </w:r>
    </w:p>
    <w:p>
      <w:pPr>
        <w:pStyle w:val="906"/>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养护费用由承包人承担。</w:t>
      </w:r>
      <w:r>
        <w:rPr>
          <w:color w:val="000000" w:themeColor="text1"/>
          <w:highlight w:val="none"/>
        </w:rPr>
      </w:r>
    </w:p>
    <w:p>
      <w:pPr>
        <w:pStyle w:val="906"/>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七、其他约定</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left="105" w:firstLine="60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绿化养护责任书由发包人、承包人在工程竣工验收前共同签署，作为施工合同附件，其有效期限至绿化养护期满。</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-305435</wp:posOffset>
                </wp:positionH>
                <wp:positionV relativeFrom="paragraph">
                  <wp:posOffset>205740</wp:posOffset>
                </wp:positionV>
                <wp:extent cx="2865755" cy="1920240"/>
                <wp:effectExtent l="0" t="0" r="10795" b="381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2865755" cy="1920240"/>
                        </a:xfrm>
                        <a:prstGeom prst="rect">
                          <a:avLst/>
                        </a:prstGeom>
                        <a:solidFill>
                          <a:srgbClr val="FFFFFF"/>
                        </a:solidFill>
                        <a:ln>
                          <a:noFill/>
                        </a:ln>
                      </wps:spPr>
                      <wps:txbx>
                        <w:txbxContent>
                          <w:p>
                            <w:pPr>
                              <w:pStyle w:val="906"/>
                              <w:spacing w:line="360" w:lineRule="auto"/>
                              <w:rPr>
                                <w:rFonts w:ascii="宋体" w:hAnsi="宋体"/>
                                <w:sz w:val="24"/>
                              </w:rPr>
                            </w:pPr>
                            <w:r>
                              <w:rPr>
                                <w:rFonts w:ascii="宋体" w:hAnsi="宋体"/>
                                <w:sz w:val="24"/>
                              </w:rPr>
                              <w:t xml:space="preserve">发包人：（公章）</w:t>
                            </w:r>
                            <w:r/>
                          </w:p>
                          <w:p>
                            <w:pPr>
                              <w:pStyle w:val="906"/>
                              <w:spacing w:line="360" w:lineRule="auto"/>
                              <w:rPr>
                                <w:rFonts w:ascii="宋体" w:hAnsi="宋体"/>
                                <w:sz w:val="24"/>
                              </w:rPr>
                            </w:pPr>
                            <w:r>
                              <w:rPr>
                                <w:rFonts w:ascii="宋体" w:hAnsi="宋体"/>
                                <w:sz w:val="24"/>
                              </w:rPr>
                              <w:t xml:space="preserve">法定代表人或其委托代理人：（签字）</w:t>
                            </w:r>
                            <w:r/>
                          </w:p>
                          <w:p>
                            <w:pPr>
                              <w:pStyle w:val="906"/>
                              <w:spacing w:line="360" w:lineRule="auto"/>
                              <w:rPr>
                                <w:rFonts w:ascii="宋体" w:hAnsi="宋体"/>
                                <w:sz w:val="24"/>
                              </w:rPr>
                            </w:pPr>
                            <w:r>
                              <w:rPr>
                                <w:rFonts w:ascii="宋体" w:hAnsi="宋体"/>
                                <w:sz w:val="24"/>
                              </w:rPr>
                              <w:t xml:space="preserve">地  址：   </w:t>
                            </w:r>
                            <w:r/>
                          </w:p>
                          <w:p>
                            <w:pPr>
                              <w:pStyle w:val="906"/>
                              <w:spacing w:line="360" w:lineRule="auto"/>
                              <w:rPr>
                                <w:rFonts w:ascii="宋体" w:hAnsi="宋体"/>
                                <w:sz w:val="24"/>
                              </w:rPr>
                            </w:pPr>
                            <w:r>
                              <w:rPr>
                                <w:rFonts w:ascii="宋体" w:hAnsi="宋体"/>
                                <w:sz w:val="24"/>
                              </w:rPr>
                              <w:t xml:space="preserve">电  话：      </w:t>
                            </w:r>
                            <w:r/>
                          </w:p>
                          <w:p>
                            <w:pPr>
                              <w:pStyle w:val="906"/>
                              <w:spacing w:line="360" w:lineRule="auto"/>
                              <w:rPr>
                                <w:rFonts w:ascii="宋体" w:hAnsi="宋体"/>
                                <w:sz w:val="24"/>
                              </w:rPr>
                            </w:pPr>
                            <w:r>
                              <w:rPr>
                                <w:rFonts w:ascii="宋体" w:hAnsi="宋体"/>
                                <w:sz w:val="24"/>
                              </w:rPr>
                              <w:t xml:space="preserve">日  期： </w:t>
                            </w:r>
                            <w:r/>
                          </w:p>
                          <w:p>
                            <w:pPr>
                              <w:pStyle w:val="906"/>
                            </w:pPr>
                            <w:r/>
                            <w:r/>
                          </w:p>
                        </w:txbxContent>
                      </wps:txbx>
                      <wps:bodyPr wrap="square" upright="1"/>
                    </wps:wsp>
                  </a:graphicData>
                </a:graphic>
              </wp:anchor>
            </w:drawing>
          </mc:Choice>
          <mc:Fallback>
            <w:pict>
              <v:shape id="shape 7" o:spid="_x0000_s7" o:spt="202" type="#_x0000_t202" style="position:absolute;z-index:251665408;o:allowoverlap:true;o:allowincell:true;mso-position-horizontal-relative:text;margin-left:-24.0pt;mso-position-horizontal:absolute;mso-position-vertical-relative:text;margin-top:16.2pt;mso-position-vertical:absolute;width:225.6pt;height:151.2pt;mso-wrap-distance-left:9.0pt;mso-wrap-distance-top:0.0pt;mso-wrap-distance-right:9.0pt;mso-wrap-distance-bottom:0.0pt;visibility:visible;" fillcolor="#FFFFFF" stroked="f">
                <v:textbox inset="0,0,0,0">
                  <w:txbxContent>
                    <w:p>
                      <w:pPr>
                        <w:pStyle w:val="906"/>
                        <w:spacing w:line="360" w:lineRule="auto"/>
                        <w:rPr>
                          <w:rFonts w:ascii="宋体" w:hAnsi="宋体"/>
                          <w:sz w:val="24"/>
                        </w:rPr>
                      </w:pPr>
                      <w:r>
                        <w:rPr>
                          <w:rFonts w:ascii="宋体" w:hAnsi="宋体"/>
                          <w:sz w:val="24"/>
                        </w:rPr>
                        <w:t xml:space="preserve">发包人：（公章）</w:t>
                      </w:r>
                      <w:r/>
                    </w:p>
                    <w:p>
                      <w:pPr>
                        <w:pStyle w:val="906"/>
                        <w:spacing w:line="360" w:lineRule="auto"/>
                        <w:rPr>
                          <w:rFonts w:ascii="宋体" w:hAnsi="宋体"/>
                          <w:sz w:val="24"/>
                        </w:rPr>
                      </w:pPr>
                      <w:r>
                        <w:rPr>
                          <w:rFonts w:ascii="宋体" w:hAnsi="宋体"/>
                          <w:sz w:val="24"/>
                        </w:rPr>
                        <w:t xml:space="preserve">法定代表人或其委托代理人：（签字）</w:t>
                      </w:r>
                      <w:r/>
                    </w:p>
                    <w:p>
                      <w:pPr>
                        <w:pStyle w:val="906"/>
                        <w:spacing w:line="360" w:lineRule="auto"/>
                        <w:rPr>
                          <w:rFonts w:ascii="宋体" w:hAnsi="宋体"/>
                          <w:sz w:val="24"/>
                        </w:rPr>
                      </w:pPr>
                      <w:r>
                        <w:rPr>
                          <w:rFonts w:ascii="宋体" w:hAnsi="宋体"/>
                          <w:sz w:val="24"/>
                        </w:rPr>
                        <w:t xml:space="preserve">地  址：   </w:t>
                      </w:r>
                      <w:r/>
                    </w:p>
                    <w:p>
                      <w:pPr>
                        <w:pStyle w:val="906"/>
                        <w:spacing w:line="360" w:lineRule="auto"/>
                        <w:rPr>
                          <w:rFonts w:ascii="宋体" w:hAnsi="宋体"/>
                          <w:sz w:val="24"/>
                        </w:rPr>
                      </w:pPr>
                      <w:r>
                        <w:rPr>
                          <w:rFonts w:ascii="宋体" w:hAnsi="宋体"/>
                          <w:sz w:val="24"/>
                        </w:rPr>
                        <w:t xml:space="preserve">电  话：      </w:t>
                      </w:r>
                      <w:r/>
                    </w:p>
                    <w:p>
                      <w:pPr>
                        <w:pStyle w:val="906"/>
                        <w:spacing w:line="360" w:lineRule="auto"/>
                        <w:rPr>
                          <w:rFonts w:ascii="宋体" w:hAnsi="宋体"/>
                          <w:sz w:val="24"/>
                        </w:rPr>
                      </w:pPr>
                      <w:r>
                        <w:rPr>
                          <w:rFonts w:ascii="宋体" w:hAnsi="宋体"/>
                          <w:sz w:val="24"/>
                        </w:rPr>
                        <w:t xml:space="preserve">日  期： </w:t>
                      </w:r>
                      <w:r/>
                    </w:p>
                    <w:p>
                      <w:pPr>
                        <w:pStyle w:val="906"/>
                      </w:pPr>
                      <w:r/>
                      <w:r/>
                    </w:p>
                  </w:txbxContent>
                </v:textbox>
              </v:shape>
            </w:pict>
          </mc:Fallback>
        </mc:AlternateContent>
      </w:r>
      <w:r>
        <w:rPr>
          <w:rFonts w:hint="eastAsia" w:ascii="宋体" w:hAnsi="宋体" w:eastAsia="宋体" w:cs="宋体"/>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2559050</wp:posOffset>
                </wp:positionH>
                <wp:positionV relativeFrom="paragraph">
                  <wp:posOffset>205740</wp:posOffset>
                </wp:positionV>
                <wp:extent cx="2931160" cy="1920240"/>
                <wp:effectExtent l="0" t="0" r="2540" b="381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2931160" cy="1920240"/>
                        </a:xfrm>
                        <a:prstGeom prst="rect">
                          <a:avLst/>
                        </a:prstGeom>
                        <a:solidFill>
                          <a:srgbClr val="FFFFFF"/>
                        </a:solidFill>
                        <a:ln>
                          <a:noFill/>
                        </a:ln>
                      </wps:spPr>
                      <wps:txbx>
                        <w:txbxContent>
                          <w:p>
                            <w:pPr>
                              <w:pStyle w:val="906"/>
                              <w:spacing w:line="360" w:lineRule="auto"/>
                              <w:rPr>
                                <w:rFonts w:ascii="宋体" w:hAnsi="宋体"/>
                                <w:sz w:val="24"/>
                              </w:rPr>
                            </w:pPr>
                            <w:r>
                              <w:rPr>
                                <w:rFonts w:ascii="宋体" w:hAnsi="宋体"/>
                                <w:sz w:val="24"/>
                              </w:rPr>
                              <w:t xml:space="preserve">承包人：（公章）</w:t>
                            </w:r>
                            <w:r/>
                          </w:p>
                          <w:p>
                            <w:pPr>
                              <w:pStyle w:val="906"/>
                              <w:spacing w:line="360" w:lineRule="auto"/>
                              <w:rPr>
                                <w:rFonts w:ascii="宋体" w:hAnsi="宋体"/>
                                <w:sz w:val="24"/>
                              </w:rPr>
                            </w:pPr>
                            <w:r>
                              <w:rPr>
                                <w:rFonts w:ascii="宋体" w:hAnsi="宋体"/>
                                <w:sz w:val="24"/>
                              </w:rPr>
                              <w:t xml:space="preserve">法定代表人或其委托代理人：（签字）</w:t>
                            </w:r>
                            <w:r/>
                          </w:p>
                          <w:p>
                            <w:pPr>
                              <w:pStyle w:val="906"/>
                              <w:spacing w:line="360" w:lineRule="auto"/>
                              <w:rPr>
                                <w:rFonts w:ascii="宋体" w:hAnsi="宋体"/>
                                <w:sz w:val="24"/>
                              </w:rPr>
                            </w:pPr>
                            <w:r>
                              <w:rPr>
                                <w:rFonts w:ascii="宋体" w:hAnsi="宋体"/>
                                <w:sz w:val="24"/>
                              </w:rPr>
                              <w:t xml:space="preserve">地  址： </w:t>
                            </w:r>
                            <w:r/>
                          </w:p>
                          <w:p>
                            <w:pPr>
                              <w:pStyle w:val="906"/>
                              <w:spacing w:line="360" w:lineRule="auto"/>
                              <w:rPr>
                                <w:rFonts w:ascii="宋体" w:hAnsi="宋体"/>
                                <w:sz w:val="24"/>
                              </w:rPr>
                            </w:pPr>
                            <w:r>
                              <w:rPr>
                                <w:rFonts w:ascii="宋体" w:hAnsi="宋体"/>
                                <w:sz w:val="24"/>
                              </w:rPr>
                              <w:t xml:space="preserve">电  话： </w:t>
                            </w:r>
                            <w:r/>
                          </w:p>
                          <w:p>
                            <w:pPr>
                              <w:pStyle w:val="906"/>
                              <w:spacing w:line="360" w:lineRule="auto"/>
                              <w:rPr>
                                <w:rFonts w:ascii="宋体" w:hAnsi="宋体"/>
                                <w:sz w:val="24"/>
                              </w:rPr>
                            </w:pPr>
                            <w:r>
                              <w:rPr>
                                <w:rFonts w:ascii="宋体" w:hAnsi="宋体"/>
                                <w:sz w:val="24"/>
                              </w:rPr>
                              <w:t xml:space="preserve">日  期： </w:t>
                            </w:r>
                            <w:r/>
                          </w:p>
                          <w:p>
                            <w:pPr>
                              <w:pStyle w:val="906"/>
                            </w:pPr>
                            <w:r/>
                            <w:r/>
                          </w:p>
                        </w:txbxContent>
                      </wps:txbx>
                      <wps:bodyPr wrap="square" upright="1"/>
                    </wps:wsp>
                  </a:graphicData>
                </a:graphic>
              </wp:anchor>
            </w:drawing>
          </mc:Choice>
          <mc:Fallback>
            <w:pict>
              <v:shape id="shape 8" o:spid="_x0000_s8" o:spt="202" type="#_x0000_t202" style="position:absolute;z-index:251666432;o:allowoverlap:true;o:allowincell:true;mso-position-horizontal-relative:text;margin-left:201.5pt;mso-position-horizontal:absolute;mso-position-vertical-relative:text;margin-top:16.2pt;mso-position-vertical:absolute;width:230.8pt;height:151.2pt;mso-wrap-distance-left:9.0pt;mso-wrap-distance-top:0.0pt;mso-wrap-distance-right:9.0pt;mso-wrap-distance-bottom:0.0pt;visibility:visible;" fillcolor="#FFFFFF" stroked="f">
                <v:textbox inset="0,0,0,0">
                  <w:txbxContent>
                    <w:p>
                      <w:pPr>
                        <w:pStyle w:val="906"/>
                        <w:spacing w:line="360" w:lineRule="auto"/>
                        <w:rPr>
                          <w:rFonts w:ascii="宋体" w:hAnsi="宋体"/>
                          <w:sz w:val="24"/>
                        </w:rPr>
                      </w:pPr>
                      <w:r>
                        <w:rPr>
                          <w:rFonts w:ascii="宋体" w:hAnsi="宋体"/>
                          <w:sz w:val="24"/>
                        </w:rPr>
                        <w:t xml:space="preserve">承包人：（公章）</w:t>
                      </w:r>
                      <w:r/>
                    </w:p>
                    <w:p>
                      <w:pPr>
                        <w:pStyle w:val="906"/>
                        <w:spacing w:line="360" w:lineRule="auto"/>
                        <w:rPr>
                          <w:rFonts w:ascii="宋体" w:hAnsi="宋体"/>
                          <w:sz w:val="24"/>
                        </w:rPr>
                      </w:pPr>
                      <w:r>
                        <w:rPr>
                          <w:rFonts w:ascii="宋体" w:hAnsi="宋体"/>
                          <w:sz w:val="24"/>
                        </w:rPr>
                        <w:t xml:space="preserve">法定代表人或其委托代理人：（签字）</w:t>
                      </w:r>
                      <w:r/>
                    </w:p>
                    <w:p>
                      <w:pPr>
                        <w:pStyle w:val="906"/>
                        <w:spacing w:line="360" w:lineRule="auto"/>
                        <w:rPr>
                          <w:rFonts w:ascii="宋体" w:hAnsi="宋体"/>
                          <w:sz w:val="24"/>
                        </w:rPr>
                      </w:pPr>
                      <w:r>
                        <w:rPr>
                          <w:rFonts w:ascii="宋体" w:hAnsi="宋体"/>
                          <w:sz w:val="24"/>
                        </w:rPr>
                        <w:t xml:space="preserve">地  址： </w:t>
                      </w:r>
                      <w:r/>
                    </w:p>
                    <w:p>
                      <w:pPr>
                        <w:pStyle w:val="906"/>
                        <w:spacing w:line="360" w:lineRule="auto"/>
                        <w:rPr>
                          <w:rFonts w:ascii="宋体" w:hAnsi="宋体"/>
                          <w:sz w:val="24"/>
                        </w:rPr>
                      </w:pPr>
                      <w:r>
                        <w:rPr>
                          <w:rFonts w:ascii="宋体" w:hAnsi="宋体"/>
                          <w:sz w:val="24"/>
                        </w:rPr>
                        <w:t xml:space="preserve">电  话： </w:t>
                      </w:r>
                      <w:r/>
                    </w:p>
                    <w:p>
                      <w:pPr>
                        <w:pStyle w:val="906"/>
                        <w:spacing w:line="360" w:lineRule="auto"/>
                        <w:rPr>
                          <w:rFonts w:ascii="宋体" w:hAnsi="宋体"/>
                          <w:sz w:val="24"/>
                        </w:rPr>
                      </w:pPr>
                      <w:r>
                        <w:rPr>
                          <w:rFonts w:ascii="宋体" w:hAnsi="宋体"/>
                          <w:sz w:val="24"/>
                        </w:rPr>
                        <w:t xml:space="preserve">日  期： </w:t>
                      </w:r>
                      <w:r/>
                    </w:p>
                    <w:p>
                      <w:pPr>
                        <w:pStyle w:val="906"/>
                      </w:pPr>
                      <w:r/>
                      <w:r/>
                    </w:p>
                  </w:txbxContent>
                </v:textbox>
              </v:shape>
            </w:pict>
          </mc:Fallback>
        </mc:AlternateConten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6"/>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color w:val="000000" w:themeColor="text1"/>
          <w:highlight w:val="none"/>
        </w:rPr>
      </w:r>
      <w:bookmarkStart w:id="795" w:name="_Toc1831685531"/>
      <w:r>
        <w:rPr>
          <w:color w:val="000000" w:themeColor="text1"/>
          <w:highlight w:val="none"/>
        </w:rPr>
      </w:r>
      <w:bookmarkStart w:id="796" w:name="_Toc298211660"/>
      <w:r>
        <w:rPr>
          <w:color w:val="000000" w:themeColor="text1"/>
          <w:highlight w:val="none"/>
        </w:rPr>
      </w:r>
      <w:bookmarkStart w:id="797" w:name="_Toc732104650"/>
      <w:r>
        <w:rPr>
          <w:rFonts w:hint="eastAsia" w:ascii="宋体" w:hAnsi="宋体" w:eastAsia="宋体" w:cs="宋体"/>
          <w:color w:val="000000" w:themeColor="text1"/>
          <w:sz w:val="24"/>
          <w:szCs w:val="24"/>
          <w:highlight w:val="none"/>
        </w:rPr>
        <w:br w:type="page" w:clear="all"/>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rPr>
        <w:t xml:space="preserve">附件2：</w:t>
      </w:r>
      <w:bookmarkEnd w:id="795"/>
      <w:r>
        <w:rPr>
          <w:color w:val="000000" w:themeColor="text1"/>
          <w:highlight w:val="none"/>
        </w:rPr>
      </w:r>
      <w:bookmarkEnd w:id="796"/>
      <w:r>
        <w:rPr>
          <w:color w:val="000000" w:themeColor="text1"/>
          <w:highlight w:val="none"/>
        </w:rPr>
      </w:r>
      <w:bookmarkEnd w:id="797"/>
      <w:r>
        <w:rPr>
          <w:color w:val="000000" w:themeColor="text1"/>
          <w:highlight w:val="none"/>
        </w:rPr>
      </w:r>
      <w:r>
        <w:rPr>
          <w:color w:val="000000" w:themeColor="text1"/>
          <w:highlight w:val="none"/>
        </w:rPr>
      </w:r>
    </w:p>
    <w:p>
      <w:pPr>
        <w:pStyle w:val="910"/>
        <w:numPr>
          <w:ilvl w:val="0"/>
          <w:numId w:val="0"/>
        </w:numPr>
        <w:ind w:left="284"/>
        <w:jc w:val="center"/>
        <w:keepLines/>
        <w:keepNext w:val="0"/>
        <w:pageBreakBefore w:val="0"/>
        <w:spacing w:before="0"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798" w:name="_Toc358881767"/>
      <w:r>
        <w:rPr>
          <w:color w:val="000000" w:themeColor="text1"/>
          <w:highlight w:val="none"/>
        </w:rPr>
      </w:r>
      <w:bookmarkStart w:id="799" w:name="_Toc2084188277"/>
      <w:r>
        <w:rPr>
          <w:rFonts w:hint="eastAsia" w:ascii="宋体" w:hAnsi="宋体" w:eastAsia="宋体" w:cs="宋体"/>
          <w:b w:val="0"/>
          <w:color w:val="000000" w:themeColor="text1"/>
          <w:sz w:val="24"/>
          <w:szCs w:val="24"/>
          <w:highlight w:val="none"/>
        </w:rPr>
        <w:t xml:space="preserve">工程质量保修书</w:t>
      </w:r>
      <w:bookmarkEnd w:id="798"/>
      <w:r>
        <w:rPr>
          <w:color w:val="000000" w:themeColor="text1"/>
          <w:highlight w:val="none"/>
        </w:rPr>
      </w:r>
      <w:bookmarkEnd w:id="799"/>
      <w:r>
        <w:rPr>
          <w:color w:val="000000" w:themeColor="text1"/>
          <w:highlight w:val="none"/>
        </w:rPr>
      </w:r>
      <w:r>
        <w:rPr>
          <w:color w:val="000000" w:themeColor="text1"/>
          <w:highlight w:val="none"/>
        </w:rPr>
      </w:r>
    </w:p>
    <w:p>
      <w:pPr>
        <w:pStyle w:val="906"/>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发包人和承包人根据《中华人民共和国建筑法》《建设工程质量管理条例》和《园林绿化工程施工及验收规范》</w:t>
      </w:r>
      <w:r>
        <w:rPr>
          <w:rFonts w:hint="eastAsia" w:ascii="宋体" w:hAnsi="宋体" w:eastAsia="宋体" w:cs="宋体"/>
          <w:bCs/>
          <w:color w:val="000000" w:themeColor="text1"/>
          <w:sz w:val="24"/>
          <w:szCs w:val="24"/>
          <w:highlight w:val="none"/>
        </w:rPr>
        <w:t xml:space="preserve">（CJJ82）以及（地方标准），</w:t>
      </w:r>
      <w:r>
        <w:rPr>
          <w:rFonts w:hint="eastAsia" w:ascii="宋体" w:hAnsi="宋体" w:eastAsia="宋体" w:cs="宋体"/>
          <w:color w:val="000000" w:themeColor="text1"/>
          <w:sz w:val="24"/>
          <w:szCs w:val="24"/>
          <w:highlight w:val="none"/>
        </w:rPr>
        <w:t xml:space="preserve">经协商一致就</w:t>
      </w:r>
      <w:r>
        <w:rPr>
          <w:rFonts w:hint="eastAsia" w:ascii="宋体" w:hAnsi="宋体" w:eastAsia="宋体" w:cs="宋体"/>
          <w:color w:val="000000" w:themeColor="text1"/>
          <w:sz w:val="24"/>
          <w:szCs w:val="24"/>
          <w:highlight w:val="none"/>
          <w:u w:val="single"/>
        </w:rPr>
        <w:t xml:space="preserve"> （工程名称）</w:t>
      </w:r>
      <w:r>
        <w:rPr>
          <w:rFonts w:hint="eastAsia" w:ascii="宋体" w:hAnsi="宋体" w:eastAsia="宋体" w:cs="宋体"/>
          <w:color w:val="000000" w:themeColor="text1"/>
          <w:sz w:val="24"/>
          <w:szCs w:val="24"/>
          <w:highlight w:val="none"/>
        </w:rPr>
        <w:t xml:space="preserve">签订工程质量保修书。</w:t>
      </w:r>
      <w:r>
        <w:rPr>
          <w:color w:val="000000" w:themeColor="text1"/>
          <w:highlight w:val="none"/>
        </w:rPr>
      </w:r>
    </w:p>
    <w:p>
      <w:pPr>
        <w:pStyle w:val="906"/>
        <w:ind w:firstLine="600"/>
        <w:keepLines/>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一、工程质量保修范围和内容</w:t>
      </w:r>
      <w:r>
        <w:rPr>
          <w:color w:val="000000" w:themeColor="text1"/>
          <w:highlight w:val="none"/>
        </w:rPr>
      </w:r>
    </w:p>
    <w:p>
      <w:pPr>
        <w:pStyle w:val="906"/>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承包人在质量保修期内，按照有关法律规定和合同约定，承担工程质量保修责任。</w:t>
      </w:r>
      <w:r>
        <w:rPr>
          <w:color w:val="000000" w:themeColor="text1"/>
          <w:highlight w:val="none"/>
        </w:rPr>
      </w:r>
    </w:p>
    <w:p>
      <w:pPr>
        <w:pStyle w:val="906"/>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保修范围包括地基基础工程、主体结构工程，屋面防水工程、有防水要求的卫生间、房间和外墙面的防渗漏，供热与供冷系统，电气管线、给排水管道、设备安装、装修工程，绿化工程、园林附属工程（园路与广场铺装、假山、叠石、置石、园林理水、园林设施安装），以及双方约定的其他项目。具体保修的内容，双方约定如下：</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600"/>
        <w:keepLines/>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二、质量保修期</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根据《建设工程质量管理条例》及有关规定，工程的质量保修期如下：</w:t>
      </w:r>
      <w:r>
        <w:rPr>
          <w:color w:val="000000" w:themeColor="text1"/>
          <w:highlight w:val="none"/>
        </w:rPr>
      </w:r>
    </w:p>
    <w:p>
      <w:pPr>
        <w:pStyle w:val="906"/>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工程的质量保修期如下：</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1. 地基基础工程和主体结构工程为设计文件规定的工程合理使用年限；</w:t>
      </w:r>
      <w:r>
        <w:rPr>
          <w:color w:val="000000" w:themeColor="text1"/>
          <w:highlight w:val="none"/>
        </w:rPr>
      </w:r>
    </w:p>
    <w:p>
      <w:pPr>
        <w:pStyle w:val="906"/>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 屋面防水工程、有防水要求的卫生间、房间和外墙面的防渗为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年；其他防水工程</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年。</w:t>
      </w:r>
      <w:r>
        <w:rPr>
          <w:color w:val="000000" w:themeColor="text1"/>
          <w:highlight w:val="none"/>
        </w:rPr>
      </w:r>
    </w:p>
    <w:p>
      <w:pPr>
        <w:pStyle w:val="906"/>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 装修工程为</w:t>
      </w:r>
      <w:r>
        <w:rPr>
          <w:rFonts w:hint="eastAsia" w:ascii="宋体" w:hAnsi="宋体" w:eastAsia="宋体" w:cs="宋体"/>
          <w:color w:val="000000" w:themeColor="text1"/>
          <w:sz w:val="24"/>
          <w:szCs w:val="24"/>
          <w:highlight w:val="none"/>
          <w:u w:val="single"/>
        </w:rPr>
        <w:t xml:space="preserve">2</w:t>
      </w:r>
      <w:r>
        <w:rPr>
          <w:rFonts w:hint="eastAsia" w:ascii="宋体" w:hAnsi="宋体" w:eastAsia="宋体" w:cs="宋体"/>
          <w:color w:val="000000" w:themeColor="text1"/>
          <w:sz w:val="24"/>
          <w:szCs w:val="24"/>
          <w:highlight w:val="none"/>
        </w:rPr>
        <w:t xml:space="preserve">年；</w:t>
      </w:r>
      <w:r>
        <w:rPr>
          <w:color w:val="000000" w:themeColor="text1"/>
          <w:highlight w:val="none"/>
        </w:rPr>
      </w:r>
    </w:p>
    <w:p>
      <w:pPr>
        <w:pStyle w:val="906"/>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 电气管线、给排水管道、设备安装工程为</w:t>
      </w:r>
      <w:r>
        <w:rPr>
          <w:rFonts w:hint="eastAsia" w:ascii="宋体" w:hAnsi="宋体" w:eastAsia="宋体" w:cs="宋体"/>
          <w:color w:val="000000" w:themeColor="text1"/>
          <w:sz w:val="24"/>
          <w:szCs w:val="24"/>
          <w:highlight w:val="none"/>
          <w:u w:val="single"/>
        </w:rPr>
        <w:t xml:space="preserve">2</w:t>
      </w:r>
      <w:r>
        <w:rPr>
          <w:rFonts w:hint="eastAsia" w:ascii="宋体" w:hAnsi="宋体" w:eastAsia="宋体" w:cs="宋体"/>
          <w:color w:val="000000" w:themeColor="text1"/>
          <w:sz w:val="24"/>
          <w:szCs w:val="24"/>
          <w:highlight w:val="none"/>
        </w:rPr>
        <w:t xml:space="preserve">年；</w:t>
      </w:r>
      <w:r>
        <w:rPr>
          <w:color w:val="000000" w:themeColor="text1"/>
          <w:highlight w:val="none"/>
        </w:rPr>
      </w:r>
    </w:p>
    <w:p>
      <w:pPr>
        <w:pStyle w:val="906"/>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5．供热与供冷系统为</w:t>
      </w:r>
      <w:r>
        <w:rPr>
          <w:rFonts w:hint="eastAsia" w:ascii="宋体" w:hAnsi="宋体" w:eastAsia="宋体" w:cs="宋体"/>
          <w:color w:val="000000" w:themeColor="text1"/>
          <w:sz w:val="24"/>
          <w:szCs w:val="24"/>
          <w:highlight w:val="none"/>
          <w:u w:val="single"/>
        </w:rPr>
        <w:t xml:space="preserve">2</w:t>
      </w:r>
      <w:r>
        <w:rPr>
          <w:rFonts w:hint="eastAsia" w:ascii="宋体" w:hAnsi="宋体" w:eastAsia="宋体" w:cs="宋体"/>
          <w:color w:val="000000" w:themeColor="text1"/>
          <w:sz w:val="24"/>
          <w:szCs w:val="24"/>
          <w:highlight w:val="none"/>
        </w:rPr>
        <w:t xml:space="preserve">个采暖期、供冷期；</w:t>
      </w:r>
      <w:r>
        <w:rPr>
          <w:color w:val="000000" w:themeColor="text1"/>
          <w:highlight w:val="none"/>
        </w:rPr>
      </w:r>
    </w:p>
    <w:p>
      <w:pPr>
        <w:pStyle w:val="906"/>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 绿化工程为</w:t>
      </w:r>
      <w:r>
        <w:rPr>
          <w:rFonts w:hint="eastAsia" w:ascii="宋体" w:hAnsi="宋体" w:eastAsia="宋体" w:cs="宋体"/>
          <w:color w:val="000000" w:themeColor="text1"/>
          <w:sz w:val="24"/>
          <w:szCs w:val="24"/>
          <w:highlight w:val="none"/>
          <w:u w:val="single"/>
        </w:rPr>
        <w:t xml:space="preserve"> 24 </w:t>
      </w:r>
      <w:r>
        <w:rPr>
          <w:rFonts w:hint="eastAsia" w:ascii="宋体" w:hAnsi="宋体" w:eastAsia="宋体" w:cs="宋体"/>
          <w:color w:val="000000" w:themeColor="text1"/>
          <w:sz w:val="24"/>
          <w:szCs w:val="24"/>
          <w:highlight w:val="none"/>
        </w:rPr>
        <w:t xml:space="preserve">个月；</w:t>
      </w:r>
      <w:r>
        <w:rPr>
          <w:color w:val="000000" w:themeColor="text1"/>
          <w:highlight w:val="none"/>
        </w:rPr>
      </w:r>
    </w:p>
    <w:p>
      <w:pPr>
        <w:pStyle w:val="906"/>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 园林附属工程为</w:t>
      </w:r>
      <w:r>
        <w:rPr>
          <w:rFonts w:hint="eastAsia" w:ascii="宋体" w:hAnsi="宋体" w:eastAsia="宋体" w:cs="宋体"/>
          <w:color w:val="000000" w:themeColor="text1"/>
          <w:sz w:val="24"/>
          <w:szCs w:val="24"/>
          <w:highlight w:val="none"/>
          <w:u w:val="single"/>
        </w:rPr>
        <w:t xml:space="preserve"> 24 </w:t>
      </w:r>
      <w:r>
        <w:rPr>
          <w:rFonts w:hint="eastAsia" w:ascii="宋体" w:hAnsi="宋体" w:eastAsia="宋体" w:cs="宋体"/>
          <w:color w:val="000000" w:themeColor="text1"/>
          <w:sz w:val="24"/>
          <w:szCs w:val="24"/>
          <w:highlight w:val="none"/>
        </w:rPr>
        <w:t xml:space="preserve">个月；</w:t>
      </w:r>
      <w:r>
        <w:rPr>
          <w:color w:val="000000" w:themeColor="text1"/>
          <w:highlight w:val="none"/>
        </w:rPr>
      </w:r>
    </w:p>
    <w:p>
      <w:pPr>
        <w:pStyle w:val="906"/>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 其他项目保修期限约定如下：</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质量保修期自工程竣工验收合格之日起计算。</w:t>
      </w:r>
      <w:r>
        <w:rPr>
          <w:color w:val="000000" w:themeColor="text1"/>
          <w:highlight w:val="none"/>
        </w:rPr>
      </w:r>
    </w:p>
    <w:p>
      <w:pPr>
        <w:pStyle w:val="906"/>
        <w:numPr>
          <w:ilvl w:val="0"/>
          <w:numId w:val="29"/>
        </w:numPr>
        <w:ind w:firstLine="600"/>
        <w:keepLines/>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缺陷责任期</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工程缺陷责任期为</w:t>
      </w:r>
      <w:r>
        <w:rPr>
          <w:rFonts w:hint="eastAsia" w:ascii="宋体" w:hAnsi="宋体" w:eastAsia="宋体" w:cs="宋体"/>
          <w:color w:val="000000" w:themeColor="text1"/>
          <w:sz w:val="24"/>
          <w:szCs w:val="24"/>
          <w:highlight w:val="none"/>
          <w:u w:val="single"/>
        </w:rPr>
        <w:t xml:space="preserve">24</w:t>
      </w:r>
      <w:r>
        <w:rPr>
          <w:rFonts w:hint="eastAsia" w:ascii="宋体" w:hAnsi="宋体" w:eastAsia="宋体" w:cs="宋体"/>
          <w:color w:val="000000" w:themeColor="text1"/>
          <w:sz w:val="24"/>
          <w:szCs w:val="24"/>
          <w:highlight w:val="none"/>
        </w:rPr>
        <w:t xml:space="preserve">个月，缺陷责任期自工程竣工验收合格之日起计算。单位工程先于全部工程进行验收，单位工程缺陷责任期自单位工程验收合格之日起算。</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缺陷责任期终止后，发包人应退还剩余的质量保证金。</w:t>
      </w:r>
      <w:r>
        <w:rPr>
          <w:color w:val="000000" w:themeColor="text1"/>
          <w:highlight w:val="none"/>
        </w:rPr>
      </w:r>
    </w:p>
    <w:p>
      <w:pPr>
        <w:pStyle w:val="906"/>
        <w:numPr>
          <w:ilvl w:val="0"/>
          <w:numId w:val="29"/>
        </w:numPr>
        <w:ind w:firstLine="600"/>
        <w:keepLines/>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质量保修责任</w:t>
      </w:r>
      <w:r>
        <w:rPr>
          <w:color w:val="000000" w:themeColor="text1"/>
          <w:highlight w:val="none"/>
        </w:rPr>
      </w:r>
    </w:p>
    <w:p>
      <w:pPr>
        <w:pStyle w:val="906"/>
        <w:numPr>
          <w:ilvl w:val="0"/>
          <w:numId w:val="30"/>
        </w:numPr>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属于保修范围、内容的项目，承包人应当在接到保修通知之日起7天内派人保修。承包人不在约定期限内派人保修的，发包人可以委托他人修理，费用由承包人承担，从质量保证金中扣除。</w:t>
      </w:r>
      <w:r>
        <w:rPr>
          <w:color w:val="000000" w:themeColor="text1"/>
          <w:highlight w:val="none"/>
        </w:rPr>
      </w:r>
    </w:p>
    <w:p>
      <w:pPr>
        <w:pStyle w:val="906"/>
        <w:numPr>
          <w:ilvl w:val="0"/>
          <w:numId w:val="30"/>
        </w:numPr>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发生紧急事故需抢修的，承包人在接到事故通知后，应当立即到达事故现场抢修。</w:t>
      </w:r>
      <w:r>
        <w:rPr>
          <w:color w:val="000000" w:themeColor="text1"/>
          <w:highlight w:val="none"/>
        </w:rPr>
      </w:r>
    </w:p>
    <w:p>
      <w:pPr>
        <w:pStyle w:val="906"/>
        <w:numPr>
          <w:ilvl w:val="0"/>
          <w:numId w:val="30"/>
        </w:numPr>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对于涉及结构安全的质量问题，应当按照《建设工程质量管理条例》的规定，立即向当地住房和城乡建设行政主管部门及有关部门报告，采取安全防范措施，并由原设计人或者具有相应资质等级的设计人提出保修方案，承包人实施保修。</w:t>
      </w:r>
      <w:r>
        <w:rPr>
          <w:color w:val="000000" w:themeColor="text1"/>
          <w:highlight w:val="none"/>
        </w:rPr>
      </w:r>
    </w:p>
    <w:p>
      <w:pPr>
        <w:pStyle w:val="906"/>
        <w:numPr>
          <w:ilvl w:val="0"/>
          <w:numId w:val="30"/>
        </w:numPr>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在工程质量保修期内，未能在合理期限对工程质量问题进行修复，或拒绝按要求进行修复的，承包人应向发包人支付修复工程支出的实际金额。</w:t>
      </w:r>
      <w:r>
        <w:rPr>
          <w:color w:val="000000" w:themeColor="text1"/>
          <w:highlight w:val="none"/>
        </w:rPr>
      </w:r>
    </w:p>
    <w:p>
      <w:pPr>
        <w:pStyle w:val="906"/>
        <w:numPr>
          <w:ilvl w:val="0"/>
          <w:numId w:val="30"/>
        </w:numPr>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质量保修完成后，由发包人组织验收。</w:t>
      </w:r>
      <w:r>
        <w:rPr>
          <w:color w:val="000000" w:themeColor="text1"/>
          <w:highlight w:val="none"/>
        </w:rPr>
      </w:r>
    </w:p>
    <w:p>
      <w:pPr>
        <w:pStyle w:val="906"/>
        <w:ind w:left="600"/>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b/>
          <w:color w:val="000000" w:themeColor="text1"/>
          <w:sz w:val="24"/>
          <w:szCs w:val="24"/>
          <w:highlight w:val="none"/>
        </w:rPr>
        <w:t xml:space="preserve">五、双方约定的其他工程质量保修项</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工程质量保修书由发包人、承包人在工程竣工验收前共同签署，作为施工合同附件，其有效期限至保修期满。 </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color w:val="000000" w:themeColor="text1"/>
          <w:highlight w:val="none"/>
        </w:rPr>
      </w:r>
      <w:bookmarkStart w:id="800" w:name="_Toc2094516902"/>
      <w:r>
        <w:rPr>
          <w:color w:val="000000" w:themeColor="text1"/>
          <w:highlight w:val="none"/>
        </w:rPr>
      </w:r>
      <w:bookmarkStart w:id="801" w:name="_Toc184263479"/>
      <w:r>
        <w:rPr>
          <w:rFonts w:hint="eastAsia" w:ascii="宋体" w:hAnsi="宋体" w:eastAsia="宋体" w:cs="宋体"/>
          <w:color w:val="000000" w:themeColor="text1"/>
          <w:sz w:val="24"/>
          <w:szCs w:val="24"/>
          <w:highlight w:val="none"/>
        </w:rPr>
        <w:t xml:space="preserve">发包人：（公章）               承包人：（公章）</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法定代表人或其委托代理人：     法定代表人或其委托代理人：</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（签字）                      （签字）</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社会统一信用代码：</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社会统一信用代码：</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 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地 址 ：</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邮政编码</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邮政编码：</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法定代表人：</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法定代表人：</w:t>
      </w:r>
      <w:r>
        <w:rPr>
          <w:rFonts w:hint="eastAsia" w:ascii="宋体" w:hAnsi="宋体" w:eastAsia="宋体" w:cs="宋体"/>
          <w:color w:val="000000" w:themeColor="text1"/>
          <w:sz w:val="24"/>
          <w:szCs w:val="24"/>
          <w:highlight w:val="none"/>
          <w:u w:val="single"/>
        </w:rPr>
        <w:t xml:space="preserve">        /         </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委托代理人：</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委托代理人：</w:t>
      </w:r>
      <w:r>
        <w:rPr>
          <w:rFonts w:hint="eastAsia" w:ascii="宋体" w:hAnsi="宋体" w:eastAsia="宋体" w:cs="宋体"/>
          <w:color w:val="000000" w:themeColor="text1"/>
          <w:sz w:val="24"/>
          <w:szCs w:val="24"/>
          <w:highlight w:val="none"/>
          <w:u w:val="single"/>
        </w:rPr>
        <w:t xml:space="preserve">        /         </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 话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电 话 ：</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传 真 ：</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传 真 ：</w:t>
      </w:r>
      <w:r>
        <w:rPr>
          <w:rFonts w:hint="eastAsia" w:ascii="宋体" w:hAnsi="宋体" w:eastAsia="宋体" w:cs="宋体"/>
          <w:color w:val="000000" w:themeColor="text1"/>
          <w:sz w:val="24"/>
          <w:szCs w:val="24"/>
          <w:highlight w:val="none"/>
          <w:u w:val="single"/>
        </w:rPr>
        <w:t xml:space="preserve">            /         </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         </w:t>
      </w:r>
      <w:r>
        <w:rPr>
          <w:color w:val="000000" w:themeColor="text1"/>
          <w:highlight w:val="none"/>
        </w:rPr>
      </w:r>
    </w:p>
    <w:p>
      <w:pPr>
        <w:pStyle w:val="906"/>
        <w:ind w:left="5880" w:hanging="58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开户银行：</w:t>
      </w:r>
      <w:r>
        <w:rPr>
          <w:rStyle w:val="1160"/>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开户银行：</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账号：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账号 ：</w:t>
      </w:r>
      <w:bookmarkStart w:id="802" w:name="_Toc362478915"/>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br w:type="page" w:clear="all"/>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rPr>
        <w:t xml:space="preserve">附件3：</w:t>
      </w:r>
      <w:bookmarkEnd w:id="800"/>
      <w:r>
        <w:rPr>
          <w:color w:val="000000" w:themeColor="text1"/>
          <w:highlight w:val="none"/>
        </w:rPr>
      </w:r>
      <w:bookmarkEnd w:id="801"/>
      <w:r>
        <w:rPr>
          <w:color w:val="000000" w:themeColor="text1"/>
          <w:highlight w:val="none"/>
        </w:rPr>
      </w:r>
      <w:bookmarkEnd w:id="802"/>
      <w:r>
        <w:rPr>
          <w:color w:val="000000" w:themeColor="text1"/>
          <w:highlight w:val="none"/>
        </w:rPr>
      </w:r>
      <w:r>
        <w:rPr>
          <w:color w:val="000000" w:themeColor="text1"/>
          <w:highlight w:val="none"/>
        </w:rPr>
      </w:r>
    </w:p>
    <w:p>
      <w:pPr>
        <w:pStyle w:val="910"/>
        <w:numPr>
          <w:ilvl w:val="0"/>
          <w:numId w:val="0"/>
        </w:numPr>
        <w:ind w:left="284"/>
        <w:jc w:val="center"/>
        <w:keepLines/>
        <w:keepNext w:val="0"/>
        <w:pageBreakBefore w:val="0"/>
        <w:spacing w:before="0" w:line="360" w:lineRule="auto"/>
        <w:widowControl w:val="off"/>
        <w:rPr>
          <w:rFonts w:hint="eastAsia" w:ascii="宋体" w:hAnsi="宋体" w:eastAsia="宋体" w:cs="宋体"/>
          <w:b w:val="0"/>
          <w:color w:val="000000" w:themeColor="text1"/>
          <w:sz w:val="24"/>
          <w:szCs w:val="24"/>
          <w:highlight w:val="none"/>
        </w:rPr>
      </w:pPr>
      <w:r>
        <w:rPr>
          <w:color w:val="000000" w:themeColor="text1"/>
          <w:highlight w:val="none"/>
        </w:rPr>
      </w:r>
      <w:bookmarkStart w:id="803" w:name="_Toc41181775"/>
      <w:r>
        <w:rPr>
          <w:color w:val="000000" w:themeColor="text1"/>
          <w:highlight w:val="none"/>
        </w:rPr>
      </w:r>
      <w:bookmarkStart w:id="804" w:name="_Toc1106295181"/>
      <w:r>
        <w:rPr>
          <w:rFonts w:hint="eastAsia" w:ascii="宋体" w:hAnsi="宋体" w:eastAsia="宋体" w:cs="宋体"/>
          <w:b w:val="0"/>
          <w:color w:val="000000" w:themeColor="text1"/>
          <w:sz w:val="24"/>
          <w:szCs w:val="24"/>
          <w:highlight w:val="none"/>
        </w:rPr>
        <w:t xml:space="preserve">廉政建设责任书</w:t>
      </w:r>
      <w:bookmarkEnd w:id="803"/>
      <w:r>
        <w:rPr>
          <w:color w:val="000000" w:themeColor="text1"/>
          <w:highlight w:val="none"/>
        </w:rPr>
      </w:r>
      <w:bookmarkEnd w:id="804"/>
      <w:r>
        <w:rPr>
          <w:color w:val="000000" w:themeColor="text1"/>
          <w:highlight w:val="none"/>
        </w:rPr>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建设责任书。</w:t>
      </w:r>
      <w:r>
        <w:rPr>
          <w:color w:val="000000" w:themeColor="text1"/>
          <w:highlight w:val="none"/>
        </w:rPr>
      </w:r>
    </w:p>
    <w:p>
      <w:pPr>
        <w:pStyle w:val="906"/>
        <w:ind w:firstLine="482"/>
        <w:keepLines/>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一、双方的责任</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1.1应严格遵守国家关于建设工程的有关法律、法规，相关政策，以及廉政建设的各项规定。</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1.2严格执行建设工程合同文件，自觉按合同办事。</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1.3各项活动必须坚持公开、公平、公正、诚信、透明的原则(除法律法规另有规定者外)，不得为获取不正当的利益，损害国家、集体和对方利益，不得违反建设工程管理的规章制度。</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1.4发现对方在业务活动中有违规、违纪、违法行为的，应及时提醒对方，情节严重的，应向其上级主管部门或纪检监察、司法等有关机关举报。</w:t>
      </w:r>
      <w:r>
        <w:rPr>
          <w:color w:val="000000" w:themeColor="text1"/>
          <w:highlight w:val="none"/>
        </w:rPr>
      </w:r>
    </w:p>
    <w:p>
      <w:pPr>
        <w:pStyle w:val="906"/>
        <w:ind w:firstLine="482"/>
        <w:keepLines/>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二、发包人责任</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发包人从事该建设工程项目的负责人和工作人员，在工程建设的事前、事中、事后应遵守以下规定：</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2.1不得向承包人和相关单位索要或接受回扣、礼金、有价证券、贵重物品和好处费、感谢费等。</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2.2不得在承包人和相关单位报销任何应由发包人或个人支付的费用。</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2.3不得要求、暗示或接受承包人和相关单位为个人装修住房、婚丧嫁娶、配偶子女的工作安排以及出国(境)、旅游等提供方便。</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2.4不得参加有可能影响公正执行公务的承包人和相关单位的宴请、健身、娱乐等活动。</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2.5不得向承包人和相关单位介绍或为配偶、子女、亲属参与同发包人工程建设管理合同有关的业务活动；不得以任何理由要求承包人和相关单位使用某种产品、材料和设备。</w:t>
      </w:r>
      <w:r>
        <w:rPr>
          <w:color w:val="000000" w:themeColor="text1"/>
          <w:highlight w:val="none"/>
        </w:rPr>
      </w:r>
    </w:p>
    <w:p>
      <w:pPr>
        <w:pStyle w:val="906"/>
        <w:ind w:firstLine="482"/>
        <w:keepLines/>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三、承包人责任</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应与发包人保持正常的业务交往，按照有关法律法规和程序开展业务工作，严格执行工程建设的有关方针、政策，执行工程建设强制性标准，并遵守以下规定：</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3.1不得以任何理由向发包人及其工作人员索要、接受或赠送礼金、有价证券、贵重物品及回扣、好处费、感谢费等。</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3.2不得以任何理由为发包人和相关单位报销应由对方或个人支付的费用。</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3.3不得接受或暗示为发包人、相关单位或个人装修住房、婚丧嫁娶、配偶子女的工作安排以及出国(境)、旅游等提供方便。</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3.4不得以任何理由为发包人、相关单位或个人组织有可能影响公正执行公务的宴请、健身、娱乐等活动。</w:t>
      </w:r>
      <w:r>
        <w:rPr>
          <w:color w:val="000000" w:themeColor="text1"/>
          <w:highlight w:val="none"/>
        </w:rPr>
      </w:r>
    </w:p>
    <w:p>
      <w:pPr>
        <w:pStyle w:val="906"/>
        <w:ind w:firstLine="482"/>
        <w:keepLines/>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四、违约责任</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4.1发包人工作人员有违反本责任书第一、二条责任行为的，依据有关法律、法规给予处理；涉嫌犯罪的，移交司法机关追究刑事责任；给承包人单位造成经济损失的，应予以赔偿。</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4.2承包人工作人员有违反本责任书第一、三条责任行为的，依据有关法律法规处理；涉嫌犯罪的，移交司法机关追究刑事责任；给发包人单位造成经济损失的，应予以赔偿。</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4.3本责任书作为本合同的组成部分，与本合同具有同等法律效力，经双方签署后立即生效。</w:t>
      </w:r>
      <w:r>
        <w:rPr>
          <w:color w:val="000000" w:themeColor="text1"/>
          <w:highlight w:val="none"/>
        </w:rPr>
      </w:r>
    </w:p>
    <w:p>
      <w:pPr>
        <w:pStyle w:val="906"/>
        <w:ind w:firstLine="482"/>
        <w:keepLines/>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五、责任书有效期</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本责任书的有效期为双方签署之日起至该工程项目竣工验收合格时止。</w:t>
      </w:r>
      <w:r>
        <w:rPr>
          <w:color w:val="000000" w:themeColor="text1"/>
          <w:highlight w:val="none"/>
        </w:rPr>
      </w:r>
    </w:p>
    <w:p>
      <w:pPr>
        <w:pStyle w:val="906"/>
        <w:ind w:firstLine="482"/>
        <w:keepLines/>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六、责任书份数</w:t>
      </w:r>
      <w:r>
        <w:rPr>
          <w:color w:val="000000" w:themeColor="text1"/>
          <w:highlight w:val="none"/>
        </w:rPr>
      </w:r>
    </w:p>
    <w:p>
      <w:pPr>
        <w:pStyle w:val="906"/>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本责任书一式两份，发包人承包人各执一份，具有同等效力。</w:t>
      </w:r>
      <w:r>
        <w:rPr>
          <w:color w:val="000000" w:themeColor="text1"/>
          <w:highlight w:val="none"/>
        </w:rPr>
      </w:r>
    </w:p>
    <w:p>
      <w:pPr>
        <w:pStyle w:val="906"/>
        <w:ind w:left="105" w:firstLine="600"/>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2803525</wp:posOffset>
                </wp:positionH>
                <wp:positionV relativeFrom="paragraph">
                  <wp:posOffset>62230</wp:posOffset>
                </wp:positionV>
                <wp:extent cx="2865755" cy="2667635"/>
                <wp:effectExtent l="0" t="0" r="10795" b="18415"/>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2865755" cy="2667635"/>
                        </a:xfrm>
                        <a:prstGeom prst="rect">
                          <a:avLst/>
                        </a:prstGeom>
                        <a:solidFill>
                          <a:srgbClr val="FFFFFF"/>
                        </a:solidFill>
                        <a:ln>
                          <a:noFill/>
                        </a:ln>
                      </wps:spPr>
                      <wps:txbx>
                        <w:txbxContent>
                          <w:p>
                            <w:pPr>
                              <w:pStyle w:val="906"/>
                              <w:spacing w:line="360" w:lineRule="auto"/>
                              <w:rPr>
                                <w:rFonts w:ascii="宋体" w:hAnsi="宋体"/>
                                <w:sz w:val="24"/>
                              </w:rPr>
                            </w:pPr>
                            <w:r>
                              <w:rPr>
                                <w:rFonts w:ascii="宋体" w:hAnsi="宋体"/>
                                <w:sz w:val="24"/>
                              </w:rPr>
                              <w:t xml:space="preserve">承包人：（公章）</w:t>
                            </w:r>
                            <w:r/>
                          </w:p>
                          <w:p>
                            <w:pPr>
                              <w:pStyle w:val="906"/>
                              <w:spacing w:line="360" w:lineRule="auto"/>
                              <w:rPr>
                                <w:rFonts w:ascii="宋体" w:hAnsi="宋体"/>
                                <w:sz w:val="24"/>
                              </w:rPr>
                            </w:pPr>
                            <w:r>
                              <w:rPr>
                                <w:rFonts w:ascii="宋体" w:hAnsi="宋体"/>
                                <w:sz w:val="24"/>
                              </w:rPr>
                              <w:t xml:space="preserve">法定代表人或其委托代理人：（签字）</w:t>
                            </w:r>
                            <w:r/>
                          </w:p>
                          <w:p>
                            <w:pPr>
                              <w:pStyle w:val="906"/>
                              <w:spacing w:line="360" w:lineRule="auto"/>
                              <w:rPr>
                                <w:rFonts w:ascii="宋体" w:hAnsi="宋体"/>
                                <w:sz w:val="24"/>
                              </w:rPr>
                            </w:pPr>
                            <w:r>
                              <w:rPr>
                                <w:rFonts w:ascii="宋体" w:hAnsi="宋体"/>
                                <w:sz w:val="24"/>
                              </w:rPr>
                              <w:t xml:space="preserve">地  址： </w:t>
                            </w:r>
                            <w:r/>
                          </w:p>
                          <w:p>
                            <w:pPr>
                              <w:pStyle w:val="906"/>
                              <w:spacing w:line="360" w:lineRule="auto"/>
                              <w:rPr>
                                <w:rFonts w:ascii="宋体" w:hAnsi="宋体"/>
                                <w:sz w:val="24"/>
                              </w:rPr>
                            </w:pPr>
                            <w:r>
                              <w:rPr>
                                <w:rFonts w:ascii="宋体" w:hAnsi="宋体"/>
                                <w:sz w:val="24"/>
                              </w:rPr>
                              <w:t xml:space="preserve">电  话： </w:t>
                            </w:r>
                            <w:r/>
                          </w:p>
                          <w:p>
                            <w:pPr>
                              <w:pStyle w:val="906"/>
                              <w:spacing w:line="360" w:lineRule="auto"/>
                              <w:rPr>
                                <w:rFonts w:ascii="宋体" w:hAnsi="宋体"/>
                                <w:sz w:val="24"/>
                              </w:rPr>
                            </w:pPr>
                            <w:r>
                              <w:rPr>
                                <w:rFonts w:ascii="宋体" w:hAnsi="宋体"/>
                                <w:sz w:val="24"/>
                              </w:rPr>
                              <w:t xml:space="preserve">日  期： </w:t>
                            </w:r>
                            <w:r/>
                          </w:p>
                          <w:p>
                            <w:pPr>
                              <w:pStyle w:val="906"/>
                              <w:rPr>
                                <w:sz w:val="28"/>
                                <w:szCs w:val="28"/>
                              </w:rPr>
                            </w:pPr>
                            <w:r>
                              <w:rPr>
                                <w:sz w:val="28"/>
                                <w:szCs w:val="28"/>
                              </w:rPr>
                            </w:r>
                            <w:r/>
                          </w:p>
                          <w:p>
                            <w:pPr>
                              <w:pStyle w:val="906"/>
                            </w:pPr>
                            <w:r/>
                            <w:r/>
                          </w:p>
                        </w:txbxContent>
                      </wps:txbx>
                      <wps:bodyPr wrap="square" upright="1"/>
                    </wps:wsp>
                  </a:graphicData>
                </a:graphic>
              </wp:anchor>
            </w:drawing>
          </mc:Choice>
          <mc:Fallback>
            <w:pict>
              <v:shape id="shape 9" o:spid="_x0000_s9" o:spt="202" type="#_x0000_t202" style="position:absolute;z-index:251667456;o:allowoverlap:true;o:allowincell:true;mso-position-horizontal-relative:text;margin-left:220.8pt;mso-position-horizontal:absolute;mso-position-vertical-relative:text;margin-top:4.9pt;mso-position-vertical:absolute;width:225.6pt;height:210.0pt;mso-wrap-distance-left:9.0pt;mso-wrap-distance-top:0.0pt;mso-wrap-distance-right:9.0pt;mso-wrap-distance-bottom:0.0pt;visibility:visible;" fillcolor="#FFFFFF" stroked="f">
                <v:textbox inset="0,0,0,0">
                  <w:txbxContent>
                    <w:p>
                      <w:pPr>
                        <w:pStyle w:val="906"/>
                        <w:spacing w:line="360" w:lineRule="auto"/>
                        <w:rPr>
                          <w:rFonts w:ascii="宋体" w:hAnsi="宋体"/>
                          <w:sz w:val="24"/>
                        </w:rPr>
                      </w:pPr>
                      <w:r>
                        <w:rPr>
                          <w:rFonts w:ascii="宋体" w:hAnsi="宋体"/>
                          <w:sz w:val="24"/>
                        </w:rPr>
                        <w:t xml:space="preserve">承包人：（公章）</w:t>
                      </w:r>
                      <w:r/>
                    </w:p>
                    <w:p>
                      <w:pPr>
                        <w:pStyle w:val="906"/>
                        <w:spacing w:line="360" w:lineRule="auto"/>
                        <w:rPr>
                          <w:rFonts w:ascii="宋体" w:hAnsi="宋体"/>
                          <w:sz w:val="24"/>
                        </w:rPr>
                      </w:pPr>
                      <w:r>
                        <w:rPr>
                          <w:rFonts w:ascii="宋体" w:hAnsi="宋体"/>
                          <w:sz w:val="24"/>
                        </w:rPr>
                        <w:t xml:space="preserve">法定代表人或其委托代理人：（签字）</w:t>
                      </w:r>
                      <w:r/>
                    </w:p>
                    <w:p>
                      <w:pPr>
                        <w:pStyle w:val="906"/>
                        <w:spacing w:line="360" w:lineRule="auto"/>
                        <w:rPr>
                          <w:rFonts w:ascii="宋体" w:hAnsi="宋体"/>
                          <w:sz w:val="24"/>
                        </w:rPr>
                      </w:pPr>
                      <w:r>
                        <w:rPr>
                          <w:rFonts w:ascii="宋体" w:hAnsi="宋体"/>
                          <w:sz w:val="24"/>
                        </w:rPr>
                        <w:t xml:space="preserve">地  址： </w:t>
                      </w:r>
                      <w:r/>
                    </w:p>
                    <w:p>
                      <w:pPr>
                        <w:pStyle w:val="906"/>
                        <w:spacing w:line="360" w:lineRule="auto"/>
                        <w:rPr>
                          <w:rFonts w:ascii="宋体" w:hAnsi="宋体"/>
                          <w:sz w:val="24"/>
                        </w:rPr>
                      </w:pPr>
                      <w:r>
                        <w:rPr>
                          <w:rFonts w:ascii="宋体" w:hAnsi="宋体"/>
                          <w:sz w:val="24"/>
                        </w:rPr>
                        <w:t xml:space="preserve">电  话： </w:t>
                      </w:r>
                      <w:r/>
                    </w:p>
                    <w:p>
                      <w:pPr>
                        <w:pStyle w:val="906"/>
                        <w:spacing w:line="360" w:lineRule="auto"/>
                        <w:rPr>
                          <w:rFonts w:ascii="宋体" w:hAnsi="宋体"/>
                          <w:sz w:val="24"/>
                        </w:rPr>
                      </w:pPr>
                      <w:r>
                        <w:rPr>
                          <w:rFonts w:ascii="宋体" w:hAnsi="宋体"/>
                          <w:sz w:val="24"/>
                        </w:rPr>
                        <w:t xml:space="preserve">日  期： </w:t>
                      </w:r>
                      <w:r/>
                    </w:p>
                    <w:p>
                      <w:pPr>
                        <w:pStyle w:val="906"/>
                        <w:rPr>
                          <w:sz w:val="28"/>
                          <w:szCs w:val="28"/>
                        </w:rPr>
                      </w:pPr>
                      <w:r>
                        <w:rPr>
                          <w:sz w:val="28"/>
                          <w:szCs w:val="28"/>
                        </w:rPr>
                      </w:r>
                      <w:r/>
                    </w:p>
                    <w:p>
                      <w:pPr>
                        <w:pStyle w:val="906"/>
                      </w:pPr>
                      <w:r/>
                      <w:r/>
                    </w:p>
                  </w:txbxContent>
                </v:textbox>
              </v:shape>
            </w:pict>
          </mc:Fallback>
        </mc:AlternateContent>
      </w:r>
      <w:r>
        <w:rPr>
          <w:rFonts w:hint="eastAsia" w:ascii="宋体" w:hAnsi="宋体" w:eastAsia="宋体" w:cs="宋体"/>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-59690</wp:posOffset>
                </wp:positionH>
                <wp:positionV relativeFrom="paragraph">
                  <wp:posOffset>63500</wp:posOffset>
                </wp:positionV>
                <wp:extent cx="2865755" cy="2667635"/>
                <wp:effectExtent l="0" t="0" r="10795" b="18415"/>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2865755" cy="2667635"/>
                        </a:xfrm>
                        <a:prstGeom prst="rect">
                          <a:avLst/>
                        </a:prstGeom>
                        <a:solidFill>
                          <a:srgbClr val="FFFFFF"/>
                        </a:solidFill>
                        <a:ln>
                          <a:noFill/>
                          <a:round/>
                        </a:ln>
                      </wps:spPr>
                      <wps:txbx>
                        <w:txbxContent>
                          <w:p>
                            <w:pPr>
                              <w:pStyle w:val="906"/>
                              <w:spacing w:line="360" w:lineRule="auto"/>
                              <w:rPr>
                                <w:rFonts w:ascii="宋体" w:hAnsi="宋体"/>
                                <w:sz w:val="24"/>
                              </w:rPr>
                            </w:pPr>
                            <w:r>
                              <w:rPr>
                                <w:rFonts w:ascii="宋体" w:hAnsi="宋体"/>
                                <w:sz w:val="24"/>
                              </w:rPr>
                              <w:t xml:space="preserve">发包人：（公章）</w:t>
                            </w:r>
                            <w:r/>
                          </w:p>
                          <w:p>
                            <w:pPr>
                              <w:pStyle w:val="906"/>
                              <w:spacing w:line="360" w:lineRule="auto"/>
                              <w:rPr>
                                <w:rFonts w:ascii="宋体" w:hAnsi="宋体"/>
                                <w:sz w:val="24"/>
                              </w:rPr>
                            </w:pPr>
                            <w:r>
                              <w:rPr>
                                <w:rFonts w:ascii="宋体" w:hAnsi="宋体"/>
                                <w:sz w:val="24"/>
                              </w:rPr>
                              <w:t xml:space="preserve">法定代表人或其委托代理人：（签字）</w:t>
                            </w:r>
                            <w:r/>
                          </w:p>
                          <w:p>
                            <w:pPr>
                              <w:pStyle w:val="906"/>
                              <w:spacing w:line="360" w:lineRule="auto"/>
                              <w:rPr>
                                <w:rFonts w:ascii="宋体" w:hAnsi="宋体"/>
                                <w:sz w:val="24"/>
                              </w:rPr>
                            </w:pPr>
                            <w:r>
                              <w:rPr>
                                <w:rFonts w:ascii="宋体" w:hAnsi="宋体"/>
                                <w:sz w:val="24"/>
                              </w:rPr>
                              <w:t xml:space="preserve">地  址：   </w:t>
                            </w:r>
                            <w:r/>
                          </w:p>
                          <w:p>
                            <w:pPr>
                              <w:pStyle w:val="906"/>
                              <w:spacing w:line="360" w:lineRule="auto"/>
                              <w:rPr>
                                <w:rFonts w:ascii="宋体" w:hAnsi="宋体"/>
                                <w:sz w:val="24"/>
                              </w:rPr>
                            </w:pPr>
                            <w:r>
                              <w:rPr>
                                <w:rFonts w:ascii="宋体" w:hAnsi="宋体"/>
                                <w:sz w:val="24"/>
                              </w:rPr>
                              <w:t xml:space="preserve">电  话：      </w:t>
                            </w:r>
                            <w:r/>
                          </w:p>
                          <w:p>
                            <w:pPr>
                              <w:pStyle w:val="906"/>
                              <w:spacing w:line="360" w:lineRule="auto"/>
                              <w:rPr>
                                <w:rFonts w:ascii="宋体" w:hAnsi="宋体"/>
                                <w:sz w:val="24"/>
                              </w:rPr>
                            </w:pPr>
                            <w:r>
                              <w:rPr>
                                <w:rFonts w:ascii="宋体" w:hAnsi="宋体"/>
                                <w:sz w:val="24"/>
                              </w:rPr>
                              <w:t xml:space="preserve">日  期： </w:t>
                            </w:r>
                            <w:r/>
                          </w:p>
                          <w:p>
                            <w:pPr>
                              <w:pStyle w:val="906"/>
                              <w:rPr>
                                <w:sz w:val="28"/>
                                <w:szCs w:val="28"/>
                              </w:rPr>
                            </w:pPr>
                            <w:r>
                              <w:rPr>
                                <w:sz w:val="28"/>
                                <w:szCs w:val="28"/>
                              </w:rPr>
                            </w:r>
                            <w:r/>
                          </w:p>
                          <w:p>
                            <w:pPr>
                              <w:pStyle w:val="906"/>
                            </w:pPr>
                            <w:r/>
                            <w:r/>
                          </w:p>
                        </w:txbxContent>
                      </wps:txbx>
                      <wps:bodyPr wrap="square" upright="1"/>
                    </wps:wsp>
                  </a:graphicData>
                </a:graphic>
              </wp:anchor>
            </w:drawing>
          </mc:Choice>
          <mc:Fallback>
            <w:pict>
              <v:shape id="shape 10" o:spid="_x0000_s10" o:spt="202" type="#_x0000_t202" style="position:absolute;z-index:251668480;o:allowoverlap:true;o:allowincell:true;mso-position-horizontal-relative:text;margin-left:-4.7pt;mso-position-horizontal:absolute;mso-position-vertical-relative:text;margin-top:5.0pt;mso-position-vertical:absolute;width:225.6pt;height:210.0pt;mso-wrap-distance-left:9.0pt;mso-wrap-distance-top:0.0pt;mso-wrap-distance-right:9.0pt;mso-wrap-distance-bottom:0.0pt;visibility:visible;" fillcolor="#FFFFFF" stroked="f">
                <v:textbox inset="0,0,0,0">
                  <w:txbxContent>
                    <w:p>
                      <w:pPr>
                        <w:pStyle w:val="906"/>
                        <w:spacing w:line="360" w:lineRule="auto"/>
                        <w:rPr>
                          <w:rFonts w:ascii="宋体" w:hAnsi="宋体"/>
                          <w:sz w:val="24"/>
                        </w:rPr>
                      </w:pPr>
                      <w:r>
                        <w:rPr>
                          <w:rFonts w:ascii="宋体" w:hAnsi="宋体"/>
                          <w:sz w:val="24"/>
                        </w:rPr>
                        <w:t xml:space="preserve">发包人：（公章）</w:t>
                      </w:r>
                      <w:r/>
                    </w:p>
                    <w:p>
                      <w:pPr>
                        <w:pStyle w:val="906"/>
                        <w:spacing w:line="360" w:lineRule="auto"/>
                        <w:rPr>
                          <w:rFonts w:ascii="宋体" w:hAnsi="宋体"/>
                          <w:sz w:val="24"/>
                        </w:rPr>
                      </w:pPr>
                      <w:r>
                        <w:rPr>
                          <w:rFonts w:ascii="宋体" w:hAnsi="宋体"/>
                          <w:sz w:val="24"/>
                        </w:rPr>
                        <w:t xml:space="preserve">法定代表人或其委托代理人：（签字）</w:t>
                      </w:r>
                      <w:r/>
                    </w:p>
                    <w:p>
                      <w:pPr>
                        <w:pStyle w:val="906"/>
                        <w:spacing w:line="360" w:lineRule="auto"/>
                        <w:rPr>
                          <w:rFonts w:ascii="宋体" w:hAnsi="宋体"/>
                          <w:sz w:val="24"/>
                        </w:rPr>
                      </w:pPr>
                      <w:r>
                        <w:rPr>
                          <w:rFonts w:ascii="宋体" w:hAnsi="宋体"/>
                          <w:sz w:val="24"/>
                        </w:rPr>
                        <w:t xml:space="preserve">地  址：   </w:t>
                      </w:r>
                      <w:r/>
                    </w:p>
                    <w:p>
                      <w:pPr>
                        <w:pStyle w:val="906"/>
                        <w:spacing w:line="360" w:lineRule="auto"/>
                        <w:rPr>
                          <w:rFonts w:ascii="宋体" w:hAnsi="宋体"/>
                          <w:sz w:val="24"/>
                        </w:rPr>
                      </w:pPr>
                      <w:r>
                        <w:rPr>
                          <w:rFonts w:ascii="宋体" w:hAnsi="宋体"/>
                          <w:sz w:val="24"/>
                        </w:rPr>
                        <w:t xml:space="preserve">电  话：      </w:t>
                      </w:r>
                      <w:r/>
                    </w:p>
                    <w:p>
                      <w:pPr>
                        <w:pStyle w:val="906"/>
                        <w:spacing w:line="360" w:lineRule="auto"/>
                        <w:rPr>
                          <w:rFonts w:ascii="宋体" w:hAnsi="宋体"/>
                          <w:sz w:val="24"/>
                        </w:rPr>
                      </w:pPr>
                      <w:r>
                        <w:rPr>
                          <w:rFonts w:ascii="宋体" w:hAnsi="宋体"/>
                          <w:sz w:val="24"/>
                        </w:rPr>
                        <w:t xml:space="preserve">日  期： </w:t>
                      </w:r>
                      <w:r/>
                    </w:p>
                    <w:p>
                      <w:pPr>
                        <w:pStyle w:val="906"/>
                        <w:rPr>
                          <w:sz w:val="28"/>
                          <w:szCs w:val="28"/>
                        </w:rPr>
                      </w:pPr>
                      <w:r>
                        <w:rPr>
                          <w:sz w:val="28"/>
                          <w:szCs w:val="28"/>
                        </w:rPr>
                      </w:r>
                      <w:r/>
                    </w:p>
                    <w:p>
                      <w:pPr>
                        <w:pStyle w:val="906"/>
                      </w:pPr>
                      <w:r/>
                      <w:r/>
                    </w:p>
                  </w:txbxContent>
                </v:textbox>
              </v:shape>
            </w:pict>
          </mc:Fallback>
        </mc:AlternateConten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6"/>
        <w:jc w:val="left"/>
        <w:keepLines/>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rPr>
        <w:t xml:space="preserve">附件4：</w:t>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rPr>
        <w:t xml:space="preserve">承包人用于本工程施工的机械设备表</w:t>
      </w:r>
      <w:r>
        <w:rPr>
          <w:color w:val="000000" w:themeColor="text1"/>
          <w:highlight w:val="none"/>
        </w:rPr>
      </w:r>
    </w:p>
    <w:tbl>
      <w:tblPr>
        <w:tblStyle w:val="868"/>
        <w:tblW w:w="8516" w:type="dxa"/>
        <w:tblInd w:w="113" w:type="dxa"/>
        <w:tblLayout w:type="fixed"/>
        <w:tblCellMar>
          <w:left w:w="0" w:type="dxa"/>
          <w:top w:w="0" w:type="dxa"/>
          <w:right w:w="0" w:type="dxa"/>
          <w:bottom w:w="0" w:type="dxa"/>
        </w:tblCellMar>
        <w:tblLook w:val="04A0" w:firstRow="1" w:lastRow="0" w:firstColumn="1" w:lastColumn="0" w:noHBand="0" w:noVBand="1"/>
      </w:tblPr>
      <w:tblGrid>
        <w:gridCol w:w="648"/>
        <w:gridCol w:w="1445"/>
        <w:gridCol w:w="1276"/>
        <w:gridCol w:w="707"/>
        <w:gridCol w:w="784"/>
        <w:gridCol w:w="918"/>
        <w:gridCol w:w="928"/>
        <w:gridCol w:w="909"/>
        <w:gridCol w:w="901"/>
      </w:tblGrid>
      <w:tr>
        <w:trPr>
          <w:trHeight w:val="83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机械设备或名称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规格型号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数量</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国别产地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制造</w:t>
            </w:r>
            <w:r>
              <w:rPr>
                <w:color w:val="000000" w:themeColor="text1"/>
                <w:highlight w:val="none"/>
              </w:rPr>
            </w:r>
          </w:p>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年份</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额定功率KW</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生产能力M/H</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w:t>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bl>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4"/>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rPr>
        <w:t xml:space="preserve">附</w:t>
      </w:r>
      <w:bookmarkStart w:id="805" w:name="_Toc296503228"/>
      <w:r>
        <w:rPr>
          <w:color w:val="000000" w:themeColor="text1"/>
          <w:highlight w:val="none"/>
        </w:rPr>
      </w:r>
      <w:bookmarkStart w:id="806" w:name="_Toc296347227"/>
      <w:r>
        <w:rPr>
          <w:color w:val="000000" w:themeColor="text1"/>
          <w:highlight w:val="none"/>
        </w:rPr>
      </w:r>
      <w:bookmarkStart w:id="807" w:name="_Toc296891056"/>
      <w:r>
        <w:rPr>
          <w:color w:val="000000" w:themeColor="text1"/>
          <w:highlight w:val="none"/>
        </w:rPr>
      </w:r>
      <w:bookmarkStart w:id="808" w:name="_Toc296944567"/>
      <w:r>
        <w:rPr>
          <w:color w:val="000000" w:themeColor="text1"/>
          <w:highlight w:val="none"/>
        </w:rPr>
      </w:r>
      <w:bookmarkStart w:id="809" w:name="_Toc296891268"/>
      <w:r>
        <w:rPr>
          <w:color w:val="000000" w:themeColor="text1"/>
          <w:highlight w:val="none"/>
        </w:rPr>
      </w:r>
      <w:bookmarkStart w:id="810" w:name="_Toc267261699"/>
      <w:r>
        <w:rPr>
          <w:color w:val="000000" w:themeColor="text1"/>
          <w:highlight w:val="none"/>
        </w:rPr>
      </w:r>
      <w:bookmarkStart w:id="811" w:name="_Toc296346729"/>
      <w:r>
        <w:rPr>
          <w:rFonts w:hint="eastAsia" w:ascii="宋体" w:hAnsi="宋体" w:eastAsia="宋体" w:cs="宋体"/>
          <w:color w:val="000000" w:themeColor="text1"/>
          <w:sz w:val="24"/>
          <w:szCs w:val="24"/>
          <w:highlight w:val="none"/>
        </w:rPr>
        <w:t xml:space="preserve">件5：</w:t>
      </w:r>
      <w:bookmarkEnd w:id="805"/>
      <w:r>
        <w:rPr>
          <w:color w:val="000000" w:themeColor="text1"/>
          <w:highlight w:val="none"/>
        </w:rPr>
      </w:r>
      <w:bookmarkEnd w:id="806"/>
      <w:r>
        <w:rPr>
          <w:color w:val="000000" w:themeColor="text1"/>
          <w:highlight w:val="none"/>
        </w:rPr>
      </w:r>
      <w:bookmarkEnd w:id="807"/>
      <w:r>
        <w:rPr>
          <w:color w:val="000000" w:themeColor="text1"/>
          <w:highlight w:val="none"/>
        </w:rPr>
      </w:r>
      <w:bookmarkEnd w:id="808"/>
      <w:r>
        <w:rPr>
          <w:color w:val="000000" w:themeColor="text1"/>
          <w:highlight w:val="none"/>
        </w:rPr>
      </w:r>
      <w:bookmarkEnd w:id="809"/>
      <w:r>
        <w:rPr>
          <w:color w:val="000000" w:themeColor="text1"/>
          <w:highlight w:val="none"/>
        </w:rPr>
      </w:r>
      <w:bookmarkEnd w:id="810"/>
      <w:r>
        <w:rPr>
          <w:color w:val="000000" w:themeColor="text1"/>
          <w:highlight w:val="none"/>
        </w:rPr>
      </w:r>
      <w:bookmarkEnd w:id="811"/>
      <w:r>
        <w:rPr>
          <w:color w:val="000000" w:themeColor="text1"/>
          <w:highlight w:val="none"/>
        </w:rPr>
      </w:r>
      <w:r>
        <w:rPr>
          <w:color w:val="000000" w:themeColor="text1"/>
          <w:highlight w:val="none"/>
        </w:rPr>
      </w:r>
    </w:p>
    <w:p>
      <w:pPr>
        <w:pStyle w:val="906"/>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rPr>
        <w:t xml:space="preserve">承包人主要施工管理人员表</w:t>
      </w:r>
      <w:r>
        <w:rPr>
          <w:color w:val="000000" w:themeColor="text1"/>
          <w:highlight w:val="none"/>
        </w:rPr>
      </w:r>
    </w:p>
    <w:tbl>
      <w:tblPr>
        <w:tblStyle w:val="868"/>
        <w:tblW w:w="954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602"/>
        <w:gridCol w:w="1062"/>
        <w:gridCol w:w="1716"/>
        <w:gridCol w:w="1275"/>
        <w:gridCol w:w="3885"/>
      </w:tblGrid>
      <w:tr>
        <w:trPr>
          <w:jc w:val="center"/>
          <w:trHeight w:val="567"/>
        </w:trPr>
        <w:tc>
          <w:tcPr>
            <w:tcW w:w="160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    称</w:t>
            </w:r>
            <w:r>
              <w:rPr>
                <w:color w:val="000000" w:themeColor="text1"/>
                <w:highlight w:val="none"/>
              </w:rPr>
            </w:r>
          </w:p>
        </w:tc>
        <w:tc>
          <w:tcPr>
            <w:tcW w:w="106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姓名</w:t>
            </w:r>
            <w:r>
              <w:rPr>
                <w:color w:val="000000" w:themeColor="text1"/>
                <w:highlight w:val="none"/>
              </w:rPr>
            </w:r>
          </w:p>
        </w:tc>
        <w:tc>
          <w:tcPr>
            <w:tcW w:w="171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职务</w:t>
            </w:r>
            <w:r>
              <w:rPr>
                <w:color w:val="000000" w:themeColor="text1"/>
                <w:highlight w:val="none"/>
              </w:rPr>
            </w:r>
          </w:p>
        </w:tc>
        <w:tc>
          <w:tcPr>
            <w:tcW w:w="1275"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职称</w:t>
            </w:r>
            <w:r>
              <w:rPr>
                <w:color w:val="000000" w:themeColor="text1"/>
                <w:highlight w:val="none"/>
              </w:rPr>
            </w:r>
          </w:p>
        </w:tc>
        <w:tc>
          <w:tcPr>
            <w:tcW w:w="3885"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主要资历、经验及承担过的项目</w:t>
            </w:r>
            <w:r>
              <w:rPr>
                <w:color w:val="000000" w:themeColor="text1"/>
                <w:highlight w:val="none"/>
              </w:rPr>
            </w:r>
          </w:p>
        </w:tc>
      </w:tr>
      <w:tr>
        <w:trPr>
          <w:jc w:val="center"/>
          <w:trHeight w:val="567"/>
        </w:trPr>
        <w:tc>
          <w:tcPr>
            <w:gridSpan w:val="5"/>
            <w:tcW w:w="9540"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一、总部人员</w:t>
            </w:r>
            <w:r>
              <w:rPr>
                <w:color w:val="000000" w:themeColor="text1"/>
                <w:highlight w:val="none"/>
              </w:rPr>
            </w:r>
          </w:p>
        </w:tc>
      </w:tr>
      <w:tr>
        <w:trPr>
          <w:jc w:val="center"/>
          <w:trHeight w:val="567"/>
        </w:trPr>
        <w:tc>
          <w:tcPr>
            <w:tcW w:w="160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项目主管</w:t>
            </w:r>
            <w:r>
              <w:rPr>
                <w:color w:val="000000" w:themeColor="text1"/>
                <w:highlight w:val="none"/>
              </w:rPr>
            </w:r>
          </w:p>
        </w:tc>
        <w:tc>
          <w:tcPr>
            <w:tcW w:w="106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71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275"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885"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Height w:val="567"/>
        </w:trPr>
        <w:tc>
          <w:tcPr>
            <w:tcW w:w="160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项目副经理</w:t>
            </w:r>
            <w:r>
              <w:rPr>
                <w:color w:val="000000" w:themeColor="text1"/>
                <w:highlight w:val="none"/>
              </w:rPr>
            </w:r>
          </w:p>
        </w:tc>
        <w:tc>
          <w:tcPr>
            <w:tcW w:w="106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71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275"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885"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Height w:val="567"/>
        </w:trPr>
        <w:tc>
          <w:tcPr>
            <w:tcW w:w="160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技术负责人</w:t>
            </w:r>
            <w:r>
              <w:rPr>
                <w:color w:val="000000" w:themeColor="text1"/>
                <w:highlight w:val="none"/>
              </w:rPr>
            </w:r>
          </w:p>
        </w:tc>
        <w:tc>
          <w:tcPr>
            <w:tcW w:w="106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71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275"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885"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Height w:val="567"/>
        </w:trPr>
        <w:tc>
          <w:tcPr>
            <w:tcW w:w="160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质量管理</w:t>
            </w:r>
            <w:r>
              <w:rPr>
                <w:color w:val="000000" w:themeColor="text1"/>
                <w:highlight w:val="none"/>
              </w:rPr>
            </w:r>
          </w:p>
        </w:tc>
        <w:tc>
          <w:tcPr>
            <w:tcW w:w="106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71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275"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885"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Height w:val="567"/>
        </w:trPr>
        <w:tc>
          <w:tcPr>
            <w:tcW w:w="160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计划管理</w:t>
            </w:r>
            <w:r>
              <w:rPr>
                <w:color w:val="000000" w:themeColor="text1"/>
                <w:highlight w:val="none"/>
              </w:rPr>
            </w:r>
          </w:p>
        </w:tc>
        <w:tc>
          <w:tcPr>
            <w:tcW w:w="106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71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275"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885"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Height w:val="567"/>
        </w:trPr>
        <w:tc>
          <w:tcPr>
            <w:tcW w:w="160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安全管理</w:t>
            </w:r>
            <w:r>
              <w:rPr>
                <w:color w:val="000000" w:themeColor="text1"/>
                <w:highlight w:val="none"/>
              </w:rPr>
            </w:r>
          </w:p>
        </w:tc>
        <w:tc>
          <w:tcPr>
            <w:tcW w:w="106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71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275"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885"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Height w:val="567"/>
        </w:trPr>
        <w:tc>
          <w:tcPr>
            <w:gridSpan w:val="5"/>
            <w:tcW w:w="9540"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二、现场人员</w:t>
            </w:r>
            <w:r>
              <w:rPr>
                <w:color w:val="000000" w:themeColor="text1"/>
                <w:highlight w:val="none"/>
              </w:rPr>
            </w:r>
          </w:p>
        </w:tc>
      </w:tr>
      <w:tr>
        <w:trPr>
          <w:jc w:val="center"/>
          <w:trHeight w:val="567"/>
        </w:trPr>
        <w:tc>
          <w:tcPr>
            <w:tcW w:w="160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项目经理</w:t>
            </w:r>
            <w:r>
              <w:rPr>
                <w:color w:val="000000" w:themeColor="text1"/>
                <w:highlight w:val="none"/>
              </w:rPr>
            </w:r>
          </w:p>
        </w:tc>
        <w:tc>
          <w:tcPr>
            <w:tcW w:w="106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71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275"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885"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Height w:val="567"/>
        </w:trPr>
        <w:tc>
          <w:tcPr>
            <w:tcW w:w="160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项目副经理</w:t>
            </w:r>
            <w:r>
              <w:rPr>
                <w:color w:val="000000" w:themeColor="text1"/>
                <w:highlight w:val="none"/>
              </w:rPr>
            </w:r>
          </w:p>
        </w:tc>
        <w:tc>
          <w:tcPr>
            <w:tcW w:w="106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71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275"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885"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Height w:val="567"/>
        </w:trPr>
        <w:tc>
          <w:tcPr>
            <w:tcW w:w="160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技术负责人</w:t>
            </w:r>
            <w:r>
              <w:rPr>
                <w:color w:val="000000" w:themeColor="text1"/>
                <w:highlight w:val="none"/>
              </w:rPr>
            </w:r>
          </w:p>
        </w:tc>
        <w:tc>
          <w:tcPr>
            <w:tcW w:w="1062" w:type="dxa"/>
            <w:vAlign w:val="center"/>
            <w:textDirection w:val="lrTb"/>
            <w:noWrap w:val="false"/>
          </w:tcPr>
          <w:p>
            <w:pPr>
              <w:pStyle w:val="906"/>
              <w:ind w:left="63" w:right="63"/>
              <w:jc w:val="center"/>
              <w:keepLines/>
              <w:keepNext w:val="0"/>
              <w:pageBreakBefore w:val="0"/>
              <w:spacing w:after="6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716" w:type="dxa"/>
            <w:vAlign w:val="center"/>
            <w:textDirection w:val="lrTb"/>
            <w:noWrap w:val="false"/>
          </w:tcPr>
          <w:p>
            <w:pPr>
              <w:pStyle w:val="923"/>
              <w:ind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275" w:type="dxa"/>
            <w:vAlign w:val="center"/>
            <w:textDirection w:val="lrTb"/>
            <w:noWrap w:val="false"/>
          </w:tcPr>
          <w:p>
            <w:pPr>
              <w:pStyle w:val="923"/>
              <w:ind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885"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Height w:val="567"/>
        </w:trPr>
        <w:tc>
          <w:tcPr>
            <w:tcW w:w="160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技术负责人</w:t>
            </w:r>
            <w:r>
              <w:rPr>
                <w:color w:val="000000" w:themeColor="text1"/>
                <w:highlight w:val="none"/>
              </w:rPr>
            </w:r>
          </w:p>
        </w:tc>
        <w:tc>
          <w:tcPr>
            <w:tcW w:w="1062" w:type="dxa"/>
            <w:vAlign w:val="center"/>
            <w:textDirection w:val="lrTb"/>
            <w:noWrap w:val="false"/>
          </w:tcPr>
          <w:p>
            <w:pPr>
              <w:pStyle w:val="923"/>
              <w:ind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716" w:type="dxa"/>
            <w:vAlign w:val="center"/>
            <w:textDirection w:val="lrTb"/>
            <w:noWrap w:val="false"/>
          </w:tcPr>
          <w:p>
            <w:pPr>
              <w:pStyle w:val="923"/>
              <w:ind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275" w:type="dxa"/>
            <w:vAlign w:val="center"/>
            <w:textDirection w:val="lrTb"/>
            <w:noWrap w:val="false"/>
          </w:tcPr>
          <w:p>
            <w:pPr>
              <w:pStyle w:val="923"/>
              <w:ind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885"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Height w:val="567"/>
        </w:trPr>
        <w:tc>
          <w:tcPr>
            <w:tcW w:w="160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质量管理</w:t>
            </w:r>
            <w:r>
              <w:rPr>
                <w:color w:val="000000" w:themeColor="text1"/>
                <w:highlight w:val="none"/>
              </w:rPr>
            </w:r>
          </w:p>
        </w:tc>
        <w:tc>
          <w:tcPr>
            <w:tcW w:w="106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71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275"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885"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Height w:val="458"/>
        </w:trPr>
        <w:tc>
          <w:tcPr>
            <w:tcW w:w="160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计划管理</w:t>
            </w:r>
            <w:r>
              <w:rPr>
                <w:color w:val="000000" w:themeColor="text1"/>
                <w:highlight w:val="none"/>
              </w:rPr>
            </w:r>
          </w:p>
        </w:tc>
        <w:tc>
          <w:tcPr>
            <w:tcW w:w="106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71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275" w:type="dxa"/>
            <w:vAlign w:val="center"/>
            <w:textDirection w:val="lrTb"/>
            <w:noWrap w:val="false"/>
          </w:tcPr>
          <w:p>
            <w:pPr>
              <w:pStyle w:val="906"/>
              <w:ind w:left="30" w:right="30"/>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885"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Height w:val="567"/>
        </w:trPr>
        <w:tc>
          <w:tcPr>
            <w:tcW w:w="160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安全管理</w:t>
            </w:r>
            <w:r>
              <w:rPr>
                <w:color w:val="000000" w:themeColor="text1"/>
                <w:highlight w:val="none"/>
              </w:rPr>
            </w:r>
          </w:p>
        </w:tc>
        <w:tc>
          <w:tcPr>
            <w:tcW w:w="106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71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275" w:type="dxa"/>
            <w:vAlign w:val="center"/>
            <w:textDirection w:val="lrTb"/>
            <w:noWrap w:val="false"/>
          </w:tcPr>
          <w:p>
            <w:pPr>
              <w:pStyle w:val="906"/>
              <w:ind w:left="30" w:right="30"/>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885"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Height w:val="567"/>
        </w:trPr>
        <w:tc>
          <w:tcPr>
            <w:tcW w:w="160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其他人员</w:t>
            </w:r>
            <w:r>
              <w:rPr>
                <w:color w:val="000000" w:themeColor="text1"/>
                <w:highlight w:val="none"/>
              </w:rPr>
            </w:r>
          </w:p>
        </w:tc>
        <w:tc>
          <w:tcPr>
            <w:tcW w:w="1062"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71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275"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885"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bl>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6"/>
        <w:jc w:val="left"/>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此表格投标人在招投标阶段无需填写，在合同备案时填写完整。</w:t>
      </w:r>
      <w:r>
        <w:rPr>
          <w:color w:val="000000" w:themeColor="text1"/>
          <w:highlight w:val="none"/>
        </w:rPr>
      </w:r>
    </w:p>
    <w:p>
      <w:pPr>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color w:val="000000" w:themeColor="text1"/>
          <w:highlight w:val="none"/>
        </w:rPr>
      </w:r>
    </w:p>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rPr>
        <w:t xml:space="preserve">附件6：</w:t>
      </w:r>
      <w:r>
        <w:rPr>
          <w:color w:val="000000" w:themeColor="text1"/>
          <w:highlight w:val="none"/>
        </w:rPr>
      </w:r>
    </w:p>
    <w:p>
      <w:pPr>
        <w:pStyle w:val="906"/>
        <w:jc w:val="center"/>
        <w:keepLines/>
        <w:keepNext w:val="0"/>
        <w:pageBreakBefore w:val="0"/>
        <w:spacing w:line="360" w:lineRule="auto"/>
        <w:widowControl w:val="off"/>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rPr>
        <w:t xml:space="preserve">发包人主要管理人员表</w:t>
      </w:r>
      <w:r>
        <w:rPr>
          <w:color w:val="000000" w:themeColor="text1"/>
          <w:highlight w:val="none"/>
        </w:rPr>
      </w:r>
    </w:p>
    <w:tbl>
      <w:tblPr>
        <w:tblStyle w:val="868"/>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956"/>
        <w:gridCol w:w="1418"/>
        <w:gridCol w:w="3146"/>
      </w:tblGrid>
      <w:tr>
        <w:trPr>
          <w:jc w:val="center"/>
        </w:trPr>
        <w:tc>
          <w:tcPr>
            <w:tcW w:w="1871"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    称</w:t>
            </w:r>
            <w:r>
              <w:rPr>
                <w:color w:val="000000" w:themeColor="text1"/>
                <w:highlight w:val="none"/>
              </w:rP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姓名</w:t>
            </w:r>
            <w:r>
              <w:rPr>
                <w:color w:val="000000" w:themeColor="text1"/>
                <w:highlight w:val="none"/>
              </w:rPr>
            </w:r>
          </w:p>
        </w:tc>
        <w:tc>
          <w:tcPr>
            <w:tcW w:w="195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职务</w:t>
            </w:r>
            <w:r>
              <w:rPr>
                <w:color w:val="000000" w:themeColor="text1"/>
                <w:highlight w:val="none"/>
              </w:rP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职称/职务</w:t>
            </w:r>
            <w:r>
              <w:rPr>
                <w:color w:val="000000" w:themeColor="text1"/>
                <w:highlight w:val="none"/>
              </w:rPr>
            </w:r>
          </w:p>
        </w:tc>
        <w:tc>
          <w:tcPr>
            <w:tcW w:w="314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主要资历、经验及承担过的项目</w:t>
            </w:r>
            <w:r>
              <w:rPr>
                <w:color w:val="000000" w:themeColor="text1"/>
                <w:highlight w:val="none"/>
              </w:rPr>
            </w:r>
          </w:p>
        </w:tc>
      </w:tr>
      <w:tr>
        <w:trPr>
          <w:jc w:val="center"/>
        </w:trPr>
        <w:tc>
          <w:tcPr>
            <w:tcW w:w="1871" w:type="dxa"/>
            <w:vAlign w:val="center"/>
            <w:vMerge w:val="restart"/>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管理人员</w:t>
            </w:r>
            <w:r>
              <w:rPr>
                <w:color w:val="000000" w:themeColor="text1"/>
                <w:highlight w:val="none"/>
              </w:rP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95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14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Pr>
        <w:tc>
          <w:tcPr>
            <w:tcW w:w="1871" w:type="dxa"/>
            <w:vAlign w:val="center"/>
            <w:vMerge w:val="continue"/>
            <w:textDirection w:val="lrTb"/>
            <w:noWrap w:val="false"/>
          </w:tcPr>
          <w:p>
            <w:pPr>
              <w:pStyle w:val="923"/>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95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14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Pr>
        <w:tc>
          <w:tcPr>
            <w:tcW w:w="1871" w:type="dxa"/>
            <w:vAlign w:val="center"/>
            <w:vMerge w:val="continue"/>
            <w:textDirection w:val="lrTb"/>
            <w:noWrap w:val="false"/>
          </w:tcPr>
          <w:p>
            <w:pPr>
              <w:pStyle w:val="923"/>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95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14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Pr>
        <w:tc>
          <w:tcPr>
            <w:tcW w:w="1871" w:type="dxa"/>
            <w:vAlign w:val="center"/>
            <w:vMerge w:val="continue"/>
            <w:textDirection w:val="lrTb"/>
            <w:noWrap w:val="false"/>
          </w:tcPr>
          <w:p>
            <w:pPr>
              <w:pStyle w:val="923"/>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95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14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Pr>
        <w:tc>
          <w:tcPr>
            <w:tcW w:w="1871" w:type="dxa"/>
            <w:vAlign w:val="center"/>
            <w:vMerge w:val="continue"/>
            <w:textDirection w:val="lrTb"/>
            <w:noWrap w:val="false"/>
          </w:tcPr>
          <w:p>
            <w:pPr>
              <w:pStyle w:val="923"/>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95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14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Pr>
        <w:tc>
          <w:tcPr>
            <w:tcW w:w="1871" w:type="dxa"/>
            <w:vAlign w:val="center"/>
            <w:vMerge w:val="continue"/>
            <w:textDirection w:val="lrTb"/>
            <w:noWrap w:val="false"/>
          </w:tcPr>
          <w:p>
            <w:pPr>
              <w:pStyle w:val="923"/>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95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14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Pr>
        <w:tc>
          <w:tcPr>
            <w:tcW w:w="1871" w:type="dxa"/>
            <w:vAlign w:val="center"/>
            <w:vMerge w:val="continue"/>
            <w:textDirection w:val="lrTb"/>
            <w:noWrap w:val="false"/>
          </w:tcPr>
          <w:p>
            <w:pPr>
              <w:pStyle w:val="923"/>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95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14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Pr>
        <w:tc>
          <w:tcPr>
            <w:tcW w:w="1871" w:type="dxa"/>
            <w:vAlign w:val="center"/>
            <w:vMerge w:val="continue"/>
            <w:textDirection w:val="lrTb"/>
            <w:noWrap w:val="false"/>
          </w:tcPr>
          <w:p>
            <w:pPr>
              <w:pStyle w:val="923"/>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95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14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Pr>
        <w:tc>
          <w:tcPr>
            <w:tcW w:w="1871" w:type="dxa"/>
            <w:vAlign w:val="center"/>
            <w:vMerge w:val="continue"/>
            <w:textDirection w:val="lrTb"/>
            <w:noWrap w:val="false"/>
          </w:tcPr>
          <w:p>
            <w:pPr>
              <w:pStyle w:val="923"/>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95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14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Pr>
        <w:tc>
          <w:tcPr>
            <w:tcW w:w="1871" w:type="dxa"/>
            <w:vAlign w:val="center"/>
            <w:vMerge w:val="continue"/>
            <w:textDirection w:val="lrTb"/>
            <w:noWrap w:val="false"/>
          </w:tcPr>
          <w:p>
            <w:pPr>
              <w:pStyle w:val="923"/>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95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14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Pr>
        <w:tc>
          <w:tcPr>
            <w:tcW w:w="1871" w:type="dxa"/>
            <w:vAlign w:val="center"/>
            <w:vMerge w:val="continue"/>
            <w:textDirection w:val="lrTb"/>
            <w:noWrap w:val="false"/>
          </w:tcPr>
          <w:p>
            <w:pPr>
              <w:pStyle w:val="923"/>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95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14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Pr>
        <w:tc>
          <w:tcPr>
            <w:tcW w:w="1871" w:type="dxa"/>
            <w:vAlign w:val="center"/>
            <w:vMerge w:val="continue"/>
            <w:textDirection w:val="lrTb"/>
            <w:noWrap w:val="false"/>
          </w:tcPr>
          <w:p>
            <w:pPr>
              <w:pStyle w:val="923"/>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95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14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Pr>
        <w:tc>
          <w:tcPr>
            <w:tcW w:w="1871" w:type="dxa"/>
            <w:vAlign w:val="center"/>
            <w:vMerge w:val="continue"/>
            <w:textDirection w:val="lrTb"/>
            <w:noWrap w:val="false"/>
          </w:tcPr>
          <w:p>
            <w:pPr>
              <w:pStyle w:val="923"/>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95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14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Pr>
        <w:tc>
          <w:tcPr>
            <w:tcW w:w="1871" w:type="dxa"/>
            <w:vAlign w:val="center"/>
            <w:vMerge w:val="continue"/>
            <w:textDirection w:val="lrTb"/>
            <w:noWrap w:val="false"/>
          </w:tcPr>
          <w:p>
            <w:pPr>
              <w:pStyle w:val="923"/>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95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14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jc w:val="center"/>
        </w:trPr>
        <w:tc>
          <w:tcPr>
            <w:tcW w:w="1871" w:type="dxa"/>
            <w:vAlign w:val="center"/>
            <w:vMerge w:val="continue"/>
            <w:textDirection w:val="lrTb"/>
            <w:noWrap w:val="false"/>
          </w:tcPr>
          <w:p>
            <w:pPr>
              <w:pStyle w:val="923"/>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95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1418"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c>
          <w:tcPr>
            <w:tcW w:w="3146" w:type="dxa"/>
            <w:vAlign w:val="center"/>
            <w:textDirection w:val="lrTb"/>
            <w:noWrap w:val="false"/>
          </w:tcPr>
          <w:p>
            <w:pPr>
              <w:pStyle w:val="923"/>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bl>
    <w:p>
      <w:pPr>
        <w:pStyle w:val="906"/>
        <w:keepLines/>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p>
    <w:p>
      <w:pPr>
        <w:pStyle w:val="927"/>
        <w:ind w:firstLine="0"/>
        <w:keepLines w:val="0"/>
        <w:keepNext w:val="0"/>
        <w:pageBreakBefore w:val="0"/>
        <w:spacing w:line="360" w:lineRule="auto"/>
        <w:widowControl w:val="off"/>
        <w:rPr>
          <w:rFonts w:hint="eastAsia" w:ascii="宋体" w:hAnsi="宋体" w:eastAsia="宋体" w:cs="宋体"/>
          <w:color w:val="000000" w:themeColor="text1"/>
          <w:sz w:val="24"/>
          <w:szCs w:val="24"/>
          <w:highlight w:val="none"/>
        </w:rPr>
        <w:sectPr>
          <w:footerReference w:type="default" r:id="rId13"/>
          <w:footnotePr/>
          <w:endnotePr/>
          <w:type w:val="nextPage"/>
          <w:pgSz w:w="11907" w:h="16840" w:orient="portrait"/>
          <w:pgMar w:top="1440" w:right="1559" w:bottom="1440" w:left="1560" w:header="851" w:footer="851" w:gutter="0"/>
          <w:cols w:num="1" w:sep="0" w:space="1701" w:equalWidth="1"/>
          <w:docGrid w:linePitch="360"/>
        </w:sectPr>
      </w:pPr>
      <w:r>
        <w:rPr>
          <w:rFonts w:hint="eastAsia" w:ascii="宋体" w:hAnsi="宋体" w:eastAsia="宋体" w:cs="宋体"/>
          <w:color w:val="000000" w:themeColor="text1"/>
          <w:sz w:val="24"/>
          <w:szCs w:val="24"/>
          <w:highlight w:val="none"/>
        </w:rPr>
      </w:r>
      <w:r>
        <w:rPr>
          <w:color w:val="000000" w:themeColor="text1"/>
          <w:highlight w:val="none"/>
        </w:rPr>
      </w:r>
    </w:p>
    <w:p>
      <w:pPr>
        <w:pStyle w:val="919"/>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7</w:t>
      </w:r>
      <w:r>
        <w:rPr>
          <w:rFonts w:hint="eastAsia" w:ascii="宋体" w:hAnsi="宋体" w:eastAsia="宋体" w:cs="宋体"/>
          <w:b/>
          <w:color w:val="000000" w:themeColor="text1"/>
          <w:sz w:val="24"/>
          <w:szCs w:val="24"/>
          <w:highlight w:val="none"/>
        </w:rPr>
        <w:t xml:space="preserve">、承诺书</w:t>
      </w:r>
      <w:r>
        <w:rPr>
          <w:color w:val="000000" w:themeColor="text1"/>
          <w:highlight w:val="none"/>
        </w:rPr>
      </w:r>
    </w:p>
    <w:p>
      <w:pPr>
        <w:pStyle w:val="919"/>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致</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u w:val="single"/>
          <w:lang w:val="en-US" w:eastAsia="zh-CN"/>
        </w:rPr>
        <w:t xml:space="preserve">沛县园林服务中心、</w:t>
      </w:r>
      <w:r>
        <w:rPr>
          <w:rFonts w:hint="eastAsia" w:ascii="宋体" w:hAnsi="宋体" w:eastAsia="宋体" w:cs="宋体"/>
          <w:color w:val="000000" w:themeColor="text1"/>
          <w:sz w:val="24"/>
          <w:szCs w:val="24"/>
          <w:highlight w:val="none"/>
          <w:u w:val="single"/>
          <w:lang w:eastAsia="zh-CN"/>
        </w:rPr>
        <w:t xml:space="preserve">徐州博通工程咨询有限公司</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1136"/>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根据贵方《</w:t>
      </w:r>
      <w:r>
        <w:rPr>
          <w:rFonts w:hint="eastAsia" w:ascii="宋体" w:hAnsi="宋体" w:eastAsia="宋体" w:cs="宋体"/>
          <w:bCs/>
          <w:color w:val="000000" w:themeColor="text1"/>
          <w:sz w:val="24"/>
          <w:szCs w:val="24"/>
          <w:highlight w:val="none"/>
        </w:rPr>
        <w:t xml:space="preserve">磋商文件</w:t>
      </w:r>
      <w:r>
        <w:rPr>
          <w:rFonts w:hint="eastAsia" w:ascii="宋体" w:hAnsi="宋体" w:eastAsia="宋体" w:cs="宋体"/>
          <w:color w:val="000000" w:themeColor="text1"/>
          <w:sz w:val="24"/>
          <w:szCs w:val="24"/>
          <w:highlight w:val="none"/>
        </w:rPr>
        <w:t xml:space="preserve">》（项目编号：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）要求，本供应商正式提交以下首次响应文件。</w:t>
      </w:r>
      <w:r>
        <w:rPr>
          <w:color w:val="000000" w:themeColor="text1"/>
          <w:highlight w:val="none"/>
        </w:rPr>
      </w:r>
    </w:p>
    <w:p>
      <w:pPr>
        <w:pStyle w:val="1136"/>
        <w:ind w:firstLine="440"/>
        <w:jc w:val="both"/>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2" name="直接连接符 3"/>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000000" w:themeColor="text1"/>
          <w:sz w:val="24"/>
          <w:szCs w:val="24"/>
          <w:highlight w:val="none"/>
        </w:rPr>
        <w:t xml:space="preserve">（1）承诺书； </w:t>
      </w:r>
      <w:r>
        <w:rPr>
          <w:color w:val="000000" w:themeColor="text1"/>
          <w:highlight w:val="none"/>
        </w:rPr>
      </w:r>
    </w:p>
    <w:p>
      <w:pPr>
        <w:pStyle w:val="1136"/>
        <w:ind w:firstLine="440"/>
        <w:jc w:val="both"/>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（2）磋商报价表； </w:t>
      </w:r>
      <w:r>
        <w:rPr>
          <w:color w:val="000000" w:themeColor="text1"/>
          <w:highlight w:val="none"/>
        </w:rPr>
      </w:r>
    </w:p>
    <w:p>
      <w:pPr>
        <w:pStyle w:val="1136"/>
        <w:ind w:firstLine="440"/>
        <w:jc w:val="both"/>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（3）偏离表；</w:t>
      </w:r>
      <w:r>
        <w:rPr>
          <w:color w:val="000000" w:themeColor="text1"/>
          <w:highlight w:val="none"/>
        </w:rPr>
      </w:r>
    </w:p>
    <w:p>
      <w:pPr>
        <w:pStyle w:val="1136"/>
        <w:ind w:firstLine="440"/>
        <w:jc w:val="both"/>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（4）磋商</w:t>
      </w:r>
      <w:r>
        <w:rPr>
          <w:rFonts w:hint="eastAsia" w:ascii="宋体" w:hAnsi="宋体" w:eastAsia="宋体" w:cs="宋体"/>
          <w:bCs/>
          <w:color w:val="000000" w:themeColor="text1"/>
          <w:sz w:val="24"/>
          <w:szCs w:val="24"/>
          <w:highlight w:val="none"/>
        </w:rPr>
        <w:t xml:space="preserve">文件</w:t>
      </w:r>
      <w:r>
        <w:rPr>
          <w:rFonts w:hint="eastAsia" w:ascii="宋体" w:hAnsi="宋体" w:eastAsia="宋体" w:cs="宋体"/>
          <w:color w:val="000000" w:themeColor="text1"/>
          <w:sz w:val="24"/>
          <w:szCs w:val="24"/>
          <w:highlight w:val="none"/>
        </w:rPr>
        <w:t xml:space="preserve">要求提供的其他响应文件。</w:t>
      </w:r>
      <w:r>
        <w:rPr>
          <w:color w:val="000000" w:themeColor="text1"/>
          <w:highlight w:val="none"/>
        </w:rPr>
      </w:r>
    </w:p>
    <w:p>
      <w:pPr>
        <w:pStyle w:val="1136"/>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我单位符合《中华人民共和国政府采购法》第二十二条的规定，符合本项目供应商资格要求。</w:t>
      </w:r>
      <w:r>
        <w:rPr>
          <w:color w:val="000000" w:themeColor="text1"/>
          <w:highlight w:val="none"/>
        </w:rPr>
      </w:r>
    </w:p>
    <w:p>
      <w:pPr>
        <w:pStyle w:val="1136"/>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我单位按照磋商文件的要求编制响应文件，并对其提交的响应文件的真实性、合法性承担法律责任。</w:t>
      </w:r>
      <w:r>
        <w:rPr>
          <w:color w:val="000000" w:themeColor="text1"/>
          <w:highlight w:val="none"/>
        </w:rPr>
      </w:r>
    </w:p>
    <w:p>
      <w:pPr>
        <w:pStyle w:val="919"/>
        <w:ind w:right="29"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供应商兹宣布同意如下</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 </w:t>
      </w:r>
      <w:r>
        <w:rPr>
          <w:color w:val="000000" w:themeColor="text1"/>
          <w:highlight w:val="none"/>
        </w:rPr>
      </w:r>
    </w:p>
    <w:p>
      <w:pPr>
        <w:pStyle w:val="1136"/>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3"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1312;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4"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3" o:spid="_x0000_s13"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000000" w:themeColor="text1"/>
          <w:sz w:val="24"/>
          <w:szCs w:val="24"/>
          <w:highlight w:val="none"/>
        </w:rPr>
        <w:t xml:space="preserve">一、完全承担根据《磋商文件》规定完成合同的责任和义务（如有偏离，将全部填写在偏离表中）。</w:t>
      </w:r>
      <w:r>
        <w:rPr>
          <w:color w:val="000000" w:themeColor="text1"/>
          <w:highlight w:val="none"/>
        </w:rPr>
      </w:r>
    </w:p>
    <w:p>
      <w:pPr>
        <w:pStyle w:val="1136"/>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4" o:spid="_x0000_s14"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themeColor="text1"/>
          <w:sz w:val="24"/>
          <w:szCs w:val="24"/>
          <w:highlight w:val="none"/>
        </w:rPr>
        <w:t xml:space="preserve">二、保证所提供的响应文件及所有材料的真实、合法、有效，并对其负责。</w:t>
      </w:r>
      <w:r>
        <w:rPr>
          <w:color w:val="000000" w:themeColor="text1"/>
          <w:highlight w:val="none"/>
        </w:rPr>
      </w:r>
    </w:p>
    <w:p>
      <w:pPr>
        <w:pStyle w:val="919"/>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三、已详细审核竞争性磋商文件（含竞争性磋商文件的澄清或者修改），本供应商完全理解并同意放弃对这方面不明及误解的权利。</w:t>
      </w:r>
      <w:r>
        <w:rPr>
          <w:color w:val="000000" w:themeColor="text1"/>
          <w:highlight w:val="none"/>
        </w:rPr>
      </w:r>
    </w:p>
    <w:p>
      <w:pPr>
        <w:pStyle w:val="919"/>
        <w:ind w:right="29"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四、所供货物保证符合国家有关产品质量、性能和安全标准，无权利瑕疵。</w:t>
      </w:r>
      <w:r>
        <w:rPr>
          <w:color w:val="000000" w:themeColor="text1"/>
          <w:highlight w:val="none"/>
        </w:rPr>
      </w:r>
    </w:p>
    <w:p>
      <w:pPr>
        <w:pStyle w:val="919"/>
        <w:ind w:right="29"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五、报价有效期为</w:t>
      </w:r>
      <w:r>
        <w:rPr>
          <w:rFonts w:hint="eastAsia" w:ascii="宋体" w:hAnsi="宋体" w:eastAsia="宋体" w:cs="宋体"/>
          <w:color w:val="000000" w:themeColor="text1"/>
          <w:sz w:val="24"/>
          <w:szCs w:val="24"/>
          <w:highlight w:val="none"/>
          <w:lang w:val="en-US" w:eastAsia="zh-CN"/>
        </w:rPr>
        <w:t xml:space="preserve">45</w:t>
      </w:r>
      <w:r>
        <w:rPr>
          <w:rFonts w:hint="eastAsia" w:ascii="宋体" w:hAnsi="宋体" w:eastAsia="宋体" w:cs="宋体"/>
          <w:color w:val="000000" w:themeColor="text1"/>
          <w:sz w:val="24"/>
          <w:szCs w:val="24"/>
          <w:highlight w:val="none"/>
        </w:rPr>
        <w:t xml:space="preserve">日。</w:t>
      </w:r>
      <w:r>
        <w:rPr>
          <w:color w:val="000000" w:themeColor="text1"/>
          <w:highlight w:val="none"/>
        </w:rPr>
      </w:r>
    </w:p>
    <w:p>
      <w:pPr>
        <w:pStyle w:val="919"/>
        <w:ind w:right="29"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六、同意向贵方提供贵方可能要求的与本次磋商采购有关的任何证据或资料。</w:t>
      </w:r>
      <w:r>
        <w:rPr>
          <w:color w:val="000000" w:themeColor="text1"/>
          <w:highlight w:val="none"/>
        </w:rPr>
      </w:r>
    </w:p>
    <w:p>
      <w:pPr>
        <w:pStyle w:val="919"/>
        <w:ind w:right="29"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七、完全理解贵方不一定要接受最低的报价或收到的任何报价。</w:t>
      </w:r>
      <w:r>
        <w:rPr>
          <w:color w:val="000000" w:themeColor="text1"/>
          <w:highlight w:val="none"/>
        </w:rPr>
      </w:r>
    </w:p>
    <w:p>
      <w:pPr>
        <w:pStyle w:val="919"/>
        <w:ind w:right="29"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八、</w:t>
      </w:r>
      <w:r>
        <w:rPr>
          <w:rFonts w:hint="eastAsia" w:ascii="宋体" w:hAnsi="宋体" w:eastAsia="宋体" w:cs="宋体"/>
          <w:color w:val="000000" w:themeColor="text1"/>
          <w:sz w:val="24"/>
          <w:szCs w:val="24"/>
          <w:highlight w:val="none"/>
          <w:lang w:eastAsia="zh-CN"/>
        </w:rPr>
        <w:t xml:space="preserve">采购人</w:t>
      </w:r>
      <w:r>
        <w:rPr>
          <w:rFonts w:hint="eastAsia" w:ascii="宋体" w:hAnsi="宋体" w:eastAsia="宋体" w:cs="宋体"/>
          <w:color w:val="000000" w:themeColor="text1"/>
          <w:sz w:val="24"/>
          <w:szCs w:val="24"/>
          <w:highlight w:val="none"/>
        </w:rPr>
        <w:t xml:space="preserve">或采购代理机构有权将我单位本项目的《磋商报价表》和《分项价格表》予以公示，公示的方式由</w:t>
      </w:r>
      <w:r>
        <w:rPr>
          <w:rFonts w:hint="eastAsia" w:ascii="宋体" w:hAnsi="宋体" w:eastAsia="宋体" w:cs="宋体"/>
          <w:color w:val="000000" w:themeColor="text1"/>
          <w:sz w:val="24"/>
          <w:szCs w:val="24"/>
          <w:highlight w:val="none"/>
          <w:lang w:eastAsia="zh-CN"/>
        </w:rPr>
        <w:t xml:space="preserve">采购人</w:t>
      </w:r>
      <w:r>
        <w:rPr>
          <w:rFonts w:hint="eastAsia" w:ascii="宋体" w:hAnsi="宋体" w:eastAsia="宋体" w:cs="宋体"/>
          <w:color w:val="000000" w:themeColor="text1"/>
          <w:sz w:val="24"/>
          <w:szCs w:val="24"/>
          <w:highlight w:val="none"/>
        </w:rPr>
        <w:t xml:space="preserve">或采购代理机构确定。</w:t>
      </w:r>
      <w:r>
        <w:rPr>
          <w:color w:val="000000" w:themeColor="text1"/>
          <w:highlight w:val="none"/>
        </w:rPr>
      </w:r>
    </w:p>
    <w:p>
      <w:pPr>
        <w:pStyle w:val="919"/>
        <w:ind w:right="29" w:firstLine="480"/>
        <w:keepLines w:val="0"/>
        <w:keepNext w:val="0"/>
        <w:pageBreakBefore w:val="0"/>
        <w:spacing w:line="312" w:lineRule="auto"/>
        <w:widowControl w:val="off"/>
        <w:rPr>
          <w:rFonts w:hint="eastAsia"/>
          <w:color w:val="000000" w:themeColor="text1"/>
          <w:highlight w:val="none"/>
        </w:rPr>
      </w:pPr>
      <w:r>
        <w:rPr>
          <w:rFonts w:hint="eastAsia" w:ascii="宋体" w:hAnsi="宋体" w:eastAsia="宋体" w:cs="宋体"/>
          <w:color w:val="000000" w:themeColor="text1"/>
          <w:sz w:val="24"/>
          <w:szCs w:val="24"/>
          <w:highlight w:val="none"/>
        </w:rPr>
        <w:t xml:space="preserve">九、</w:t>
      </w:r>
      <w:r>
        <w:rPr>
          <w:rFonts w:hint="eastAsia" w:ascii="宋体" w:hAnsi="宋体" w:eastAsia="宋体" w:cs="宋体"/>
          <w:color w:val="000000" w:themeColor="text1"/>
          <w:sz w:val="24"/>
          <w:szCs w:val="24"/>
          <w:highlight w:val="none"/>
          <w:lang w:eastAsia="zh-CN"/>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19"/>
        <w:ind w:right="29" w:firstLine="480"/>
        <w:jc w:val="cente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       </w:t>
      </w:r>
      <w:r>
        <w:rPr>
          <w:color w:val="000000" w:themeColor="text1"/>
          <w:highlight w:val="none"/>
        </w:rPr>
      </w:r>
    </w:p>
    <w:p>
      <w:pPr>
        <w:pStyle w:val="919"/>
        <w:ind w:right="29" w:firstLine="480"/>
        <w:jc w:val="center"/>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供应商：</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（电子签章）</w:t>
      </w:r>
      <w:r>
        <w:rPr>
          <w:color w:val="000000" w:themeColor="text1"/>
          <w:highlight w:val="none"/>
        </w:rPr>
      </w:r>
    </w:p>
    <w:p>
      <w:pPr>
        <w:pStyle w:val="913"/>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919"/>
        <w:ind w:right="29" w:firstLine="4080"/>
        <w:jc w:val="both"/>
        <w:keepLines w:val="0"/>
        <w:keepNext w:val="0"/>
        <w:pageBreakBefore w:val="0"/>
        <w:spacing w:line="31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color w:val="000000" w:themeColor="text1"/>
          <w:highlight w:val="none"/>
        </w:rPr>
      </w:r>
    </w:p>
    <w:p>
      <w:pPr>
        <w:pStyle w:val="913"/>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919"/>
        <w:ind w:right="29" w:firstLine="480"/>
        <w:jc w:val="center"/>
        <w:keepLines w:val="0"/>
        <w:keepNext w:val="0"/>
        <w:pageBreakBefore w:val="0"/>
        <w:spacing w:line="312" w:lineRule="auto"/>
        <w:widowControl w:val="off"/>
        <w:rPr>
          <w:rFonts w:hint="eastAsia" w:ascii="宋体" w:hAnsi="宋体" w:eastAsia="宋体" w:cs="宋体"/>
          <w:color w:val="000000" w:themeColor="text1"/>
          <w:sz w:val="24"/>
          <w:szCs w:val="24"/>
          <w:highlight w:val="none"/>
        </w:rPr>
        <w:sectPr>
          <w:headerReference w:type="default" r:id="rId9"/>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日期：</w:t>
      </w:r>
      <w:r>
        <w:rPr>
          <w:rFonts w:hint="eastAsia" w:ascii="宋体" w:hAnsi="宋体" w:eastAsia="宋体" w:cs="宋体"/>
          <w:color w:val="000000" w:themeColor="text1"/>
          <w:sz w:val="24"/>
          <w:szCs w:val="24"/>
          <w:highlight w:val="none"/>
          <w:lang w:val="en-US" w:eastAsia="zh-CN"/>
        </w:rPr>
        <w:t xml:space="preserve">   年   月   日</w:t>
      </w:r>
      <w:r>
        <w:rPr>
          <w:color w:val="000000" w:themeColor="text1"/>
          <w:highlight w:val="none"/>
        </w:rPr>
      </w:r>
    </w:p>
    <w:p>
      <w:pPr>
        <w:pStyle w:val="919"/>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r>
      <w:r>
        <w:rPr>
          <w:color w:val="000000" w:themeColor="text1"/>
          <w:highlight w:val="none"/>
        </w:rPr>
      </w:r>
    </w:p>
    <w:p>
      <w:pPr>
        <w:pStyle w:val="919"/>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8</w:t>
      </w:r>
      <w:r>
        <w:rPr>
          <w:rFonts w:hint="eastAsia" w:ascii="宋体" w:hAnsi="宋体" w:eastAsia="宋体" w:cs="宋体"/>
          <w:b/>
          <w:color w:val="000000" w:themeColor="text1"/>
          <w:sz w:val="24"/>
          <w:szCs w:val="24"/>
          <w:highlight w:val="none"/>
        </w:rPr>
        <w:t xml:space="preserve">、授权委托书</w:t>
      </w:r>
      <w:r>
        <w:rPr>
          <w:color w:val="000000" w:themeColor="text1"/>
          <w:highlight w:val="none"/>
        </w:rPr>
      </w:r>
    </w:p>
    <w:p>
      <w:pPr>
        <w:pStyle w:val="919"/>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委托人（全称）：</w:t>
      </w:r>
      <w:r>
        <w:rPr>
          <w:color w:val="000000" w:themeColor="text1"/>
          <w:highlight w:val="none"/>
        </w:rPr>
      </w:r>
    </w:p>
    <w:p>
      <w:pPr>
        <w:pStyle w:val="919"/>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  址：</w:t>
      </w:r>
      <w:r>
        <w:rPr>
          <w:color w:val="000000" w:themeColor="text1"/>
          <w:highlight w:val="none"/>
        </w:rPr>
      </w:r>
    </w:p>
    <w:p>
      <w:pPr>
        <w:pStyle w:val="919"/>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              </w:t>
      </w:r>
      <w:r>
        <w:rPr>
          <w:color w:val="000000" w:themeColor="text1"/>
          <w:highlight w:val="none"/>
        </w:rPr>
      </w:r>
    </w:p>
    <w:p>
      <w:pPr>
        <w:pStyle w:val="919"/>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法人营业执照注册号（统一社会信用代码）：</w:t>
      </w:r>
      <w:r>
        <w:rPr>
          <w:color w:val="000000" w:themeColor="text1"/>
          <w:highlight w:val="none"/>
        </w:rPr>
      </w:r>
    </w:p>
    <w:p>
      <w:pPr>
        <w:pStyle w:val="919"/>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19"/>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受托人：                  先生（女士）</w:t>
      </w:r>
      <w:r>
        <w:rPr>
          <w:color w:val="000000" w:themeColor="text1"/>
          <w:highlight w:val="none"/>
        </w:rPr>
      </w:r>
    </w:p>
    <w:p>
      <w:pPr>
        <w:pStyle w:val="919"/>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身份证号：</w:t>
      </w:r>
      <w:r>
        <w:rPr>
          <w:color w:val="000000" w:themeColor="text1"/>
          <w:highlight w:val="none"/>
        </w:rPr>
      </w:r>
    </w:p>
    <w:p>
      <w:pPr>
        <w:pStyle w:val="919"/>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19"/>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19"/>
        <w:ind w:firstLine="63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兹委托（            ）全权代表我企业（公司）参与</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项目[项目编号：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]的磋商活动及签订合同。（         ）以我企业（公司）名义所为的行为及签署的文件，我企业（公司）均予以认可。有关法律责任均由我企业（公司）承担。（         ）无转委托权。委托期限自    年  月   日起至    年  月    日止。</w:t>
      </w:r>
      <w:r>
        <w:rPr>
          <w:color w:val="000000" w:themeColor="text1"/>
          <w:highlight w:val="none"/>
        </w:rPr>
      </w:r>
    </w:p>
    <w:p>
      <w:pPr>
        <w:pStyle w:val="919"/>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委托人（</w:t>
      </w:r>
      <w:r>
        <w:rPr>
          <w:rFonts w:hint="eastAsia" w:ascii="宋体" w:hAnsi="宋体" w:eastAsia="宋体" w:cs="宋体"/>
          <w:color w:val="000000" w:themeColor="text1"/>
          <w:sz w:val="24"/>
          <w:szCs w:val="24"/>
          <w:highlight w:val="none"/>
          <w:lang w:eastAsia="zh-CN"/>
        </w:rPr>
        <w:t xml:space="preserve">电子签章</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19"/>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法定代表人（负责人）（签字或盖章）：</w:t>
      </w:r>
      <w:r>
        <w:rPr>
          <w:color w:val="000000" w:themeColor="text1"/>
          <w:highlight w:val="none"/>
        </w:rPr>
      </w:r>
    </w:p>
    <w:p>
      <w:pPr>
        <w:pStyle w:val="919"/>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受托人（签字或盖章）：</w:t>
      </w:r>
      <w:r>
        <w:rPr>
          <w:color w:val="000000" w:themeColor="text1"/>
          <w:highlight w:val="none"/>
        </w:rPr>
      </w:r>
    </w:p>
    <w:p>
      <w:pPr>
        <w:pStyle w:val="919"/>
        <w:ind w:firstLine="4761"/>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年   月   日</w:t>
      </w:r>
      <w:r>
        <w:rPr>
          <w:color w:val="000000" w:themeColor="text1"/>
          <w:highlight w:val="none"/>
        </w:rPr>
      </w:r>
    </w:p>
    <w:p>
      <w:pPr>
        <w:pStyle w:val="919"/>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受托人身份证</w:t>
      </w:r>
      <w:r>
        <w:rPr>
          <w:rFonts w:hint="eastAsia" w:ascii="宋体" w:hAnsi="宋体" w:eastAsia="宋体" w:cs="宋体"/>
          <w:b/>
          <w:bCs/>
          <w:color w:val="000000" w:themeColor="text1"/>
          <w:sz w:val="24"/>
          <w:szCs w:val="24"/>
          <w:highlight w:val="none"/>
          <w:lang w:eastAsia="zh-CN"/>
        </w:rPr>
        <w:t xml:space="preserve">扫描件</w:t>
      </w:r>
      <w:r>
        <w:rPr>
          <w:rFonts w:hint="eastAsia" w:ascii="宋体" w:hAnsi="宋体" w:eastAsia="宋体" w:cs="宋体"/>
          <w:b/>
          <w:bCs/>
          <w:color w:val="000000" w:themeColor="text1"/>
          <w:sz w:val="24"/>
          <w:szCs w:val="24"/>
          <w:highlight w:val="none"/>
        </w:rPr>
        <w:t xml:space="preserve">附后</w:t>
      </w:r>
      <w:r>
        <w:rPr>
          <w:rFonts w:hint="eastAsia" w:ascii="宋体" w:hAnsi="宋体" w:eastAsia="宋体" w:cs="宋体"/>
          <w:b/>
          <w:bCs/>
          <w:color w:val="000000" w:themeColor="text1"/>
          <w:sz w:val="24"/>
          <w:szCs w:val="24"/>
          <w:highlight w:val="none"/>
          <w:lang w:eastAsia="zh-CN"/>
        </w:rPr>
        <w:t xml:space="preserve">）</w:t>
      </w:r>
      <w:r>
        <w:rPr>
          <w:color w:val="000000" w:themeColor="text1"/>
          <w:highlight w:val="none"/>
        </w:rPr>
      </w:r>
    </w:p>
    <w:p>
      <w:pPr>
        <w:pStyle w:val="919"/>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sectPr>
          <w:headerReference w:type="default" r:id="rId10"/>
          <w:footerReference w:type="default" r:id="rId15"/>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bCs/>
          <w:color w:val="000000" w:themeColor="text1"/>
          <w:sz w:val="24"/>
          <w:szCs w:val="24"/>
          <w:highlight w:val="none"/>
          <w:lang w:val="en-US" w:eastAsia="zh-CN"/>
        </w:rPr>
      </w:r>
      <w:r>
        <w:rPr>
          <w:color w:val="000000" w:themeColor="text1"/>
          <w:highlight w:val="none"/>
        </w:rPr>
      </w:r>
    </w:p>
    <w:p>
      <w:pPr>
        <w:pStyle w:val="919"/>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9</w:t>
      </w:r>
      <w:r>
        <w:rPr>
          <w:rFonts w:hint="eastAsia" w:ascii="宋体" w:hAnsi="宋体" w:eastAsia="宋体" w:cs="宋体"/>
          <w:b/>
          <w:color w:val="000000" w:themeColor="text1"/>
          <w:sz w:val="24"/>
          <w:szCs w:val="24"/>
          <w:highlight w:val="none"/>
        </w:rPr>
        <w:t xml:space="preserve">、中小企业声明函</w:t>
      </w:r>
      <w:r>
        <w:rPr>
          <w:color w:val="000000" w:themeColor="text1"/>
          <w:highlight w:val="none"/>
        </w:rPr>
      </w:r>
    </w:p>
    <w:p>
      <w:pPr>
        <w:pStyle w:val="919"/>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19"/>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项目名称：</w:t>
      </w:r>
      <w:r>
        <w:rPr>
          <w:rFonts w:hint="eastAsia" w:ascii="宋体" w:hAnsi="宋体" w:eastAsia="宋体" w:cs="宋体"/>
          <w:color w:val="000000" w:themeColor="text1"/>
          <w:sz w:val="24"/>
          <w:szCs w:val="24"/>
          <w:highlight w:val="none"/>
          <w:lang w:eastAsia="zh-CN"/>
        </w:rPr>
        <w:t xml:space="preserve">城区市政道路绿化及城市绿道建设(汉水路等)</w:t>
      </w:r>
      <w:r>
        <w:rPr>
          <w:color w:val="000000" w:themeColor="text1"/>
          <w:highlight w:val="none"/>
        </w:rPr>
      </w:r>
    </w:p>
    <w:p>
      <w:pPr>
        <w:pStyle w:val="919"/>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项目编号：</w:t>
      </w:r>
      <w:r>
        <w:rPr>
          <w:rFonts w:hint="eastAsia" w:ascii="宋体" w:hAnsi="宋体" w:eastAsia="宋体" w:cs="宋体"/>
          <w:color w:val="000000" w:themeColor="text1"/>
          <w:sz w:val="24"/>
          <w:szCs w:val="24"/>
          <w:highlight w:val="none"/>
          <w:lang w:eastAsia="zh-CN"/>
        </w:rPr>
        <w:t xml:space="preserve">JSZC-320322-BTXZ-C2026-0001</w:t>
      </w:r>
      <w:r>
        <w:rPr>
          <w:color w:val="000000" w:themeColor="text1"/>
          <w:highlight w:val="none"/>
        </w:rPr>
      </w:r>
    </w:p>
    <w:p>
      <w:pPr>
        <w:pStyle w:val="925"/>
        <w:ind w:right="55"/>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04"/>
        <w:ind w:firstLine="44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000000" w:themeColor="text1"/>
          <w:sz w:val="24"/>
          <w:szCs w:val="24"/>
          <w:highlight w:val="none"/>
          <w:u w:val="single"/>
        </w:rPr>
        <w:t xml:space="preserve">（单位名称）</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（项目名称）</w:t>
      </w:r>
      <w:r>
        <w:rPr>
          <w:rFonts w:hint="eastAsia" w:ascii="宋体" w:hAnsi="宋体" w:eastAsia="宋体" w:cs="宋体"/>
          <w:color w:val="000000" w:themeColor="text1"/>
          <w:sz w:val="24"/>
          <w:szCs w:val="24"/>
          <w:highlight w:val="none"/>
        </w:rPr>
        <w:t xml:space="preserve">采购活动，工程的施工单位全部由符合政策要求的中小企业承接。相关企业的具体情况如下：</w:t>
      </w:r>
      <w:r>
        <w:rPr>
          <w:color w:val="000000" w:themeColor="text1"/>
          <w:highlight w:val="none"/>
        </w:rPr>
      </w:r>
    </w:p>
    <w:p>
      <w:pPr>
        <w:pStyle w:val="904"/>
        <w:ind w:firstLine="440"/>
        <w:keepLines w:val="0"/>
        <w:keepNext w:val="0"/>
        <w:pageBreakBefore w:val="0"/>
        <w:spacing w:line="360" w:lineRule="auto"/>
        <w:widowControl w:val="off"/>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z w:val="24"/>
          <w:szCs w:val="24"/>
          <w:highlight w:val="none"/>
          <w:u w:val="single"/>
        </w:rPr>
        <w:t xml:space="preserve">（标的名称）</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w:t>
      </w:r>
      <w:bookmarkStart w:id="812" w:name="_Hlk105228467"/>
      <w:r>
        <w:rPr>
          <w:rFonts w:hint="eastAsia" w:ascii="宋体" w:hAnsi="宋体" w:eastAsia="宋体" w:cs="宋体"/>
          <w:color w:val="000000" w:themeColor="text1"/>
          <w:sz w:val="24"/>
          <w:szCs w:val="24"/>
          <w:highlight w:val="none"/>
          <w:u w:val="single"/>
        </w:rPr>
        <w:t xml:space="preserve">采购文件中明确的所属行业</w:t>
      </w:r>
      <w:bookmarkEnd w:id="812"/>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；承建（承接）企业为</w:t>
      </w:r>
      <w:r>
        <w:rPr>
          <w:rFonts w:hint="eastAsia" w:ascii="宋体" w:hAnsi="宋体" w:eastAsia="宋体" w:cs="宋体"/>
          <w:color w:val="000000" w:themeColor="text1"/>
          <w:sz w:val="24"/>
          <w:szCs w:val="24"/>
          <w:highlight w:val="none"/>
          <w:u w:val="single"/>
        </w:rPr>
        <w:t xml:space="preserve">（企业名称）</w:t>
      </w:r>
      <w:r>
        <w:rPr>
          <w:rFonts w:hint="eastAsia" w:ascii="宋体" w:hAnsi="宋体" w:eastAsia="宋体" w:cs="宋体"/>
          <w:color w:val="000000" w:themeColor="text1"/>
          <w:sz w:val="24"/>
          <w:szCs w:val="24"/>
          <w:highlight w:val="none"/>
        </w:rPr>
        <w:t xml:space="preserve">，从业人员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人，营业收入为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万元，资产总额为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万元，属于</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（中型企业、小型企业、微型企业</w:t>
      </w:r>
      <w:r>
        <w:rPr>
          <w:rFonts w:hint="eastAsia" w:ascii="宋体" w:hAnsi="宋体" w:eastAsia="宋体" w:cs="宋体"/>
          <w:b/>
          <w:color w:val="000000" w:themeColor="text1"/>
          <w:sz w:val="24"/>
          <w:szCs w:val="24"/>
          <w:highlight w:val="none"/>
          <w:u w:val="single"/>
        </w:rPr>
        <w:t xml:space="preserve">，请填空！必须填写！</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4"/>
        <w:ind w:firstLine="442"/>
        <w:keepLines w:val="0"/>
        <w:keepNext w:val="0"/>
        <w:pageBreakBefore w:val="0"/>
        <w:spacing w:line="360" w:lineRule="auto"/>
        <w:widowControl w:val="off"/>
        <w:rPr>
          <w:rFonts w:hint="eastAsia" w:ascii="宋体" w:hAnsi="宋体" w:eastAsia="宋体" w:cs="宋体"/>
          <w:b/>
          <w:color w:val="000000" w:themeColor="text1"/>
          <w:spacing w:val="6"/>
          <w:sz w:val="24"/>
          <w:szCs w:val="24"/>
          <w:highlight w:val="none"/>
        </w:rPr>
      </w:pPr>
      <w:r>
        <w:rPr>
          <w:rFonts w:hint="eastAsia" w:ascii="宋体" w:hAnsi="宋体" w:eastAsia="宋体" w:cs="宋体"/>
          <w:b/>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highlight w:val="none"/>
        </w:rPr>
      </w:r>
    </w:p>
    <w:p>
      <w:pPr>
        <w:pStyle w:val="904"/>
        <w:ind w:firstLine="44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本企业对上述声明内容的真实性负责。如有虚假，将依法承担相应责任。</w:t>
      </w:r>
      <w:r>
        <w:rPr>
          <w:color w:val="000000" w:themeColor="text1"/>
          <w:highlight w:val="none"/>
        </w:rPr>
      </w:r>
    </w:p>
    <w:p>
      <w:pPr>
        <w:pStyle w:val="919"/>
        <w:jc w:val="righ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1083"/>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19"/>
        <w:ind w:firstLine="48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 供应商：</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（电子签章） </w:t>
      </w:r>
      <w:r>
        <w:rPr>
          <w:color w:val="000000" w:themeColor="text1"/>
          <w:highlight w:val="none"/>
        </w:rPr>
      </w:r>
    </w:p>
    <w:p>
      <w:pPr>
        <w:pStyle w:val="919"/>
        <w:ind w:firstLine="48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19"/>
        <w:ind w:right="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日    期：</w:t>
      </w:r>
      <w:r>
        <w:rPr>
          <w:rFonts w:hint="eastAsia" w:ascii="宋体" w:hAnsi="宋体" w:eastAsia="宋体" w:cs="宋体"/>
          <w:color w:val="000000" w:themeColor="text1"/>
          <w:sz w:val="24"/>
          <w:szCs w:val="24"/>
          <w:highlight w:val="none"/>
          <w:lang w:val="en-US" w:eastAsia="zh-CN"/>
        </w:rPr>
        <w:t xml:space="preserve">  年    月 日</w:t>
      </w:r>
      <w:r>
        <w:rPr>
          <w:color w:val="000000" w:themeColor="text1"/>
          <w:highlight w:val="none"/>
        </w:rPr>
      </w:r>
    </w:p>
    <w:p>
      <w:pPr>
        <w:pStyle w:val="919"/>
        <w:ind w:right="0"/>
        <w:jc w:val="both"/>
        <w:keepLines w:val="0"/>
        <w:keepNext w:val="0"/>
        <w:pageBreakBefore w:val="0"/>
        <w:spacing w:before="0" w:after="0" w:line="360" w:lineRule="auto"/>
        <w:widowControl w:val="off"/>
        <w:rPr>
          <w:rFonts w:hint="eastAsia" w:ascii="宋体" w:hAnsi="宋体" w:eastAsia="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r>
      <w:r>
        <w:rPr>
          <w:color w:val="000000" w:themeColor="text1"/>
          <w:highlight w:val="none"/>
        </w:rPr>
      </w:r>
    </w:p>
    <w:p>
      <w:pPr>
        <w:pStyle w:val="919"/>
        <w:ind w:left="0" w:right="0" w:firstLine="482"/>
        <w:jc w:val="both"/>
        <w:keepLines w:val="0"/>
        <w:keepNext w:val="0"/>
        <w:pageBreakBefore w:val="0"/>
        <w:spacing w:before="0" w:after="0" w:line="360" w:lineRule="auto"/>
        <w:widowControl w:val="off"/>
        <w:rPr>
          <w:rFonts w:hint="eastAsia" w:ascii="宋体" w:hAnsi="宋体" w:eastAsia="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r>
      <w:r>
        <w:rPr>
          <w:color w:val="000000" w:themeColor="text1"/>
          <w:highlight w:val="none"/>
        </w:rP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注：本项目采购项目属性为：建筑业。</w:t>
      </w:r>
      <w:r>
        <w:rPr>
          <w:color w:val="000000" w:themeColor="text1"/>
          <w:highlight w:val="none"/>
        </w:rP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备注：从业人员、营业收入、资产总额填报上一年度数据，无上一年度数据的新成立企业可不填报。</w:t>
      </w:r>
      <w:r>
        <w:rPr>
          <w:color w:val="000000" w:themeColor="text1"/>
          <w:highlight w:val="none"/>
        </w:rPr>
      </w:r>
    </w:p>
    <w:p>
      <w:p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p>
    <w:p>
      <w:pPr>
        <w:pStyle w:val="1125"/>
        <w:keepLines w:val="0"/>
        <w:keepNext w:val="0"/>
        <w:pageBreakBefore w:val="0"/>
        <w:spacing w:line="360" w:lineRule="auto"/>
        <w:widowControl w:val="off"/>
        <w:rPr>
          <w:rFonts w:hint="eastAsia" w:ascii="宋体" w:hAnsi="宋体" w:eastAsia="宋体" w:cs="宋体"/>
          <w:color w:val="000000" w:themeColor="text1"/>
          <w:spacing w:val="8"/>
          <w:sz w:val="24"/>
          <w:szCs w:val="24"/>
          <w:highlight w:val="none"/>
        </w:rPr>
      </w:pPr>
      <w:r>
        <w:rPr>
          <w:rFonts w:hint="eastAsia" w:ascii="宋体" w:hAnsi="宋体" w:eastAsia="宋体" w:cs="宋体"/>
          <w:b/>
          <w:bCs/>
          <w:color w:val="000000" w:themeColor="text1"/>
          <w:sz w:val="24"/>
          <w:szCs w:val="24"/>
          <w:highlight w:val="none"/>
        </w:rPr>
        <w:t xml:space="preserve">“中小企业声明涵” 查询渠道用微信搜索“中小企业规模类型自测小程序”。</w:t>
      </w:r>
      <w:r>
        <w:rPr>
          <w:color w:val="000000" w:themeColor="text1"/>
          <w:highlight w:val="none"/>
        </w:rPr>
      </w:r>
    </w:p>
    <w:p>
      <w:pPr>
        <w:pStyle w:val="1125"/>
        <w:ind w:firstLine="56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pacing w:val="8"/>
          <w:sz w:val="24"/>
          <w:szCs w:val="24"/>
          <w:highlight w:val="none"/>
        </w:rPr>
        <w:t xml:space="preserve">如有疑问，可与市工信局中小企业综合协调处咨询联系。联系电话：0516-83861958</w:t>
      </w:r>
      <w:r>
        <w:rPr>
          <w:color w:val="000000" w:themeColor="text1"/>
          <w:highlight w:val="none"/>
        </w:rPr>
      </w:r>
    </w:p>
    <w:p>
      <w:p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br w:type="page" w:clear="all"/>
      </w:r>
      <w:r>
        <w:rPr>
          <w:color w:val="000000" w:themeColor="text1"/>
          <w:highlight w:val="none"/>
        </w:rPr>
      </w:r>
    </w:p>
    <w:p>
      <w:pPr>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10</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color w:val="000000" w:themeColor="text1"/>
          <w:sz w:val="24"/>
          <w:szCs w:val="24"/>
          <w:highlight w:val="none"/>
        </w:rPr>
        <w:t xml:space="preserve">供应商参加政府采购活动前3年内在经营活动中</w:t>
      </w:r>
      <w:r>
        <w:rPr>
          <w:color w:val="000000" w:themeColor="text1"/>
          <w:highlight w:val="none"/>
        </w:rPr>
      </w:r>
    </w:p>
    <w:p>
      <w:pPr>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没有重大违法记录的书面声明</w:t>
      </w:r>
      <w:r>
        <w:rPr>
          <w:color w:val="000000" w:themeColor="text1"/>
          <w:highlight w:val="none"/>
        </w:rP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ind w:firstLine="720"/>
        <w:keepLines w:val="0"/>
        <w:keepNext w:val="0"/>
        <w:pageBreakBefore w:val="0"/>
        <w:spacing w:before="100" w:beforeAutospacing="1" w:after="100" w:afterAutospacing="1"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我单位在参加</w:t>
      </w:r>
      <w:r>
        <w:rPr>
          <w:rFonts w:hint="eastAsia" w:ascii="宋体" w:hAnsi="宋体" w:eastAsia="宋体" w:cs="宋体"/>
          <w:color w:val="000000" w:themeColor="text1"/>
          <w:sz w:val="24"/>
          <w:szCs w:val="24"/>
          <w:highlight w:val="none"/>
          <w:u w:val="single"/>
        </w:rPr>
        <w:t xml:space="preserve">               项目</w:t>
      </w:r>
      <w:r>
        <w:rPr>
          <w:rFonts w:hint="eastAsia" w:ascii="宋体" w:hAnsi="宋体" w:eastAsia="宋体" w:cs="宋体"/>
          <w:color w:val="000000" w:themeColor="text1"/>
          <w:sz w:val="24"/>
          <w:szCs w:val="24"/>
          <w:highlight w:val="none"/>
        </w:rPr>
        <w:t xml:space="preserve">（项目编号：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highlight w:val="none"/>
        </w:rPr>
      </w:r>
    </w:p>
    <w:p>
      <w:pPr>
        <w:ind w:firstLine="720"/>
        <w:keepLines w:val="0"/>
        <w:keepNext w:val="0"/>
        <w:pageBreakBefore w:val="0"/>
        <w:spacing w:before="100" w:beforeAutospacing="1" w:after="100" w:afterAutospacing="1"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我单位对上述声明的真实性负责。如有虚假，将依法承担相应责任。</w:t>
      </w:r>
      <w:r>
        <w:rPr>
          <w:color w:val="000000" w:themeColor="text1"/>
          <w:highlight w:val="none"/>
        </w:rPr>
      </w:r>
    </w:p>
    <w:p>
      <w:pPr>
        <w:ind w:right="29"/>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p>
    <w:p>
      <w:pPr>
        <w:pStyle w:val="919"/>
        <w:ind w:firstLine="48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 供应商：</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（电子签章） </w:t>
      </w:r>
      <w:r>
        <w:rPr>
          <w:color w:val="000000" w:themeColor="text1"/>
          <w:highlight w:val="none"/>
        </w:rPr>
      </w:r>
    </w:p>
    <w:p>
      <w:pPr>
        <w:pStyle w:val="919"/>
        <w:ind w:firstLine="48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19"/>
        <w:ind w:right="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日    期：</w:t>
      </w:r>
      <w:r>
        <w:rPr>
          <w:rFonts w:hint="eastAsia" w:ascii="宋体" w:hAnsi="宋体" w:eastAsia="宋体" w:cs="宋体"/>
          <w:color w:val="000000" w:themeColor="text1"/>
          <w:sz w:val="24"/>
          <w:szCs w:val="24"/>
          <w:highlight w:val="none"/>
          <w:lang w:val="en-US" w:eastAsia="zh-CN"/>
        </w:rPr>
        <w:t xml:space="preserve">  年    月 日</w:t>
      </w:r>
      <w:r>
        <w:rPr>
          <w:color w:val="000000" w:themeColor="text1"/>
          <w:highlight w:val="none"/>
        </w:rPr>
      </w:r>
    </w:p>
    <w:p>
      <w:pPr>
        <w:pStyle w:val="10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br w:type="page" w:clear="all"/>
      </w:r>
      <w:r>
        <w:rPr>
          <w:color w:val="000000" w:themeColor="text1"/>
          <w:highlight w:val="none"/>
        </w:rPr>
      </w:r>
    </w:p>
    <w:p>
      <w:pPr>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11</w:t>
      </w:r>
      <w:r>
        <w:rPr>
          <w:rFonts w:hint="eastAsia" w:ascii="宋体" w:hAnsi="宋体" w:eastAsia="宋体" w:cs="宋体"/>
          <w:b/>
          <w:color w:val="000000" w:themeColor="text1"/>
          <w:sz w:val="24"/>
          <w:szCs w:val="24"/>
          <w:highlight w:val="none"/>
        </w:rPr>
        <w:t xml:space="preserve">、具备履行合同所必需的设备和专业技术能力的</w:t>
      </w:r>
      <w:r>
        <w:rPr>
          <w:color w:val="000000" w:themeColor="text1"/>
          <w:highlight w:val="none"/>
        </w:rPr>
      </w:r>
    </w:p>
    <w:p>
      <w:pPr>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书面声明</w:t>
      </w:r>
      <w:r>
        <w:rPr>
          <w:color w:val="000000" w:themeColor="text1"/>
          <w:highlight w:val="none"/>
        </w:rPr>
      </w:r>
    </w:p>
    <w:p>
      <w:pPr>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（附证明材料原件扫描件）</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项目编号：</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项目名称：</w:t>
      </w:r>
      <w:r>
        <w:rPr>
          <w:color w:val="000000" w:themeColor="text1"/>
          <w:highlight w:val="none"/>
        </w:rP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供应商郑重声明：供应商具备履行合同（项目名称：</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），项目编号：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）所必需的设备和专业技术能力，具体为：</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设备：</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 </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（证明材料扫描件附后）</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 </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（证明材料扫描件附后）</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 </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（证明材料扫描件附后）</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专业技术能力：</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 </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（证明材料扫描件附后）</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 </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（证明材料扫描件附后）</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 </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（证明材料扫描件附后）</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特此声明。</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供应商对上述声明的真实性负责。如有虚假，将依法承担相应责任。</w:t>
      </w:r>
      <w:r>
        <w:rPr>
          <w:color w:val="000000" w:themeColor="text1"/>
          <w:highlight w:val="none"/>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ind w:firstLine="360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（电子签章）</w:t>
      </w:r>
      <w:r>
        <w:rPr>
          <w:color w:val="000000" w:themeColor="text1"/>
          <w:highlight w:val="none"/>
        </w:rPr>
      </w:r>
    </w:p>
    <w:p>
      <w:pPr>
        <w:ind w:firstLine="3600"/>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rPr>
          <w:color w:val="000000" w:themeColor="text1"/>
          <w:highlight w:val="none"/>
        </w:rPr>
      </w:r>
    </w:p>
    <w:p>
      <w:pPr>
        <w:jc w:val="center"/>
        <w:keepLines w:val="0"/>
        <w:keepNext w:val="0"/>
        <w:pageBreakBefore w:val="0"/>
        <w:spacing w:line="360" w:lineRule="auto"/>
        <w:widowControl w:val="off"/>
        <w:rPr>
          <w:rFonts w:hint="eastAsia" w:ascii="宋体" w:hAnsi="宋体" w:eastAsia="宋体" w:cs="宋体"/>
          <w:b/>
          <w:color w:val="000000" w:themeColor="text1"/>
          <w:spacing w:val="6"/>
          <w:sz w:val="24"/>
          <w:szCs w:val="24"/>
          <w:highlight w:val="none"/>
        </w:rPr>
      </w:pPr>
      <w:r>
        <w:rPr>
          <w:rFonts w:hint="eastAsia" w:ascii="宋体" w:hAnsi="宋体" w:eastAsia="宋体" w:cs="宋体"/>
          <w:b/>
          <w:color w:val="000000" w:themeColor="text1"/>
          <w:sz w:val="24"/>
          <w:szCs w:val="24"/>
          <w:highlight w:val="none"/>
          <w:lang w:val="en-US" w:eastAsia="zh-CN"/>
        </w:rPr>
        <w:br w:type="page" w:clear="all"/>
      </w:r>
      <w:r>
        <w:rPr>
          <w:rFonts w:hint="eastAsia" w:ascii="宋体" w:hAnsi="宋体" w:eastAsia="宋体" w:cs="宋体"/>
          <w:b/>
          <w:color w:val="000000" w:themeColor="text1"/>
          <w:sz w:val="24"/>
          <w:szCs w:val="24"/>
          <w:highlight w:val="none"/>
          <w:lang w:val="en-US" w:eastAsia="zh-CN"/>
        </w:rPr>
        <w:t xml:space="preserve">12</w:t>
      </w:r>
      <w:r>
        <w:rPr>
          <w:rFonts w:hint="eastAsia" w:ascii="宋体" w:hAnsi="宋体" w:eastAsia="宋体" w:cs="宋体"/>
          <w:b/>
          <w:color w:val="000000" w:themeColor="text1"/>
          <w:sz w:val="24"/>
          <w:szCs w:val="24"/>
          <w:highlight w:val="none"/>
        </w:rPr>
        <w:t xml:space="preserve">、</w:t>
      </w:r>
      <w:r>
        <w:rPr>
          <w:rFonts w:hint="eastAsia" w:ascii="宋体" w:hAnsi="宋体" w:eastAsia="宋体" w:cs="宋体"/>
          <w:b/>
          <w:color w:val="000000" w:themeColor="text1"/>
          <w:spacing w:val="6"/>
          <w:sz w:val="24"/>
          <w:szCs w:val="24"/>
          <w:highlight w:val="none"/>
        </w:rPr>
        <w:t xml:space="preserve">残疾人福利性单位声明函</w:t>
      </w:r>
      <w:r>
        <w:rPr>
          <w:color w:val="000000" w:themeColor="text1"/>
          <w:highlight w:val="none"/>
        </w:rPr>
      </w:r>
    </w:p>
    <w:p>
      <w:pPr>
        <w:pStyle w:val="919"/>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p>
    <w:p>
      <w:pPr>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（注：如供应商不属于残疾人福利性单位，不需提供此声明函）</w:t>
      </w:r>
      <w:r>
        <w:rPr>
          <w:color w:val="000000" w:themeColor="text1"/>
          <w:highlight w:val="none"/>
        </w:rPr>
      </w:r>
    </w:p>
    <w:p>
      <w:pPr>
        <w:pStyle w:val="919"/>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项目编号：</w:t>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本单位对上述声明的真实性负责。如有虚假，将依法承担相应责任。</w:t>
      </w:r>
      <w:r>
        <w:rPr>
          <w:color w:val="000000" w:themeColor="text1"/>
          <w:highlight w:val="none"/>
        </w:rPr>
      </w:r>
    </w:p>
    <w:p>
      <w:pPr>
        <w:pStyle w:val="919"/>
        <w:ind w:right="1560" w:firstLine="480"/>
        <w:jc w:val="center"/>
        <w:keepLines w:val="0"/>
        <w:keepNext w:val="0"/>
        <w:pageBreakBefore w:val="0"/>
        <w:spacing w:line="360" w:lineRule="auto"/>
        <w:widowControl w:val="off"/>
        <w:tabs>
          <w:tab w:val="left" w:pos="48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p>
    <w:p>
      <w:pPr>
        <w:ind w:firstLine="360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（电子签章）</w:t>
      </w:r>
      <w:r>
        <w:rPr>
          <w:color w:val="000000" w:themeColor="text1"/>
          <w:highlight w:val="none"/>
        </w:rPr>
      </w:r>
    </w:p>
    <w:p>
      <w:pPr>
        <w:ind w:firstLine="3600"/>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说明：</w:t>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成交供应商为残疾人福利性单位的，采购人或者其委托的采购代理机构应当随成交结果同时公告其《残疾人福利性单位声明函》，接受社会监督。</w:t>
      </w:r>
      <w:r>
        <w:rPr>
          <w:color w:val="000000" w:themeColor="text1"/>
          <w:highlight w:val="none"/>
        </w:rPr>
      </w:r>
    </w:p>
    <w:p>
      <w:pPr>
        <w:pStyle w:val="91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供应商提供的《残疾人福利性单位声明函》与事实不符的，依照《</w:t>
      </w:r>
      <w:r>
        <w:rPr>
          <w:rFonts w:hint="eastAsia" w:ascii="宋体" w:hAnsi="宋体" w:eastAsia="宋体" w:cs="宋体"/>
          <w:color w:val="000000" w:themeColor="text1"/>
          <w:sz w:val="24"/>
          <w:szCs w:val="24"/>
          <w:highlight w:val="none"/>
          <w:lang w:eastAsia="zh-CN"/>
        </w:rPr>
        <w:t xml:space="preserve">中华人民共和国政府采购法</w:t>
      </w:r>
      <w:r>
        <w:rPr>
          <w:rFonts w:hint="eastAsia" w:ascii="宋体" w:hAnsi="宋体" w:eastAsia="宋体" w:cs="宋体"/>
          <w:color w:val="000000" w:themeColor="text1"/>
          <w:sz w:val="24"/>
          <w:szCs w:val="24"/>
          <w:highlight w:val="none"/>
        </w:rPr>
        <w:t xml:space="preserve">》第七十七条第一款的规定追究法律责任。</w:t>
      </w:r>
      <w:r>
        <w:rPr>
          <w:color w:val="000000" w:themeColor="text1"/>
          <w:highlight w:val="none"/>
        </w:rPr>
      </w:r>
    </w:p>
    <w:p>
      <w:pPr>
        <w:pStyle w:val="1125"/>
        <w:ind w:firstLine="562"/>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bCs/>
          <w:color w:val="000000" w:themeColor="text1"/>
          <w:sz w:val="24"/>
          <w:szCs w:val="24"/>
          <w:highlight w:val="none"/>
        </w:rPr>
      </w:r>
      <w:r>
        <w:rPr>
          <w:color w:val="000000" w:themeColor="text1"/>
          <w:highlight w:val="none"/>
        </w:rPr>
      </w:r>
    </w:p>
    <w:p>
      <w:pPr>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13</w:t>
      </w:r>
      <w:r>
        <w:rPr>
          <w:rFonts w:hint="eastAsia" w:ascii="宋体" w:hAnsi="宋体" w:eastAsia="宋体" w:cs="宋体"/>
          <w:b/>
          <w:color w:val="000000" w:themeColor="text1"/>
          <w:sz w:val="24"/>
          <w:szCs w:val="24"/>
          <w:highlight w:val="none"/>
        </w:rPr>
        <w:t xml:space="preserve">、预付款保函支付条款模板</w:t>
      </w:r>
      <w:r>
        <w:rPr>
          <w:color w:val="000000" w:themeColor="text1"/>
          <w:highlight w:val="none"/>
        </w:rPr>
      </w:r>
    </w:p>
    <w:p>
      <w:pPr>
        <w:pStyle w:val="903"/>
        <w:ind w:firstLine="605"/>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符合条件一：提交预付款保函的</w:t>
      </w:r>
      <w:r>
        <w:rPr>
          <w:color w:val="000000" w:themeColor="text1"/>
          <w:highlight w:val="none"/>
        </w:rPr>
      </w:r>
    </w:p>
    <w:p>
      <w:pPr>
        <w:pStyle w:val="903"/>
        <w:ind w:firstLine="602"/>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（1）合同签订且乙方向甲方出具预付款保函后</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个工作日内，甲方应支付合同价款的百分之</w:t>
      </w:r>
      <w:r>
        <w:rPr>
          <w:rFonts w:hint="eastAsia" w:ascii="宋体" w:hAnsi="宋体" w:eastAsia="宋体" w:cs="宋体"/>
          <w:color w:val="000000" w:themeColor="text1"/>
          <w:sz w:val="24"/>
          <w:szCs w:val="24"/>
          <w:highlight w:val="none"/>
          <w:u w:val="single"/>
        </w:rPr>
        <w:t xml:space="preserve">    XX（  XX%），</w:t>
      </w:r>
      <w:r>
        <w:rPr>
          <w:rFonts w:hint="eastAsia" w:ascii="宋体" w:hAnsi="宋体" w:eastAsia="宋体" w:cs="宋体"/>
          <w:color w:val="000000" w:themeColor="text1"/>
          <w:sz w:val="24"/>
          <w:szCs w:val="24"/>
          <w:highlight w:val="none"/>
        </w:rPr>
        <w:t xml:space="preserve">小写￥</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大写：人民币</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3"/>
        <w:ind w:left="140" w:firstLine="60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乙方需提交的支付文件：乙方出具的全额正式发票。</w:t>
      </w:r>
      <w:r>
        <w:rPr>
          <w:color w:val="000000" w:themeColor="text1"/>
          <w:highlight w:val="none"/>
        </w:rPr>
      </w:r>
    </w:p>
    <w:p>
      <w:pPr>
        <w:pStyle w:val="903"/>
        <w:ind w:left="140" w:firstLine="60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（2）验收合格后</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个工作日内，甲方应支付合同价款的百分之</w:t>
      </w:r>
      <w:r>
        <w:rPr>
          <w:rFonts w:hint="eastAsia" w:ascii="宋体" w:hAnsi="宋体" w:eastAsia="宋体" w:cs="宋体"/>
          <w:color w:val="000000" w:themeColor="text1"/>
          <w:sz w:val="24"/>
          <w:szCs w:val="24"/>
          <w:highlight w:val="none"/>
          <w:u w:val="single"/>
        </w:rPr>
        <w:t xml:space="preserve">XX（    XX%），</w:t>
      </w:r>
      <w:r>
        <w:rPr>
          <w:rFonts w:hint="eastAsia" w:ascii="宋体" w:hAnsi="宋体" w:eastAsia="宋体" w:cs="宋体"/>
          <w:color w:val="000000" w:themeColor="text1"/>
          <w:sz w:val="24"/>
          <w:szCs w:val="24"/>
          <w:highlight w:val="none"/>
        </w:rPr>
        <w:t xml:space="preserve">小写￥</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大写：人民币</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3"/>
        <w:ind w:firstLine="605"/>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w:t>
      </w:r>
      <w:r>
        <w:rPr>
          <w:color w:val="000000" w:themeColor="text1"/>
          <w:highlight w:val="none"/>
        </w:rPr>
      </w:r>
    </w:p>
    <w:p>
      <w:pPr>
        <w:pStyle w:val="903"/>
        <w:ind w:firstLine="605"/>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符合条件二：不提交预付款保函的</w:t>
      </w:r>
      <w:r>
        <w:rPr>
          <w:color w:val="000000" w:themeColor="text1"/>
          <w:highlight w:val="none"/>
        </w:rPr>
      </w:r>
    </w:p>
    <w:p>
      <w:pPr>
        <w:pStyle w:val="903"/>
        <w:ind w:firstLine="602"/>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（1）合同签订后</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个工作日内，甲方应支付合同价款的百分之</w:t>
      </w:r>
      <w:r>
        <w:rPr>
          <w:rFonts w:hint="eastAsia" w:ascii="宋体" w:hAnsi="宋体" w:eastAsia="宋体" w:cs="宋体"/>
          <w:color w:val="000000" w:themeColor="text1"/>
          <w:sz w:val="24"/>
          <w:szCs w:val="24"/>
          <w:highlight w:val="none"/>
          <w:u w:val="single"/>
        </w:rPr>
        <w:t xml:space="preserve">XX（  XX%），</w:t>
      </w:r>
      <w:r>
        <w:rPr>
          <w:rFonts w:hint="eastAsia" w:ascii="宋体" w:hAnsi="宋体" w:eastAsia="宋体" w:cs="宋体"/>
          <w:color w:val="000000" w:themeColor="text1"/>
          <w:sz w:val="24"/>
          <w:szCs w:val="24"/>
          <w:highlight w:val="none"/>
        </w:rPr>
        <w:t xml:space="preserve">小写￥</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大写：人民币</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3"/>
        <w:ind w:left="140" w:firstLine="60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乙方需提交的支付文件：乙方出具的全额正式发票。</w:t>
      </w:r>
      <w:r>
        <w:rPr>
          <w:color w:val="000000" w:themeColor="text1"/>
          <w:highlight w:val="none"/>
        </w:rPr>
      </w:r>
    </w:p>
    <w:p>
      <w:pPr>
        <w:pStyle w:val="903"/>
        <w:ind w:left="140" w:firstLine="60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（2）验收合格后</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个工作日内，甲方应支付合同价款的百分之</w:t>
      </w:r>
      <w:r>
        <w:rPr>
          <w:rFonts w:hint="eastAsia" w:ascii="宋体" w:hAnsi="宋体" w:eastAsia="宋体" w:cs="宋体"/>
          <w:color w:val="000000" w:themeColor="text1"/>
          <w:sz w:val="24"/>
          <w:szCs w:val="24"/>
          <w:highlight w:val="none"/>
          <w:u w:val="single"/>
        </w:rPr>
        <w:t xml:space="preserve">XX（    XX%），</w:t>
      </w:r>
      <w:r>
        <w:rPr>
          <w:rFonts w:hint="eastAsia" w:ascii="宋体" w:hAnsi="宋体" w:eastAsia="宋体" w:cs="宋体"/>
          <w:color w:val="000000" w:themeColor="text1"/>
          <w:sz w:val="24"/>
          <w:szCs w:val="24"/>
          <w:highlight w:val="none"/>
        </w:rPr>
        <w:t xml:space="preserve">小写￥</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大写：人民币</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p>
    <w:p>
      <w:pPr>
        <w:pStyle w:val="903"/>
        <w:ind w:firstLine="605"/>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w:t>
      </w:r>
      <w:r>
        <w:rPr>
          <w:color w:val="000000" w:themeColor="text1"/>
          <w:highlight w:val="none"/>
        </w:rPr>
      </w:r>
    </w:p>
    <w:p>
      <w:pPr>
        <w:pStyle w:val="903"/>
        <w:ind w:left="140" w:firstLine="605"/>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注</w:t>
      </w:r>
      <w:r>
        <w:rPr>
          <w:rFonts w:hint="eastAsia" w:ascii="宋体" w:hAnsi="宋体" w:eastAsia="宋体" w:cs="宋体"/>
          <w:b/>
          <w:color w:val="000000" w:themeColor="text1"/>
          <w:sz w:val="24"/>
          <w:szCs w:val="24"/>
          <w:highlight w:val="none"/>
          <w:lang w:eastAsia="zh-CN"/>
        </w:rPr>
        <w:t xml:space="preserve">：</w:t>
      </w:r>
      <w:r>
        <w:rPr>
          <w:color w:val="000000" w:themeColor="text1"/>
          <w:highlight w:val="none"/>
        </w:rPr>
      </w:r>
    </w:p>
    <w:p>
      <w:pPr>
        <w:pStyle w:val="903"/>
        <w:ind w:left="140" w:firstLine="60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1、付款条件一中，出具预付款保函后支付的合同款应当与保函金额一致。</w:t>
      </w:r>
      <w:r>
        <w:rPr>
          <w:color w:val="000000" w:themeColor="text1"/>
          <w:highlight w:val="none"/>
        </w:rPr>
      </w:r>
    </w:p>
    <w:p>
      <w:pPr>
        <w:pStyle w:val="903"/>
        <w:ind w:left="140" w:firstLine="60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2、付款条件二中，预付款比例设定应符合《关于做好政府采购支持企业发展有关事项的通知》</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苏财购〔2020〕52号</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要求。</w:t>
      </w:r>
      <w:r>
        <w:rPr>
          <w:color w:val="000000" w:themeColor="text1"/>
          <w:highlight w:val="none"/>
        </w:rPr>
      </w:r>
    </w:p>
    <w:p>
      <w:pPr>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br w:type="page" w:clear="all"/>
      </w:r>
      <w:r>
        <w:rPr>
          <w:color w:val="000000" w:themeColor="text1"/>
          <w:highlight w:val="none"/>
        </w:rPr>
      </w:r>
    </w:p>
    <w:p>
      <w:pPr>
        <w:pStyle w:val="921"/>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14、</w:t>
      </w:r>
      <w:r>
        <w:rPr>
          <w:rFonts w:hint="eastAsia" w:ascii="宋体" w:hAnsi="宋体" w:eastAsia="宋体" w:cs="宋体"/>
          <w:b/>
          <w:color w:val="000000" w:themeColor="text1"/>
          <w:sz w:val="24"/>
          <w:szCs w:val="24"/>
          <w:highlight w:val="none"/>
        </w:rPr>
        <w:t xml:space="preserve">代理服务收费标准</w:t>
      </w:r>
      <w:r>
        <w:rPr>
          <w:color w:val="000000" w:themeColor="text1"/>
          <w:highlight w:val="none"/>
        </w:rPr>
      </w:r>
    </w:p>
    <w:tbl>
      <w:tblPr>
        <w:tblStyle w:val="868"/>
        <w:tblpPr w:horzAnchor="page" w:tblpX="1915" w:vertAnchor="text" w:tblpY="320" w:leftFromText="180" w:topFromText="0" w:rightFromText="180" w:bottomFromText="0"/>
        <w:tblW w:w="8077" w:type="dxa"/>
        <w:tblInd w:w="0"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9"/>
        <w:gridCol w:w="1283"/>
        <w:gridCol w:w="1225"/>
        <w:gridCol w:w="1274"/>
        <w:gridCol w:w="1916"/>
      </w:tblGrid>
      <w:tr>
        <w:trPr>
          <w:trHeight w:val="806"/>
        </w:trPr>
        <w:tc>
          <w:tcPr>
            <w:tcBorders>
              <w:top w:val="single" w:color="auto" w:sz="4" w:space="0"/>
            </w:tcBorders>
            <w:tcW w:w="237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成交</w:t>
            </w:r>
            <w:r>
              <w:rPr>
                <w:rFonts w:hint="eastAsia" w:ascii="宋体" w:hAnsi="宋体" w:eastAsia="宋体" w:cs="宋体"/>
                <w:color w:val="000000" w:themeColor="text1"/>
                <w:sz w:val="24"/>
                <w:szCs w:val="24"/>
                <w:highlight w:val="none"/>
              </w:rPr>
              <w:t xml:space="preserve">金额</w:t>
            </w:r>
            <w:r>
              <w:rPr>
                <w:color w:val="000000" w:themeColor="text1"/>
                <w:highlight w:val="none"/>
              </w:rPr>
            </w:r>
          </w:p>
        </w:tc>
        <w:tc>
          <w:tcPr>
            <w:tcBorders>
              <w:top w:val="single" w:color="auto" w:sz="4" w:space="0"/>
            </w:tcBorders>
            <w:tcW w:w="1283"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货物</w:t>
            </w:r>
            <w:r>
              <w:rPr>
                <w:color w:val="000000" w:themeColor="text1"/>
                <w:highlight w:val="none"/>
              </w:rPr>
            </w:r>
          </w:p>
        </w:tc>
        <w:tc>
          <w:tcPr>
            <w:tcBorders>
              <w:top w:val="single" w:color="auto" w:sz="4" w:space="0"/>
            </w:tcBorders>
            <w:tcW w:w="1225"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w:t>
            </w:r>
            <w:r>
              <w:rPr>
                <w:color w:val="000000" w:themeColor="text1"/>
                <w:highlight w:val="none"/>
              </w:rPr>
            </w:r>
          </w:p>
        </w:tc>
        <w:tc>
          <w:tcPr>
            <w:tcBorders>
              <w:top w:val="single" w:color="auto" w:sz="4" w:space="0"/>
            </w:tcBorders>
            <w:tcW w:w="12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w:t>
            </w:r>
            <w:r>
              <w:rPr>
                <w:color w:val="000000" w:themeColor="text1"/>
                <w:highlight w:val="none"/>
              </w:rPr>
            </w:r>
          </w:p>
        </w:tc>
        <w:tc>
          <w:tcPr>
            <w:tcBorders>
              <w:top w:val="single" w:color="auto" w:sz="4" w:space="0"/>
            </w:tcBorders>
            <w:tcW w:w="1916"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收费上</w:t>
            </w:r>
            <w:r>
              <w:rPr>
                <w:rFonts w:hint="eastAsia" w:ascii="宋体" w:hAnsi="宋体" w:eastAsia="宋体" w:cs="宋体"/>
                <w:color w:val="000000" w:themeColor="text1"/>
                <w:sz w:val="24"/>
                <w:szCs w:val="24"/>
                <w:highlight w:val="none"/>
                <w:lang w:eastAsia="zh-CN"/>
              </w:rPr>
              <w:t xml:space="preserve">下</w:t>
            </w:r>
            <w:r>
              <w:rPr>
                <w:rFonts w:hint="eastAsia" w:ascii="宋体" w:hAnsi="宋体" w:eastAsia="宋体" w:cs="宋体"/>
                <w:color w:val="000000" w:themeColor="text1"/>
                <w:sz w:val="24"/>
                <w:szCs w:val="24"/>
                <w:highlight w:val="none"/>
              </w:rPr>
              <w:t xml:space="preserve">限</w:t>
            </w:r>
            <w:r>
              <w:rPr>
                <w:color w:val="000000" w:themeColor="text1"/>
                <w:highlight w:val="none"/>
              </w:rPr>
            </w:r>
          </w:p>
        </w:tc>
      </w:tr>
      <w:tr>
        <w:trPr>
          <w:trHeight w:val="356"/>
        </w:trPr>
        <w:tc>
          <w:tcPr>
            <w:tcW w:w="237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100万以下</w:t>
            </w:r>
            <w:r>
              <w:rPr>
                <w:color w:val="000000" w:themeColor="text1"/>
                <w:highlight w:val="none"/>
              </w:rPr>
            </w:r>
          </w:p>
        </w:tc>
        <w:tc>
          <w:tcPr>
            <w:tcW w:w="1283"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1.50%</w:t>
            </w:r>
            <w:r>
              <w:rPr>
                <w:color w:val="000000" w:themeColor="text1"/>
                <w:highlight w:val="none"/>
              </w:rPr>
            </w:r>
          </w:p>
        </w:tc>
        <w:tc>
          <w:tcPr>
            <w:tcW w:w="1225"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1.50%</w:t>
            </w:r>
            <w:r>
              <w:rPr>
                <w:color w:val="000000" w:themeColor="text1"/>
                <w:highlight w:val="none"/>
              </w:rPr>
            </w:r>
          </w:p>
        </w:tc>
        <w:tc>
          <w:tcPr>
            <w:tcW w:w="12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w:t>
            </w:r>
            <w:r>
              <w:rPr>
                <w:color w:val="000000" w:themeColor="text1"/>
                <w:highlight w:val="none"/>
              </w:rPr>
            </w:r>
          </w:p>
        </w:tc>
        <w:tc>
          <w:tcPr>
            <w:tcW w:w="1916" w:type="dxa"/>
            <w:vAlign w:val="center"/>
            <w:vMerge w:val="restart"/>
            <w:textDirection w:val="lrTb"/>
            <w:noWrap w:val="false"/>
          </w:tcPr>
          <w:p>
            <w:pP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最低5千元</w:t>
            </w:r>
            <w:r>
              <w:rPr>
                <w:color w:val="000000" w:themeColor="text1"/>
                <w:highlight w:val="none"/>
              </w:rPr>
            </w:r>
          </w:p>
          <w:p>
            <w:pP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最高15万元</w:t>
            </w:r>
            <w:r>
              <w:rPr>
                <w:color w:val="000000" w:themeColor="text1"/>
                <w:highlight w:val="none"/>
              </w:rPr>
            </w:r>
          </w:p>
          <w:p>
            <w:pPr>
              <w:ind w:firstLine="240"/>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tc>
      </w:tr>
      <w:tr>
        <w:trPr>
          <w:trHeight w:val="356"/>
        </w:trPr>
        <w:tc>
          <w:tcPr>
            <w:tcW w:w="237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100万~500万</w:t>
            </w:r>
            <w:r>
              <w:rPr>
                <w:color w:val="000000" w:themeColor="text1"/>
                <w:highlight w:val="none"/>
              </w:rPr>
            </w:r>
          </w:p>
        </w:tc>
        <w:tc>
          <w:tcPr>
            <w:tcW w:w="1283"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1.10%</w:t>
            </w:r>
            <w:r>
              <w:rPr>
                <w:color w:val="000000" w:themeColor="text1"/>
                <w:highlight w:val="none"/>
              </w:rPr>
            </w:r>
          </w:p>
        </w:tc>
        <w:tc>
          <w:tcPr>
            <w:tcW w:w="1225"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0.80%</w:t>
            </w:r>
            <w:r>
              <w:rPr>
                <w:color w:val="000000" w:themeColor="text1"/>
                <w:highlight w:val="none"/>
              </w:rPr>
            </w:r>
          </w:p>
        </w:tc>
        <w:tc>
          <w:tcPr>
            <w:tcW w:w="12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0.70%</w:t>
            </w:r>
            <w:r>
              <w:rPr>
                <w:color w:val="000000" w:themeColor="text1"/>
                <w:highlight w:val="none"/>
              </w:rPr>
            </w:r>
          </w:p>
        </w:tc>
        <w:tc>
          <w:tcPr>
            <w:tcW w:w="1916"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56"/>
        </w:trPr>
        <w:tc>
          <w:tcPr>
            <w:tcW w:w="237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500万~1000万</w:t>
            </w:r>
            <w:r>
              <w:rPr>
                <w:color w:val="000000" w:themeColor="text1"/>
                <w:highlight w:val="none"/>
              </w:rPr>
            </w:r>
          </w:p>
        </w:tc>
        <w:tc>
          <w:tcPr>
            <w:tcW w:w="1283"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0.80%</w:t>
            </w:r>
            <w:r>
              <w:rPr>
                <w:color w:val="000000" w:themeColor="text1"/>
                <w:highlight w:val="none"/>
              </w:rPr>
            </w:r>
          </w:p>
        </w:tc>
        <w:tc>
          <w:tcPr>
            <w:tcW w:w="1225"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0.45%</w:t>
            </w:r>
            <w:r>
              <w:rPr>
                <w:color w:val="000000" w:themeColor="text1"/>
                <w:highlight w:val="none"/>
              </w:rPr>
            </w:r>
          </w:p>
        </w:tc>
        <w:tc>
          <w:tcPr>
            <w:tcW w:w="12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0.55%</w:t>
            </w:r>
            <w:r>
              <w:rPr>
                <w:color w:val="000000" w:themeColor="text1"/>
                <w:highlight w:val="none"/>
              </w:rPr>
            </w:r>
          </w:p>
        </w:tc>
        <w:tc>
          <w:tcPr>
            <w:tcW w:w="1916"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43"/>
        </w:trPr>
        <w:tc>
          <w:tcPr>
            <w:tcW w:w="237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l000万~5000万</w:t>
            </w:r>
            <w:r>
              <w:rPr>
                <w:color w:val="000000" w:themeColor="text1"/>
                <w:highlight w:val="none"/>
              </w:rPr>
            </w:r>
          </w:p>
        </w:tc>
        <w:tc>
          <w:tcPr>
            <w:tcW w:w="1283"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0.50%</w:t>
            </w:r>
            <w:r>
              <w:rPr>
                <w:color w:val="000000" w:themeColor="text1"/>
                <w:highlight w:val="none"/>
              </w:rPr>
            </w:r>
          </w:p>
        </w:tc>
        <w:tc>
          <w:tcPr>
            <w:tcW w:w="1225"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0.25%</w:t>
            </w:r>
            <w:r>
              <w:rPr>
                <w:color w:val="000000" w:themeColor="text1"/>
                <w:highlight w:val="none"/>
              </w:rPr>
            </w:r>
          </w:p>
        </w:tc>
        <w:tc>
          <w:tcPr>
            <w:tcW w:w="12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0.35%</w:t>
            </w:r>
            <w:r>
              <w:rPr>
                <w:color w:val="000000" w:themeColor="text1"/>
                <w:highlight w:val="none"/>
              </w:rPr>
            </w:r>
          </w:p>
        </w:tc>
        <w:tc>
          <w:tcPr>
            <w:tcW w:w="1916"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43"/>
        </w:trPr>
        <w:tc>
          <w:tcPr>
            <w:tcW w:w="237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5000万~l亿</w:t>
            </w:r>
            <w:r>
              <w:rPr>
                <w:color w:val="000000" w:themeColor="text1"/>
                <w:highlight w:val="none"/>
              </w:rPr>
            </w:r>
          </w:p>
        </w:tc>
        <w:tc>
          <w:tcPr>
            <w:tcW w:w="1283"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0.25%</w:t>
            </w:r>
            <w:r>
              <w:rPr>
                <w:color w:val="000000" w:themeColor="text1"/>
                <w:highlight w:val="none"/>
              </w:rPr>
            </w:r>
          </w:p>
        </w:tc>
        <w:tc>
          <w:tcPr>
            <w:tcW w:w="1225"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0.10%</w:t>
            </w:r>
            <w:r>
              <w:rPr>
                <w:color w:val="000000" w:themeColor="text1"/>
                <w:highlight w:val="none"/>
              </w:rPr>
            </w:r>
          </w:p>
        </w:tc>
        <w:tc>
          <w:tcPr>
            <w:tcW w:w="12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0.20%</w:t>
            </w:r>
            <w:r>
              <w:rPr>
                <w:color w:val="000000" w:themeColor="text1"/>
                <w:highlight w:val="none"/>
              </w:rPr>
            </w:r>
          </w:p>
        </w:tc>
        <w:tc>
          <w:tcPr>
            <w:tcW w:w="1916"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43"/>
        </w:trPr>
        <w:tc>
          <w:tcPr>
            <w:tcW w:w="237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1亿~5亿</w:t>
            </w:r>
            <w:r>
              <w:rPr>
                <w:color w:val="000000" w:themeColor="text1"/>
                <w:highlight w:val="none"/>
              </w:rPr>
            </w:r>
          </w:p>
        </w:tc>
        <w:tc>
          <w:tcPr>
            <w:tcW w:w="1283"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0.05%</w:t>
            </w:r>
            <w:r>
              <w:rPr>
                <w:color w:val="000000" w:themeColor="text1"/>
                <w:highlight w:val="none"/>
              </w:rPr>
            </w:r>
          </w:p>
        </w:tc>
        <w:tc>
          <w:tcPr>
            <w:tcW w:w="1225"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0.05%</w:t>
            </w:r>
            <w:r>
              <w:rPr>
                <w:color w:val="000000" w:themeColor="text1"/>
                <w:highlight w:val="none"/>
              </w:rPr>
            </w:r>
          </w:p>
        </w:tc>
        <w:tc>
          <w:tcPr>
            <w:tcW w:w="12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0.05%</w:t>
            </w:r>
            <w:r>
              <w:rPr>
                <w:color w:val="000000" w:themeColor="text1"/>
                <w:highlight w:val="none"/>
              </w:rPr>
            </w:r>
          </w:p>
        </w:tc>
        <w:tc>
          <w:tcPr>
            <w:tcW w:w="1916"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43"/>
        </w:trPr>
        <w:tc>
          <w:tcPr>
            <w:tcW w:w="237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5亿~10亿</w:t>
            </w:r>
            <w:r>
              <w:rPr>
                <w:color w:val="000000" w:themeColor="text1"/>
                <w:highlight w:val="none"/>
              </w:rPr>
            </w:r>
          </w:p>
        </w:tc>
        <w:tc>
          <w:tcPr>
            <w:tcW w:w="1283"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0.035%</w:t>
            </w:r>
            <w:r>
              <w:rPr>
                <w:color w:val="000000" w:themeColor="text1"/>
                <w:highlight w:val="none"/>
              </w:rPr>
            </w:r>
          </w:p>
        </w:tc>
        <w:tc>
          <w:tcPr>
            <w:tcW w:w="1225"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0.035%</w:t>
            </w:r>
            <w:r>
              <w:rPr>
                <w:color w:val="000000" w:themeColor="text1"/>
                <w:highlight w:val="none"/>
              </w:rPr>
            </w:r>
          </w:p>
        </w:tc>
        <w:tc>
          <w:tcPr>
            <w:tcW w:w="12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0.035%</w:t>
            </w:r>
            <w:r>
              <w:rPr>
                <w:color w:val="000000" w:themeColor="text1"/>
                <w:highlight w:val="none"/>
              </w:rPr>
            </w:r>
          </w:p>
        </w:tc>
        <w:tc>
          <w:tcPr>
            <w:tcW w:w="1916"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43"/>
        </w:trPr>
        <w:tc>
          <w:tcPr>
            <w:tcW w:w="237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10亿~50亿</w:t>
            </w:r>
            <w:r>
              <w:rPr>
                <w:color w:val="000000" w:themeColor="text1"/>
                <w:highlight w:val="none"/>
              </w:rPr>
            </w:r>
          </w:p>
        </w:tc>
        <w:tc>
          <w:tcPr>
            <w:tcW w:w="1283"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0.008%</w:t>
            </w:r>
            <w:r>
              <w:rPr>
                <w:color w:val="000000" w:themeColor="text1"/>
                <w:highlight w:val="none"/>
              </w:rPr>
            </w:r>
          </w:p>
        </w:tc>
        <w:tc>
          <w:tcPr>
            <w:tcW w:w="1225"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0.008%</w:t>
            </w:r>
            <w:r>
              <w:rPr>
                <w:color w:val="000000" w:themeColor="text1"/>
                <w:highlight w:val="none"/>
              </w:rPr>
            </w:r>
          </w:p>
        </w:tc>
        <w:tc>
          <w:tcPr>
            <w:tcW w:w="12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0.008%</w:t>
            </w:r>
            <w:r>
              <w:rPr>
                <w:color w:val="000000" w:themeColor="text1"/>
                <w:highlight w:val="none"/>
              </w:rPr>
            </w:r>
          </w:p>
        </w:tc>
        <w:tc>
          <w:tcPr>
            <w:tcW w:w="1916"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54"/>
        </w:trPr>
        <w:tc>
          <w:tcPr>
            <w:tcW w:w="237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50亿</w:t>
            </w:r>
            <w:r>
              <w:rPr>
                <w:rFonts w:hint="eastAsia" w:ascii="宋体" w:hAnsi="宋体" w:eastAsia="宋体" w:cs="宋体"/>
                <w:color w:val="000000" w:themeColor="text1"/>
                <w:sz w:val="24"/>
                <w:szCs w:val="24"/>
                <w:highlight w:val="none"/>
                <w:lang w:eastAsia="zh-CN"/>
              </w:rPr>
              <w:t xml:space="preserve">以上</w:t>
            </w:r>
            <w:r>
              <w:rPr>
                <w:color w:val="000000" w:themeColor="text1"/>
                <w:highlight w:val="none"/>
              </w:rPr>
            </w:r>
          </w:p>
        </w:tc>
        <w:tc>
          <w:tcPr>
            <w:tcW w:w="1283"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0.006%</w:t>
            </w:r>
            <w:r>
              <w:rPr>
                <w:color w:val="000000" w:themeColor="text1"/>
                <w:highlight w:val="none"/>
              </w:rPr>
            </w:r>
          </w:p>
        </w:tc>
        <w:tc>
          <w:tcPr>
            <w:tcW w:w="1225"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0.006%</w:t>
            </w:r>
            <w:r>
              <w:rPr>
                <w:color w:val="000000" w:themeColor="text1"/>
                <w:highlight w:val="none"/>
              </w:rPr>
            </w:r>
          </w:p>
        </w:tc>
        <w:tc>
          <w:tcPr>
            <w:tcW w:w="12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0.006%</w:t>
            </w:r>
            <w:r>
              <w:rPr>
                <w:color w:val="000000" w:themeColor="text1"/>
                <w:highlight w:val="none"/>
              </w:rPr>
            </w:r>
          </w:p>
        </w:tc>
        <w:tc>
          <w:tcPr>
            <w:tcW w:w="1916"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63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r>
      <w:r>
        <w:rPr>
          <w:color w:val="000000" w:themeColor="text1"/>
          <w:highlight w:val="none"/>
        </w:rPr>
      </w:r>
    </w:p>
    <w:p>
      <w:pPr>
        <w:ind w:firstLine="63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r>
      <w:r>
        <w:rPr>
          <w:color w:val="000000" w:themeColor="text1"/>
          <w:highlight w:val="none"/>
        </w:rPr>
      </w:r>
    </w:p>
    <w:p>
      <w:pPr>
        <w:ind w:firstLine="63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r>
      <w:r>
        <w:rPr>
          <w:color w:val="000000" w:themeColor="text1"/>
          <w:highlight w:val="none"/>
        </w:rPr>
      </w:r>
    </w:p>
    <w:p>
      <w:pPr>
        <w:ind w:firstLine="63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r>
      <w:r>
        <w:rPr>
          <w:color w:val="000000" w:themeColor="text1"/>
          <w:highlight w:val="none"/>
        </w:rPr>
      </w:r>
    </w:p>
    <w:p>
      <w:pPr>
        <w:ind w:firstLine="63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r>
      <w:r>
        <w:rPr>
          <w:color w:val="000000" w:themeColor="text1"/>
          <w:highlight w:val="none"/>
        </w:rPr>
      </w:r>
    </w:p>
    <w:p>
      <w:pPr>
        <w:ind w:firstLine="63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r>
      <w:r>
        <w:rPr>
          <w:color w:val="000000" w:themeColor="text1"/>
          <w:highlight w:val="none"/>
        </w:rPr>
      </w:r>
    </w:p>
    <w:p>
      <w:pPr>
        <w:ind w:firstLine="63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r>
      <w:r>
        <w:rPr>
          <w:color w:val="000000" w:themeColor="text1"/>
          <w:highlight w:val="none"/>
        </w:rPr>
      </w:r>
    </w:p>
    <w:p>
      <w:pPr>
        <w:ind w:firstLine="63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r>
      <w:r>
        <w:rPr>
          <w:color w:val="000000" w:themeColor="text1"/>
          <w:highlight w:val="none"/>
        </w:rPr>
      </w:r>
    </w:p>
    <w:p>
      <w:pPr>
        <w:ind w:firstLine="63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r>
      <w:r>
        <w:rPr>
          <w:color w:val="000000" w:themeColor="text1"/>
          <w:highlight w:val="none"/>
        </w:rPr>
      </w:r>
    </w:p>
    <w:p>
      <w:pPr>
        <w:ind w:firstLine="63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r>
      <w:r>
        <w:rPr>
          <w:color w:val="000000" w:themeColor="text1"/>
          <w:highlight w:val="none"/>
        </w:rPr>
      </w:r>
    </w:p>
    <w:p>
      <w:pPr>
        <w:ind w:firstLine="63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r>
      <w:r>
        <w:rPr>
          <w:color w:val="000000" w:themeColor="text1"/>
          <w:highlight w:val="none"/>
        </w:rPr>
      </w:r>
    </w:p>
    <w:p>
      <w:pPr>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r>
      <w:r>
        <w:rPr>
          <w:color w:val="000000" w:themeColor="text1"/>
          <w:highlight w:val="none"/>
        </w:rPr>
      </w:r>
    </w:p>
    <w:p>
      <w:pPr>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说明：</w:t>
      </w:r>
      <w:r>
        <w:rPr>
          <w:color w:val="000000" w:themeColor="text1"/>
          <w:highlight w:val="none"/>
        </w:rPr>
      </w:r>
    </w:p>
    <w:p>
      <w:pPr>
        <w:ind w:firstLine="581"/>
        <w:spacing w:after="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1.按上表计算的收费为代理服务全过程的收费金额。各社会代理机构不再收取采购文件制作售卖费用。</w:t>
      </w:r>
      <w:r>
        <w:rPr>
          <w:color w:val="000000" w:themeColor="text1"/>
          <w:highlight w:val="none"/>
        </w:rPr>
      </w:r>
    </w:p>
    <w:p>
      <w:pPr>
        <w:ind w:firstLine="540"/>
        <w:spacing w:after="0" w:line="360" w:lineRule="auto"/>
        <w:tabs>
          <w:tab w:val="left" w:pos="84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2.代理服务费按差额定率累进法计算。</w:t>
      </w:r>
      <w:r>
        <w:rPr>
          <w:color w:val="000000" w:themeColor="text1"/>
          <w:highlight w:val="none"/>
        </w:rPr>
      </w:r>
    </w:p>
    <w:p>
      <w:pPr>
        <w:ind w:left="70" w:firstLine="480"/>
        <w:spacing w:after="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3.代理服务费基准金额（按差额定率累进法计算的）=成交金额（按差额定率累进法计算的） * 费率（%）</w:t>
      </w:r>
      <w:r>
        <w:rPr>
          <w:color w:val="000000" w:themeColor="text1"/>
          <w:highlight w:val="none"/>
        </w:rPr>
      </w:r>
    </w:p>
    <w:p>
      <w:pPr>
        <w:ind w:left="70" w:firstLine="480"/>
        <w:spacing w:after="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4.代理服务费应收取金额=代理服务费基准金额（按差额定率累进法计算的）的合计数。</w:t>
      </w:r>
      <w:r>
        <w:rPr>
          <w:color w:val="000000" w:themeColor="text1"/>
          <w:highlight w:val="none"/>
        </w:rPr>
      </w:r>
    </w:p>
    <w:p>
      <w:pPr>
        <w:ind w:left="-1" w:firstLine="480"/>
        <w:spacing w:after="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5.计算出的代理服务费应收取金额如低于5千元，按5千元收取；如高于15万元，按15万元收取。</w:t>
      </w:r>
      <w:r>
        <w:rPr>
          <w:color w:val="000000" w:themeColor="text1"/>
          <w:highlight w:val="none"/>
        </w:rPr>
      </w:r>
    </w:p>
    <w:p>
      <w:pPr>
        <w:ind w:firstLine="540"/>
        <w:spacing w:after="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6.定点类等无金额或事先不能计算出价格总额的项目，按成交（成交）金额100万元计算服务费。</w:t>
      </w:r>
      <w:r>
        <w:rPr>
          <w:color w:val="000000" w:themeColor="text1"/>
          <w:highlight w:val="none"/>
        </w:rPr>
      </w:r>
    </w:p>
    <w:p>
      <w:pPr>
        <w:ind w:left="-1" w:firstLine="480"/>
        <w:spacing w:after="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7.多个采购包（标段）项目按总项目成交（成交）金额收费，最高不超过15万元。</w:t>
      </w:r>
      <w:r>
        <w:rPr>
          <w:color w:val="000000" w:themeColor="text1"/>
          <w:highlight w:val="none"/>
        </w:rPr>
      </w:r>
    </w:p>
    <w:p>
      <w:pPr>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highlight w:val="none"/>
        </w:rP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Tahoma">
    <w:panose1 w:val="020B0604030504040204"/>
  </w:font>
  <w:font w:name="Wingdings">
    <w:panose1 w:val="05000000000000000000"/>
  </w:font>
  <w:font w:name="全真中明體">
    <w:panose1 w:val="020B0503020202020204"/>
  </w:font>
  <w:font w:name="Arial Black">
    <w:panose1 w:val="020B0A04020102020204"/>
  </w:font>
  <w:font w:name="Arial Rounded MT Bold">
    <w:panose1 w:val="020F0704030504030204"/>
  </w:font>
  <w:font w:name="MingLiU">
    <w:panose1 w:val="02020500000000000000"/>
  </w:font>
  <w:font w:name="PMingLiU">
    <w:panose1 w:val="02020500000000000000"/>
  </w:font>
  <w:font w:name="Symbol">
    <w:panose1 w:val="05050102010706020507"/>
  </w:font>
  <w:font w:name="新宋体">
    <w:panose1 w:val="02010609030101010101"/>
  </w:font>
  <w:font w:name="楷体_GB2312">
    <w:panose1 w:val="02010609060101010101"/>
  </w:font>
  <w:font w:name="方正仿宋_GBK">
    <w:panose1 w:val="020B0503020202020204"/>
  </w:font>
  <w:font w:name="Futura Bk">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方正楷体_GBK">
    <w:panose1 w:val="020B0503020202020204"/>
  </w:font>
  <w:font w:name="仿宋">
    <w:panose1 w:val="02010609060101010101"/>
  </w:font>
  <w:font w:name="微软雅黑">
    <w:panose1 w:val="020B0503020204020204"/>
  </w:font>
  <w:font w:name="Calibri">
    <w:panose1 w:val="020F0502020204030204"/>
  </w:font>
  <w:font w:name="Courier New">
    <w:panose1 w:val="02070309020205020404"/>
  </w:font>
  <w:font w:name="金山简黑体">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11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rPr>
        <w:rFonts w:ascii="宋体"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906"/>
                          </w:pPr>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90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rPr>
        <w:rFonts w:ascii="宋体"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906"/>
                          </w:pPr>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90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6"/>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6"/>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ind w:firstLine="480"/>
      <w:jc w:val="center"/>
      <w:spacing w:line="400" w:lineRule="exact"/>
      <w:rPr>
        <w:i/>
        <w:iCs/>
        <w:sz w:val="18"/>
        <w:u w:val="single"/>
      </w:rPr>
    </w:pPr>
    <w:r>
      <w:rPr>
        <w:i/>
        <w:iCs/>
        <w:sz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ind w:firstLine="480"/>
      <w:jc w:val="center"/>
      <w:spacing w:line="400" w:lineRule="exact"/>
      <w:rPr>
        <w:i/>
        <w:iCs/>
        <w:sz w:val="18"/>
        <w:u w:val="single"/>
      </w:rPr>
    </w:pPr>
    <w:r>
      <w:rPr>
        <w:i/>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43"/>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64"/>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1571" w:hanging="851"/>
        <w:tabs>
          <w:tab w:val="left" w:pos="157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9"/>
      </w:pPr>
    </w:lvl>
    <w:lvl w:ilvl="1">
      <w:start w:val="1"/>
      <w:numFmt w:val="bullet"/>
      <w:isLgl w:val="false"/>
      <w:suff w:val="tab"/>
      <w:lvlText w:val="o"/>
      <w:lvlJc w:val="left"/>
      <w:pPr>
        <w:ind w:left="1449" w:hanging="360"/>
      </w:pPr>
      <w:rPr>
        <w:rFonts w:hint="default" w:ascii="Courier New" w:hAnsi="Courier New" w:eastAsia="Courier New" w:cs="Courier New"/>
      </w:rPr>
    </w:lvl>
    <w:lvl w:ilvl="2">
      <w:start w:val="1"/>
      <w:numFmt w:val="bullet"/>
      <w:isLgl w:val="false"/>
      <w:suff w:val="tab"/>
      <w:lvlText w:val="§"/>
      <w:lvlJc w:val="left"/>
      <w:pPr>
        <w:ind w:left="2169" w:hanging="360"/>
      </w:pPr>
      <w:rPr>
        <w:rFonts w:hint="default" w:ascii="Wingdings" w:hAnsi="Wingdings" w:eastAsia="Wingdings" w:cs="Wingdings"/>
      </w:rPr>
    </w:lvl>
    <w:lvl w:ilvl="3">
      <w:start w:val="1"/>
      <w:numFmt w:val="bullet"/>
      <w:isLgl w:val="false"/>
      <w:suff w:val="tab"/>
      <w:lvlText w:val="·"/>
      <w:lvlJc w:val="left"/>
      <w:pPr>
        <w:ind w:left="2889" w:hanging="360"/>
      </w:pPr>
      <w:rPr>
        <w:rFonts w:hint="default" w:ascii="Symbol" w:hAnsi="Symbol" w:eastAsia="Symbol" w:cs="Symbol"/>
      </w:rPr>
    </w:lvl>
    <w:lvl w:ilvl="4">
      <w:start w:val="1"/>
      <w:numFmt w:val="bullet"/>
      <w:isLgl w:val="false"/>
      <w:suff w:val="tab"/>
      <w:lvlText w:val="o"/>
      <w:lvlJc w:val="left"/>
      <w:pPr>
        <w:ind w:left="3609" w:hanging="360"/>
      </w:pPr>
      <w:rPr>
        <w:rFonts w:hint="default" w:ascii="Courier New" w:hAnsi="Courier New" w:eastAsia="Courier New" w:cs="Courier New"/>
      </w:rPr>
    </w:lvl>
    <w:lvl w:ilvl="5">
      <w:start w:val="1"/>
      <w:numFmt w:val="bullet"/>
      <w:isLgl w:val="false"/>
      <w:suff w:val="tab"/>
      <w:lvlText w:val="§"/>
      <w:lvlJc w:val="left"/>
      <w:pPr>
        <w:ind w:left="4329" w:hanging="360"/>
      </w:pPr>
      <w:rPr>
        <w:rFonts w:hint="default" w:ascii="Wingdings" w:hAnsi="Wingdings" w:eastAsia="Wingdings" w:cs="Wingdings"/>
      </w:rPr>
    </w:lvl>
    <w:lvl w:ilvl="6">
      <w:start w:val="1"/>
      <w:numFmt w:val="bullet"/>
      <w:isLgl w:val="false"/>
      <w:suff w:val="tab"/>
      <w:lvlText w:val="·"/>
      <w:lvlJc w:val="left"/>
      <w:pPr>
        <w:ind w:left="5049" w:hanging="360"/>
      </w:pPr>
      <w:rPr>
        <w:rFonts w:hint="default" w:ascii="Symbol" w:hAnsi="Symbol" w:eastAsia="Symbol" w:cs="Symbol"/>
      </w:rPr>
    </w:lvl>
    <w:lvl w:ilvl="7">
      <w:start w:val="1"/>
      <w:numFmt w:val="bullet"/>
      <w:isLgl w:val="false"/>
      <w:suff w:val="tab"/>
      <w:lvlText w:val="o"/>
      <w:lvlJc w:val="left"/>
      <w:pPr>
        <w:ind w:left="5769" w:hanging="360"/>
      </w:pPr>
      <w:rPr>
        <w:rFonts w:hint="default" w:ascii="Courier New" w:hAnsi="Courier New" w:eastAsia="Courier New" w:cs="Courier New"/>
      </w:rPr>
    </w:lvl>
    <w:lvl w:ilvl="8">
      <w:start w:val="1"/>
      <w:numFmt w:val="bullet"/>
      <w:isLgl w:val="false"/>
      <w:suff w:val="tab"/>
      <w:lvlText w:val="§"/>
      <w:lvlJc w:val="left"/>
      <w:pPr>
        <w:ind w:left="6489"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89"/>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1252"/>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8">
    <w:multiLevelType w:val="hybridMultilevel"/>
    <w:lvl w:ilvl="0">
      <w:start w:val="1"/>
      <w:numFmt w:val="chineseCountingThousand"/>
      <w:pStyle w:val="1261"/>
      <w:isLgl w:val="false"/>
      <w:suff w:val="nothing"/>
      <w:lvlText w:val="第%1章 "/>
      <w:lvlJc w:val="left"/>
      <w:pPr>
        <w:ind w:left="0" w:firstLine="0"/>
      </w:pPr>
    </w:lvl>
    <w:lvl w:ilvl="1">
      <w:start w:val="1"/>
      <w:numFmt w:val="decimal"/>
      <w:isLgl w:val="false"/>
      <w:suff w:val="nothing"/>
      <w:lvlText w:val="%2、"/>
      <w:lvlJc w:val="left"/>
      <w:pPr>
        <w:ind w:left="105"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1091"/>
      <w:isLgl w:val="false"/>
      <w:suff w:val="nothing"/>
      <w:lvlText w:val=""/>
      <w:lvlJc w:val="left"/>
      <w:pPr>
        <w:ind w:left="0" w:firstLine="0"/>
      </w:pPr>
    </w:lvl>
    <w:lvl w:ilvl="6">
      <w:start w:val="1"/>
      <w:numFmt w:val="decimal"/>
      <w:pStyle w:val="1086"/>
      <w:isLgl w:val="false"/>
      <w:suff w:val="nothing"/>
      <w:lvlText w:val=""/>
      <w:lvlJc w:val="left"/>
      <w:pPr>
        <w:ind w:left="0" w:firstLine="0"/>
      </w:pPr>
    </w:lvl>
    <w:lvl w:ilvl="7">
      <w:start w:val="1"/>
      <w:numFmt w:val="decimal"/>
      <w:pStyle w:val="1092"/>
      <w:isLgl w:val="false"/>
      <w:suff w:val="nothing"/>
      <w:lvlText w:val=""/>
      <w:lvlJc w:val="left"/>
      <w:pPr>
        <w:ind w:left="0" w:firstLine="0"/>
      </w:pPr>
    </w:lvl>
    <w:lvl w:ilvl="8">
      <w:start w:val="1"/>
      <w:numFmt w:val="decimal"/>
      <w:pStyle w:val="1093"/>
      <w:isLgl w:val="false"/>
      <w:suff w:val="nothing"/>
      <w:lvlText w:val=""/>
      <w:lvlJc w:val="left"/>
      <w:pPr>
        <w:ind w:left="0" w:firstLine="0"/>
      </w:pPr>
    </w:lvl>
  </w:abstractNum>
  <w:abstractNum w:abstractNumId="9">
    <w:multiLevelType w:val="hybridMultilevel"/>
    <w:lvl w:ilvl="0">
      <w:start w:val="1"/>
      <w:numFmt w:val="decimal"/>
      <w:pStyle w:val="1263"/>
      <w:isLgl w:val="false"/>
      <w:suff w:val="tab"/>
      <w:lvlText w:val="(%1)"/>
      <w:lvlJc w:val="left"/>
      <w:pPr>
        <w:ind w:left="1035" w:hanging="555"/>
        <w:tabs>
          <w:tab w:val="left" w:pos="1035"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0">
    <w:multiLevelType w:val="hybridMultilevel"/>
    <w:lvl w:ilvl="0">
      <w:start w:val="1"/>
      <w:numFmt w:val="decimal"/>
      <w:pStyle w:val="1262"/>
      <w:isLgl w:val="false"/>
      <w:suff w:val="tab"/>
      <w:lvlText w:val="%1、"/>
      <w:lvlJc w:val="left"/>
      <w:pPr>
        <w:ind w:left="0" w:firstLine="0"/>
        <w:tabs>
          <w:tab w:val="left" w:pos="7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55"/>
      <w:isLgl w:val="false"/>
      <w:suff w:val="tab"/>
      <w:lvlText w:val="−"/>
      <w:lvlJc w:val="left"/>
      <w:pPr>
        <w:ind w:left="1923" w:hanging="284"/>
        <w:tabs>
          <w:tab w:val="left" w:pos="1922" w:leader="none"/>
        </w:tabs>
      </w:pPr>
      <w:rPr>
        <w:rFonts w:ascii="Times New Roman" w:hAnsi="Times New Roman"/>
        <w:sz w:val="16"/>
        <w:szCs w:val="16"/>
      </w:rPr>
    </w:lvl>
    <w:lvl w:ilvl="1">
      <w:start w:val="1"/>
      <w:numFmt w:val="bullet"/>
      <w:isLgl w:val="false"/>
      <w:suff w:val="tab"/>
      <w:lvlText w:val=""/>
      <w:lvlJc w:val="left"/>
      <w:pPr>
        <w:ind w:left="353" w:hanging="420"/>
        <w:tabs>
          <w:tab w:val="left" w:pos="353" w:leader="none"/>
        </w:tabs>
      </w:pPr>
      <w:rPr>
        <w:rFonts w:ascii="Wingdings" w:hAnsi="Wingdings"/>
      </w:rPr>
    </w:lvl>
    <w:lvl w:ilvl="2">
      <w:start w:val="1"/>
      <w:numFmt w:val="bullet"/>
      <w:isLgl w:val="false"/>
      <w:suff w:val="tab"/>
      <w:lvlText w:val=""/>
      <w:lvlJc w:val="left"/>
      <w:pPr>
        <w:ind w:left="773" w:hanging="420"/>
        <w:tabs>
          <w:tab w:val="left" w:pos="773" w:leader="none"/>
        </w:tabs>
      </w:pPr>
      <w:rPr>
        <w:rFonts w:ascii="Wingdings" w:hAnsi="Wingdings"/>
      </w:rPr>
    </w:lvl>
    <w:lvl w:ilvl="3">
      <w:start w:val="1"/>
      <w:numFmt w:val="bullet"/>
      <w:isLgl w:val="false"/>
      <w:suff w:val="tab"/>
      <w:lvlText w:val=""/>
      <w:lvlJc w:val="left"/>
      <w:pPr>
        <w:ind w:left="1193" w:hanging="420"/>
        <w:tabs>
          <w:tab w:val="left" w:pos="1193" w:leader="none"/>
        </w:tabs>
      </w:pPr>
      <w:rPr>
        <w:rFonts w:ascii="Wingdings" w:hAnsi="Wingdings"/>
      </w:rPr>
    </w:lvl>
    <w:lvl w:ilvl="4">
      <w:start w:val="1"/>
      <w:numFmt w:val="bullet"/>
      <w:isLgl w:val="false"/>
      <w:suff w:val="tab"/>
      <w:lvlText w:val=""/>
      <w:lvlJc w:val="left"/>
      <w:pPr>
        <w:ind w:left="1613" w:hanging="420"/>
        <w:tabs>
          <w:tab w:val="left" w:pos="1613" w:leader="none"/>
        </w:tabs>
      </w:pPr>
      <w:rPr>
        <w:rFonts w:ascii="Wingdings" w:hAnsi="Wingdings"/>
      </w:rPr>
    </w:lvl>
    <w:lvl w:ilvl="5">
      <w:start w:val="1"/>
      <w:numFmt w:val="bullet"/>
      <w:isLgl w:val="false"/>
      <w:suff w:val="tab"/>
      <w:lvlText w:val=""/>
      <w:lvlJc w:val="left"/>
      <w:pPr>
        <w:ind w:left="2033" w:hanging="420"/>
        <w:tabs>
          <w:tab w:val="left" w:pos="2033" w:leader="none"/>
        </w:tabs>
      </w:pPr>
      <w:rPr>
        <w:rFonts w:ascii="Wingdings" w:hAnsi="Wingdings"/>
      </w:rPr>
    </w:lvl>
    <w:lvl w:ilvl="6">
      <w:start w:val="1"/>
      <w:numFmt w:val="bullet"/>
      <w:isLgl w:val="false"/>
      <w:suff w:val="tab"/>
      <w:lvlText w:val=""/>
      <w:lvlJc w:val="left"/>
      <w:pPr>
        <w:ind w:left="2453" w:hanging="420"/>
        <w:tabs>
          <w:tab w:val="left" w:pos="2453" w:leader="none"/>
        </w:tabs>
      </w:pPr>
      <w:rPr>
        <w:rFonts w:ascii="Wingdings" w:hAnsi="Wingdings"/>
      </w:rPr>
    </w:lvl>
    <w:lvl w:ilvl="7">
      <w:start w:val="1"/>
      <w:numFmt w:val="bullet"/>
      <w:isLgl w:val="false"/>
      <w:suff w:val="tab"/>
      <w:lvlText w:val=""/>
      <w:lvlJc w:val="left"/>
      <w:pPr>
        <w:ind w:left="2873" w:hanging="420"/>
        <w:tabs>
          <w:tab w:val="left" w:pos="2873" w:leader="none"/>
        </w:tabs>
      </w:pPr>
      <w:rPr>
        <w:rFonts w:ascii="Wingdings" w:hAnsi="Wingdings"/>
      </w:rPr>
    </w:lvl>
    <w:lvl w:ilvl="8">
      <w:start w:val="1"/>
      <w:numFmt w:val="bullet"/>
      <w:isLgl w:val="false"/>
      <w:suff w:val="tab"/>
      <w:lvlText w:val=""/>
      <w:lvlJc w:val="left"/>
      <w:pPr>
        <w:ind w:left="3293" w:hanging="420"/>
        <w:tabs>
          <w:tab w:val="left" w:pos="3293" w:leader="none"/>
        </w:tabs>
      </w:pPr>
      <w:rPr>
        <w:rFonts w:ascii="Wingdings" w:hAnsi="Wingdings"/>
      </w:rPr>
    </w:lvl>
  </w:abstractNum>
  <w:abstractNum w:abstractNumId="12">
    <w:multiLevelType w:val="hybridMultilevel"/>
    <w:lvl w:ilvl="0">
      <w:start w:val="1"/>
      <w:numFmt w:val="decimal"/>
      <w:pStyle w:val="91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tab"/>
      <w:lvlText w:val="（%1）"/>
      <w:lvlJc w:val="left"/>
      <w:pPr>
        <w:ind w:left="111" w:hanging="529"/>
      </w:pPr>
      <w:rPr>
        <w:rFonts w:ascii="宋体" w:hAnsi="宋体" w:eastAsia="宋体"/>
        <w:spacing w:val="-36"/>
        <w:sz w:val="30"/>
        <w:szCs w:val="19"/>
        <w:lang w:val="zh-CN" w:eastAsia="zh-CN" w:bidi="zh-CN"/>
      </w:rPr>
    </w:lvl>
    <w:lvl w:ilvl="1">
      <w:start w:val="0"/>
      <w:numFmt w:val="bullet"/>
      <w:isLgl w:val="false"/>
      <w:suff w:val="tab"/>
      <w:lvlText w:val="•"/>
      <w:lvlJc w:val="left"/>
      <w:pPr>
        <w:ind w:left="1054" w:hanging="529"/>
      </w:pPr>
      <w:rPr>
        <w:lang w:val="zh-CN" w:eastAsia="zh-CN" w:bidi="zh-CN"/>
      </w:rPr>
    </w:lvl>
    <w:lvl w:ilvl="2">
      <w:start w:val="0"/>
      <w:numFmt w:val="bullet"/>
      <w:isLgl w:val="false"/>
      <w:suff w:val="tab"/>
      <w:lvlText w:val="•"/>
      <w:lvlJc w:val="left"/>
      <w:pPr>
        <w:ind w:left="1989" w:hanging="529"/>
      </w:pPr>
      <w:rPr>
        <w:lang w:val="zh-CN" w:eastAsia="zh-CN" w:bidi="zh-CN"/>
      </w:rPr>
    </w:lvl>
    <w:lvl w:ilvl="3">
      <w:start w:val="0"/>
      <w:numFmt w:val="bullet"/>
      <w:isLgl w:val="false"/>
      <w:suff w:val="tab"/>
      <w:lvlText w:val="•"/>
      <w:lvlJc w:val="left"/>
      <w:pPr>
        <w:ind w:left="2923" w:hanging="529"/>
      </w:pPr>
      <w:rPr>
        <w:lang w:val="zh-CN" w:eastAsia="zh-CN" w:bidi="zh-CN"/>
      </w:rPr>
    </w:lvl>
    <w:lvl w:ilvl="4">
      <w:start w:val="0"/>
      <w:numFmt w:val="bullet"/>
      <w:isLgl w:val="false"/>
      <w:suff w:val="tab"/>
      <w:lvlText w:val="•"/>
      <w:lvlJc w:val="left"/>
      <w:pPr>
        <w:ind w:left="3858" w:hanging="529"/>
      </w:pPr>
      <w:rPr>
        <w:lang w:val="zh-CN" w:eastAsia="zh-CN" w:bidi="zh-CN"/>
      </w:rPr>
    </w:lvl>
    <w:lvl w:ilvl="5">
      <w:start w:val="0"/>
      <w:numFmt w:val="bullet"/>
      <w:isLgl w:val="false"/>
      <w:suff w:val="tab"/>
      <w:lvlText w:val="•"/>
      <w:lvlJc w:val="left"/>
      <w:pPr>
        <w:ind w:left="4793" w:hanging="529"/>
      </w:pPr>
      <w:rPr>
        <w:lang w:val="zh-CN" w:eastAsia="zh-CN" w:bidi="zh-CN"/>
      </w:rPr>
    </w:lvl>
    <w:lvl w:ilvl="6">
      <w:start w:val="0"/>
      <w:numFmt w:val="bullet"/>
      <w:isLgl w:val="false"/>
      <w:suff w:val="tab"/>
      <w:lvlText w:val="•"/>
      <w:lvlJc w:val="left"/>
      <w:pPr>
        <w:ind w:left="5727" w:hanging="529"/>
      </w:pPr>
      <w:rPr>
        <w:lang w:val="zh-CN" w:eastAsia="zh-CN" w:bidi="zh-CN"/>
      </w:rPr>
    </w:lvl>
    <w:lvl w:ilvl="7">
      <w:start w:val="0"/>
      <w:numFmt w:val="bullet"/>
      <w:isLgl w:val="false"/>
      <w:suff w:val="tab"/>
      <w:lvlText w:val="•"/>
      <w:lvlJc w:val="left"/>
      <w:pPr>
        <w:ind w:left="6662" w:hanging="529"/>
      </w:pPr>
      <w:rPr>
        <w:lang w:val="zh-CN" w:eastAsia="zh-CN" w:bidi="zh-CN"/>
      </w:rPr>
    </w:lvl>
    <w:lvl w:ilvl="8">
      <w:start w:val="0"/>
      <w:numFmt w:val="bullet"/>
      <w:isLgl w:val="false"/>
      <w:suff w:val="tab"/>
      <w:lvlText w:val="•"/>
      <w:lvlJc w:val="left"/>
      <w:pPr>
        <w:ind w:left="7597" w:hanging="529"/>
      </w:pPr>
      <w:rPr>
        <w:lang w:val="zh-CN" w:eastAsia="zh-CN" w:bidi="zh-CN"/>
      </w:rPr>
    </w:lvl>
  </w:abstractNum>
  <w:abstractNum w:abstractNumId="14">
    <w:multiLevelType w:val="hybridMultilevel"/>
    <w:lvl w:ilvl="0">
      <w:start w:val="1"/>
      <w:numFmt w:val="decimal"/>
      <w:pStyle w:val="1240"/>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pStyle w:val="1260"/>
      <w:isLgl w:val="false"/>
      <w:suff w:val="tab"/>
      <w:lvlText w:val="(%1)"/>
      <w:lvlJc w:val="left"/>
      <w:pPr>
        <w:ind w:left="840" w:hanging="480"/>
        <w:tabs>
          <w:tab w:val="left" w:pos="840" w:leader="none"/>
        </w:tabs>
      </w:pPr>
    </w:lvl>
    <w:lvl w:ilvl="1">
      <w:start w:val="1"/>
      <w:numFmt w:val="decimal"/>
      <w:isLgl w:val="false"/>
      <w:suff w:val="tab"/>
      <w:lvlText w:val="(%2)"/>
      <w:lvlJc w:val="left"/>
      <w:pPr>
        <w:ind w:left="780" w:hanging="480"/>
        <w:tabs>
          <w:tab w:val="left" w:pos="780" w:leader="none"/>
        </w:tabs>
      </w:pPr>
    </w:lvl>
    <w:lvl w:ilvl="2">
      <w:start w:val="1"/>
      <w:numFmt w:val="lowerRoman"/>
      <w:isLgl w:val="false"/>
      <w:suff w:val="tab"/>
      <w:lvlText w:val="%3."/>
      <w:lvlJc w:val="right"/>
      <w:pPr>
        <w:ind w:left="1140" w:hanging="420"/>
        <w:tabs>
          <w:tab w:val="left" w:pos="1140" w:leader="none"/>
        </w:tabs>
      </w:pPr>
    </w:lvl>
    <w:lvl w:ilvl="3">
      <w:start w:val="1"/>
      <w:numFmt w:val="decimal"/>
      <w:isLgl w:val="false"/>
      <w:suff w:val="tab"/>
      <w:lvlText w:val="%4."/>
      <w:lvlJc w:val="left"/>
      <w:pPr>
        <w:ind w:left="1560" w:hanging="420"/>
        <w:tabs>
          <w:tab w:val="left" w:pos="1560" w:leader="none"/>
        </w:tabs>
      </w:pPr>
    </w:lvl>
    <w:lvl w:ilvl="4">
      <w:start w:val="1"/>
      <w:numFmt w:val="lowerLetter"/>
      <w:isLgl w:val="false"/>
      <w:suff w:val="tab"/>
      <w:lvlText w:val="%5)"/>
      <w:lvlJc w:val="left"/>
      <w:pPr>
        <w:ind w:left="1980" w:hanging="420"/>
        <w:tabs>
          <w:tab w:val="left" w:pos="1980" w:leader="none"/>
        </w:tabs>
      </w:pPr>
    </w:lvl>
    <w:lvl w:ilvl="5">
      <w:start w:val="1"/>
      <w:numFmt w:val="lowerRoman"/>
      <w:isLgl w:val="false"/>
      <w:suff w:val="tab"/>
      <w:lvlText w:val="%6."/>
      <w:lvlJc w:val="right"/>
      <w:pPr>
        <w:ind w:left="2400" w:hanging="420"/>
        <w:tabs>
          <w:tab w:val="left" w:pos="2400" w:leader="none"/>
        </w:tabs>
      </w:pPr>
    </w:lvl>
    <w:lvl w:ilvl="6">
      <w:start w:val="1"/>
      <w:numFmt w:val="decimal"/>
      <w:isLgl w:val="false"/>
      <w:suff w:val="tab"/>
      <w:lvlText w:val="%7."/>
      <w:lvlJc w:val="left"/>
      <w:pPr>
        <w:ind w:left="2820" w:hanging="420"/>
        <w:tabs>
          <w:tab w:val="left" w:pos="2820" w:leader="none"/>
        </w:tabs>
      </w:pPr>
    </w:lvl>
    <w:lvl w:ilvl="7">
      <w:start w:val="1"/>
      <w:numFmt w:val="lowerLetter"/>
      <w:isLgl w:val="false"/>
      <w:suff w:val="tab"/>
      <w:lvlText w:val="%8)"/>
      <w:lvlJc w:val="left"/>
      <w:pPr>
        <w:ind w:left="3240" w:hanging="420"/>
        <w:tabs>
          <w:tab w:val="left" w:pos="3240" w:leader="none"/>
        </w:tabs>
      </w:pPr>
    </w:lvl>
    <w:lvl w:ilvl="8">
      <w:start w:val="1"/>
      <w:numFmt w:val="lowerRoman"/>
      <w:isLgl w:val="false"/>
      <w:suff w:val="tab"/>
      <w:lvlText w:val="%9."/>
      <w:lvlJc w:val="right"/>
      <w:pPr>
        <w:ind w:left="3660" w:hanging="420"/>
        <w:tabs>
          <w:tab w:val="left" w:pos="3660" w:leader="none"/>
        </w:tabs>
      </w:pPr>
    </w:lvl>
  </w:abstractNum>
  <w:abstractNum w:abstractNumId="16">
    <w:multiLevelType w:val="hybridMultilevel"/>
    <w:lvl w:ilvl="0">
      <w:start w:val="1"/>
      <w:numFmt w:val="decimal"/>
      <w:isLgl w:val="false"/>
      <w:suff w:val="tab"/>
      <w:lvlText w:val="（%1）"/>
      <w:lvlJc w:val="left"/>
      <w:pPr>
        <w:ind w:left="1060" w:hanging="529"/>
      </w:pPr>
      <w:rPr>
        <w:spacing w:val="-36"/>
        <w:sz w:val="32"/>
        <w:szCs w:val="19"/>
        <w:u w:val="single"/>
        <w:lang w:val="zh-CN" w:eastAsia="zh-CN" w:bidi="zh-CN"/>
      </w:rPr>
    </w:lvl>
    <w:lvl w:ilvl="1">
      <w:start w:val="0"/>
      <w:numFmt w:val="bullet"/>
      <w:isLgl w:val="false"/>
      <w:suff w:val="tab"/>
      <w:lvlText w:val="•"/>
      <w:lvlJc w:val="left"/>
      <w:pPr>
        <w:ind w:left="1900" w:hanging="529"/>
      </w:pPr>
      <w:rPr>
        <w:lang w:val="zh-CN" w:eastAsia="zh-CN" w:bidi="zh-CN"/>
      </w:rPr>
    </w:lvl>
    <w:lvl w:ilvl="2">
      <w:start w:val="0"/>
      <w:numFmt w:val="bullet"/>
      <w:isLgl w:val="false"/>
      <w:suff w:val="tab"/>
      <w:lvlText w:val="•"/>
      <w:lvlJc w:val="left"/>
      <w:pPr>
        <w:ind w:left="2741" w:hanging="529"/>
      </w:pPr>
      <w:rPr>
        <w:lang w:val="zh-CN" w:eastAsia="zh-CN" w:bidi="zh-CN"/>
      </w:rPr>
    </w:lvl>
    <w:lvl w:ilvl="3">
      <w:start w:val="0"/>
      <w:numFmt w:val="bullet"/>
      <w:isLgl w:val="false"/>
      <w:suff w:val="tab"/>
      <w:lvlText w:val="•"/>
      <w:lvlJc w:val="left"/>
      <w:pPr>
        <w:ind w:left="3581" w:hanging="529"/>
      </w:pPr>
      <w:rPr>
        <w:lang w:val="zh-CN" w:eastAsia="zh-CN" w:bidi="zh-CN"/>
      </w:rPr>
    </w:lvl>
    <w:lvl w:ilvl="4">
      <w:start w:val="0"/>
      <w:numFmt w:val="bullet"/>
      <w:isLgl w:val="false"/>
      <w:suff w:val="tab"/>
      <w:lvlText w:val="•"/>
      <w:lvlJc w:val="left"/>
      <w:pPr>
        <w:ind w:left="4422" w:hanging="529"/>
      </w:pPr>
      <w:rPr>
        <w:lang w:val="zh-CN" w:eastAsia="zh-CN" w:bidi="zh-CN"/>
      </w:rPr>
    </w:lvl>
    <w:lvl w:ilvl="5">
      <w:start w:val="0"/>
      <w:numFmt w:val="bullet"/>
      <w:isLgl w:val="false"/>
      <w:suff w:val="tab"/>
      <w:lvlText w:val="•"/>
      <w:lvlJc w:val="left"/>
      <w:pPr>
        <w:ind w:left="5263" w:hanging="529"/>
      </w:pPr>
      <w:rPr>
        <w:lang w:val="zh-CN" w:eastAsia="zh-CN" w:bidi="zh-CN"/>
      </w:rPr>
    </w:lvl>
    <w:lvl w:ilvl="6">
      <w:start w:val="0"/>
      <w:numFmt w:val="bullet"/>
      <w:isLgl w:val="false"/>
      <w:suff w:val="tab"/>
      <w:lvlText w:val="•"/>
      <w:lvlJc w:val="left"/>
      <w:pPr>
        <w:ind w:left="6103" w:hanging="529"/>
      </w:pPr>
      <w:rPr>
        <w:lang w:val="zh-CN" w:eastAsia="zh-CN" w:bidi="zh-CN"/>
      </w:rPr>
    </w:lvl>
    <w:lvl w:ilvl="7">
      <w:start w:val="0"/>
      <w:numFmt w:val="bullet"/>
      <w:isLgl w:val="false"/>
      <w:suff w:val="tab"/>
      <w:lvlText w:val="•"/>
      <w:lvlJc w:val="left"/>
      <w:pPr>
        <w:ind w:left="6944" w:hanging="529"/>
      </w:pPr>
      <w:rPr>
        <w:lang w:val="zh-CN" w:eastAsia="zh-CN" w:bidi="zh-CN"/>
      </w:rPr>
    </w:lvl>
    <w:lvl w:ilvl="8">
      <w:start w:val="0"/>
      <w:numFmt w:val="bullet"/>
      <w:isLgl w:val="false"/>
      <w:suff w:val="tab"/>
      <w:lvlText w:val="•"/>
      <w:lvlJc w:val="left"/>
      <w:pPr>
        <w:ind w:left="7785" w:hanging="529"/>
      </w:pPr>
      <w:rPr>
        <w:lang w:val="zh-CN" w:eastAsia="zh-CN" w:bidi="zh-CN"/>
      </w:rPr>
    </w:lvl>
  </w:abstractNum>
  <w:abstractNum w:abstractNumId="17">
    <w:multiLevelType w:val="hybridMultilevel"/>
    <w:lvl w:ilvl="0">
      <w:start w:val="1"/>
      <w:numFmt w:val="decimal"/>
      <w:pStyle w:val="1244"/>
      <w:isLgl w:val="false"/>
      <w:suff w:val="tab"/>
      <w:lvlText w:val="%1、"/>
      <w:lvlJc w:val="left"/>
      <w:pPr>
        <w:ind w:left="720" w:hanging="720"/>
        <w:tabs>
          <w:tab w:val="left" w:pos="72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246"/>
      <w:isLgl w:val="false"/>
      <w:suff w:val="tab"/>
      <w:lvlText w:val="%9."/>
      <w:lvlJc w:val="right"/>
      <w:pPr>
        <w:ind w:left="4200" w:hanging="420"/>
        <w:tabs>
          <w:tab w:val="left" w:pos="4200" w:leader="none"/>
        </w:tabs>
      </w:pPr>
    </w:lvl>
  </w:abstractNum>
  <w:abstractNum w:abstractNumId="1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265"/>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1">
    <w:multiLevelType w:val="hybridMultilevel"/>
    <w:lvl w:ilvl="0">
      <w:start w:val="1"/>
      <w:numFmt w:val="decimal"/>
      <w:pStyle w:val="1140"/>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2">
    <w:multiLevelType w:val="hybridMultilevel"/>
    <w:lvl w:ilvl="0">
      <w:start w:val="1"/>
      <w:numFmt w:val="decimal"/>
      <w:pStyle w:val="1249"/>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3">
    <w:multiLevelType w:val="hybridMultilevel"/>
    <w:lvl w:ilvl="0">
      <w:start w:val="1"/>
      <w:numFmt w:val="decimal"/>
      <w:pStyle w:val="1268"/>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241"/>
      <w:isLgl w:val="false"/>
      <w:suff w:val="tab"/>
      <w:lvlText w:val="%9."/>
      <w:lvlJc w:val="right"/>
      <w:pPr>
        <w:ind w:left="4680" w:hanging="420"/>
      </w:pPr>
    </w:lvl>
  </w:abstractNum>
  <w:abstractNum w:abstractNumId="25">
    <w:multiLevelType w:val="hybridMultilevel"/>
    <w:lvl w:ilvl="0">
      <w:start w:val="8"/>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8"/>
  </w:num>
  <w:num w:numId="3">
    <w:abstractNumId w:val="2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2"/>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7"/>
  </w:num>
  <w:num w:numId="9">
    <w:abstractNumId w:val="22"/>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5"/>
  </w:num>
  <w:num w:numId="13">
    <w:abstractNumId w:val="10"/>
  </w:num>
  <w:num w:numId="14">
    <w:abstractNumId w:val="9"/>
  </w:num>
  <w:num w:numId="15">
    <w:abstractNumId w:val="1"/>
  </w:num>
  <w:num w:numId="16">
    <w:abstractNumId w:val="20"/>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2"/>
  </w:num>
  <w:num w:numId="20">
    <w:abstractNumId w:val="26"/>
  </w:num>
  <w:num w:numId="21">
    <w:abstractNumId w:val="25"/>
  </w:num>
  <w:num w:numId="22">
    <w:abstractNumId w:val="5"/>
  </w:num>
  <w:num w:numId="23">
    <w:abstractNumId w:val="6"/>
  </w:num>
  <w:num w:numId="24">
    <w:abstractNumId w:val="3"/>
  </w:num>
  <w:num w:numId="25">
    <w:abstractNumId w:val="14"/>
  </w:num>
  <w:num w:numId="26">
    <w:abstractNumId w:val="16"/>
  </w:num>
  <w:num w:numId="27">
    <w:abstractNumId w:val="24"/>
  </w:num>
  <w:num w:numId="28">
    <w:abstractNumId w:val="13"/>
  </w:num>
  <w:num w:numId="29">
    <w:abstractNumId w:val="4"/>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7" w:default="1">
    <w:name w:val="Normal"/>
    <w:next w:val="869"/>
    <w:uiPriority w:val="0"/>
    <w:qFormat/>
    <w:rPr>
      <w:rFonts w:hint="default" w:ascii="Times New Roman" w:hAnsi="Times New Roman" w:eastAsia="宋体" w:cs="Times New Roman"/>
    </w:rPr>
  </w:style>
  <w:style w:type="paragraph" w:styleId="858">
    <w:name w:val="Heading 1"/>
    <w:next w:val="857"/>
    <w:link w:val="933"/>
    <w:uiPriority w:val="9"/>
    <w:qFormat/>
    <w:pPr>
      <w:keepLines/>
      <w:keepNext/>
      <w:spacing w:before="480" w:after="200"/>
      <w:outlineLvl w:val="0"/>
    </w:pPr>
    <w:rPr>
      <w:rFonts w:hint="default" w:ascii="Arial" w:hAnsi="Arial" w:eastAsia="Arial" w:cs="Arial"/>
      <w:sz w:val="40"/>
      <w:szCs w:val="40"/>
    </w:rPr>
  </w:style>
  <w:style w:type="paragraph" w:styleId="859">
    <w:name w:val="Heading 2"/>
    <w:basedOn w:val="857"/>
    <w:next w:val="857"/>
    <w:link w:val="934"/>
    <w:uiPriority w:val="9"/>
    <w:unhideWhenUsed/>
    <w:qFormat/>
    <w:pPr>
      <w:keepLines/>
      <w:keepNext/>
      <w:spacing w:before="360" w:after="200"/>
      <w:outlineLvl w:val="1"/>
    </w:pPr>
    <w:rPr>
      <w:rFonts w:hint="default" w:ascii="Arial" w:hAnsi="Arial" w:eastAsia="Arial" w:cs="Arial"/>
      <w:sz w:val="34"/>
    </w:rPr>
  </w:style>
  <w:style w:type="paragraph" w:styleId="860">
    <w:name w:val="Heading 3"/>
    <w:basedOn w:val="857"/>
    <w:next w:val="857"/>
    <w:link w:val="935"/>
    <w:uiPriority w:val="9"/>
    <w:unhideWhenUsed/>
    <w:qFormat/>
    <w:pPr>
      <w:keepLines/>
      <w:keepNext/>
      <w:spacing w:before="320" w:after="200"/>
      <w:outlineLvl w:val="2"/>
    </w:pPr>
    <w:rPr>
      <w:rFonts w:hint="default" w:ascii="Arial" w:hAnsi="Arial" w:eastAsia="Arial" w:cs="Arial"/>
      <w:sz w:val="30"/>
      <w:szCs w:val="30"/>
    </w:rPr>
  </w:style>
  <w:style w:type="paragraph" w:styleId="861">
    <w:name w:val="Heading 4"/>
    <w:basedOn w:val="857"/>
    <w:next w:val="857"/>
    <w:link w:val="936"/>
    <w:uiPriority w:val="9"/>
    <w:unhideWhenUsed/>
    <w:qFormat/>
    <w:pPr>
      <w:keepLines/>
      <w:keepNext/>
      <w:spacing w:before="320" w:after="200"/>
      <w:outlineLvl w:val="3"/>
    </w:pPr>
    <w:rPr>
      <w:rFonts w:hint="default" w:ascii="Arial" w:hAnsi="Arial" w:eastAsia="Arial" w:cs="Arial"/>
      <w:b/>
      <w:bCs/>
      <w:sz w:val="26"/>
      <w:szCs w:val="26"/>
    </w:rPr>
  </w:style>
  <w:style w:type="paragraph" w:styleId="862">
    <w:name w:val="Heading 5"/>
    <w:next w:val="857"/>
    <w:link w:val="937"/>
    <w:uiPriority w:val="9"/>
    <w:unhideWhenUsed/>
    <w:qFormat/>
    <w:pPr>
      <w:keepLines/>
      <w:keepNext/>
      <w:spacing w:before="320" w:after="200"/>
      <w:outlineLvl w:val="4"/>
    </w:pPr>
    <w:rPr>
      <w:rFonts w:hint="default" w:ascii="Arial" w:hAnsi="Arial" w:eastAsia="Arial" w:cs="Arial"/>
      <w:b/>
      <w:bCs/>
      <w:sz w:val="24"/>
      <w:szCs w:val="24"/>
    </w:rPr>
  </w:style>
  <w:style w:type="paragraph" w:styleId="863">
    <w:name w:val="Heading 6"/>
    <w:next w:val="857"/>
    <w:link w:val="938"/>
    <w:uiPriority w:val="9"/>
    <w:unhideWhenUsed/>
    <w:qFormat/>
    <w:pPr>
      <w:keepLines/>
      <w:keepNext/>
      <w:spacing w:before="320" w:after="200"/>
      <w:outlineLvl w:val="5"/>
    </w:pPr>
    <w:rPr>
      <w:rFonts w:hint="default" w:ascii="Arial" w:hAnsi="Arial" w:eastAsia="Arial" w:cs="Arial"/>
      <w:b/>
      <w:bCs/>
      <w:sz w:val="22"/>
      <w:szCs w:val="22"/>
    </w:rPr>
  </w:style>
  <w:style w:type="paragraph" w:styleId="864">
    <w:name w:val="Heading 7"/>
    <w:next w:val="857"/>
    <w:link w:val="939"/>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65">
    <w:name w:val="Heading 8"/>
    <w:next w:val="857"/>
    <w:link w:val="940"/>
    <w:uiPriority w:val="9"/>
    <w:unhideWhenUsed/>
    <w:qFormat/>
    <w:pPr>
      <w:keepLines/>
      <w:keepNext/>
      <w:spacing w:before="320" w:after="200"/>
      <w:outlineLvl w:val="7"/>
    </w:pPr>
    <w:rPr>
      <w:rFonts w:hint="default" w:ascii="Arial" w:hAnsi="Arial" w:eastAsia="Arial" w:cs="Arial"/>
      <w:i/>
      <w:iCs/>
      <w:sz w:val="22"/>
      <w:szCs w:val="22"/>
    </w:rPr>
  </w:style>
  <w:style w:type="paragraph" w:styleId="866">
    <w:name w:val="Heading 9"/>
    <w:next w:val="857"/>
    <w:link w:val="941"/>
    <w:uiPriority w:val="9"/>
    <w:unhideWhenUsed/>
    <w:qFormat/>
    <w:pPr>
      <w:keepLines/>
      <w:keepNext/>
      <w:spacing w:before="320" w:after="200"/>
      <w:outlineLvl w:val="8"/>
    </w:pPr>
    <w:rPr>
      <w:rFonts w:hint="default" w:ascii="Arial" w:hAnsi="Arial" w:eastAsia="Arial" w:cs="Arial"/>
      <w:i/>
      <w:iCs/>
      <w:sz w:val="21"/>
      <w:szCs w:val="21"/>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name w:val="Body Text First Indent"/>
    <w:basedOn w:val="870"/>
    <w:next w:val="871"/>
    <w:uiPriority w:val="0"/>
    <w:qFormat/>
    <w:pPr>
      <w:ind w:firstLine="420"/>
    </w:pPr>
  </w:style>
  <w:style w:type="paragraph" w:styleId="870">
    <w:name w:val="Body Text"/>
    <w:basedOn w:val="857"/>
    <w:next w:val="857"/>
    <w:uiPriority w:val="0"/>
    <w:qFormat/>
    <w:rPr>
      <w:rFonts w:ascii="金山简黑体" w:hAnsi="Courier New" w:eastAsia="金山简黑体"/>
      <w:b/>
      <w:spacing w:val="-8"/>
      <w:sz w:val="44"/>
    </w:rPr>
  </w:style>
  <w:style w:type="paragraph" w:styleId="871">
    <w:name w:val="Body Text First Indent 2"/>
    <w:basedOn w:val="872"/>
    <w:uiPriority w:val="0"/>
    <w:qFormat/>
    <w:pPr>
      <w:ind w:left="0" w:firstLine="420"/>
      <w:jc w:val="both"/>
      <w:spacing w:after="0" w:line="360" w:lineRule="auto"/>
      <w:widowControl w:val="off"/>
    </w:pPr>
    <w:rPr>
      <w:rFonts w:ascii="宋体" w:hAnsi="宋体" w:eastAsiaTheme="minorEastAsia"/>
    </w:rPr>
  </w:style>
  <w:style w:type="paragraph" w:styleId="872">
    <w:name w:val="Body Text Indent"/>
    <w:basedOn w:val="857"/>
    <w:next w:val="873"/>
    <w:uiPriority w:val="0"/>
    <w:unhideWhenUsed/>
    <w:qFormat/>
    <w:pPr>
      <w:ind w:left="420"/>
      <w:spacing w:after="120"/>
    </w:pPr>
  </w:style>
  <w:style w:type="paragraph" w:styleId="873">
    <w:name w:val="envelope return"/>
    <w:basedOn w:val="857"/>
    <w:uiPriority w:val="0"/>
    <w:qFormat/>
    <w:rPr>
      <w:rFonts w:ascii="Arial" w:hAnsi="Arial"/>
    </w:rPr>
  </w:style>
  <w:style w:type="paragraph" w:styleId="874">
    <w:name w:val="toc 7"/>
    <w:next w:val="857"/>
    <w:uiPriority w:val="39"/>
    <w:unhideWhenUsed/>
    <w:qFormat/>
    <w:pPr>
      <w:ind w:left="1701" w:right="0" w:firstLine="0"/>
      <w:spacing w:after="57"/>
    </w:pPr>
    <w:rPr>
      <w:rFonts w:hint="default" w:ascii="Times New Roman" w:hAnsi="Times New Roman" w:eastAsia="宋体" w:cs="Times New Roman"/>
    </w:rPr>
  </w:style>
  <w:style w:type="paragraph" w:styleId="875">
    <w:name w:val="Caption"/>
    <w:next w:val="857"/>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76">
    <w:name w:val="index 5"/>
    <w:basedOn w:val="857"/>
    <w:next w:val="857"/>
    <w:uiPriority w:val="0"/>
    <w:qFormat/>
    <w:pPr>
      <w:ind w:left="798"/>
      <w:jc w:val="left"/>
      <w:spacing w:line="240" w:lineRule="auto"/>
    </w:pPr>
    <w:rPr>
      <w:rFonts w:ascii="Calibri" w:hAnsi="Calibri" w:eastAsia="Times New Roman" w:cs="Times New Roman"/>
      <w:sz w:val="24"/>
      <w:szCs w:val="24"/>
    </w:rPr>
  </w:style>
  <w:style w:type="paragraph" w:styleId="877">
    <w:name w:val="annotation text"/>
    <w:basedOn w:val="857"/>
    <w:uiPriority w:val="99"/>
    <w:semiHidden/>
    <w:unhideWhenUsed/>
    <w:qFormat/>
    <w:pPr>
      <w:jc w:val="left"/>
    </w:pPr>
  </w:style>
  <w:style w:type="paragraph" w:styleId="878">
    <w:name w:val="Block Text"/>
    <w:basedOn w:val="857"/>
    <w:uiPriority w:val="99"/>
    <w:unhideWhenUsed/>
    <w:qFormat/>
    <w:pPr>
      <w:ind w:left="1440" w:right="1440"/>
      <w:spacing w:after="120"/>
    </w:pPr>
  </w:style>
  <w:style w:type="paragraph" w:styleId="879">
    <w:name w:val="toc 5"/>
    <w:next w:val="857"/>
    <w:uiPriority w:val="39"/>
    <w:unhideWhenUsed/>
    <w:qFormat/>
    <w:pPr>
      <w:ind w:left="1134" w:right="0" w:firstLine="0"/>
      <w:spacing w:after="57"/>
    </w:pPr>
    <w:rPr>
      <w:rFonts w:hint="default" w:ascii="Times New Roman" w:hAnsi="Times New Roman" w:eastAsia="宋体" w:cs="Times New Roman"/>
    </w:rPr>
  </w:style>
  <w:style w:type="paragraph" w:styleId="880">
    <w:name w:val="toc 3"/>
    <w:next w:val="857"/>
    <w:uiPriority w:val="39"/>
    <w:unhideWhenUsed/>
    <w:qFormat/>
    <w:pPr>
      <w:ind w:left="567" w:right="0" w:firstLine="0"/>
      <w:spacing w:after="57"/>
    </w:pPr>
    <w:rPr>
      <w:rFonts w:hint="default" w:ascii="Times New Roman" w:hAnsi="Times New Roman" w:eastAsia="宋体" w:cs="Times New Roman"/>
    </w:rPr>
  </w:style>
  <w:style w:type="paragraph" w:styleId="881">
    <w:name w:val="toc 8"/>
    <w:next w:val="857"/>
    <w:uiPriority w:val="39"/>
    <w:unhideWhenUsed/>
    <w:qFormat/>
    <w:pPr>
      <w:ind w:left="1984" w:right="0" w:firstLine="0"/>
      <w:spacing w:after="57"/>
    </w:pPr>
    <w:rPr>
      <w:rFonts w:hint="default" w:ascii="Times New Roman" w:hAnsi="Times New Roman" w:eastAsia="宋体" w:cs="Times New Roman"/>
    </w:rPr>
  </w:style>
  <w:style w:type="paragraph" w:styleId="882">
    <w:name w:val="endnote text"/>
    <w:link w:val="1079"/>
    <w:uiPriority w:val="99"/>
    <w:semiHidden/>
    <w:unhideWhenUsed/>
    <w:qFormat/>
    <w:pPr>
      <w:spacing w:after="0" w:line="240" w:lineRule="auto"/>
    </w:pPr>
    <w:rPr>
      <w:rFonts w:hint="default" w:ascii="Times New Roman" w:hAnsi="Times New Roman" w:eastAsia="宋体" w:cs="Times New Roman"/>
      <w:sz w:val="20"/>
    </w:rPr>
  </w:style>
  <w:style w:type="paragraph" w:styleId="883">
    <w:name w:val="Footer"/>
    <w:basedOn w:val="857"/>
    <w:link w:val="95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84">
    <w:name w:val="Header"/>
    <w:basedOn w:val="857"/>
    <w:link w:val="950"/>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85">
    <w:name w:val="toc 1"/>
    <w:basedOn w:val="857"/>
    <w:next w:val="857"/>
    <w:uiPriority w:val="39"/>
    <w:unhideWhenUsed/>
    <w:qFormat/>
    <w:pPr>
      <w:ind w:left="0" w:right="0" w:firstLine="0"/>
      <w:spacing w:after="57"/>
    </w:pPr>
    <w:rPr>
      <w:rFonts w:hint="default" w:ascii="Times New Roman" w:hAnsi="Times New Roman" w:eastAsia="宋体" w:cs="Times New Roman"/>
    </w:rPr>
  </w:style>
  <w:style w:type="paragraph" w:styleId="886">
    <w:name w:val="toc 4"/>
    <w:next w:val="857"/>
    <w:uiPriority w:val="39"/>
    <w:unhideWhenUsed/>
    <w:qFormat/>
    <w:pPr>
      <w:ind w:left="850" w:right="0" w:firstLine="0"/>
      <w:spacing w:after="57"/>
    </w:pPr>
    <w:rPr>
      <w:rFonts w:hint="default" w:ascii="Times New Roman" w:hAnsi="Times New Roman" w:eastAsia="宋体" w:cs="Times New Roman"/>
    </w:rPr>
  </w:style>
  <w:style w:type="paragraph" w:styleId="887">
    <w:name w:val="Subtitle"/>
    <w:link w:val="945"/>
    <w:uiPriority w:val="11"/>
    <w:qFormat/>
    <w:pPr>
      <w:spacing w:before="200" w:after="200"/>
    </w:pPr>
    <w:rPr>
      <w:rFonts w:hint="default" w:ascii="Times New Roman" w:hAnsi="Times New Roman" w:eastAsia="宋体" w:cs="Times New Roman"/>
      <w:sz w:val="24"/>
      <w:szCs w:val="24"/>
    </w:rPr>
  </w:style>
  <w:style w:type="paragraph" w:styleId="888">
    <w:name w:val="footnote text"/>
    <w:basedOn w:val="857"/>
    <w:next w:val="876"/>
    <w:link w:val="1078"/>
    <w:uiPriority w:val="99"/>
    <w:semiHidden/>
    <w:unhideWhenUsed/>
    <w:qFormat/>
    <w:pPr>
      <w:spacing w:after="40" w:line="240" w:lineRule="auto"/>
    </w:pPr>
    <w:rPr>
      <w:rFonts w:hint="default" w:ascii="Times New Roman" w:hAnsi="Times New Roman" w:eastAsia="宋体" w:cs="Times New Roman"/>
      <w:sz w:val="18"/>
    </w:rPr>
  </w:style>
  <w:style w:type="paragraph" w:styleId="889">
    <w:name w:val="toc 6"/>
    <w:next w:val="857"/>
    <w:uiPriority w:val="39"/>
    <w:unhideWhenUsed/>
    <w:qFormat/>
    <w:pPr>
      <w:ind w:left="1417" w:right="0" w:firstLine="0"/>
      <w:spacing w:after="57"/>
    </w:pPr>
    <w:rPr>
      <w:rFonts w:hint="default" w:ascii="Times New Roman" w:hAnsi="Times New Roman" w:eastAsia="宋体" w:cs="Times New Roman"/>
    </w:rPr>
  </w:style>
  <w:style w:type="paragraph" w:styleId="890">
    <w:name w:val="table of figures"/>
    <w:next w:val="857"/>
    <w:uiPriority w:val="99"/>
    <w:unhideWhenUsed/>
    <w:qFormat/>
    <w:pPr>
      <w:spacing w:after="0" w:afterAutospacing="0"/>
    </w:pPr>
    <w:rPr>
      <w:rFonts w:hint="default" w:ascii="Times New Roman" w:hAnsi="Times New Roman" w:eastAsia="宋体" w:cs="Times New Roman"/>
    </w:rPr>
  </w:style>
  <w:style w:type="paragraph" w:styleId="891">
    <w:name w:val="toc 2"/>
    <w:next w:val="857"/>
    <w:uiPriority w:val="39"/>
    <w:unhideWhenUsed/>
    <w:qFormat/>
    <w:pPr>
      <w:ind w:left="283" w:right="0" w:firstLine="0"/>
      <w:spacing w:after="57"/>
    </w:pPr>
    <w:rPr>
      <w:rFonts w:hint="default" w:ascii="Times New Roman" w:hAnsi="Times New Roman" w:eastAsia="宋体" w:cs="Times New Roman"/>
    </w:rPr>
  </w:style>
  <w:style w:type="paragraph" w:styleId="892">
    <w:name w:val="toc 9"/>
    <w:next w:val="857"/>
    <w:uiPriority w:val="39"/>
    <w:unhideWhenUsed/>
    <w:qFormat/>
    <w:pPr>
      <w:ind w:left="2268" w:right="0" w:firstLine="0"/>
      <w:spacing w:after="57"/>
    </w:pPr>
    <w:rPr>
      <w:rFonts w:hint="default" w:ascii="Times New Roman" w:hAnsi="Times New Roman" w:eastAsia="宋体" w:cs="Times New Roman"/>
    </w:rPr>
  </w:style>
  <w:style w:type="paragraph" w:styleId="893">
    <w:name w:val="Normal (Web)"/>
    <w:basedOn w:val="857"/>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894">
    <w:name w:val="Title"/>
    <w:link w:val="944"/>
    <w:uiPriority w:val="10"/>
    <w:qFormat/>
    <w:pPr>
      <w:contextualSpacing/>
      <w:spacing w:before="300" w:after="200"/>
    </w:pPr>
    <w:rPr>
      <w:rFonts w:hint="default" w:ascii="Times New Roman" w:hAnsi="Times New Roman" w:eastAsia="宋体" w:cs="Times New Roman"/>
      <w:sz w:val="48"/>
      <w:szCs w:val="48"/>
    </w:rPr>
  </w:style>
  <w:style w:type="table" w:styleId="8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6">
    <w:name w:val="endnote reference"/>
    <w:uiPriority w:val="99"/>
    <w:semiHidden/>
    <w:unhideWhenUsed/>
    <w:qFormat/>
    <w:rPr>
      <w:vertAlign w:val="superscript"/>
    </w:rPr>
  </w:style>
  <w:style w:type="character" w:styleId="897">
    <w:name w:val="Hyperlink"/>
    <w:uiPriority w:val="99"/>
    <w:unhideWhenUsed/>
    <w:qFormat/>
    <w:rPr>
      <w:color w:val="0000ff" w:themeColor="hyperlink"/>
      <w:u w:val="single"/>
      <w14:textFill>
        <w14:solidFill>
          <w14:schemeClr w14:val="hlink"/>
        </w14:solidFill>
      </w14:textFill>
    </w:rPr>
  </w:style>
  <w:style w:type="character" w:styleId="898">
    <w:name w:val="annotation reference"/>
    <w:uiPriority w:val="0"/>
    <w:qFormat/>
    <w:rPr>
      <w:sz w:val="21"/>
      <w:szCs w:val="21"/>
    </w:rPr>
  </w:style>
  <w:style w:type="character" w:styleId="899">
    <w:name w:val="footnote reference"/>
    <w:uiPriority w:val="99"/>
    <w:unhideWhenUsed/>
    <w:qFormat/>
    <w:rPr>
      <w:vertAlign w:val="superscript"/>
    </w:rPr>
  </w:style>
  <w:style w:type="paragraph" w:styleId="900" w:customStyle="1">
    <w:name w:val="文本块12"/>
    <w:uiPriority w:val="6"/>
    <w:qFormat/>
    <w:pPr>
      <w:ind w:left="256" w:right="6" w:firstLine="624"/>
      <w:jc w:val="both"/>
      <w:widowControl w:val="off"/>
    </w:pPr>
    <w:rPr>
      <w:rFonts w:hint="default" w:ascii="Times New Roman" w:hAnsi="Times New Roman" w:eastAsia="仿宋" w:cs="Times New Roman"/>
      <w:sz w:val="28"/>
    </w:rPr>
  </w:style>
  <w:style w:type="paragraph" w:styleId="901" w:customStyle="1">
    <w:name w:val="一级条标题"/>
    <w:basedOn w:val="902"/>
    <w:next w:val="911"/>
    <w:link w:val="109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2" w:customStyle="1">
    <w:name w:val="章标题"/>
    <w:next w:val="903"/>
    <w:link w:val="109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03" w:customStyle="1">
    <w:name w:val="正文1"/>
    <w:basedOn w:val="904"/>
    <w:next w:val="910"/>
    <w:link w:val="1099"/>
    <w:uiPriority w:val="0"/>
    <w:qFormat/>
    <w:pPr>
      <w:jc w:val="left"/>
      <w:spacing w:line="360" w:lineRule="atLeast"/>
    </w:pPr>
    <w:rPr>
      <w:rFonts w:ascii="宋体"/>
      <w:sz w:val="24"/>
      <w:szCs w:val="20"/>
    </w:rPr>
  </w:style>
  <w:style w:type="paragraph" w:styleId="904" w:customStyle="1">
    <w:name w:val="正文11"/>
    <w:next w:val="905"/>
    <w:link w:val="13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5" w:customStyle="1">
    <w:name w:val="文本块1"/>
    <w:basedOn w:val="906"/>
    <w:next w:val="907"/>
    <w:uiPriority w:val="0"/>
    <w:qFormat/>
    <w:pPr>
      <w:ind w:left="256" w:right="6" w:firstLine="624"/>
    </w:pPr>
    <w:rPr>
      <w:rFonts w:ascii="Times New Roman" w:hAnsi="Times New Roman" w:eastAsia="仿宋_GB2312"/>
      <w:sz w:val="28"/>
      <w:szCs w:val="20"/>
    </w:rPr>
  </w:style>
  <w:style w:type="paragraph" w:styleId="906" w:customStyle="1">
    <w:name w:val="正文111"/>
    <w:next w:val="857"/>
    <w:link w:val="11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7" w:customStyle="1">
    <w:name w:val="标题 41"/>
    <w:basedOn w:val="908"/>
    <w:next w:val="904"/>
    <w:link w:val="1106"/>
    <w:uiPriority w:val="0"/>
    <w:qFormat/>
    <w:pPr>
      <w:keepLines/>
      <w:keepNext/>
      <w:spacing w:before="280" w:after="290" w:line="376" w:lineRule="auto"/>
      <w:outlineLvl w:val="3"/>
    </w:pPr>
    <w:rPr>
      <w:rFonts w:ascii="Cambria" w:hAnsi="Cambria"/>
      <w:b/>
      <w:bCs/>
      <w:sz w:val="28"/>
      <w:szCs w:val="28"/>
    </w:rPr>
  </w:style>
  <w:style w:type="paragraph" w:styleId="908" w:customStyle="1">
    <w:name w:val="正文1111"/>
    <w:next w:val="909"/>
    <w:uiPriority w:val="0"/>
    <w:qFormat/>
    <w:pPr>
      <w:jc w:val="both"/>
      <w:widowControl w:val="off"/>
    </w:pPr>
    <w:rPr>
      <w:rFonts w:hint="default" w:ascii="Times New Roman" w:hAnsi="Times New Roman" w:eastAsia="宋体" w:cs="Times New Roman"/>
      <w:sz w:val="21"/>
      <w:szCs w:val="24"/>
    </w:rPr>
  </w:style>
  <w:style w:type="paragraph" w:styleId="909" w:customStyle="1">
    <w:name w:val="标题 211"/>
    <w:basedOn w:val="904"/>
    <w:next w:val="908"/>
    <w:uiPriority w:val="0"/>
    <w:qFormat/>
    <w:pPr>
      <w:keepLines/>
      <w:keepNext/>
      <w:spacing w:before="260" w:after="260" w:line="416" w:lineRule="auto"/>
      <w:outlineLvl w:val="1"/>
    </w:pPr>
    <w:rPr>
      <w:rFonts w:ascii="Cambria" w:hAnsi="Cambria"/>
      <w:b/>
      <w:bCs/>
      <w:sz w:val="32"/>
      <w:szCs w:val="32"/>
    </w:rPr>
  </w:style>
  <w:style w:type="paragraph" w:styleId="910" w:customStyle="1">
    <w:name w:val="标题 21"/>
    <w:basedOn w:val="903"/>
    <w:next w:val="904"/>
    <w:link w:val="110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11" w:customStyle="1">
    <w:name w:val="段"/>
    <w:basedOn w:val="912"/>
    <w:next w:val="903"/>
    <w:uiPriority w:val="0"/>
    <w:qFormat/>
    <w:pPr>
      <w:ind w:firstLine="200"/>
      <w:widowControl/>
    </w:pPr>
    <w:rPr>
      <w:rFonts w:ascii="宋体"/>
      <w:sz w:val="20"/>
      <w:szCs w:val="20"/>
    </w:rPr>
  </w:style>
  <w:style w:type="paragraph" w:styleId="912" w:customStyle="1">
    <w:name w:val="正文13"/>
    <w:next w:val="9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3" w:customStyle="1">
    <w:name w:val="正文首行缩进1"/>
    <w:basedOn w:val="906"/>
    <w:next w:val="914"/>
    <w:uiPriority w:val="0"/>
    <w:qFormat/>
    <w:pPr>
      <w:ind w:firstLine="200"/>
      <w:spacing w:line="360" w:lineRule="auto"/>
    </w:pPr>
    <w:rPr>
      <w:rFonts w:ascii="仿宋_GB2312" w:eastAsia="仿宋_GB2312"/>
      <w:sz w:val="30"/>
      <w:szCs w:val="30"/>
    </w:rPr>
  </w:style>
  <w:style w:type="paragraph" w:styleId="914" w:customStyle="1">
    <w:name w:val="正文首行缩进 211"/>
    <w:basedOn w:val="915"/>
    <w:next w:val="919"/>
    <w:uiPriority w:val="0"/>
    <w:qFormat/>
    <w:pPr>
      <w:ind w:firstLine="420"/>
      <w:tabs>
        <w:tab w:val="left" w:pos="0" w:leader="none"/>
        <w:tab w:val="left" w:pos="993" w:leader="none"/>
        <w:tab w:val="left" w:pos="1134" w:leader="none"/>
      </w:tabs>
    </w:pPr>
  </w:style>
  <w:style w:type="paragraph" w:styleId="915" w:customStyle="1">
    <w:name w:val="正文文本缩进11"/>
    <w:basedOn w:val="916"/>
    <w:next w:val="917"/>
    <w:uiPriority w:val="0"/>
    <w:qFormat/>
    <w:pPr>
      <w:ind w:firstLine="301"/>
      <w:spacing w:line="200" w:lineRule="exact"/>
    </w:pPr>
    <w:rPr>
      <w:rFonts w:ascii="宋体" w:hAnsi="Courier New"/>
      <w:spacing w:val="-4"/>
      <w:sz w:val="18"/>
      <w:szCs w:val="20"/>
    </w:rPr>
  </w:style>
  <w:style w:type="paragraph" w:styleId="916" w:customStyle="1">
    <w:name w:val="正文12"/>
    <w:next w:val="910"/>
    <w:uiPriority w:val="0"/>
    <w:qFormat/>
    <w:rPr>
      <w:rFonts w:hint="default" w:ascii="Times New Roman" w:hAnsi="Times New Roman" w:eastAsia="宋体" w:cs="Times New Roman"/>
      <w:lang w:val="en-US" w:eastAsia="zh-CN" w:bidi="ar-SA"/>
    </w:rPr>
  </w:style>
  <w:style w:type="paragraph" w:styleId="917" w:customStyle="1">
    <w:name w:val="样式 正文文本缩进 + 首行缩进:  2 字符 行距: 1.5 倍行距"/>
    <w:basedOn w:val="918"/>
    <w:uiPriority w:val="0"/>
    <w:qFormat/>
    <w:pPr>
      <w:ind w:firstLine="645"/>
      <w:jc w:val="both"/>
      <w:spacing w:before="156" w:after="120"/>
    </w:pPr>
    <w:rPr>
      <w:rFonts w:ascii="Calibri" w:hAnsi="Calibri"/>
      <w:sz w:val="28"/>
      <w:lang w:val="en-US" w:eastAsia="zh-CN"/>
    </w:rPr>
  </w:style>
  <w:style w:type="paragraph" w:styleId="918" w:customStyle="1">
    <w:name w:val="正文文本缩进1"/>
    <w:basedOn w:val="904"/>
    <w:uiPriority w:val="0"/>
    <w:qFormat/>
    <w:pPr>
      <w:ind w:left="420"/>
      <w:spacing w:after="120"/>
    </w:pPr>
  </w:style>
  <w:style w:type="paragraph" w:styleId="919" w:customStyle="1">
    <w:name w:val="正文112"/>
    <w:next w:val="913"/>
    <w:link w:val="12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0" w:customStyle="1">
    <w:name w:val="目录 11"/>
    <w:basedOn w:val="916"/>
    <w:next w:val="904"/>
    <w:uiPriority w:val="0"/>
    <w:qFormat/>
    <w:pPr>
      <w:jc w:val="left"/>
      <w:spacing w:before="120" w:after="120"/>
    </w:pPr>
    <w:rPr>
      <w:rFonts w:ascii="Calibri" w:hAnsi="Calibri"/>
      <w:b/>
      <w:bCs/>
      <w:caps/>
      <w:sz w:val="20"/>
      <w:szCs w:val="20"/>
    </w:rPr>
  </w:style>
  <w:style w:type="paragraph" w:styleId="921" w:customStyle="1">
    <w:name w:val="脚注文本1"/>
    <w:basedOn w:val="903"/>
    <w:next w:val="922"/>
    <w:uiPriority w:val="0"/>
    <w:qFormat/>
    <w:pPr>
      <w:jc w:val="left"/>
    </w:pPr>
    <w:rPr>
      <w:rFonts w:ascii="宋体" w:eastAsia="Times New Roman"/>
      <w:sz w:val="18"/>
      <w:szCs w:val="18"/>
    </w:rPr>
  </w:style>
  <w:style w:type="paragraph" w:styleId="922" w:customStyle="1">
    <w:name w:val="索引 51"/>
    <w:basedOn w:val="906"/>
    <w:next w:val="903"/>
    <w:uiPriority w:val="0"/>
    <w:qFormat/>
    <w:pPr>
      <w:ind w:left="800"/>
    </w:pPr>
    <w:rPr>
      <w:rFonts w:ascii="Calibri" w:hAnsi="Calibri"/>
      <w:sz w:val="22"/>
      <w:szCs w:val="22"/>
    </w:rPr>
  </w:style>
  <w:style w:type="paragraph" w:styleId="923" w:customStyle="1">
    <w:name w:val="正文文本11"/>
    <w:basedOn w:val="919"/>
    <w:next w:val="911"/>
    <w:uiPriority w:val="0"/>
    <w:qFormat/>
    <w:pPr>
      <w:spacing w:after="120"/>
    </w:pPr>
  </w:style>
  <w:style w:type="paragraph" w:styleId="924" w:customStyle="1">
    <w:name w:val="正文首行缩进11"/>
    <w:basedOn w:val="925"/>
    <w:next w:val="914"/>
    <w:link w:val="1100"/>
    <w:uiPriority w:val="0"/>
    <w:qFormat/>
    <w:pPr>
      <w:ind w:firstLine="200"/>
      <w:spacing w:line="360" w:lineRule="auto"/>
    </w:pPr>
    <w:rPr>
      <w:rFonts w:ascii="仿宋_GB2312" w:hAnsi="Calibri" w:eastAsia="仿宋_GB2312"/>
      <w:sz w:val="30"/>
      <w:szCs w:val="30"/>
    </w:rPr>
  </w:style>
  <w:style w:type="paragraph" w:styleId="925" w:customStyle="1">
    <w:name w:val="正文文本1"/>
    <w:basedOn w:val="912"/>
    <w:next w:val="903"/>
    <w:link w:val="1096"/>
    <w:uiPriority w:val="0"/>
    <w:qFormat/>
    <w:rPr>
      <w:rFonts w:ascii="楷体_GB2312" w:hAnsi="Arial" w:eastAsia="楷体_GB2312"/>
      <w:sz w:val="28"/>
      <w:szCs w:val="28"/>
    </w:rPr>
  </w:style>
  <w:style w:type="paragraph" w:styleId="926" w:customStyle="1">
    <w:name w:val="寄信人地址11"/>
    <w:basedOn w:val="857"/>
    <w:uiPriority w:val="0"/>
    <w:qFormat/>
    <w:rPr>
      <w:rFonts w:ascii="Arial" w:hAnsi="Arial"/>
    </w:rPr>
  </w:style>
  <w:style w:type="paragraph" w:styleId="927" w:customStyle="1">
    <w:name w:val="正文首行缩进 21"/>
    <w:basedOn w:val="918"/>
    <w:uiPriority w:val="0"/>
    <w:qFormat/>
    <w:pPr>
      <w:ind w:left="0" w:firstLine="420"/>
      <w:spacing w:after="0" w:line="360" w:lineRule="auto"/>
    </w:pPr>
    <w:rPr>
      <w:rFonts w:ascii="宋体" w:hAnsi="宋体"/>
    </w:rPr>
  </w:style>
  <w:style w:type="paragraph" w:styleId="928" w:customStyle="1">
    <w:name w:val="寄信人地址1"/>
    <w:basedOn w:val="916"/>
    <w:uiPriority w:val="0"/>
    <w:qFormat/>
    <w:rPr>
      <w:rFonts w:ascii="Arial" w:hAnsi="Arial"/>
    </w:rPr>
  </w:style>
  <w:style w:type="paragraph" w:styleId="929" w:customStyle="1">
    <w:name w:val="文本块11"/>
    <w:basedOn w:val="930"/>
    <w:uiPriority w:val="0"/>
    <w:qFormat/>
    <w:pPr>
      <w:ind w:left="256" w:right="6" w:firstLine="624"/>
    </w:pPr>
    <w:rPr>
      <w:rFonts w:ascii="Arial" w:hAnsi="Arial" w:eastAsia="仿宋"/>
      <w:sz w:val="28"/>
    </w:rPr>
  </w:style>
  <w:style w:type="paragraph" w:styleId="930" w:customStyle="1">
    <w:name w:val="正文121"/>
    <w:next w:val="914"/>
    <w:uiPriority w:val="0"/>
    <w:qFormat/>
    <w:pPr>
      <w:jc w:val="both"/>
      <w:widowControl w:val="off"/>
    </w:pPr>
    <w:rPr>
      <w:rFonts w:hint="default" w:ascii="Times New Roman" w:hAnsi="Times New Roman" w:eastAsia="宋体" w:cs="Times New Roman"/>
      <w:sz w:val="21"/>
      <w:szCs w:val="24"/>
    </w:rPr>
  </w:style>
  <w:style w:type="paragraph" w:styleId="931" w:customStyle="1">
    <w:name w:val="正文文本缩进111"/>
    <w:basedOn w:val="930"/>
    <w:next w:val="917"/>
    <w:uiPriority w:val="0"/>
    <w:qFormat/>
    <w:pPr>
      <w:ind w:firstLine="538"/>
      <w:jc w:val="left"/>
    </w:pPr>
    <w:rPr>
      <w:sz w:val="28"/>
      <w:lang w:val="en-US" w:eastAsia="en-US"/>
    </w:rPr>
  </w:style>
  <w:style w:type="paragraph" w:styleId="932" w:customStyle="1">
    <w:name w:val="标题 111"/>
    <w:basedOn w:val="904"/>
    <w:next w:val="904"/>
    <w:uiPriority w:val="0"/>
    <w:qFormat/>
    <w:pPr>
      <w:jc w:val="center"/>
      <w:keepLines/>
      <w:keepNext/>
      <w:spacing w:line="578" w:lineRule="auto"/>
      <w:outlineLvl w:val="0"/>
    </w:pPr>
    <w:rPr>
      <w:rFonts w:eastAsia="新宋体"/>
      <w:b/>
      <w:bCs/>
      <w:sz w:val="30"/>
      <w:szCs w:val="44"/>
    </w:rPr>
  </w:style>
  <w:style w:type="character" w:styleId="933" w:customStyle="1">
    <w:name w:val="Heading 1 Char"/>
    <w:link w:val="858"/>
    <w:uiPriority w:val="9"/>
    <w:qFormat/>
    <w:rPr>
      <w:rFonts w:ascii="Arial" w:hAnsi="Arial" w:eastAsia="Arial" w:cs="Arial"/>
      <w:sz w:val="40"/>
      <w:szCs w:val="40"/>
    </w:rPr>
  </w:style>
  <w:style w:type="character" w:styleId="934" w:customStyle="1">
    <w:name w:val="Heading 2 Char"/>
    <w:link w:val="859"/>
    <w:uiPriority w:val="9"/>
    <w:qFormat/>
    <w:rPr>
      <w:rFonts w:ascii="Arial" w:hAnsi="Arial" w:eastAsia="Arial" w:cs="Arial"/>
      <w:sz w:val="34"/>
    </w:rPr>
  </w:style>
  <w:style w:type="character" w:styleId="935" w:customStyle="1">
    <w:name w:val="Heading 3 Char"/>
    <w:link w:val="860"/>
    <w:uiPriority w:val="9"/>
    <w:qFormat/>
    <w:rPr>
      <w:rFonts w:ascii="Arial" w:hAnsi="Arial" w:eastAsia="Arial" w:cs="Arial"/>
      <w:sz w:val="30"/>
      <w:szCs w:val="30"/>
    </w:rPr>
  </w:style>
  <w:style w:type="character" w:styleId="936" w:customStyle="1">
    <w:name w:val="Heading 4 Char"/>
    <w:link w:val="861"/>
    <w:uiPriority w:val="9"/>
    <w:qFormat/>
    <w:rPr>
      <w:rFonts w:ascii="Arial" w:hAnsi="Arial" w:eastAsia="Arial" w:cs="Arial"/>
      <w:b/>
      <w:bCs/>
      <w:sz w:val="26"/>
      <w:szCs w:val="26"/>
    </w:rPr>
  </w:style>
  <w:style w:type="character" w:styleId="937" w:customStyle="1">
    <w:name w:val="Heading 5 Char"/>
    <w:link w:val="862"/>
    <w:uiPriority w:val="9"/>
    <w:qFormat/>
    <w:rPr>
      <w:rFonts w:ascii="Arial" w:hAnsi="Arial" w:eastAsia="Arial" w:cs="Arial"/>
      <w:b/>
      <w:bCs/>
      <w:sz w:val="24"/>
      <w:szCs w:val="24"/>
    </w:rPr>
  </w:style>
  <w:style w:type="character" w:styleId="938" w:customStyle="1">
    <w:name w:val="Heading 6 Char"/>
    <w:link w:val="863"/>
    <w:uiPriority w:val="9"/>
    <w:qFormat/>
    <w:rPr>
      <w:rFonts w:ascii="Arial" w:hAnsi="Arial" w:eastAsia="Arial" w:cs="Arial"/>
      <w:b/>
      <w:bCs/>
      <w:sz w:val="22"/>
      <w:szCs w:val="22"/>
    </w:rPr>
  </w:style>
  <w:style w:type="character" w:styleId="939" w:customStyle="1">
    <w:name w:val="Heading 7 Char"/>
    <w:link w:val="864"/>
    <w:uiPriority w:val="9"/>
    <w:qFormat/>
    <w:rPr>
      <w:rFonts w:ascii="Arial" w:hAnsi="Arial" w:eastAsia="Arial" w:cs="Arial"/>
      <w:b/>
      <w:bCs/>
      <w:i/>
      <w:iCs/>
      <w:sz w:val="22"/>
      <w:szCs w:val="22"/>
    </w:rPr>
  </w:style>
  <w:style w:type="character" w:styleId="940" w:customStyle="1">
    <w:name w:val="Heading 8 Char"/>
    <w:link w:val="865"/>
    <w:uiPriority w:val="9"/>
    <w:qFormat/>
    <w:rPr>
      <w:rFonts w:ascii="Arial" w:hAnsi="Arial" w:eastAsia="Arial" w:cs="Arial"/>
      <w:i/>
      <w:iCs/>
      <w:sz w:val="22"/>
      <w:szCs w:val="22"/>
    </w:rPr>
  </w:style>
  <w:style w:type="character" w:styleId="941" w:customStyle="1">
    <w:name w:val="Heading 9 Char"/>
    <w:link w:val="866"/>
    <w:uiPriority w:val="9"/>
    <w:qFormat/>
    <w:rPr>
      <w:rFonts w:ascii="Arial" w:hAnsi="Arial" w:eastAsia="Arial" w:cs="Arial"/>
      <w:i/>
      <w:iCs/>
      <w:sz w:val="21"/>
      <w:szCs w:val="21"/>
    </w:rPr>
  </w:style>
  <w:style w:type="paragraph" w:styleId="942">
    <w:name w:val="List Paragraph"/>
    <w:uiPriority w:val="34"/>
    <w:qFormat/>
    <w:pPr>
      <w:contextualSpacing/>
      <w:ind w:left="720"/>
    </w:pPr>
    <w:rPr>
      <w:rFonts w:hint="default" w:ascii="Times New Roman" w:hAnsi="Times New Roman" w:eastAsia="宋体" w:cs="Times New Roman"/>
    </w:rPr>
  </w:style>
  <w:style w:type="paragraph" w:styleId="943">
    <w:name w:val="No Spacing"/>
    <w:uiPriority w:val="1"/>
    <w:qFormat/>
    <w:pPr>
      <w:spacing w:before="0" w:after="0" w:line="240" w:lineRule="auto"/>
    </w:pPr>
    <w:rPr>
      <w:rFonts w:hint="default" w:ascii="Times New Roman" w:hAnsi="Times New Roman" w:eastAsia="宋体" w:cs="Times New Roman"/>
    </w:rPr>
  </w:style>
  <w:style w:type="character" w:styleId="944" w:customStyle="1">
    <w:name w:val="Title Char"/>
    <w:link w:val="894"/>
    <w:uiPriority w:val="10"/>
    <w:qFormat/>
    <w:rPr>
      <w:sz w:val="48"/>
      <w:szCs w:val="48"/>
    </w:rPr>
  </w:style>
  <w:style w:type="character" w:styleId="945" w:customStyle="1">
    <w:name w:val="Subtitle Char"/>
    <w:link w:val="887"/>
    <w:uiPriority w:val="11"/>
    <w:qFormat/>
    <w:rPr>
      <w:sz w:val="24"/>
      <w:szCs w:val="24"/>
    </w:rPr>
  </w:style>
  <w:style w:type="paragraph" w:styleId="946">
    <w:name w:val="Quote"/>
    <w:link w:val="947"/>
    <w:uiPriority w:val="29"/>
    <w:qFormat/>
    <w:pPr>
      <w:ind w:left="720" w:right="720"/>
    </w:pPr>
    <w:rPr>
      <w:rFonts w:hint="default" w:ascii="Times New Roman" w:hAnsi="Times New Roman" w:eastAsia="宋体" w:cs="Times New Roman"/>
      <w:i/>
    </w:rPr>
  </w:style>
  <w:style w:type="character" w:styleId="947" w:customStyle="1">
    <w:name w:val="Quote Char"/>
    <w:link w:val="946"/>
    <w:uiPriority w:val="29"/>
    <w:qFormat/>
    <w:rPr>
      <w:i/>
    </w:rPr>
  </w:style>
  <w:style w:type="paragraph" w:styleId="948">
    <w:name w:val="Intense Quote"/>
    <w:link w:val="9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49" w:customStyle="1">
    <w:name w:val="Intense Quote Char"/>
    <w:link w:val="948"/>
    <w:uiPriority w:val="30"/>
    <w:qFormat/>
    <w:rPr>
      <w:i/>
    </w:rPr>
  </w:style>
  <w:style w:type="character" w:styleId="950" w:customStyle="1">
    <w:name w:val="Header Char"/>
    <w:link w:val="884"/>
    <w:uiPriority w:val="99"/>
    <w:qFormat/>
  </w:style>
  <w:style w:type="character" w:styleId="951" w:customStyle="1">
    <w:name w:val="Footer Char"/>
    <w:link w:val="883"/>
    <w:uiPriority w:val="99"/>
    <w:qFormat/>
  </w:style>
  <w:style w:type="character" w:styleId="952" w:customStyle="1">
    <w:name w:val="Caption Char"/>
    <w:link w:val="883"/>
    <w:uiPriority w:val="99"/>
    <w:qFormat/>
  </w:style>
  <w:style w:type="table" w:styleId="95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8" w:customStyle="1">
    <w:name w:val="Footnote Text Char"/>
    <w:link w:val="888"/>
    <w:uiPriority w:val="99"/>
    <w:qFormat/>
    <w:rPr>
      <w:sz w:val="18"/>
    </w:rPr>
  </w:style>
  <w:style w:type="character" w:styleId="1079" w:customStyle="1">
    <w:name w:val="Endnote Text Char"/>
    <w:link w:val="882"/>
    <w:uiPriority w:val="99"/>
    <w:qFormat/>
    <w:rPr>
      <w:sz w:val="20"/>
    </w:rPr>
  </w:style>
  <w:style w:type="paragraph" w:styleId="1080" w:customStyle="1">
    <w:name w:val="TOC Heading"/>
    <w:uiPriority w:val="39"/>
    <w:unhideWhenUsed/>
    <w:qFormat/>
    <w:rPr>
      <w:rFonts w:hint="default" w:ascii="Times New Roman" w:hAnsi="Times New Roman" w:eastAsia="宋体" w:cs="Times New Roman"/>
    </w:rPr>
  </w:style>
  <w:style w:type="paragraph" w:styleId="1081" w:customStyle="1">
    <w:name w:val="正文文本12"/>
    <w:basedOn w:val="919"/>
    <w:next w:val="907"/>
    <w:uiPriority w:val="0"/>
    <w:qFormat/>
    <w:pPr>
      <w:spacing w:after="120"/>
    </w:pPr>
  </w:style>
  <w:style w:type="paragraph" w:styleId="1082" w:customStyle="1">
    <w:name w:val="正文首行缩进 22"/>
    <w:basedOn w:val="1083"/>
    <w:next w:val="919"/>
    <w:uiPriority w:val="0"/>
    <w:qFormat/>
    <w:pPr>
      <w:ind w:left="0" w:firstLine="420"/>
      <w:spacing w:after="0" w:line="360" w:lineRule="auto"/>
    </w:pPr>
    <w:rPr>
      <w:rFonts w:ascii="宋体" w:hAnsi="宋体"/>
      <w:sz w:val="20"/>
      <w:szCs w:val="20"/>
    </w:rPr>
  </w:style>
  <w:style w:type="paragraph" w:styleId="1083" w:customStyle="1">
    <w:name w:val="正文文本缩进2"/>
    <w:basedOn w:val="919"/>
    <w:link w:val="1101"/>
    <w:uiPriority w:val="0"/>
    <w:qFormat/>
    <w:pPr>
      <w:ind w:left="420"/>
      <w:spacing w:after="120"/>
    </w:pPr>
  </w:style>
  <w:style w:type="paragraph" w:styleId="1084" w:customStyle="1">
    <w:name w:val="列出段落1"/>
    <w:basedOn w:val="1085"/>
    <w:next w:val="1086"/>
    <w:link w:val="1165"/>
    <w:uiPriority w:val="0"/>
    <w:qFormat/>
    <w:pPr>
      <w:ind w:left="480"/>
      <w:jc w:val="left"/>
    </w:pPr>
    <w:rPr>
      <w:rFonts w:eastAsia="PMingLiU"/>
      <w:sz w:val="24"/>
      <w:szCs w:val="20"/>
      <w:lang w:eastAsia="zh-TW"/>
    </w:rPr>
  </w:style>
  <w:style w:type="paragraph" w:styleId="1085" w:customStyle="1">
    <w:name w:val="正文_10_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6" w:customStyle="1">
    <w:name w:val="标题 71"/>
    <w:basedOn w:val="919"/>
    <w:next w:val="919"/>
    <w:link w:val="1109"/>
    <w:uiPriority w:val="0"/>
    <w:qFormat/>
    <w:pPr>
      <w:numPr>
        <w:ilvl w:val="6"/>
        <w:numId w:val="2"/>
      </w:numPr>
      <w:keepLines/>
      <w:keepNext/>
      <w:spacing w:before="240" w:after="64" w:line="320" w:lineRule="auto"/>
      <w:outlineLvl w:val="6"/>
    </w:pPr>
    <w:rPr>
      <w:b/>
      <w:bCs/>
      <w:sz w:val="24"/>
    </w:rPr>
  </w:style>
  <w:style w:type="paragraph" w:styleId="1087" w:customStyle="1">
    <w:name w:val="标题 11"/>
    <w:basedOn w:val="906"/>
    <w:next w:val="906"/>
    <w:link w:val="1102"/>
    <w:uiPriority w:val="0"/>
    <w:qFormat/>
    <w:pPr>
      <w:keepLines/>
      <w:keepNext/>
      <w:spacing w:before="340" w:after="330" w:line="578" w:lineRule="atLeast"/>
      <w:outlineLvl w:val="0"/>
    </w:pPr>
    <w:rPr>
      <w:rFonts w:eastAsia="方正仿宋_GBK"/>
      <w:b/>
      <w:sz w:val="44"/>
      <w:szCs w:val="20"/>
    </w:rPr>
  </w:style>
  <w:style w:type="paragraph" w:styleId="1088" w:customStyle="1">
    <w:name w:val="标题 31"/>
    <w:basedOn w:val="919"/>
    <w:next w:val="904"/>
    <w:link w:val="1104"/>
    <w:uiPriority w:val="0"/>
    <w:qFormat/>
    <w:pPr>
      <w:keepLines/>
      <w:keepNext/>
      <w:spacing w:before="260" w:after="260" w:line="416" w:lineRule="auto"/>
      <w:outlineLvl w:val="2"/>
    </w:pPr>
    <w:rPr>
      <w:b/>
      <w:bCs/>
      <w:sz w:val="24"/>
      <w:szCs w:val="32"/>
    </w:rPr>
  </w:style>
  <w:style w:type="paragraph" w:styleId="1089" w:customStyle="1">
    <w:name w:val="正文缩进1"/>
    <w:basedOn w:val="919"/>
    <w:link w:val="1105"/>
    <w:uiPriority w:val="0"/>
    <w:qFormat/>
    <w:pPr>
      <w:ind w:firstLine="420"/>
    </w:pPr>
  </w:style>
  <w:style w:type="paragraph" w:styleId="1090" w:customStyle="1">
    <w:name w:val="标题 51"/>
    <w:basedOn w:val="919"/>
    <w:next w:val="919"/>
    <w:link w:val="1107"/>
    <w:uiPriority w:val="0"/>
    <w:qFormat/>
    <w:pPr>
      <w:keepLines/>
      <w:keepNext/>
      <w:spacing w:before="280" w:after="290" w:line="376" w:lineRule="auto"/>
      <w:outlineLvl w:val="4"/>
    </w:pPr>
    <w:rPr>
      <w:b/>
      <w:bCs/>
      <w:sz w:val="28"/>
      <w:szCs w:val="28"/>
    </w:rPr>
  </w:style>
  <w:style w:type="paragraph" w:styleId="1091" w:customStyle="1">
    <w:name w:val="标题 61"/>
    <w:basedOn w:val="919"/>
    <w:next w:val="919"/>
    <w:link w:val="1108"/>
    <w:uiPriority w:val="0"/>
    <w:qFormat/>
    <w:pPr>
      <w:numPr>
        <w:ilvl w:val="5"/>
        <w:numId w:val="2"/>
      </w:numPr>
      <w:keepLines/>
      <w:keepNext/>
      <w:spacing w:before="240" w:after="64" w:line="320" w:lineRule="auto"/>
      <w:outlineLvl w:val="5"/>
    </w:pPr>
    <w:rPr>
      <w:rFonts w:ascii="Arial" w:hAnsi="Arial" w:eastAsia="黑体"/>
      <w:b/>
      <w:bCs/>
      <w:sz w:val="24"/>
    </w:rPr>
  </w:style>
  <w:style w:type="paragraph" w:styleId="1092" w:customStyle="1">
    <w:name w:val="标题 81"/>
    <w:basedOn w:val="919"/>
    <w:next w:val="919"/>
    <w:link w:val="1110"/>
    <w:uiPriority w:val="0"/>
    <w:qFormat/>
    <w:pPr>
      <w:numPr>
        <w:ilvl w:val="7"/>
        <w:numId w:val="2"/>
      </w:numPr>
      <w:keepLines/>
      <w:keepNext/>
      <w:spacing w:before="240" w:after="64" w:line="320" w:lineRule="auto"/>
      <w:outlineLvl w:val="7"/>
    </w:pPr>
    <w:rPr>
      <w:rFonts w:ascii="Arial" w:hAnsi="Arial" w:eastAsia="黑体"/>
      <w:sz w:val="24"/>
    </w:rPr>
  </w:style>
  <w:style w:type="paragraph" w:styleId="1093" w:customStyle="1">
    <w:name w:val="标题 91"/>
    <w:basedOn w:val="919"/>
    <w:next w:val="919"/>
    <w:link w:val="1111"/>
    <w:uiPriority w:val="0"/>
    <w:qFormat/>
    <w:pPr>
      <w:numPr>
        <w:ilvl w:val="8"/>
        <w:numId w:val="2"/>
      </w:numPr>
      <w:keepLines/>
      <w:keepNext/>
      <w:spacing w:before="240" w:after="64" w:line="320" w:lineRule="auto"/>
      <w:outlineLvl w:val="8"/>
    </w:pPr>
    <w:rPr>
      <w:rFonts w:ascii="Arial" w:hAnsi="Arial" w:eastAsia="黑体"/>
      <w:sz w:val="21"/>
      <w:szCs w:val="21"/>
    </w:rPr>
  </w:style>
  <w:style w:type="character" w:styleId="1094" w:customStyle="1">
    <w:name w:val="默认段落字体1"/>
    <w:link w:val="919"/>
    <w:uiPriority w:val="0"/>
    <w:semiHidden/>
    <w:qFormat/>
  </w:style>
  <w:style w:type="table" w:styleId="1095" w:customStyle="1">
    <w:name w:val="普通表格1"/>
    <w:uiPriority w:val="0"/>
    <w:semiHidden/>
    <w:qFormat/>
    <w:tblPr/>
  </w:style>
  <w:style w:type="character" w:styleId="1096" w:customStyle="1">
    <w:name w:val="正文文本 Char"/>
    <w:link w:val="925"/>
    <w:uiPriority w:val="0"/>
    <w:qFormat/>
    <w:rPr>
      <w:rFonts w:ascii="楷体_GB2312" w:hAnsi="Arial" w:eastAsia="楷体_GB2312"/>
      <w:sz w:val="28"/>
      <w:szCs w:val="28"/>
      <w:lang w:bidi="ar-SA"/>
    </w:rPr>
  </w:style>
  <w:style w:type="character" w:styleId="1097" w:customStyle="1">
    <w:name w:val="章标题 Char"/>
    <w:link w:val="902"/>
    <w:uiPriority w:val="0"/>
    <w:qFormat/>
    <w:rPr>
      <w:rFonts w:ascii="黑体" w:eastAsia="黑体"/>
      <w:sz w:val="21"/>
      <w:szCs w:val="22"/>
      <w:lang w:val="en-US" w:eastAsia="zh-CN" w:bidi="ar-SA"/>
    </w:rPr>
  </w:style>
  <w:style w:type="character" w:styleId="1098" w:customStyle="1">
    <w:name w:val="一级条标题 Char"/>
    <w:link w:val="901"/>
    <w:uiPriority w:val="0"/>
    <w:qFormat/>
    <w:rPr>
      <w:rFonts w:ascii="黑体" w:hAnsi="宋体" w:eastAsia="黑体"/>
      <w:lang w:bidi="ar-SA"/>
    </w:rPr>
  </w:style>
  <w:style w:type="character" w:styleId="1099" w:customStyle="1">
    <w:name w:val="正文1 Char"/>
    <w:link w:val="903"/>
    <w:uiPriority w:val="0"/>
    <w:qFormat/>
    <w:rPr>
      <w:rFonts w:ascii="宋体"/>
      <w:sz w:val="24"/>
      <w:lang w:bidi="ar-SA"/>
    </w:rPr>
  </w:style>
  <w:style w:type="character" w:styleId="1100" w:customStyle="1">
    <w:name w:val="正文首行缩进 Char"/>
    <w:link w:val="924"/>
    <w:uiPriority w:val="0"/>
    <w:qFormat/>
    <w:rPr>
      <w:rFonts w:ascii="仿宋_GB2312" w:eastAsia="仿宋_GB2312"/>
      <w:sz w:val="30"/>
      <w:szCs w:val="30"/>
      <w:lang w:bidi="ar-SA"/>
    </w:rPr>
  </w:style>
  <w:style w:type="character" w:styleId="1101" w:customStyle="1">
    <w:name w:val="正文文本缩进 Char"/>
    <w:link w:val="1083"/>
    <w:uiPriority w:val="0"/>
    <w:qFormat/>
    <w:rPr>
      <w:sz w:val="21"/>
      <w:szCs w:val="24"/>
    </w:rPr>
  </w:style>
  <w:style w:type="character" w:styleId="1102" w:customStyle="1">
    <w:name w:val="标题 1 Char"/>
    <w:link w:val="1087"/>
    <w:uiPriority w:val="0"/>
    <w:qFormat/>
    <w:rPr>
      <w:rFonts w:eastAsia="方正仿宋_GBK"/>
      <w:b/>
      <w:sz w:val="44"/>
      <w:lang w:val="en-US" w:eastAsia="zh-CN" w:bidi="ar-SA"/>
    </w:rPr>
  </w:style>
  <w:style w:type="character" w:styleId="1103" w:customStyle="1">
    <w:name w:val="标题 2 Char"/>
    <w:link w:val="910"/>
    <w:uiPriority w:val="0"/>
    <w:qFormat/>
    <w:rPr>
      <w:rFonts w:ascii="Cambria" w:hAnsi="Cambria"/>
      <w:b/>
      <w:bCs/>
      <w:sz w:val="28"/>
      <w:szCs w:val="32"/>
    </w:rPr>
  </w:style>
  <w:style w:type="character" w:styleId="1104" w:customStyle="1">
    <w:name w:val="标题 3 Char"/>
    <w:link w:val="1088"/>
    <w:uiPriority w:val="0"/>
    <w:qFormat/>
    <w:rPr>
      <w:rFonts w:eastAsia="宋体"/>
      <w:b/>
      <w:bCs/>
      <w:sz w:val="24"/>
      <w:szCs w:val="32"/>
      <w:lang w:val="en-US" w:eastAsia="zh-CN" w:bidi="ar-SA"/>
    </w:rPr>
  </w:style>
  <w:style w:type="character" w:styleId="1105" w:customStyle="1">
    <w:name w:val="正文缩进 Char"/>
    <w:link w:val="1089"/>
    <w:uiPriority w:val="0"/>
    <w:qFormat/>
    <w:rPr>
      <w:rFonts w:eastAsia="宋体"/>
      <w:sz w:val="21"/>
      <w:szCs w:val="24"/>
      <w:lang w:val="en-US" w:eastAsia="zh-CN" w:bidi="ar-SA"/>
    </w:rPr>
  </w:style>
  <w:style w:type="character" w:styleId="1106" w:customStyle="1">
    <w:name w:val="标题 4 Char"/>
    <w:link w:val="907"/>
    <w:uiPriority w:val="0"/>
    <w:qFormat/>
    <w:rPr>
      <w:rFonts w:ascii="Cambria" w:hAnsi="Cambria" w:eastAsia="宋体"/>
      <w:b/>
      <w:bCs/>
      <w:sz w:val="28"/>
      <w:szCs w:val="28"/>
      <w:lang w:val="en-US" w:eastAsia="zh-CN" w:bidi="ar-SA"/>
    </w:rPr>
  </w:style>
  <w:style w:type="character" w:styleId="1107" w:customStyle="1">
    <w:name w:val="标题 5 Char"/>
    <w:link w:val="1090"/>
    <w:uiPriority w:val="0"/>
    <w:qFormat/>
    <w:rPr>
      <w:rFonts w:eastAsia="宋体"/>
      <w:b/>
      <w:bCs/>
      <w:sz w:val="28"/>
      <w:szCs w:val="28"/>
      <w:lang w:val="en-US" w:eastAsia="zh-CN" w:bidi="ar-SA"/>
    </w:rPr>
  </w:style>
  <w:style w:type="character" w:styleId="1108" w:customStyle="1">
    <w:name w:val="标题 6 Char"/>
    <w:link w:val="1091"/>
    <w:uiPriority w:val="0"/>
    <w:qFormat/>
    <w:rPr>
      <w:rFonts w:ascii="Arial" w:hAnsi="Arial" w:eastAsia="黑体"/>
      <w:b/>
      <w:bCs/>
      <w:sz w:val="24"/>
      <w:szCs w:val="24"/>
    </w:rPr>
  </w:style>
  <w:style w:type="character" w:styleId="1109" w:customStyle="1">
    <w:name w:val="标题 7 Char"/>
    <w:link w:val="1086"/>
    <w:uiPriority w:val="0"/>
    <w:qFormat/>
    <w:rPr>
      <w:b/>
      <w:bCs/>
      <w:sz w:val="24"/>
      <w:szCs w:val="24"/>
    </w:rPr>
  </w:style>
  <w:style w:type="character" w:styleId="1110" w:customStyle="1">
    <w:name w:val="标题 8 Char"/>
    <w:link w:val="1092"/>
    <w:uiPriority w:val="0"/>
    <w:qFormat/>
    <w:rPr>
      <w:rFonts w:ascii="Arial" w:hAnsi="Arial" w:eastAsia="黑体"/>
      <w:sz w:val="24"/>
      <w:szCs w:val="24"/>
    </w:rPr>
  </w:style>
  <w:style w:type="character" w:styleId="1111" w:customStyle="1">
    <w:name w:val="标题 9 Char"/>
    <w:link w:val="1093"/>
    <w:uiPriority w:val="0"/>
    <w:qFormat/>
    <w:rPr>
      <w:rFonts w:ascii="Arial" w:hAnsi="Arial" w:eastAsia="黑体"/>
      <w:sz w:val="21"/>
      <w:szCs w:val="21"/>
    </w:rPr>
  </w:style>
  <w:style w:type="paragraph" w:styleId="1112" w:customStyle="1">
    <w:name w:val="列表 31"/>
    <w:basedOn w:val="919"/>
    <w:link w:val="1113"/>
    <w:uiPriority w:val="0"/>
    <w:qFormat/>
    <w:pPr>
      <w:ind w:left="100" w:hanging="200"/>
    </w:pPr>
    <w:rPr>
      <w:bCs/>
      <w:sz w:val="24"/>
      <w:szCs w:val="32"/>
    </w:rPr>
  </w:style>
  <w:style w:type="character" w:styleId="1113" w:customStyle="1">
    <w:name w:val="列表 3 Char"/>
    <w:link w:val="1112"/>
    <w:uiPriority w:val="0"/>
    <w:qFormat/>
    <w:rPr>
      <w:rFonts w:eastAsia="宋体"/>
      <w:bCs/>
      <w:sz w:val="24"/>
      <w:szCs w:val="32"/>
      <w:lang w:val="en-US" w:eastAsia="zh-CN" w:bidi="ar-SA"/>
    </w:rPr>
  </w:style>
  <w:style w:type="paragraph" w:styleId="1114" w:customStyle="1">
    <w:name w:val="目录 71"/>
    <w:basedOn w:val="919"/>
    <w:next w:val="919"/>
    <w:uiPriority w:val="0"/>
    <w:qFormat/>
    <w:pPr>
      <w:ind w:left="1260"/>
      <w:jc w:val="left"/>
    </w:pPr>
    <w:rPr>
      <w:rFonts w:ascii="Calibri" w:hAnsi="Calibri"/>
      <w:sz w:val="18"/>
      <w:szCs w:val="18"/>
    </w:rPr>
  </w:style>
  <w:style w:type="paragraph" w:styleId="1115" w:customStyle="1">
    <w:name w:val="文档结构图1"/>
    <w:basedOn w:val="919"/>
    <w:link w:val="1116"/>
    <w:uiPriority w:val="0"/>
    <w:qFormat/>
    <w:rPr>
      <w:rFonts w:ascii="宋体"/>
      <w:sz w:val="18"/>
      <w:szCs w:val="18"/>
    </w:rPr>
  </w:style>
  <w:style w:type="character" w:styleId="1116" w:customStyle="1">
    <w:name w:val="文档结构图 Char"/>
    <w:link w:val="1115"/>
    <w:uiPriority w:val="0"/>
    <w:semiHidden/>
    <w:qFormat/>
    <w:rPr>
      <w:rFonts w:ascii="宋体" w:eastAsia="宋体"/>
      <w:sz w:val="18"/>
      <w:szCs w:val="18"/>
      <w:lang w:val="en-US" w:eastAsia="zh-CN" w:bidi="ar-SA"/>
    </w:rPr>
  </w:style>
  <w:style w:type="paragraph" w:styleId="1117" w:customStyle="1">
    <w:name w:val="批注文字1"/>
    <w:basedOn w:val="919"/>
    <w:link w:val="1118"/>
    <w:uiPriority w:val="0"/>
    <w:qFormat/>
    <w:pPr>
      <w:jc w:val="left"/>
    </w:pPr>
  </w:style>
  <w:style w:type="character" w:styleId="1118" w:customStyle="1">
    <w:name w:val="批注文字 Char"/>
    <w:link w:val="1117"/>
    <w:uiPriority w:val="0"/>
    <w:qFormat/>
    <w:rPr>
      <w:rFonts w:eastAsia="宋体"/>
      <w:sz w:val="21"/>
      <w:szCs w:val="24"/>
      <w:lang w:val="en-US" w:eastAsia="zh-CN" w:bidi="ar-SA"/>
    </w:rPr>
  </w:style>
  <w:style w:type="paragraph" w:styleId="1119" w:customStyle="1">
    <w:name w:val="正文文本 31"/>
    <w:basedOn w:val="919"/>
    <w:link w:val="1120"/>
    <w:uiPriority w:val="0"/>
    <w:qFormat/>
    <w:rPr>
      <w:rFonts w:ascii="仿宋_GB2312" w:hAnsi="Arial" w:eastAsia="仿宋_GB2312"/>
      <w:sz w:val="32"/>
      <w:szCs w:val="32"/>
    </w:rPr>
  </w:style>
  <w:style w:type="character" w:styleId="1120" w:customStyle="1">
    <w:name w:val="正文文本 3 Char"/>
    <w:link w:val="1119"/>
    <w:uiPriority w:val="0"/>
    <w:qFormat/>
    <w:rPr>
      <w:rFonts w:ascii="仿宋_GB2312" w:hAnsi="Arial" w:eastAsia="仿宋_GB2312"/>
      <w:sz w:val="32"/>
      <w:szCs w:val="32"/>
      <w:lang w:bidi="ar-SA"/>
    </w:rPr>
  </w:style>
  <w:style w:type="paragraph" w:styleId="1121" w:customStyle="1">
    <w:name w:val="HTML 地址1"/>
    <w:basedOn w:val="919"/>
    <w:link w:val="1122"/>
    <w:uiPriority w:val="0"/>
    <w:qFormat/>
    <w:rPr>
      <w:rFonts w:ascii="宋体"/>
      <w:i/>
      <w:iCs/>
      <w:sz w:val="20"/>
      <w:szCs w:val="21"/>
    </w:rPr>
  </w:style>
  <w:style w:type="character" w:styleId="1122" w:customStyle="1">
    <w:name w:val="HTML 地址 Char"/>
    <w:link w:val="1121"/>
    <w:uiPriority w:val="0"/>
    <w:qFormat/>
    <w:rPr>
      <w:rFonts w:ascii="宋体"/>
      <w:i/>
      <w:iCs/>
      <w:sz w:val="21"/>
      <w:szCs w:val="21"/>
      <w:lang w:bidi="ar-SA"/>
    </w:rPr>
  </w:style>
  <w:style w:type="paragraph" w:styleId="1123" w:customStyle="1">
    <w:name w:val="目录 51"/>
    <w:basedOn w:val="919"/>
    <w:next w:val="919"/>
    <w:uiPriority w:val="0"/>
    <w:qFormat/>
    <w:pPr>
      <w:ind w:left="840"/>
      <w:jc w:val="left"/>
    </w:pPr>
    <w:rPr>
      <w:rFonts w:ascii="Calibri" w:hAnsi="Calibri"/>
      <w:sz w:val="18"/>
      <w:szCs w:val="18"/>
    </w:rPr>
  </w:style>
  <w:style w:type="paragraph" w:styleId="1124" w:customStyle="1">
    <w:name w:val="目录 31"/>
    <w:basedOn w:val="919"/>
    <w:next w:val="919"/>
    <w:uiPriority w:val="0"/>
    <w:qFormat/>
    <w:pPr>
      <w:ind w:left="840"/>
    </w:pPr>
  </w:style>
  <w:style w:type="paragraph" w:styleId="1125" w:customStyle="1">
    <w:name w:val="纯文本1"/>
    <w:basedOn w:val="919"/>
    <w:link w:val="1126"/>
    <w:uiPriority w:val="0"/>
    <w:qFormat/>
    <w:rPr>
      <w:rFonts w:ascii="宋体" w:hAnsi="Courier New"/>
      <w:sz w:val="21"/>
      <w:szCs w:val="21"/>
    </w:rPr>
  </w:style>
  <w:style w:type="character" w:styleId="1126" w:customStyle="1">
    <w:name w:val="纯文本 Char"/>
    <w:link w:val="1125"/>
    <w:uiPriority w:val="0"/>
    <w:qFormat/>
    <w:rPr>
      <w:rFonts w:ascii="宋体" w:hAnsi="Courier New" w:eastAsia="宋体"/>
      <w:sz w:val="21"/>
      <w:szCs w:val="21"/>
      <w:lang w:bidi="ar-SA"/>
    </w:rPr>
  </w:style>
  <w:style w:type="paragraph" w:styleId="1127" w:customStyle="1">
    <w:name w:val="目录 81"/>
    <w:basedOn w:val="919"/>
    <w:next w:val="919"/>
    <w:uiPriority w:val="0"/>
    <w:qFormat/>
    <w:pPr>
      <w:ind w:left="1470"/>
      <w:jc w:val="left"/>
    </w:pPr>
    <w:rPr>
      <w:rFonts w:ascii="Calibri" w:hAnsi="Calibri"/>
      <w:sz w:val="18"/>
      <w:szCs w:val="18"/>
    </w:rPr>
  </w:style>
  <w:style w:type="paragraph" w:styleId="1128" w:customStyle="1">
    <w:name w:val="日期1"/>
    <w:basedOn w:val="919"/>
    <w:next w:val="919"/>
    <w:link w:val="1129"/>
    <w:uiPriority w:val="0"/>
    <w:qFormat/>
    <w:rPr>
      <w:sz w:val="24"/>
    </w:rPr>
  </w:style>
  <w:style w:type="character" w:styleId="1129" w:customStyle="1">
    <w:name w:val="日期 Char"/>
    <w:link w:val="1128"/>
    <w:uiPriority w:val="0"/>
    <w:qFormat/>
    <w:rPr>
      <w:rFonts w:eastAsia="宋体"/>
      <w:sz w:val="24"/>
      <w:szCs w:val="24"/>
      <w:lang w:bidi="ar-SA"/>
    </w:rPr>
  </w:style>
  <w:style w:type="paragraph" w:styleId="1130" w:customStyle="1">
    <w:name w:val="正文文本缩进 21"/>
    <w:basedOn w:val="919"/>
    <w:link w:val="1131"/>
    <w:uiPriority w:val="0"/>
    <w:qFormat/>
    <w:pPr>
      <w:ind w:left="630" w:firstLine="645"/>
    </w:pPr>
    <w:rPr>
      <w:rFonts w:ascii="Arial" w:hAnsi="Arial" w:eastAsia="仿宋_GB2312"/>
      <w:sz w:val="32"/>
      <w:szCs w:val="32"/>
    </w:rPr>
  </w:style>
  <w:style w:type="character" w:styleId="1131" w:customStyle="1">
    <w:name w:val="正文文本缩进 2 Char"/>
    <w:link w:val="1130"/>
    <w:uiPriority w:val="0"/>
    <w:qFormat/>
    <w:rPr>
      <w:rFonts w:ascii="Arial" w:hAnsi="Arial" w:eastAsia="仿宋_GB2312"/>
      <w:sz w:val="32"/>
      <w:szCs w:val="32"/>
    </w:rPr>
  </w:style>
  <w:style w:type="paragraph" w:styleId="1132" w:customStyle="1">
    <w:name w:val="尾注文本1"/>
    <w:basedOn w:val="919"/>
    <w:link w:val="1133"/>
    <w:uiPriority w:val="0"/>
    <w:qFormat/>
    <w:pPr>
      <w:jc w:val="left"/>
      <w:widowControl/>
    </w:pPr>
    <w:rPr>
      <w:sz w:val="20"/>
      <w:szCs w:val="20"/>
    </w:rPr>
  </w:style>
  <w:style w:type="character" w:styleId="1133" w:customStyle="1">
    <w:name w:val="尾注文本 Char"/>
    <w:link w:val="1132"/>
    <w:uiPriority w:val="0"/>
    <w:qFormat/>
    <w:rPr>
      <w:rFonts w:eastAsia="宋体"/>
      <w:lang w:bidi="ar-SA"/>
    </w:rPr>
  </w:style>
  <w:style w:type="paragraph" w:styleId="1134" w:customStyle="1">
    <w:name w:val="批注框文本1"/>
    <w:basedOn w:val="919"/>
    <w:link w:val="1135"/>
    <w:uiPriority w:val="0"/>
    <w:qFormat/>
    <w:rPr>
      <w:sz w:val="18"/>
      <w:szCs w:val="18"/>
    </w:rPr>
  </w:style>
  <w:style w:type="character" w:styleId="1135" w:customStyle="1">
    <w:name w:val="批注框文本 Char"/>
    <w:link w:val="1134"/>
    <w:uiPriority w:val="0"/>
    <w:qFormat/>
    <w:rPr>
      <w:rFonts w:eastAsia="宋体"/>
      <w:sz w:val="18"/>
      <w:szCs w:val="18"/>
      <w:lang w:val="en-US" w:eastAsia="zh-CN" w:bidi="ar-SA"/>
    </w:rPr>
  </w:style>
  <w:style w:type="paragraph" w:styleId="1136" w:customStyle="1">
    <w:name w:val="页脚1"/>
    <w:basedOn w:val="919"/>
    <w:link w:val="1137"/>
    <w:uiPriority w:val="0"/>
    <w:qFormat/>
    <w:pPr>
      <w:jc w:val="left"/>
      <w:tabs>
        <w:tab w:val="center" w:pos="4153" w:leader="none"/>
        <w:tab w:val="right" w:pos="8306" w:leader="none"/>
      </w:tabs>
    </w:pPr>
    <w:rPr>
      <w:sz w:val="18"/>
      <w:szCs w:val="18"/>
    </w:rPr>
  </w:style>
  <w:style w:type="character" w:styleId="1137" w:customStyle="1">
    <w:name w:val="页脚 Char"/>
    <w:link w:val="1136"/>
    <w:uiPriority w:val="0"/>
    <w:qFormat/>
    <w:rPr>
      <w:rFonts w:eastAsia="宋体"/>
      <w:sz w:val="18"/>
      <w:szCs w:val="18"/>
      <w:lang w:val="en-US" w:eastAsia="zh-CN" w:bidi="ar-SA"/>
    </w:rPr>
  </w:style>
  <w:style w:type="paragraph" w:styleId="1138" w:customStyle="1">
    <w:name w:val="页眉1"/>
    <w:basedOn w:val="919"/>
    <w:link w:val="1139"/>
    <w:uiPriority w:val="0"/>
    <w:qFormat/>
    <w:pPr>
      <w:jc w:val="center"/>
      <w:tabs>
        <w:tab w:val="center" w:pos="4153" w:leader="none"/>
        <w:tab w:val="right" w:pos="8306" w:leader="none"/>
      </w:tabs>
      <w:pBdr>
        <w:bottom w:val="single" w:color="000000" w:sz="6" w:space="1"/>
      </w:pBdr>
    </w:pPr>
    <w:rPr>
      <w:sz w:val="18"/>
      <w:szCs w:val="18"/>
    </w:rPr>
  </w:style>
  <w:style w:type="character" w:styleId="1139" w:customStyle="1">
    <w:name w:val="页眉 Char"/>
    <w:link w:val="1138"/>
    <w:uiPriority w:val="0"/>
    <w:qFormat/>
    <w:rPr>
      <w:rFonts w:eastAsia="宋体"/>
      <w:sz w:val="18"/>
      <w:szCs w:val="18"/>
      <w:lang w:val="en-US" w:eastAsia="zh-CN" w:bidi="ar-SA"/>
    </w:rPr>
  </w:style>
  <w:style w:type="paragraph" w:styleId="1140" w:customStyle="1">
    <w:name w:val="目录 41"/>
    <w:basedOn w:val="919"/>
    <w:next w:val="919"/>
    <w:uiPriority w:val="0"/>
    <w:qFormat/>
    <w:pPr>
      <w:numPr>
        <w:ilvl w:val="0"/>
        <w:numId w:val="3"/>
      </w:numPr>
      <w:ind w:left="420" w:firstLine="0"/>
      <w:jc w:val="left"/>
      <w:tabs>
        <w:tab w:val="clear" w:pos="709" w:leader="none"/>
      </w:tabs>
    </w:pPr>
    <w:rPr>
      <w:rFonts w:ascii="Calibri" w:hAnsi="Calibri"/>
      <w:sz w:val="20"/>
      <w:szCs w:val="20"/>
    </w:rPr>
  </w:style>
  <w:style w:type="paragraph" w:styleId="1141" w:customStyle="1">
    <w:name w:val="副标题1"/>
    <w:basedOn w:val="919"/>
    <w:next w:val="919"/>
    <w:link w:val="1142"/>
    <w:uiPriority w:val="0"/>
    <w:qFormat/>
    <w:pPr>
      <w:ind w:firstLine="200"/>
      <w:jc w:val="center"/>
      <w:spacing w:before="240" w:after="60" w:line="312" w:lineRule="auto"/>
      <w:outlineLvl w:val="1"/>
    </w:pPr>
    <w:rPr>
      <w:rFonts w:ascii="Cambria" w:hAnsi="Cambria"/>
      <w:b/>
      <w:bCs/>
      <w:sz w:val="32"/>
      <w:szCs w:val="32"/>
    </w:rPr>
  </w:style>
  <w:style w:type="character" w:styleId="1142" w:customStyle="1">
    <w:name w:val="副标题 Char"/>
    <w:link w:val="1141"/>
    <w:uiPriority w:val="0"/>
    <w:qFormat/>
    <w:rPr>
      <w:rFonts w:ascii="Cambria" w:hAnsi="Cambria"/>
      <w:b/>
      <w:bCs/>
      <w:sz w:val="32"/>
      <w:szCs w:val="32"/>
    </w:rPr>
  </w:style>
  <w:style w:type="paragraph" w:styleId="1143" w:customStyle="1">
    <w:name w:val="脚注文本2"/>
    <w:basedOn w:val="919"/>
    <w:uiPriority w:val="0"/>
    <w:qFormat/>
    <w:pPr>
      <w:jc w:val="left"/>
    </w:pPr>
    <w:rPr>
      <w:rFonts w:ascii="宋体" w:eastAsia="Times New Roman"/>
      <w:sz w:val="18"/>
      <w:szCs w:val="18"/>
    </w:rPr>
  </w:style>
  <w:style w:type="paragraph" w:styleId="1144" w:customStyle="1">
    <w:name w:val="目录 61"/>
    <w:basedOn w:val="919"/>
    <w:next w:val="919"/>
    <w:uiPriority w:val="0"/>
    <w:qFormat/>
    <w:pPr>
      <w:ind w:left="1050"/>
      <w:jc w:val="left"/>
    </w:pPr>
    <w:rPr>
      <w:rFonts w:ascii="Calibri" w:hAnsi="Calibri"/>
      <w:sz w:val="18"/>
      <w:szCs w:val="18"/>
    </w:rPr>
  </w:style>
  <w:style w:type="paragraph" w:styleId="1145" w:customStyle="1">
    <w:name w:val="正文文本缩进 31"/>
    <w:basedOn w:val="919"/>
    <w:link w:val="1146"/>
    <w:uiPriority w:val="0"/>
    <w:qFormat/>
    <w:pPr>
      <w:ind w:left="645" w:firstLine="645"/>
    </w:pPr>
    <w:rPr>
      <w:rFonts w:ascii="Arial" w:hAnsi="Arial" w:eastAsia="仿宋_GB2312"/>
      <w:color w:val="ffff00"/>
      <w:sz w:val="32"/>
      <w:szCs w:val="32"/>
    </w:rPr>
  </w:style>
  <w:style w:type="character" w:styleId="1146" w:customStyle="1">
    <w:name w:val="正文文本缩进 3 Char"/>
    <w:link w:val="1145"/>
    <w:uiPriority w:val="0"/>
    <w:qFormat/>
    <w:rPr>
      <w:rFonts w:ascii="Arial" w:hAnsi="Arial" w:eastAsia="仿宋_GB2312"/>
      <w:color w:val="ffff00"/>
      <w:sz w:val="32"/>
      <w:szCs w:val="32"/>
      <w:lang w:bidi="ar-SA"/>
    </w:rPr>
  </w:style>
  <w:style w:type="paragraph" w:styleId="1147" w:customStyle="1">
    <w:name w:val="目录 21"/>
    <w:basedOn w:val="919"/>
    <w:next w:val="919"/>
    <w:uiPriority w:val="0"/>
    <w:qFormat/>
    <w:pPr>
      <w:ind w:left="210"/>
      <w:jc w:val="left"/>
    </w:pPr>
    <w:rPr>
      <w:rFonts w:ascii="Calibri" w:hAnsi="Calibri"/>
      <w:smallCaps/>
      <w:sz w:val="20"/>
      <w:szCs w:val="20"/>
    </w:rPr>
  </w:style>
  <w:style w:type="paragraph" w:styleId="1148" w:customStyle="1">
    <w:name w:val="目录 91"/>
    <w:basedOn w:val="919"/>
    <w:next w:val="919"/>
    <w:uiPriority w:val="0"/>
    <w:qFormat/>
    <w:pPr>
      <w:ind w:left="1680"/>
      <w:jc w:val="left"/>
    </w:pPr>
    <w:rPr>
      <w:rFonts w:ascii="Calibri" w:hAnsi="Calibri"/>
      <w:sz w:val="18"/>
      <w:szCs w:val="18"/>
    </w:rPr>
  </w:style>
  <w:style w:type="paragraph" w:styleId="1149" w:customStyle="1">
    <w:name w:val="正文文本 21"/>
    <w:basedOn w:val="919"/>
    <w:link w:val="1150"/>
    <w:uiPriority w:val="0"/>
    <w:qFormat/>
    <w:pPr>
      <w:jc w:val="center"/>
      <w:widowControl/>
    </w:pPr>
    <w:rPr>
      <w:rFonts w:ascii="楷体_GB2312" w:eastAsia="楷体_GB2312"/>
      <w:sz w:val="28"/>
      <w:szCs w:val="28"/>
    </w:rPr>
  </w:style>
  <w:style w:type="character" w:styleId="1150" w:customStyle="1">
    <w:name w:val="正文文本 2 Char"/>
    <w:link w:val="1149"/>
    <w:uiPriority w:val="0"/>
    <w:qFormat/>
    <w:rPr>
      <w:rFonts w:ascii="楷体_GB2312" w:eastAsia="楷体_GB2312"/>
      <w:sz w:val="28"/>
      <w:szCs w:val="28"/>
      <w:lang w:bidi="ar-SA"/>
    </w:rPr>
  </w:style>
  <w:style w:type="paragraph" w:styleId="1151" w:customStyle="1">
    <w:name w:val="HTML 预设格式1"/>
    <w:basedOn w:val="919"/>
    <w:link w:val="11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52" w:customStyle="1">
    <w:name w:val="HTML 预设格式 Char"/>
    <w:link w:val="1151"/>
    <w:uiPriority w:val="0"/>
    <w:qFormat/>
    <w:rPr>
      <w:rFonts w:ascii="宋体" w:hAnsi="宋体" w:eastAsia="宋体"/>
      <w:sz w:val="24"/>
      <w:szCs w:val="24"/>
      <w:lang w:bidi="ar-SA"/>
    </w:rPr>
  </w:style>
  <w:style w:type="paragraph" w:styleId="1153" w:customStyle="1">
    <w:name w:val="普通(网站)1"/>
    <w:basedOn w:val="919"/>
    <w:link w:val="1154"/>
    <w:uiPriority w:val="0"/>
    <w:qFormat/>
    <w:pPr>
      <w:jc w:val="left"/>
      <w:spacing w:before="100" w:beforeAutospacing="1" w:after="100" w:afterAutospacing="1"/>
      <w:widowControl/>
    </w:pPr>
    <w:rPr>
      <w:rFonts w:ascii="宋体" w:hAnsi="宋体"/>
      <w:sz w:val="24"/>
    </w:rPr>
  </w:style>
  <w:style w:type="character" w:styleId="1154" w:customStyle="1">
    <w:name w:val="普通(网站) Char"/>
    <w:link w:val="1153"/>
    <w:uiPriority w:val="0"/>
    <w:qFormat/>
    <w:rPr>
      <w:rFonts w:ascii="宋体" w:hAnsi="宋体"/>
      <w:sz w:val="24"/>
      <w:szCs w:val="24"/>
    </w:rPr>
  </w:style>
  <w:style w:type="paragraph" w:styleId="1155" w:customStyle="1">
    <w:name w:val="标题1"/>
    <w:basedOn w:val="919"/>
    <w:link w:val="1156"/>
    <w:uiPriority w:val="0"/>
    <w:qFormat/>
    <w:pPr>
      <w:jc w:val="center"/>
    </w:pPr>
    <w:rPr>
      <w:sz w:val="30"/>
    </w:rPr>
  </w:style>
  <w:style w:type="character" w:styleId="1156" w:customStyle="1">
    <w:name w:val="标题 Char"/>
    <w:link w:val="1155"/>
    <w:uiPriority w:val="0"/>
    <w:qFormat/>
    <w:rPr>
      <w:sz w:val="30"/>
      <w:szCs w:val="24"/>
      <w:lang w:bidi="ar-SA"/>
    </w:rPr>
  </w:style>
  <w:style w:type="paragraph" w:styleId="1157" w:customStyle="1">
    <w:name w:val="批注主题1"/>
    <w:basedOn w:val="1117"/>
    <w:next w:val="1117"/>
    <w:link w:val="1158"/>
    <w:uiPriority w:val="0"/>
    <w:qFormat/>
    <w:rPr>
      <w:b/>
      <w:bCs/>
      <w:sz w:val="20"/>
      <w:szCs w:val="21"/>
    </w:rPr>
  </w:style>
  <w:style w:type="character" w:styleId="1158" w:customStyle="1">
    <w:name w:val="批注主题 Char"/>
    <w:link w:val="1157"/>
    <w:uiPriority w:val="0"/>
    <w:qFormat/>
    <w:rPr>
      <w:rFonts w:eastAsia="宋体"/>
      <w:b/>
      <w:bCs/>
      <w:sz w:val="21"/>
      <w:szCs w:val="21"/>
      <w:lang w:bidi="ar-SA"/>
    </w:rPr>
  </w:style>
  <w:style w:type="table" w:styleId="1159" w:customStyle="1">
    <w:name w:val="网格型1"/>
    <w:basedOn w:val="1095"/>
    <w:uiPriority w:val="0"/>
    <w:qFormat/>
    <w:tblPr/>
  </w:style>
  <w:style w:type="character" w:styleId="1160" w:customStyle="1">
    <w:name w:val="页码1"/>
    <w:link w:val="906"/>
    <w:uiPriority w:val="0"/>
    <w:qFormat/>
    <w:rPr>
      <w:rFonts w:hint="default" w:ascii="Times New Roman" w:hAnsi="Times New Roman" w:eastAsia="宋体" w:cs="Times New Roman"/>
      <w:sz w:val="21"/>
      <w:szCs w:val="24"/>
      <w:lang w:val="en-US" w:eastAsia="zh-CN" w:bidi="ar-SA"/>
    </w:rPr>
  </w:style>
  <w:style w:type="character" w:styleId="1161" w:customStyle="1">
    <w:name w:val="已访问的超链接1"/>
    <w:link w:val="919"/>
    <w:uiPriority w:val="0"/>
    <w:qFormat/>
    <w:rPr>
      <w:color w:val="800080"/>
      <w:u w:val="single"/>
    </w:rPr>
  </w:style>
  <w:style w:type="character" w:styleId="1162" w:customStyle="1">
    <w:name w:val="强调1"/>
    <w:link w:val="919"/>
    <w:uiPriority w:val="0"/>
    <w:qFormat/>
    <w:rPr>
      <w:i/>
      <w:iCs/>
    </w:rPr>
  </w:style>
  <w:style w:type="character" w:styleId="1163" w:customStyle="1">
    <w:name w:val="超链接1"/>
    <w:link w:val="919"/>
    <w:uiPriority w:val="0"/>
    <w:qFormat/>
    <w:rPr>
      <w:color w:val="0000ff"/>
      <w:u w:val="single"/>
    </w:rPr>
  </w:style>
  <w:style w:type="character" w:styleId="1164" w:customStyle="1">
    <w:name w:val="批注引用1"/>
    <w:link w:val="919"/>
    <w:uiPriority w:val="0"/>
    <w:qFormat/>
    <w:rPr>
      <w:sz w:val="21"/>
      <w:szCs w:val="21"/>
    </w:rPr>
  </w:style>
  <w:style w:type="character" w:styleId="1165" w:customStyle="1">
    <w:name w:val="列出段落 Char"/>
    <w:link w:val="1084"/>
    <w:uiPriority w:val="0"/>
    <w:qFormat/>
    <w:rPr>
      <w:rFonts w:ascii="Calibri" w:hAnsi="Calibri" w:eastAsia="PMingLiU"/>
      <w:sz w:val="24"/>
      <w:lang w:eastAsia="zh-TW" w:bidi="ar-SA"/>
    </w:rPr>
  </w:style>
  <w:style w:type="character" w:styleId="1166" w:customStyle="1">
    <w:name w:val="三级条标题 Char"/>
    <w:link w:val="1167"/>
    <w:uiPriority w:val="0"/>
    <w:qFormat/>
    <w:rPr>
      <w:rFonts w:ascii="黑体" w:hAnsi="宋体" w:eastAsia="黑体"/>
      <w:lang w:bidi="ar-SA"/>
    </w:rPr>
  </w:style>
  <w:style w:type="paragraph" w:styleId="1167" w:customStyle="1">
    <w:name w:val="三级条标题"/>
    <w:basedOn w:val="1168"/>
    <w:next w:val="911"/>
    <w:link w:val="1166"/>
    <w:uiPriority w:val="0"/>
    <w:qFormat/>
    <w:pPr>
      <w:numPr>
        <w:ilvl w:val="4"/>
        <w:numId w:val="0"/>
      </w:numPr>
      <w:ind w:left="907" w:hanging="907"/>
      <w:tabs>
        <w:tab w:val="left" w:pos="810" w:leader="none"/>
        <w:tab w:val="left" w:pos="907" w:leader="none"/>
        <w:tab w:val="left" w:pos="1265" w:leader="none"/>
      </w:tabs>
      <w:outlineLvl w:val="4"/>
    </w:pPr>
  </w:style>
  <w:style w:type="paragraph" w:styleId="1168" w:customStyle="1">
    <w:name w:val="二级条标题"/>
    <w:basedOn w:val="901"/>
    <w:next w:val="911"/>
    <w:link w:val="1169"/>
    <w:uiPriority w:val="0"/>
    <w:qFormat/>
    <w:pPr>
      <w:outlineLvl w:val="3"/>
    </w:pPr>
  </w:style>
  <w:style w:type="character" w:styleId="1169" w:customStyle="1">
    <w:name w:val="二级条标题 Char"/>
    <w:link w:val="1168"/>
    <w:uiPriority w:val="0"/>
    <w:qFormat/>
    <w:rPr>
      <w:rFonts w:ascii="黑体" w:hAnsi="宋体" w:eastAsia="黑体"/>
      <w:lang w:bidi="ar-SA"/>
    </w:rPr>
  </w:style>
  <w:style w:type="character" w:styleId="1170" w:customStyle="1">
    <w:name w:val="正文文本 (10)_"/>
    <w:link w:val="1171"/>
    <w:uiPriority w:val="0"/>
    <w:qFormat/>
    <w:rPr>
      <w:rFonts w:ascii="MingLiU" w:hAnsi="MingLiU" w:eastAsia="MingLiU"/>
      <w:spacing w:val="40"/>
      <w:sz w:val="19"/>
      <w:szCs w:val="19"/>
      <w:shd w:val="clear" w:color="auto" w:fill="ffffff"/>
      <w:lang w:bidi="ar-SA"/>
    </w:rPr>
  </w:style>
  <w:style w:type="paragraph" w:styleId="1171" w:customStyle="1">
    <w:name w:val="正文文本 (10)6"/>
    <w:basedOn w:val="919"/>
    <w:link w:val="1170"/>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72" w:customStyle="1">
    <w:name w:val="DeltaView Insertion"/>
    <w:link w:val="919"/>
    <w:uiPriority w:val="0"/>
    <w:qFormat/>
    <w:rPr>
      <w:color w:val="0000ff"/>
      <w:spacing w:val="0"/>
      <w:u w:val="single"/>
    </w:rPr>
  </w:style>
  <w:style w:type="character" w:styleId="1173" w:customStyle="1">
    <w:name w:val="普通正文 Char"/>
    <w:link w:val="1174"/>
    <w:uiPriority w:val="0"/>
    <w:qFormat/>
    <w:rPr>
      <w:rFonts w:ascii="Arial" w:hAnsi="Arial" w:eastAsia="宋体"/>
      <w:sz w:val="24"/>
      <w:szCs w:val="24"/>
      <w:lang w:val="en-US" w:eastAsia="zh-CN" w:bidi="ar-SA"/>
    </w:rPr>
  </w:style>
  <w:style w:type="paragraph" w:styleId="1174" w:customStyle="1">
    <w:name w:val="普通正文"/>
    <w:basedOn w:val="919"/>
    <w:link w:val="1173"/>
    <w:uiPriority w:val="0"/>
    <w:qFormat/>
    <w:pPr>
      <w:ind w:firstLine="480"/>
      <w:jc w:val="left"/>
      <w:spacing w:before="120" w:after="120" w:line="360" w:lineRule="auto"/>
    </w:pPr>
    <w:rPr>
      <w:rFonts w:ascii="Arial" w:hAnsi="Arial"/>
      <w:sz w:val="24"/>
    </w:rPr>
  </w:style>
  <w:style w:type="character" w:styleId="1175" w:customStyle="1">
    <w:name w:val=" Char Char29"/>
    <w:link w:val="919"/>
    <w:uiPriority w:val="0"/>
    <w:qFormat/>
    <w:rPr>
      <w:rFonts w:ascii="Arial" w:hAnsi="Arial" w:eastAsia="黑体"/>
      <w:b/>
      <w:bCs/>
      <w:sz w:val="28"/>
      <w:szCs w:val="28"/>
      <w:lang w:val="en-US" w:eastAsia="zh-CN" w:bidi="ar-SA"/>
    </w:rPr>
  </w:style>
  <w:style w:type="character" w:styleId="1176" w:customStyle="1">
    <w:name w:val="正文文本 (2)_"/>
    <w:link w:val="1177"/>
    <w:uiPriority w:val="0"/>
    <w:qFormat/>
    <w:rPr>
      <w:rFonts w:ascii="MingLiU" w:hAnsi="MingLiU" w:eastAsia="MingLiU"/>
      <w:spacing w:val="10"/>
      <w:sz w:val="18"/>
      <w:szCs w:val="18"/>
      <w:shd w:val="clear" w:color="auto" w:fill="ffffff"/>
      <w:lang w:bidi="ar-SA"/>
    </w:rPr>
  </w:style>
  <w:style w:type="paragraph" w:styleId="1177" w:customStyle="1">
    <w:name w:val="正文文本 (2)11"/>
    <w:basedOn w:val="919"/>
    <w:link w:val="1176"/>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78" w:customStyle="1">
    <w:name w:val="标题2 Char Char"/>
    <w:link w:val="1179"/>
    <w:uiPriority w:val="0"/>
    <w:qFormat/>
    <w:rPr>
      <w:rFonts w:eastAsia="方正楷体_GBK"/>
      <w:sz w:val="32"/>
      <w:lang w:bidi="ar-SA"/>
    </w:rPr>
  </w:style>
  <w:style w:type="paragraph" w:styleId="1179" w:customStyle="1">
    <w:name w:val="标题2"/>
    <w:basedOn w:val="919"/>
    <w:next w:val="919"/>
    <w:link w:val="1178"/>
    <w:uiPriority w:val="0"/>
    <w:qFormat/>
    <w:pPr>
      <w:jc w:val="center"/>
    </w:pPr>
    <w:rPr>
      <w:rFonts w:eastAsia="方正楷体_GBK"/>
      <w:sz w:val="32"/>
      <w:szCs w:val="20"/>
    </w:rPr>
  </w:style>
  <w:style w:type="character" w:styleId="1180" w:customStyle="1">
    <w:name w:val=" Char Char31"/>
    <w:link w:val="919"/>
    <w:uiPriority w:val="0"/>
    <w:qFormat/>
    <w:rPr>
      <w:rFonts w:ascii="Arial" w:hAnsi="Arial" w:eastAsia="幼圆"/>
      <w:b/>
      <w:bCs/>
      <w:sz w:val="44"/>
      <w:szCs w:val="44"/>
      <w:lang w:val="en-US" w:eastAsia="zh-CN" w:bidi="ar-SA"/>
    </w:rPr>
  </w:style>
  <w:style w:type="character" w:styleId="1181" w:customStyle="1">
    <w:name w:val="方案文档 Char Char"/>
    <w:link w:val="1182"/>
    <w:uiPriority w:val="0"/>
    <w:qFormat/>
    <w:rPr>
      <w:rFonts w:ascii="宋体" w:hAnsi="宋体"/>
      <w:b/>
      <w:lang w:bidi="ar-SA"/>
    </w:rPr>
  </w:style>
  <w:style w:type="paragraph" w:styleId="1182" w:customStyle="1">
    <w:name w:val="方案文档"/>
    <w:basedOn w:val="919"/>
    <w:link w:val="1181"/>
    <w:uiPriority w:val="0"/>
    <w:qFormat/>
    <w:pPr>
      <w:ind w:left="420"/>
      <w:spacing w:line="360" w:lineRule="auto"/>
      <w:tabs>
        <w:tab w:val="left" w:pos="420" w:leader="none"/>
      </w:tabs>
    </w:pPr>
    <w:rPr>
      <w:rFonts w:ascii="宋体" w:hAnsi="宋体"/>
      <w:b/>
      <w:sz w:val="20"/>
      <w:szCs w:val="20"/>
    </w:rPr>
  </w:style>
  <w:style w:type="character" w:styleId="1183" w:customStyle="1">
    <w:name w:val="纯文本 Char1"/>
    <w:link w:val="919"/>
    <w:uiPriority w:val="0"/>
    <w:semiHidden/>
    <w:qFormat/>
    <w:rPr>
      <w:rFonts w:ascii="宋体" w:hAnsi="Courier New"/>
      <w:sz w:val="21"/>
      <w:szCs w:val="21"/>
    </w:rPr>
  </w:style>
  <w:style w:type="character" w:styleId="1184" w:customStyle="1">
    <w:name w:val="apple-converted-space"/>
    <w:link w:val="919"/>
    <w:uiPriority w:val="0"/>
    <w:qFormat/>
  </w:style>
  <w:style w:type="character" w:styleId="1185" w:customStyle="1">
    <w:name w:val="二级条标题 + 宋体 Char"/>
    <w:link w:val="1186"/>
    <w:uiPriority w:val="0"/>
    <w:qFormat/>
    <w:rPr>
      <w:rFonts w:ascii="宋体" w:hAnsi="宋体" w:eastAsia="黑体"/>
      <w:lang w:bidi="ar-SA"/>
    </w:rPr>
  </w:style>
  <w:style w:type="paragraph" w:styleId="1186" w:customStyle="1">
    <w:name w:val="二级条标题 + 宋体"/>
    <w:basedOn w:val="1168"/>
    <w:link w:val="1185"/>
    <w:uiPriority w:val="0"/>
    <w:qFormat/>
    <w:pPr>
      <w:ind w:left="0" w:firstLine="0"/>
    </w:pPr>
    <w:rPr>
      <w:rFonts w:ascii="宋体"/>
    </w:rPr>
  </w:style>
  <w:style w:type="character" w:styleId="1187" w:customStyle="1">
    <w:name w:val="12black1"/>
    <w:link w:val="919"/>
    <w:uiPriority w:val="0"/>
    <w:qFormat/>
    <w:rPr>
      <w:color w:val="000000"/>
      <w:sz w:val="24"/>
      <w:szCs w:val="24"/>
      <w:u w:val="none"/>
    </w:rPr>
  </w:style>
  <w:style w:type="character" w:styleId="1188" w:customStyle="1">
    <w:name w:val="美标题3 Char Char"/>
    <w:link w:val="1189"/>
    <w:uiPriority w:val="0"/>
    <w:qFormat/>
    <w:rPr>
      <w:rFonts w:ascii="宋体" w:hAnsi="宋体"/>
      <w:b/>
    </w:rPr>
  </w:style>
  <w:style w:type="paragraph" w:styleId="1189" w:customStyle="1">
    <w:name w:val="美标题3"/>
    <w:basedOn w:val="919"/>
    <w:link w:val="1188"/>
    <w:uiPriority w:val="0"/>
    <w:qFormat/>
    <w:pPr>
      <w:numPr>
        <w:ilvl w:val="0"/>
        <w:numId w:val="4"/>
      </w:numPr>
      <w:ind w:left="0" w:firstLine="0"/>
      <w:spacing w:line="360" w:lineRule="auto"/>
      <w:tabs>
        <w:tab w:val="clear" w:pos="397" w:leader="none"/>
      </w:tabs>
    </w:pPr>
    <w:rPr>
      <w:rFonts w:ascii="宋体" w:hAnsi="宋体"/>
      <w:b/>
      <w:sz w:val="20"/>
      <w:szCs w:val="20"/>
    </w:rPr>
  </w:style>
  <w:style w:type="character" w:styleId="1190" w:customStyle="1">
    <w:name w:val="表格 Char Char"/>
    <w:link w:val="1191"/>
    <w:uiPriority w:val="0"/>
    <w:qFormat/>
    <w:rPr>
      <w:rFonts w:ascii="宋体" w:hAnsi="宋体" w:eastAsia="宋体"/>
      <w:lang w:bidi="ar-SA"/>
    </w:rPr>
  </w:style>
  <w:style w:type="paragraph" w:styleId="1191" w:customStyle="1">
    <w:name w:val="表格"/>
    <w:basedOn w:val="919"/>
    <w:link w:val="1190"/>
    <w:uiPriority w:val="0"/>
    <w:qFormat/>
    <w:pPr>
      <w:ind w:firstLine="42"/>
    </w:pPr>
    <w:rPr>
      <w:rFonts w:ascii="宋体" w:hAnsi="宋体"/>
      <w:sz w:val="20"/>
      <w:szCs w:val="20"/>
    </w:rPr>
  </w:style>
  <w:style w:type="character" w:styleId="1192" w:customStyle="1">
    <w:name w:val="Para head"/>
    <w:link w:val="919"/>
    <w:uiPriority w:val="0"/>
    <w:qFormat/>
  </w:style>
  <w:style w:type="character" w:styleId="1193" w:customStyle="1">
    <w:name w:val="正文文本缩进 Char1"/>
    <w:link w:val="919"/>
    <w:uiPriority w:val="0"/>
    <w:semiHidden/>
    <w:qFormat/>
    <w:rPr>
      <w:sz w:val="21"/>
      <w:szCs w:val="24"/>
    </w:rPr>
  </w:style>
  <w:style w:type="character" w:styleId="1194" w:customStyle="1">
    <w:name w:val="标题 B Char"/>
    <w:link w:val="1195"/>
    <w:uiPriority w:val="0"/>
    <w:qFormat/>
    <w:rPr>
      <w:rFonts w:ascii="Arial Rounded MT Bold" w:hAnsi="Arial Rounded MT Bold" w:eastAsia="黑体"/>
      <w:spacing w:val="8"/>
      <w:sz w:val="32"/>
      <w:lang w:bidi="ar-SA"/>
    </w:rPr>
  </w:style>
  <w:style w:type="paragraph" w:styleId="1195" w:customStyle="1">
    <w:name w:val="标题 B"/>
    <w:basedOn w:val="909"/>
    <w:link w:val="1194"/>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196" w:customStyle="1">
    <w:name w:val="表头 Char"/>
    <w:link w:val="1197"/>
    <w:uiPriority w:val="0"/>
    <w:qFormat/>
    <w:rPr>
      <w:rFonts w:eastAsia="黑体"/>
      <w:spacing w:val="-10"/>
      <w:lang w:bidi="ar-SA"/>
    </w:rPr>
  </w:style>
  <w:style w:type="paragraph" w:styleId="1197" w:customStyle="1">
    <w:name w:val="表头"/>
    <w:basedOn w:val="919"/>
    <w:link w:val="1196"/>
    <w:uiPriority w:val="0"/>
    <w:qFormat/>
    <w:pPr>
      <w:jc w:val="center"/>
      <w:spacing w:line="320" w:lineRule="atLeast"/>
    </w:pPr>
    <w:rPr>
      <w:rFonts w:eastAsia="黑体"/>
      <w:spacing w:val="-10"/>
      <w:sz w:val="20"/>
      <w:szCs w:val="20"/>
    </w:rPr>
  </w:style>
  <w:style w:type="character" w:styleId="1198" w:customStyle="1">
    <w:name w:val="表蕊 Char1"/>
    <w:link w:val="1199"/>
    <w:uiPriority w:val="0"/>
    <w:qFormat/>
    <w:rPr>
      <w:rFonts w:eastAsia="楷体_GB2312"/>
      <w:spacing w:val="-10"/>
      <w:lang w:bidi="ar-SA"/>
    </w:rPr>
  </w:style>
  <w:style w:type="paragraph" w:styleId="1199" w:customStyle="1">
    <w:name w:val="表蕊"/>
    <w:basedOn w:val="919"/>
    <w:link w:val="1198"/>
    <w:uiPriority w:val="0"/>
    <w:qFormat/>
    <w:pPr>
      <w:jc w:val="left"/>
      <w:spacing w:line="320" w:lineRule="atLeast"/>
    </w:pPr>
    <w:rPr>
      <w:rFonts w:eastAsia="楷体_GB2312"/>
      <w:spacing w:val="-10"/>
      <w:sz w:val="20"/>
      <w:szCs w:val="20"/>
    </w:rPr>
  </w:style>
  <w:style w:type="character" w:styleId="1200" w:customStyle="1">
    <w:name w:val=" Char Char7"/>
    <w:link w:val="919"/>
    <w:uiPriority w:val="0"/>
    <w:qFormat/>
    <w:rPr>
      <w:rFonts w:ascii="Arial" w:hAnsi="Arial" w:eastAsia="幼圆"/>
      <w:b/>
      <w:bCs/>
      <w:sz w:val="44"/>
      <w:szCs w:val="44"/>
      <w:lang w:val="en-US" w:eastAsia="zh-CN" w:bidi="ar-SA"/>
    </w:rPr>
  </w:style>
  <w:style w:type="character" w:styleId="1201" w:customStyle="1">
    <w:name w:val=" Char Char33"/>
    <w:link w:val="919"/>
    <w:uiPriority w:val="0"/>
    <w:qFormat/>
    <w:rPr>
      <w:rFonts w:eastAsia="方正仿宋_GBK"/>
      <w:b/>
      <w:sz w:val="44"/>
      <w:lang w:val="en-US" w:eastAsia="zh-CN" w:bidi="ar-SA"/>
    </w:rPr>
  </w:style>
  <w:style w:type="character" w:styleId="1202" w:customStyle="1">
    <w:name w:val="wwwww Char"/>
    <w:link w:val="1203"/>
    <w:uiPriority w:val="0"/>
    <w:qFormat/>
    <w:rPr>
      <w:rFonts w:ascii="宋体" w:hAnsi="宋体"/>
      <w:sz w:val="24"/>
      <w:szCs w:val="21"/>
      <w:lang w:bidi="ar-SA"/>
    </w:rPr>
  </w:style>
  <w:style w:type="paragraph" w:styleId="1203" w:customStyle="1">
    <w:name w:val="wwwww"/>
    <w:basedOn w:val="919"/>
    <w:link w:val="1202"/>
    <w:uiPriority w:val="0"/>
    <w:qFormat/>
    <w:pPr>
      <w:spacing w:line="400" w:lineRule="exact"/>
      <w:widowControl/>
    </w:pPr>
    <w:rPr>
      <w:rFonts w:ascii="宋体" w:hAnsi="宋体"/>
      <w:sz w:val="24"/>
      <w:szCs w:val="21"/>
    </w:rPr>
  </w:style>
  <w:style w:type="character" w:styleId="1204" w:customStyle="1">
    <w:name w:val="美标题2 Char Char"/>
    <w:link w:val="1205"/>
    <w:uiPriority w:val="0"/>
    <w:qFormat/>
    <w:rPr>
      <w:rFonts w:ascii="宋体" w:hAnsi="宋体"/>
      <w:b/>
      <w:sz w:val="28"/>
      <w:lang w:bidi="ar-SA"/>
    </w:rPr>
  </w:style>
  <w:style w:type="paragraph" w:styleId="1205" w:customStyle="1">
    <w:name w:val="美标题2"/>
    <w:basedOn w:val="919"/>
    <w:link w:val="1204"/>
    <w:uiPriority w:val="0"/>
    <w:qFormat/>
    <w:rPr>
      <w:rFonts w:ascii="宋体" w:hAnsi="宋体"/>
      <w:b/>
      <w:sz w:val="28"/>
      <w:szCs w:val="20"/>
    </w:rPr>
  </w:style>
  <w:style w:type="character" w:styleId="1206" w:customStyle="1">
    <w:name w:val="彩色列表 - 强调文字颜色 1 Char1"/>
    <w:link w:val="1207"/>
    <w:uiPriority w:val="0"/>
    <w:qFormat/>
    <w:rPr>
      <w:rFonts w:ascii="Calibri" w:hAnsi="Calibri" w:eastAsia="宋体"/>
      <w:sz w:val="24"/>
      <w:szCs w:val="24"/>
      <w:lang w:eastAsia="en-US" w:bidi="en-US"/>
    </w:rPr>
  </w:style>
  <w:style w:type="paragraph" w:styleId="1207" w:customStyle="1">
    <w:name w:val="彩色列表 - 强调文字颜色 11"/>
    <w:basedOn w:val="919"/>
    <w:link w:val="1206"/>
    <w:uiPriority w:val="0"/>
    <w:qFormat/>
    <w:pPr>
      <w:contextualSpacing/>
      <w:ind w:left="720"/>
      <w:jc w:val="left"/>
      <w:widowControl/>
    </w:pPr>
    <w:rPr>
      <w:sz w:val="24"/>
      <w:lang w:eastAsia="en-US" w:bidi="en-US"/>
    </w:rPr>
  </w:style>
  <w:style w:type="character" w:styleId="1208" w:customStyle="1">
    <w:name w:val="正文文本 (9)_"/>
    <w:link w:val="1209"/>
    <w:uiPriority w:val="0"/>
    <w:qFormat/>
    <w:rPr>
      <w:rFonts w:ascii="MingLiU" w:hAnsi="MingLiU" w:eastAsia="MingLiU"/>
      <w:spacing w:val="20"/>
      <w:sz w:val="16"/>
      <w:szCs w:val="16"/>
      <w:shd w:val="clear" w:color="auto" w:fill="ffffff"/>
      <w:lang w:bidi="ar-SA"/>
    </w:rPr>
  </w:style>
  <w:style w:type="paragraph" w:styleId="1209" w:customStyle="1">
    <w:name w:val="正文文本 (9)3"/>
    <w:basedOn w:val="919"/>
    <w:link w:val="1208"/>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210" w:customStyle="1">
    <w:name w:val=" Char Char17"/>
    <w:link w:val="919"/>
    <w:uiPriority w:val="0"/>
    <w:qFormat/>
    <w:rPr>
      <w:rFonts w:eastAsia="宋体"/>
      <w:sz w:val="18"/>
      <w:szCs w:val="18"/>
      <w:lang w:bidi="ar-SA"/>
    </w:rPr>
  </w:style>
  <w:style w:type="character" w:styleId="1211" w:customStyle="1">
    <w:name w:val="Table Heading Char"/>
    <w:link w:val="1212"/>
    <w:uiPriority w:val="0"/>
    <w:qFormat/>
    <w:rPr>
      <w:rFonts w:ascii="Arial" w:hAnsi="Arial" w:eastAsia="黑体"/>
      <w:sz w:val="18"/>
      <w:szCs w:val="22"/>
      <w:lang w:val="en-US" w:eastAsia="en-US" w:bidi="ar-SA"/>
    </w:rPr>
  </w:style>
  <w:style w:type="paragraph" w:styleId="1212" w:customStyle="1">
    <w:name w:val="Table Heading"/>
    <w:link w:val="1211"/>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213" w:customStyle="1">
    <w:name w:val="Item List Char"/>
    <w:link w:val="1214"/>
    <w:uiPriority w:val="0"/>
    <w:qFormat/>
    <w:rPr>
      <w:rFonts w:eastAsia="Times New Roman"/>
      <w:sz w:val="21"/>
      <w:szCs w:val="21"/>
      <w:lang w:val="en-US" w:eastAsia="zh-CN" w:bidi="ar-SA"/>
    </w:rPr>
  </w:style>
  <w:style w:type="paragraph" w:styleId="1214" w:customStyle="1">
    <w:name w:val="Item List"/>
    <w:link w:val="1213"/>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215" w:customStyle="1">
    <w:name w:val="明显参考"/>
    <w:link w:val="919"/>
    <w:uiPriority w:val="0"/>
    <w:qFormat/>
    <w:rPr>
      <w:b/>
      <w:bCs/>
      <w:smallCaps/>
      <w:color w:val="c0504d"/>
      <w:spacing w:val="5"/>
      <w:u w:val="single"/>
    </w:rPr>
  </w:style>
  <w:style w:type="character" w:styleId="1216" w:customStyle="1">
    <w:name w:val="Table Text Char1"/>
    <w:link w:val="1217"/>
    <w:uiPriority w:val="0"/>
    <w:qFormat/>
    <w:rPr>
      <w:rFonts w:ascii="Arial" w:hAnsi="Arial" w:eastAsia="Times New Roman"/>
      <w:sz w:val="18"/>
      <w:szCs w:val="18"/>
      <w:lang w:val="en-US" w:eastAsia="zh-CN" w:bidi="ar-SA"/>
    </w:rPr>
  </w:style>
  <w:style w:type="paragraph" w:styleId="1217" w:customStyle="1">
    <w:name w:val="Table Text"/>
    <w:link w:val="1216"/>
    <w:uiPriority w:val="0"/>
    <w:qFormat/>
    <w:pPr>
      <w:spacing w:before="80" w:after="80"/>
    </w:pPr>
    <w:rPr>
      <w:rFonts w:hint="default" w:ascii="Arial" w:hAnsi="Arial" w:eastAsia="Times New Roman" w:cs="Times New Roman"/>
      <w:sz w:val="18"/>
      <w:szCs w:val="18"/>
      <w:lang w:val="en-US" w:eastAsia="zh-CN" w:bidi="ar-SA"/>
    </w:rPr>
  </w:style>
  <w:style w:type="character" w:styleId="1218" w:customStyle="1">
    <w:name w:val="缺省文本 Char"/>
    <w:link w:val="1219"/>
    <w:uiPriority w:val="0"/>
    <w:qFormat/>
    <w:rPr>
      <w:rFonts w:ascii="Arial" w:hAnsi="Arial" w:eastAsia="宋体"/>
      <w:sz w:val="24"/>
      <w:szCs w:val="21"/>
      <w:lang w:bidi="ar-SA"/>
    </w:rPr>
  </w:style>
  <w:style w:type="paragraph" w:styleId="1219" w:customStyle="1">
    <w:name w:val="缺省文本"/>
    <w:basedOn w:val="919"/>
    <w:link w:val="1218"/>
    <w:uiPriority w:val="0"/>
    <w:qFormat/>
    <w:pPr>
      <w:jc w:val="left"/>
      <w:spacing w:line="360" w:lineRule="auto"/>
    </w:pPr>
    <w:rPr>
      <w:rFonts w:ascii="Arial" w:hAnsi="Arial"/>
      <w:sz w:val="24"/>
      <w:szCs w:val="21"/>
    </w:rPr>
  </w:style>
  <w:style w:type="character" w:styleId="1220" w:customStyle="1">
    <w:name w:val="正文（首行缩进2字符） Char"/>
    <w:link w:val="1221"/>
    <w:uiPriority w:val="0"/>
    <w:qFormat/>
    <w:rPr>
      <w:rFonts w:eastAsia="宋体"/>
      <w:sz w:val="21"/>
      <w:szCs w:val="21"/>
      <w:lang w:bidi="ar-SA"/>
    </w:rPr>
  </w:style>
  <w:style w:type="paragraph" w:styleId="1221" w:customStyle="1">
    <w:name w:val="正文（首行缩进2字符）"/>
    <w:basedOn w:val="919"/>
    <w:link w:val="1220"/>
    <w:uiPriority w:val="0"/>
    <w:qFormat/>
    <w:pPr>
      <w:ind w:firstLine="420"/>
      <w:spacing w:line="360" w:lineRule="auto"/>
    </w:pPr>
    <w:rPr>
      <w:sz w:val="20"/>
      <w:szCs w:val="21"/>
    </w:rPr>
  </w:style>
  <w:style w:type="character" w:styleId="1222" w:customStyle="1">
    <w:name w:val="fix161 Char"/>
    <w:link w:val="1223"/>
    <w:uiPriority w:val="0"/>
    <w:qFormat/>
    <w:rPr>
      <w:rFonts w:ascii="宋体" w:hAnsi="宋体"/>
      <w:sz w:val="24"/>
      <w:szCs w:val="24"/>
      <w:lang w:bidi="ar-SA"/>
    </w:rPr>
  </w:style>
  <w:style w:type="paragraph" w:styleId="1223" w:customStyle="1">
    <w:name w:val="fix161"/>
    <w:basedOn w:val="919"/>
    <w:link w:val="1222"/>
    <w:uiPriority w:val="0"/>
    <w:qFormat/>
    <w:pPr>
      <w:jc w:val="left"/>
      <w:spacing w:before="100" w:beforeAutospacing="1" w:after="100" w:afterAutospacing="1"/>
      <w:widowControl/>
    </w:pPr>
    <w:rPr>
      <w:rFonts w:ascii="宋体" w:hAnsi="宋体"/>
      <w:sz w:val="24"/>
    </w:rPr>
  </w:style>
  <w:style w:type="character" w:styleId="1224" w:customStyle="1">
    <w:name w:val="HTML 地址 Char1"/>
    <w:link w:val="919"/>
    <w:uiPriority w:val="0"/>
    <w:qFormat/>
    <w:rPr>
      <w:i/>
      <w:iCs/>
      <w:sz w:val="21"/>
      <w:szCs w:val="21"/>
    </w:rPr>
  </w:style>
  <w:style w:type="character" w:styleId="1225" w:customStyle="1">
    <w:name w:val="曹阿龙 Char"/>
    <w:link w:val="1226"/>
    <w:uiPriority w:val="0"/>
    <w:qFormat/>
    <w:rPr>
      <w:rFonts w:ascii="宋体" w:hAnsi="宋体" w:eastAsia="幼圆"/>
      <w:b/>
      <w:bCs/>
      <w:sz w:val="28"/>
      <w:szCs w:val="28"/>
      <w:lang w:bidi="ar-SA"/>
    </w:rPr>
  </w:style>
  <w:style w:type="paragraph" w:styleId="1226" w:customStyle="1">
    <w:name w:val="曹阿龙"/>
    <w:basedOn w:val="909"/>
    <w:link w:val="1225"/>
    <w:uiPriority w:val="0"/>
    <w:qFormat/>
    <w:pPr>
      <w:ind w:firstLine="561"/>
      <w:jc w:val="left"/>
      <w:spacing w:line="400" w:lineRule="exact"/>
    </w:pPr>
    <w:rPr>
      <w:rFonts w:ascii="宋体" w:hAnsi="宋体" w:eastAsia="幼圆"/>
      <w:sz w:val="28"/>
      <w:szCs w:val="28"/>
    </w:rPr>
  </w:style>
  <w:style w:type="character" w:styleId="1227" w:customStyle="1">
    <w:name w:val="首行缩进正文 Char"/>
    <w:link w:val="1228"/>
    <w:uiPriority w:val="0"/>
    <w:qFormat/>
    <w:rPr>
      <w:rFonts w:ascii="微软雅黑" w:hAnsi="微软雅黑" w:eastAsia="微软雅黑"/>
      <w:sz w:val="24"/>
      <w:szCs w:val="24"/>
      <w:lang w:bidi="ar-SA"/>
    </w:rPr>
  </w:style>
  <w:style w:type="paragraph" w:styleId="1228" w:customStyle="1">
    <w:name w:val="首行缩进正文"/>
    <w:basedOn w:val="919"/>
    <w:link w:val="1227"/>
    <w:uiPriority w:val="0"/>
    <w:qFormat/>
    <w:pPr>
      <w:ind w:firstLine="420"/>
      <w:jc w:val="left"/>
      <w:spacing w:line="400" w:lineRule="exact"/>
      <w:widowControl/>
    </w:pPr>
    <w:rPr>
      <w:rFonts w:ascii="微软雅黑" w:hAnsi="微软雅黑" w:eastAsia="微软雅黑"/>
      <w:sz w:val="20"/>
    </w:rPr>
  </w:style>
  <w:style w:type="character" w:styleId="1229" w:customStyle="1">
    <w:name w:val="美标题一 Char Char"/>
    <w:link w:val="1230"/>
    <w:uiPriority w:val="0"/>
    <w:qFormat/>
    <w:rPr>
      <w:rFonts w:ascii="Calibri" w:hAnsi="Calibri" w:eastAsia="宋体"/>
      <w:b/>
      <w:sz w:val="36"/>
      <w:szCs w:val="24"/>
      <w:lang w:bidi="ar-SA"/>
    </w:rPr>
  </w:style>
  <w:style w:type="paragraph" w:styleId="1230" w:customStyle="1">
    <w:name w:val="美标题一"/>
    <w:basedOn w:val="919"/>
    <w:link w:val="1229"/>
    <w:uiPriority w:val="0"/>
    <w:qFormat/>
    <w:pPr>
      <w:ind w:left="480" w:hanging="480"/>
      <w:jc w:val="center"/>
      <w:tabs>
        <w:tab w:val="left" w:pos="480" w:leader="none"/>
        <w:tab w:val="left" w:pos="907" w:leader="none"/>
        <w:tab w:val="left" w:pos="1035" w:leader="none"/>
        <w:tab w:val="left" w:pos="1995" w:leader="none"/>
      </w:tabs>
    </w:pPr>
    <w:rPr>
      <w:b/>
      <w:sz w:val="36"/>
    </w:rPr>
  </w:style>
  <w:style w:type="character" w:styleId="1231" w:customStyle="1">
    <w:name w:val=" Char Char30"/>
    <w:link w:val="919"/>
    <w:uiPriority w:val="0"/>
    <w:qFormat/>
    <w:rPr>
      <w:rFonts w:eastAsia="宋体"/>
      <w:b/>
      <w:bCs/>
      <w:sz w:val="32"/>
      <w:szCs w:val="32"/>
      <w:lang w:val="en-US" w:eastAsia="zh-CN" w:bidi="ar-SA"/>
    </w:rPr>
  </w:style>
  <w:style w:type="character" w:styleId="1232" w:customStyle="1">
    <w:name w:val="二级目录 Char"/>
    <w:link w:val="1233"/>
    <w:uiPriority w:val="0"/>
    <w:qFormat/>
    <w:rPr>
      <w:rFonts w:eastAsia="Times New Roman"/>
      <w:b/>
      <w:sz w:val="30"/>
      <w:szCs w:val="28"/>
      <w:lang w:val="en-US" w:eastAsia="zh-CN" w:bidi="ar-SA"/>
    </w:rPr>
  </w:style>
  <w:style w:type="paragraph" w:styleId="1233" w:customStyle="1">
    <w:name w:val="二级目录"/>
    <w:next w:val="919"/>
    <w:link w:val="1232"/>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234" w:customStyle="1">
    <w:name w:val="不明显参考"/>
    <w:link w:val="919"/>
    <w:uiPriority w:val="0"/>
    <w:qFormat/>
    <w:rPr>
      <w:smallCaps/>
      <w:color w:val="c0504d"/>
      <w:u w:val="single"/>
    </w:rPr>
  </w:style>
  <w:style w:type="character" w:styleId="1235" w:customStyle="1">
    <w:name w:val="表格标题 Char"/>
    <w:link w:val="1236"/>
    <w:uiPriority w:val="0"/>
    <w:qFormat/>
    <w:rPr>
      <w:rFonts w:ascii="Arial Black" w:hAnsi="Arial Black" w:eastAsia="黑体"/>
      <w:sz w:val="24"/>
      <w:szCs w:val="24"/>
    </w:rPr>
  </w:style>
  <w:style w:type="paragraph" w:styleId="1236" w:customStyle="1">
    <w:name w:val="表格标题"/>
    <w:basedOn w:val="919"/>
    <w:link w:val="1235"/>
    <w:uiPriority w:val="0"/>
    <w:qFormat/>
    <w:pPr>
      <w:jc w:val="center"/>
      <w:spacing w:after="156" w:line="400" w:lineRule="exact"/>
    </w:pPr>
    <w:rPr>
      <w:rFonts w:ascii="Arial Black" w:hAnsi="Arial Black" w:eastAsia="黑体"/>
      <w:sz w:val="24"/>
    </w:rPr>
  </w:style>
  <w:style w:type="character" w:styleId="1237" w:customStyle="1">
    <w:name w:val="正文4 Char"/>
    <w:link w:val="1238"/>
    <w:uiPriority w:val="0"/>
    <w:qFormat/>
    <w:rPr>
      <w:rFonts w:eastAsia="楷体_GB2312"/>
      <w:spacing w:val="8"/>
      <w:sz w:val="28"/>
    </w:rPr>
  </w:style>
  <w:style w:type="paragraph" w:styleId="1238" w:customStyle="1">
    <w:name w:val="正文4"/>
    <w:basedOn w:val="919"/>
    <w:link w:val="1237"/>
    <w:uiPriority w:val="0"/>
    <w:qFormat/>
    <w:pPr>
      <w:ind w:firstLine="601"/>
      <w:spacing w:line="440" w:lineRule="exact"/>
    </w:pPr>
    <w:rPr>
      <w:rFonts w:eastAsia="楷体_GB2312"/>
      <w:spacing w:val="8"/>
      <w:sz w:val="28"/>
      <w:szCs w:val="20"/>
    </w:rPr>
  </w:style>
  <w:style w:type="paragraph" w:styleId="1239" w:customStyle="1">
    <w:name w:val="Char1"/>
    <w:basedOn w:val="919"/>
    <w:uiPriority w:val="0"/>
    <w:qFormat/>
    <w:pPr>
      <w:spacing w:line="360" w:lineRule="auto"/>
    </w:pPr>
    <w:rPr>
      <w:sz w:val="24"/>
      <w:szCs w:val="20"/>
    </w:rPr>
  </w:style>
  <w:style w:type="paragraph" w:styleId="1240" w:customStyle="1">
    <w:name w:val="P3"/>
    <w:uiPriority w:val="0"/>
    <w:qFormat/>
    <w:pPr>
      <w:numPr>
        <w:ilvl w:val="0"/>
        <w:numId w:val="5"/>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241" w:customStyle="1">
    <w:name w:val="xl70"/>
    <w:basedOn w:val="919"/>
    <w:uiPriority w:val="0"/>
    <w:qFormat/>
    <w:pPr>
      <w:numPr>
        <w:ilvl w:val="8"/>
        <w:numId w:val="6"/>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42"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43" w:customStyle="1">
    <w:name w:val="正文图标题"/>
    <w:basedOn w:val="919"/>
    <w:next w:val="911"/>
    <w:uiPriority w:val="0"/>
    <w:qFormat/>
    <w:pPr>
      <w:numPr>
        <w:ilvl w:val="0"/>
        <w:numId w:val="7"/>
      </w:numPr>
      <w:jc w:val="center"/>
      <w:widowControl/>
    </w:pPr>
    <w:rPr>
      <w:rFonts w:ascii="黑体" w:eastAsia="黑体"/>
      <w:sz w:val="20"/>
      <w:szCs w:val="20"/>
    </w:rPr>
  </w:style>
  <w:style w:type="paragraph" w:styleId="1244" w:customStyle="1">
    <w:name w:val="列项——"/>
    <w:uiPriority w:val="0"/>
    <w:qFormat/>
    <w:pPr>
      <w:numPr>
        <w:ilvl w:val="0"/>
        <w:numId w:val="8"/>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245" w:customStyle="1">
    <w:name w:val="Section VII Header2"/>
    <w:basedOn w:val="1087"/>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bCs/>
      <w:sz w:val="24"/>
    </w:rPr>
  </w:style>
  <w:style w:type="paragraph" w:styleId="1246" w:customStyle="1">
    <w:name w:val="Char Char1 Char Char Char Char Char Char Char Char Char Char Char Char Char Char Char"/>
    <w:basedOn w:val="919"/>
    <w:uiPriority w:val="0"/>
    <w:qFormat/>
    <w:pPr>
      <w:numPr>
        <w:ilvl w:val="8"/>
        <w:numId w:val="8"/>
      </w:numPr>
      <w:ind w:firstLine="0"/>
      <w:jc w:val="left"/>
      <w:spacing w:after="160" w:line="240" w:lineRule="exact"/>
      <w:widowControl/>
    </w:pPr>
    <w:rPr>
      <w:rFonts w:ascii="Verdana" w:hAnsi="Verdana"/>
      <w:sz w:val="20"/>
      <w:szCs w:val="20"/>
      <w:lang w:eastAsia="en-US"/>
    </w:rPr>
  </w:style>
  <w:style w:type="paragraph" w:styleId="1247" w:customStyle="1">
    <w:name w:val=" Char1"/>
    <w:basedOn w:val="919"/>
    <w:uiPriority w:val="0"/>
    <w:qFormat/>
    <w:pPr>
      <w:ind w:left="432" w:hanging="432"/>
      <w:spacing w:before="156" w:after="156"/>
      <w:tabs>
        <w:tab w:val="left" w:pos="432" w:leader="none"/>
      </w:tabs>
    </w:pPr>
  </w:style>
  <w:style w:type="paragraph" w:styleId="1248" w:customStyle="1">
    <w:name w:val="默认段落字体 Para Char Char Char Char Char Char Char"/>
    <w:basedOn w:val="919"/>
    <w:uiPriority w:val="0"/>
    <w:qFormat/>
    <w:rPr>
      <w:rFonts w:ascii="Tahoma" w:hAnsi="Tahoma"/>
      <w:sz w:val="24"/>
      <w:szCs w:val="20"/>
    </w:rPr>
  </w:style>
  <w:style w:type="paragraph" w:styleId="1249" w:customStyle="1">
    <w:name w:val="样式 Numbered list 2.1 +"/>
    <w:basedOn w:val="919"/>
    <w:uiPriority w:val="0"/>
    <w:qFormat/>
    <w:pPr>
      <w:numPr>
        <w:ilvl w:val="0"/>
        <w:numId w:val="9"/>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250" w:customStyle="1">
    <w:name w:val="_Style 10"/>
    <w:basedOn w:val="919"/>
    <w:uiPriority w:val="0"/>
    <w:qFormat/>
    <w:rPr>
      <w:rFonts w:ascii="Tahoma" w:hAnsi="Tahoma"/>
      <w:sz w:val="24"/>
      <w:szCs w:val="20"/>
    </w:rPr>
  </w:style>
  <w:style w:type="paragraph" w:styleId="125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52" w:customStyle="1">
    <w:name w:val="xl62"/>
    <w:basedOn w:val="919"/>
    <w:uiPriority w:val="0"/>
    <w:qFormat/>
    <w:pPr>
      <w:numPr>
        <w:ilvl w:val="0"/>
        <w:numId w:val="10"/>
      </w:numPr>
      <w:ind w:left="0" w:firstLine="0"/>
      <w:spacing w:before="100" w:beforeAutospacing="1" w:after="100" w:afterAutospacing="1"/>
      <w:widowControl/>
      <w:tabs>
        <w:tab w:val="clear" w:pos="720" w:leader="none"/>
      </w:tabs>
      <w:pBdr>
        <w:left w:val="single" w:color="000000" w:sz="4" w:space="0"/>
        <w:bottom w:val="single" w:color="000000" w:sz="4" w:space="0"/>
        <w:right w:val="single" w:color="000000" w:sz="4" w:space="0"/>
      </w:pBdr>
    </w:pPr>
    <w:rPr>
      <w:sz w:val="22"/>
      <w:szCs w:val="20"/>
    </w:rPr>
  </w:style>
  <w:style w:type="paragraph" w:styleId="1253" w:customStyle="1">
    <w:name w:val="GP（表格）"/>
    <w:basedOn w:val="919"/>
    <w:uiPriority w:val="0"/>
    <w:qFormat/>
    <w:rPr>
      <w:rFonts w:ascii="Arial" w:hAnsi="Arial" w:eastAsia="宋体"/>
      <w:sz w:val="18"/>
    </w:rPr>
  </w:style>
  <w:style w:type="paragraph" w:styleId="1254" w:customStyle="1">
    <w:name w:val="Default Text"/>
    <w:basedOn w:val="919"/>
    <w:uiPriority w:val="0"/>
    <w:qFormat/>
    <w:pPr>
      <w:jc w:val="left"/>
      <w:widowControl/>
    </w:pPr>
    <w:rPr>
      <w:rFonts w:ascii="Calibri" w:hAnsi="Calibri"/>
      <w:sz w:val="20"/>
      <w:szCs w:val="20"/>
      <w:lang w:eastAsia="en-US"/>
    </w:rPr>
  </w:style>
  <w:style w:type="paragraph" w:styleId="1255" w:customStyle="1">
    <w:name w:val="Sub Item List"/>
    <w:basedOn w:val="919"/>
    <w:uiPriority w:val="0"/>
    <w:qFormat/>
    <w:pPr>
      <w:numPr>
        <w:ilvl w:val="0"/>
        <w:numId w:val="11"/>
      </w:numPr>
      <w:jc w:val="left"/>
      <w:spacing w:before="80" w:line="240" w:lineRule="atLeast"/>
      <w:widowControl/>
    </w:pPr>
    <w:rPr>
      <w:sz w:val="21"/>
      <w:szCs w:val="21"/>
    </w:rPr>
  </w:style>
  <w:style w:type="paragraph" w:styleId="125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7" w:customStyle="1">
    <w:name w:val="列出段落"/>
    <w:basedOn w:val="919"/>
    <w:uiPriority w:val="0"/>
    <w:qFormat/>
    <w:pPr>
      <w:ind w:firstLine="420"/>
    </w:pPr>
  </w:style>
  <w:style w:type="paragraph" w:styleId="1258" w:customStyle="1">
    <w:name w:val="HPC正文"/>
    <w:basedOn w:val="919"/>
    <w:uiPriority w:val="0"/>
    <w:qFormat/>
    <w:pPr>
      <w:ind w:firstLine="424"/>
      <w:spacing w:line="360" w:lineRule="auto"/>
    </w:pPr>
    <w:rPr>
      <w:sz w:val="24"/>
    </w:rPr>
  </w:style>
  <w:style w:type="paragraph" w:styleId="1259"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60" w:customStyle="1">
    <w:name w:val="一级项目符号"/>
    <w:basedOn w:val="919"/>
    <w:uiPriority w:val="0"/>
    <w:qFormat/>
    <w:pPr>
      <w:numPr>
        <w:ilvl w:val="0"/>
        <w:numId w:val="12"/>
      </w:numPr>
      <w:spacing w:line="360" w:lineRule="auto"/>
      <w:widowControl/>
    </w:pPr>
    <w:rPr>
      <w:rFonts w:ascii="Calibri" w:hAnsi="Calibri" w:eastAsia="宋体"/>
      <w:sz w:val="24"/>
    </w:rPr>
  </w:style>
  <w:style w:type="paragraph" w:styleId="1261" w:customStyle="1">
    <w:name w:val="示例"/>
    <w:next w:val="911"/>
    <w:uiPriority w:val="0"/>
    <w:qFormat/>
    <w:pPr>
      <w:numPr>
        <w:ilvl w:val="0"/>
        <w:numId w:val="2"/>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262" w:customStyle="1">
    <w:name w:val="正文编号"/>
    <w:basedOn w:val="919"/>
    <w:uiPriority w:val="0"/>
    <w:qFormat/>
    <w:pPr>
      <w:numPr>
        <w:ilvl w:val="0"/>
        <w:numId w:val="13"/>
      </w:numPr>
      <w:spacing w:line="400" w:lineRule="exact"/>
    </w:pPr>
    <w:rPr>
      <w:rFonts w:eastAsia="楷体_GB2312"/>
      <w:spacing w:val="8"/>
      <w:sz w:val="28"/>
      <w:szCs w:val="20"/>
    </w:rPr>
  </w:style>
  <w:style w:type="paragraph" w:styleId="1263" w:customStyle="1">
    <w:name w:val="注×："/>
    <w:uiPriority w:val="0"/>
    <w:qFormat/>
    <w:pPr>
      <w:numPr>
        <w:ilvl w:val="0"/>
        <w:numId w:val="14"/>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264" w:customStyle="1">
    <w:name w:val="jx标题1"/>
    <w:basedOn w:val="1087"/>
    <w:uiPriority w:val="0"/>
    <w:qFormat/>
    <w:pPr>
      <w:numPr>
        <w:ilvl w:val="0"/>
        <w:numId w:val="15"/>
      </w:numPr>
      <w:spacing w:line="360" w:lineRule="auto"/>
    </w:pPr>
    <w:rPr>
      <w:rFonts w:ascii="Calibri" w:hAnsi="Calibri" w:eastAsia="黑体"/>
      <w:bCs/>
      <w:sz w:val="44"/>
      <w:szCs w:val="44"/>
    </w:rPr>
  </w:style>
  <w:style w:type="paragraph" w:styleId="1265" w:customStyle="1">
    <w:name w:val="样式2"/>
    <w:basedOn w:val="1087"/>
    <w:uiPriority w:val="0"/>
    <w:qFormat/>
    <w:pPr>
      <w:numPr>
        <w:ilvl w:val="0"/>
        <w:numId w:val="16"/>
      </w:numPr>
      <w:ind w:left="360" w:hanging="360"/>
      <w:spacing w:before="0" w:after="0" w:line="400" w:lineRule="atLeast"/>
      <w:widowControl/>
      <w:tabs>
        <w:tab w:val="left" w:pos="480" w:leader="none"/>
      </w:tabs>
      <w:outlineLvl w:val="9"/>
    </w:pPr>
    <w:rPr>
      <w:rFonts w:ascii="宋体" w:eastAsia="黑体"/>
      <w:sz w:val="21"/>
    </w:rPr>
  </w:style>
  <w:style w:type="paragraph" w:styleId="1266" w:customStyle="1">
    <w:name w:val="Char"/>
    <w:basedOn w:val="919"/>
    <w:uiPriority w:val="0"/>
    <w:qFormat/>
    <w:pPr>
      <w:tabs>
        <w:tab w:val="left" w:pos="360" w:leader="none"/>
      </w:tabs>
    </w:pPr>
    <w:rPr>
      <w:sz w:val="24"/>
    </w:rPr>
  </w:style>
  <w:style w:type="paragraph" w:styleId="1267"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268" w:customStyle="1">
    <w:name w:val="正文缩进编号"/>
    <w:basedOn w:val="919"/>
    <w:uiPriority w:val="0"/>
    <w:qFormat/>
    <w:pPr>
      <w:numPr>
        <w:ilvl w:val="0"/>
        <w:numId w:val="17"/>
      </w:numPr>
      <w:ind w:left="840"/>
      <w:spacing w:line="360" w:lineRule="auto"/>
    </w:pPr>
    <w:rPr>
      <w:rFonts w:ascii="Calibri" w:hAnsi="Calibri"/>
      <w:sz w:val="24"/>
      <w:szCs w:val="21"/>
    </w:rPr>
  </w:style>
  <w:style w:type="character" w:styleId="1269" w:customStyle="1">
    <w:name w:val="页眉 字符"/>
    <w:link w:val="919"/>
    <w:uiPriority w:val="0"/>
    <w:qFormat/>
    <w:rPr>
      <w:rFonts w:eastAsia="宋体"/>
      <w:sz w:val="18"/>
      <w:szCs w:val="18"/>
      <w:lang w:val="en-US" w:eastAsia="zh-CN" w:bidi="ar-SA"/>
    </w:rPr>
  </w:style>
  <w:style w:type="paragraph" w:styleId="1270" w:customStyle="1">
    <w:name w:val="Table Paragraph"/>
    <w:basedOn w:val="919"/>
    <w:uiPriority w:val="0"/>
    <w:qFormat/>
    <w:pPr>
      <w:jc w:val="left"/>
    </w:pPr>
    <w:rPr>
      <w:rFonts w:ascii="Arial Unicode MS" w:hAnsi="Arial Unicode MS" w:eastAsia="Arial Unicode MS"/>
      <w:sz w:val="22"/>
      <w:szCs w:val="22"/>
      <w:lang w:val="zh-CN" w:bidi="zh-CN"/>
    </w:rPr>
  </w:style>
  <w:style w:type="character" w:styleId="1271" w:customStyle="1">
    <w:name w:val="页脚 字符"/>
    <w:link w:val="919"/>
    <w:uiPriority w:val="0"/>
    <w:qFormat/>
    <w:rPr>
      <w:rFonts w:eastAsia="宋体"/>
      <w:sz w:val="18"/>
      <w:szCs w:val="18"/>
      <w:lang w:val="en-US" w:eastAsia="zh-CN" w:bidi="ar-SA"/>
    </w:rPr>
  </w:style>
  <w:style w:type="character" w:styleId="1272" w:customStyle="1">
    <w:name w:val="纯文本 字符"/>
    <w:link w:val="919"/>
    <w:uiPriority w:val="0"/>
    <w:qFormat/>
    <w:rPr>
      <w:rFonts w:ascii="宋体" w:hAnsi="Courier New" w:eastAsia="宋体"/>
      <w:sz w:val="21"/>
      <w:szCs w:val="21"/>
      <w:lang w:bidi="ar-SA"/>
    </w:rPr>
  </w:style>
  <w:style w:type="paragraph" w:styleId="1273" w:customStyle="1">
    <w:name w:val="qowt-stl-正文"/>
    <w:basedOn w:val="906"/>
    <w:uiPriority w:val="0"/>
    <w:qFormat/>
    <w:pPr>
      <w:jc w:val="left"/>
      <w:spacing w:before="100" w:beforeAutospacing="1" w:after="100" w:afterAutospacing="1"/>
      <w:widowControl/>
    </w:pPr>
    <w:rPr>
      <w:rFonts w:ascii="宋体" w:hAnsi="宋体"/>
      <w:sz w:val="24"/>
    </w:rPr>
  </w:style>
  <w:style w:type="character" w:styleId="1274" w:customStyle="1">
    <w:name w:val="qowt-font4"/>
    <w:link w:val="919"/>
    <w:uiPriority w:val="0"/>
    <w:qFormat/>
  </w:style>
  <w:style w:type="character" w:styleId="1275" w:customStyle="1">
    <w:name w:val="font01"/>
    <w:link w:val="919"/>
    <w:uiPriority w:val="0"/>
    <w:qFormat/>
    <w:rPr>
      <w:rFonts w:ascii="宋体" w:hAnsi="宋体" w:eastAsia="宋体"/>
      <w:color w:val="000000"/>
      <w:sz w:val="22"/>
      <w:szCs w:val="22"/>
      <w:u w:val="none"/>
    </w:rPr>
  </w:style>
  <w:style w:type="character" w:styleId="1276" w:customStyle="1">
    <w:name w:val="qowt-font2"/>
    <w:link w:val="919"/>
    <w:uiPriority w:val="0"/>
    <w:qFormat/>
  </w:style>
  <w:style w:type="paragraph" w:styleId="1277" w:customStyle="1">
    <w:name w:val="qowt-stl-正文缩进"/>
    <w:basedOn w:val="919"/>
    <w:uiPriority w:val="0"/>
    <w:qFormat/>
    <w:pPr>
      <w:jc w:val="left"/>
      <w:spacing w:before="100" w:beforeAutospacing="1" w:after="100" w:afterAutospacing="1"/>
      <w:widowControl/>
    </w:pPr>
    <w:rPr>
      <w:rFonts w:ascii="宋体" w:hAnsi="宋体"/>
      <w:sz w:val="24"/>
    </w:rPr>
  </w:style>
  <w:style w:type="character" w:styleId="1278" w:customStyle="1">
    <w:name w:val="页脚 Char1"/>
    <w:link w:val="919"/>
    <w:uiPriority w:val="0"/>
    <w:qFormat/>
    <w:rPr>
      <w:sz w:val="18"/>
      <w:szCs w:val="18"/>
    </w:rPr>
  </w:style>
  <w:style w:type="character" w:styleId="1279" w:customStyle="1">
    <w:name w:val="*正文 Char"/>
    <w:link w:val="1280"/>
    <w:uiPriority w:val="0"/>
    <w:qFormat/>
    <w:rPr>
      <w:rFonts w:ascii="仿宋" w:hAnsi="仿宋" w:eastAsia="仿宋"/>
      <w:sz w:val="24"/>
      <w:szCs w:val="24"/>
    </w:rPr>
  </w:style>
  <w:style w:type="paragraph" w:styleId="1280" w:customStyle="1">
    <w:name w:val="*正文"/>
    <w:basedOn w:val="919"/>
    <w:link w:val="1279"/>
    <w:uiPriority w:val="0"/>
    <w:qFormat/>
    <w:pPr>
      <w:ind w:firstLine="480"/>
      <w:spacing w:line="440" w:lineRule="exact"/>
    </w:pPr>
    <w:rPr>
      <w:rFonts w:ascii="仿宋" w:hAnsi="仿宋" w:eastAsia="仿宋"/>
      <w:sz w:val="24"/>
    </w:rPr>
  </w:style>
  <w:style w:type="paragraph" w:styleId="1281" w:customStyle="1">
    <w:name w:val="引用"/>
    <w:basedOn w:val="919"/>
    <w:next w:val="919"/>
    <w:link w:val="1282"/>
    <w:uiPriority w:val="0"/>
    <w:qFormat/>
    <w:rPr>
      <w:i/>
      <w:iCs/>
      <w:color w:val="000000"/>
    </w:rPr>
  </w:style>
  <w:style w:type="character" w:styleId="1282" w:customStyle="1">
    <w:name w:val="引用 Char"/>
    <w:link w:val="1281"/>
    <w:uiPriority w:val="0"/>
    <w:qFormat/>
    <w:rPr>
      <w:i/>
      <w:iCs/>
      <w:color w:val="000000"/>
      <w:sz w:val="21"/>
      <w:szCs w:val="24"/>
    </w:rPr>
  </w:style>
  <w:style w:type="paragraph" w:styleId="1283" w:customStyle="1">
    <w:name w:val="_Style 28"/>
    <w:uiPriority w:val="0"/>
    <w:qFormat/>
    <w:rPr>
      <w:rFonts w:hint="default" w:ascii="Times New Roman" w:hAnsi="Times New Roman" w:eastAsia="宋体" w:cs="Times New Roman"/>
      <w:sz w:val="21"/>
      <w:szCs w:val="24"/>
      <w:lang w:val="en-US" w:eastAsia="zh-CN" w:bidi="ar-SA"/>
    </w:rPr>
  </w:style>
  <w:style w:type="paragraph" w:styleId="1284" w:customStyle="1">
    <w:name w:val="正文缩进2字符"/>
    <w:basedOn w:val="919"/>
    <w:uiPriority w:val="0"/>
    <w:qFormat/>
    <w:pPr>
      <w:ind w:firstLine="200"/>
      <w:jc w:val="left"/>
      <w:spacing w:line="360" w:lineRule="auto"/>
    </w:pPr>
    <w:rPr>
      <w:sz w:val="24"/>
      <w:szCs w:val="20"/>
    </w:rPr>
  </w:style>
  <w:style w:type="paragraph" w:styleId="1285" w:customStyle="1">
    <w:name w:val="p0"/>
    <w:basedOn w:val="919"/>
    <w:uiPriority w:val="0"/>
    <w:qFormat/>
    <w:pPr>
      <w:widowControl/>
    </w:pPr>
    <w:rPr>
      <w:sz w:val="21"/>
      <w:szCs w:val="21"/>
    </w:rPr>
  </w:style>
  <w:style w:type="paragraph" w:styleId="1286" w:customStyle="1">
    <w:name w:val="并列样式"/>
    <w:basedOn w:val="919"/>
    <w:uiPriority w:val="0"/>
    <w:qFormat/>
    <w:pPr>
      <w:spacing w:before="60" w:after="60"/>
    </w:pPr>
    <w:rPr>
      <w:rFonts w:ascii="Times New Roman" w:hAnsi="Times New Roman"/>
      <w:sz w:val="24"/>
      <w:szCs w:val="20"/>
    </w:rPr>
  </w:style>
  <w:style w:type="paragraph" w:styleId="1287" w:customStyle="1">
    <w:name w:val="表格3"/>
    <w:basedOn w:val="919"/>
    <w:uiPriority w:val="0"/>
    <w:qFormat/>
    <w:pPr>
      <w:jc w:val="center"/>
    </w:pPr>
  </w:style>
  <w:style w:type="paragraph" w:styleId="1288" w:customStyle="1">
    <w:name w:val="正文 A"/>
    <w:uiPriority w:val="0"/>
    <w:qFormat/>
    <w:pPr>
      <w:jc w:val="both"/>
      <w:widowControl w:val="off"/>
    </w:pPr>
    <w:rPr>
      <w:rFonts w:hint="default" w:ascii="Times New Roman" w:hAnsi="Times New Roman" w:eastAsia="Arial Unicode MS" w:cs="Times New Roman"/>
      <w:color w:val="000000"/>
      <w:sz w:val="32"/>
      <w:szCs w:val="32"/>
      <w:lang w:val="en-US" w:eastAsia="zh-CN" w:bidi="ar-SA"/>
    </w:rPr>
  </w:style>
  <w:style w:type="paragraph" w:styleId="1289" w:customStyle="1">
    <w:name w:val="Blockquote"/>
    <w:basedOn w:val="919"/>
    <w:uiPriority w:val="0"/>
    <w:qFormat/>
    <w:pPr>
      <w:ind w:left="764" w:right="567"/>
      <w:jc w:val="left"/>
      <w:spacing w:before="100" w:after="100"/>
    </w:pPr>
    <w:rPr>
      <w:sz w:val="24"/>
    </w:rPr>
  </w:style>
  <w:style w:type="paragraph" w:styleId="1290" w:customStyle="1">
    <w:name w:val="BodyText"/>
    <w:basedOn w:val="919"/>
    <w:uiPriority w:val="0"/>
    <w:qFormat/>
    <w:pPr>
      <w:spacing w:line="380" w:lineRule="exact"/>
    </w:pPr>
  </w:style>
  <w:style w:type="paragraph" w:styleId="1291" w:customStyle="1">
    <w:name w:val="Body text|1"/>
    <w:basedOn w:val="919"/>
    <w:uiPriority w:val="0"/>
    <w:qFormat/>
    <w:pPr>
      <w:ind w:firstLine="400"/>
      <w:jc w:val="left"/>
      <w:spacing w:line="415" w:lineRule="auto"/>
    </w:pPr>
    <w:rPr>
      <w:rFonts w:ascii="宋体" w:hAnsi="宋体"/>
      <w:color w:val="000000"/>
      <w:sz w:val="30"/>
      <w:szCs w:val="30"/>
    </w:rPr>
  </w:style>
  <w:style w:type="paragraph" w:styleId="1292" w:customStyle="1">
    <w:name w:val="Body text|3"/>
    <w:basedOn w:val="919"/>
    <w:uiPriority w:val="0"/>
    <w:qFormat/>
    <w:pPr>
      <w:ind w:left="260" w:hanging="260"/>
      <w:jc w:val="left"/>
    </w:pPr>
    <w:rPr>
      <w:color w:val="000000"/>
      <w:sz w:val="26"/>
      <w:szCs w:val="26"/>
    </w:rPr>
  </w:style>
  <w:style w:type="paragraph" w:styleId="1293"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94" w:customStyle="1">
    <w:name w:val="font101"/>
    <w:link w:val="919"/>
    <w:uiPriority w:val="0"/>
    <w:qFormat/>
    <w:rPr>
      <w:rFonts w:ascii="宋体" w:hAnsi="宋体" w:eastAsia="宋体"/>
      <w:b/>
      <w:color w:val="000000"/>
      <w:sz w:val="20"/>
      <w:szCs w:val="20"/>
      <w:u w:val="none"/>
    </w:rPr>
  </w:style>
  <w:style w:type="character" w:styleId="1295" w:customStyle="1">
    <w:name w:val="10"/>
    <w:link w:val="919"/>
    <w:uiPriority w:val="0"/>
    <w:qFormat/>
  </w:style>
  <w:style w:type="character" w:styleId="1296" w:customStyle="1">
    <w:name w:val="font112"/>
    <w:link w:val="919"/>
    <w:uiPriority w:val="0"/>
    <w:qFormat/>
    <w:rPr>
      <w:rFonts w:ascii="宋体" w:hAnsi="宋体" w:eastAsia="宋体"/>
      <w:b/>
      <w:color w:val="000000"/>
      <w:sz w:val="20"/>
      <w:szCs w:val="20"/>
      <w:u w:val="none"/>
    </w:rPr>
  </w:style>
  <w:style w:type="character" w:styleId="1297" w:customStyle="1">
    <w:name w:val="font21"/>
    <w:link w:val="919"/>
    <w:uiPriority w:val="0"/>
    <w:qFormat/>
    <w:rPr>
      <w:rFonts w:ascii="宋体" w:hAnsi="宋体" w:eastAsia="宋体"/>
      <w:color w:val="000000"/>
      <w:sz w:val="18"/>
      <w:szCs w:val="18"/>
      <w:u w:val="none"/>
    </w:rPr>
  </w:style>
  <w:style w:type="character" w:styleId="1298" w:customStyle="1">
    <w:name w:val="font11"/>
    <w:link w:val="919"/>
    <w:uiPriority w:val="0"/>
    <w:qFormat/>
    <w:rPr>
      <w:rFonts w:ascii="Times New Roman" w:hAnsi="Times New Roman"/>
      <w:color w:val="000000"/>
      <w:sz w:val="14"/>
      <w:szCs w:val="14"/>
      <w:u w:val="none"/>
    </w:rPr>
  </w:style>
  <w:style w:type="table" w:styleId="1299" w:customStyle="1">
    <w:name w:val="Table Normal"/>
    <w:uiPriority w:val="0"/>
    <w:qFormat/>
    <w:tblPr/>
  </w:style>
  <w:style w:type="paragraph" w:styleId="1300" w:customStyle="1">
    <w:name w:val="目录 111"/>
    <w:basedOn w:val="906"/>
    <w:next w:val="906"/>
    <w:uiPriority w:val="0"/>
    <w:qFormat/>
  </w:style>
  <w:style w:type="character" w:styleId="1301" w:customStyle="1">
    <w:name w:val="NormalCharacter"/>
    <w:link w:val="904"/>
    <w:uiPriority w:val="0"/>
    <w:semiHidden/>
    <w:qFormat/>
    <w:rPr>
      <w:rFonts w:hint="default" w:ascii="Times New Roman" w:hAnsi="Times New Roman" w:eastAsia="宋体" w:cs="Times New Roman"/>
      <w:sz w:val="21"/>
      <w:szCs w:val="24"/>
      <w:lang w:val="en-US" w:eastAsia="zh-CN" w:bidi="ar-SA"/>
    </w:rPr>
  </w:style>
  <w:style w:type="paragraph" w:styleId="1302" w:customStyle="1">
    <w:name w:val="BlockQuote"/>
    <w:basedOn w:val="904"/>
    <w:uiPriority w:val="0"/>
    <w:qFormat/>
    <w:pPr>
      <w:ind w:left="256" w:right="6" w:firstLine="624"/>
    </w:pPr>
    <w:rPr>
      <w:rFonts w:eastAsia="仿宋_GB2312"/>
      <w:sz w:val="28"/>
    </w:rPr>
  </w:style>
  <w:style w:type="paragraph" w:styleId="1303" w:customStyle="1">
    <w:name w:val="无间隔1"/>
    <w:uiPriority w:val="0"/>
    <w:qFormat/>
    <w:rPr>
      <w:rFonts w:hint="default" w:ascii="Calibri" w:hAnsi="Calibri" w:eastAsia="宋体" w:cs="Times New Roman"/>
      <w:sz w:val="22"/>
      <w:lang w:val="en-US" w:eastAsia="zh-CN" w:bidi="ar-SA"/>
    </w:rPr>
  </w:style>
  <w:style w:type="numbering" w:styleId="159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宏达王丹</dc:creator>
  <cp:lastModifiedBy>魏楚词</cp:lastModifiedBy>
  <cp:revision>20</cp:revision>
  <dcterms:created xsi:type="dcterms:W3CDTF">2022-08-31T14:44:00Z</dcterms:created>
  <dcterms:modified xsi:type="dcterms:W3CDTF">2026-08-07T01:29:18Z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E25EF92F279142C0AD7429A28A1F07C1_13</vt:lpwstr>
  </property>
  <property fmtid="{D5CDD505-2E9C-101B-9397-08002B2CF9AE}" pid="4" name="KSOTemplateDocerSaveRecord">
    <vt:lpwstr>eyJoZGlkIjoiNTMyMjY0MTY5NGNhODc0ZTE3NWRkYjU1YjFhMjU5ZmUiLCJ1c2VySWQiOiIxMTQwMzg1MzY5In0=</vt:lpwstr>
  </property>
</Properties>
</file>