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8"/>
        <w:jc w:val="left"/>
        <w:spacing w:line="360" w:lineRule="auto"/>
        <w:rPr>
          <w:rFonts w:ascii="宋体" w:hAnsi="宋体" w:eastAsia="宋体" w:cs="宋体"/>
          <w:sz w:val="36"/>
          <w:highlight w:val="none"/>
          <w:lang w:val="en-US" w:eastAsia="zh-CN"/>
        </w:rPr>
      </w:pPr>
      <w:r>
        <w:rPr>
          <w:rFonts w:ascii="宋体" w:hAnsi="宋体" w:eastAsia="宋体" w:cs="宋体"/>
          <w:sz w:val="36"/>
          <w:highlight w:val="none"/>
          <w:lang w:val="en-US" w:eastAsia="zh-CN"/>
        </w:rPr>
      </w:r>
      <w:r/>
    </w:p>
    <w:p>
      <w:pPr>
        <w:pStyle w:val="130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8"/>
        <w:jc w:val="center"/>
        <w:spacing w:line="360" w:lineRule="auto"/>
        <w:rPr>
          <w:rFonts w:hint="eastAsia" w:ascii="宋体" w:hAnsi="宋体" w:cs="宋体"/>
          <w:sz w:val="36"/>
          <w:highlight w:val="none"/>
        </w:rPr>
      </w:pPr>
      <w:r>
        <w:rPr>
          <w:rFonts w:hint="eastAsia" w:ascii="宋体" w:hAnsi="宋体" w:cs="宋体"/>
          <w:sz w:val="36"/>
          <w:highlight w:val="none"/>
        </w:rPr>
      </w:r>
      <w:r/>
    </w:p>
    <w:p>
      <w:pPr>
        <w:pStyle w:val="1208"/>
        <w:jc w:val="center"/>
        <w:spacing w:line="360" w:lineRule="auto"/>
        <w:rPr>
          <w:rFonts w:hint="eastAsia" w:ascii="宋体" w:hAnsi="宋体" w:cs="宋体"/>
          <w:b/>
          <w:sz w:val="84"/>
          <w:highlight w:val="none"/>
        </w:rPr>
      </w:pPr>
      <w:r>
        <w:rPr>
          <w:rFonts w:hint="eastAsia" w:ascii="宋体" w:hAnsi="宋体" w:cs="宋体"/>
          <w:b/>
          <w:bCs w:val="0"/>
          <w:sz w:val="84"/>
          <w:highlight w:val="none"/>
        </w:rPr>
        <w:t xml:space="preserve">招 标 文 件</w:t>
      </w:r>
      <w:r>
        <w:rPr>
          <w:rFonts w:hint="eastAsia" w:ascii="宋体" w:hAnsi="宋体" w:cs="宋体"/>
          <w:b/>
          <w:sz w:val="84"/>
          <w:highlight w:val="none"/>
        </w:rPr>
      </w:r>
      <w:r/>
    </w:p>
    <w:p>
      <w:pPr>
        <w:pStyle w:val="1208"/>
        <w:jc w:val="center"/>
        <w:spacing w:line="360" w:lineRule="auto"/>
        <w:rPr>
          <w:rFonts w:hint="eastAsia" w:ascii="宋体" w:hAnsi="宋体" w:cs="宋体"/>
          <w:b/>
          <w:sz w:val="32"/>
          <w:highlight w:val="none"/>
        </w:rPr>
      </w:pPr>
      <w:r>
        <w:rPr>
          <w:rFonts w:hint="eastAsia" w:ascii="宋体" w:hAnsi="宋体" w:cs="宋体"/>
          <w:b/>
          <w:sz w:val="32"/>
          <w:highlight w:val="none"/>
        </w:rPr>
      </w:r>
      <w:r/>
    </w:p>
    <w:p>
      <w:pPr>
        <w:pStyle w:val="1208"/>
        <w:ind w:firstLine="723"/>
        <w:spacing w:line="360" w:lineRule="auto"/>
        <w:rPr>
          <w:rFonts w:hint="eastAsia" w:ascii="宋体" w:hAnsi="宋体" w:eastAsia="宋体" w:cs="宋体"/>
          <w:b/>
          <w:sz w:val="36"/>
          <w:highlight w:val="none"/>
        </w:rPr>
      </w:pPr>
      <w:r>
        <w:rPr>
          <w:rFonts w:hint="eastAsia" w:ascii="宋体" w:hAnsi="宋体" w:cs="宋体"/>
          <w:b/>
          <w:sz w:val="36"/>
          <w:highlight w:val="none"/>
        </w:rPr>
        <w:t xml:space="preserve">项目编号</w:t>
      </w:r>
      <w:r>
        <w:rPr>
          <w:rFonts w:hint="eastAsia" w:ascii="宋体" w:hAnsi="宋体" w:eastAsia="宋体" w:cs="宋体"/>
          <w:b/>
          <w:sz w:val="36"/>
          <w:highlight w:val="none"/>
        </w:rPr>
        <w:t xml:space="preserve">：</w:t>
      </w:r>
      <w:r>
        <w:rPr>
          <w:rFonts w:hint="eastAsia" w:ascii="宋体" w:hAnsi="宋体" w:eastAsia="宋体" w:cs="宋体"/>
          <w:b/>
          <w:i w:val="0"/>
          <w:iCs w:val="0"/>
          <w:caps w:val="0"/>
          <w:spacing w:val="0"/>
          <w:sz w:val="36"/>
          <w:szCs w:val="21"/>
          <w:highlight w:val="none"/>
          <w:shd w:val="clear" w:color="auto" w:fill="auto"/>
        </w:rPr>
        <w:t xml:space="preserve">JSZC-320900-JSGM-G2026-0001</w:t>
      </w:r>
      <w:r>
        <w:rPr>
          <w:rFonts w:hint="eastAsia" w:ascii="宋体" w:hAnsi="宋体" w:eastAsia="宋体" w:cs="宋体"/>
          <w:b/>
          <w:sz w:val="36"/>
          <w:highlight w:val="none"/>
        </w:rPr>
      </w:r>
      <w:r/>
    </w:p>
    <w:p>
      <w:pPr>
        <w:pStyle w:val="1211"/>
        <w:spacing w:line="360" w:lineRule="auto"/>
        <w:rPr>
          <w:rFonts w:hint="eastAsia" w:ascii="宋体" w:hAnsi="宋体" w:cs="宋体"/>
          <w:highlight w:val="none"/>
        </w:rPr>
      </w:pPr>
      <w:r>
        <w:rPr>
          <w:rFonts w:hint="eastAsia" w:ascii="宋体" w:hAnsi="宋体" w:cs="宋体"/>
          <w:highlight w:val="none"/>
        </w:rPr>
      </w:r>
      <w:r/>
    </w:p>
    <w:p>
      <w:pPr>
        <w:pStyle w:val="1208"/>
        <w:jc w:val="center"/>
        <w:spacing w:line="360" w:lineRule="auto"/>
        <w:rPr>
          <w:rFonts w:hint="eastAsia" w:ascii="宋体" w:hAnsi="宋体" w:cs="宋体"/>
          <w:b/>
          <w:sz w:val="36"/>
          <w:highlight w:val="none"/>
        </w:rPr>
      </w:pPr>
      <w:r>
        <w:rPr>
          <w:rFonts w:hint="eastAsia" w:ascii="宋体" w:hAnsi="宋体" w:cs="宋体"/>
          <w:b/>
          <w:sz w:val="36"/>
          <w:highlight w:val="none"/>
        </w:rPr>
        <w:t xml:space="preserve">项目名称：市区楼宇亮化及集控系统更新维护项目</w:t>
      </w:r>
      <w:r>
        <w:rPr>
          <w:rFonts w:hint="eastAsia" w:ascii="宋体" w:hAnsi="宋体" w:cs="宋体"/>
          <w:b/>
          <w:sz w:val="36"/>
          <w:highlight w:val="none"/>
        </w:rPr>
      </w:r>
      <w:r/>
    </w:p>
    <w:p>
      <w:pPr>
        <w:pStyle w:val="1208"/>
        <w:ind w:firstLine="2467"/>
        <w:spacing w:line="360" w:lineRule="auto"/>
        <w:rPr>
          <w:rFonts w:hint="eastAsia" w:ascii="宋体" w:hAnsi="宋体" w:cs="宋体"/>
          <w:b/>
          <w:spacing w:val="15"/>
          <w:sz w:val="30"/>
          <w:szCs w:val="30"/>
          <w:highlight w:val="none"/>
        </w:rPr>
      </w:pPr>
      <w:r>
        <w:rPr>
          <w:rFonts w:hint="eastAsia" w:ascii="宋体" w:hAnsi="宋体" w:cs="宋体"/>
          <w:b/>
          <w:spacing w:val="15"/>
          <w:sz w:val="30"/>
          <w:szCs w:val="30"/>
          <w:highlight w:val="none"/>
        </w:rPr>
        <w:t xml:space="preserve"> </w:t>
      </w:r>
      <w:r>
        <w:rPr>
          <w:rFonts w:hint="eastAsia" w:ascii="宋体" w:hAnsi="宋体" w:cs="宋体"/>
          <w:b/>
          <w:spacing w:val="15"/>
          <w:sz w:val="30"/>
          <w:szCs w:val="30"/>
          <w:highlight w:val="none"/>
        </w:rPr>
      </w:r>
      <w:r/>
    </w:p>
    <w:p>
      <w:pPr>
        <w:pStyle w:val="1265"/>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265"/>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265"/>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265"/>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265"/>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208"/>
        <w:spacing w:line="360" w:lineRule="auto"/>
        <w:rPr>
          <w:rFonts w:hint="eastAsia" w:ascii="宋体" w:hAnsi="宋体" w:cs="宋体"/>
          <w:b/>
          <w:sz w:val="32"/>
          <w:highlight w:val="none"/>
        </w:rPr>
      </w:pPr>
      <w:r>
        <w:rPr>
          <w:rFonts w:hint="eastAsia" w:ascii="宋体" w:hAnsi="宋体" w:cs="宋体"/>
          <w:b/>
          <w:sz w:val="32"/>
          <w:highlight w:val="none"/>
        </w:rPr>
      </w:r>
      <w:r/>
    </w:p>
    <w:p>
      <w:pPr>
        <w:pStyle w:val="1290"/>
        <w:ind w:firstLine="0"/>
        <w:rPr>
          <w:rFonts w:hint="eastAsia" w:cs="宋体"/>
          <w:highlight w:val="none"/>
        </w:rPr>
      </w:pPr>
      <w:r>
        <w:rPr>
          <w:rFonts w:hint="eastAsia" w:cs="宋体"/>
          <w:highlight w:val="none"/>
        </w:rPr>
      </w:r>
      <w:r/>
    </w:p>
    <w:p>
      <w:pPr>
        <w:pStyle w:val="1290"/>
        <w:ind w:firstLine="3240"/>
        <w:rPr>
          <w:rFonts w:hint="eastAsia" w:cs="宋体"/>
          <w:sz w:val="36"/>
          <w:highlight w:val="none"/>
          <w:lang w:eastAsia="en-US"/>
        </w:rPr>
      </w:pPr>
      <w:r>
        <w:rPr>
          <w:rFonts w:hint="eastAsia" w:cs="宋体"/>
          <w:sz w:val="36"/>
          <w:highlight w:val="none"/>
        </w:rPr>
        <w:t xml:space="preserve">盐城市城市管理</w:t>
      </w:r>
      <w:r>
        <w:rPr>
          <w:rFonts w:hint="eastAsia" w:cs="宋体"/>
          <w:sz w:val="36"/>
          <w:highlight w:val="none"/>
          <w:lang w:eastAsia="en-US"/>
        </w:rPr>
        <w:t xml:space="preserve">局</w:t>
      </w:r>
      <w:r>
        <w:rPr>
          <w:rFonts w:hint="eastAsia" w:cs="宋体"/>
          <w:sz w:val="36"/>
          <w:highlight w:val="none"/>
          <w:lang w:eastAsia="en-US"/>
        </w:rPr>
      </w:r>
      <w:r/>
    </w:p>
    <w:p>
      <w:pPr>
        <w:pStyle w:val="1290"/>
        <w:ind w:firstLine="3240"/>
        <w:rPr>
          <w:rFonts w:hint="eastAsia" w:cs="宋体"/>
          <w:sz w:val="36"/>
          <w:highlight w:val="none"/>
          <w:lang w:eastAsia="en-US"/>
        </w:rPr>
      </w:pPr>
      <w:r>
        <w:rPr>
          <w:rFonts w:hint="eastAsia" w:cs="宋体"/>
          <w:sz w:val="36"/>
          <w:highlight w:val="none"/>
          <w:lang w:eastAsia="en-US"/>
        </w:rPr>
      </w:r>
      <w:r/>
    </w:p>
    <w:p>
      <w:pPr>
        <w:pStyle w:val="1208"/>
        <w:jc w:val="center"/>
        <w:spacing w:line="360" w:lineRule="auto"/>
        <w:rPr>
          <w:rFonts w:hint="eastAsia" w:ascii="宋体" w:hAnsi="宋体" w:cs="宋体"/>
          <w:bCs/>
          <w:sz w:val="36"/>
          <w:szCs w:val="36"/>
          <w:highlight w:val="none"/>
        </w:rPr>
      </w:pPr>
      <w:r>
        <w:rPr>
          <w:rFonts w:hint="eastAsia" w:ascii="宋体" w:hAnsi="宋体" w:cs="宋体"/>
          <w:bCs/>
          <w:sz w:val="36"/>
          <w:szCs w:val="36"/>
          <w:highlight w:val="none"/>
        </w:rPr>
        <w:t xml:space="preserve">202</w:t>
      </w:r>
      <w:r>
        <w:rPr>
          <w:rFonts w:hint="eastAsia" w:ascii="宋体" w:hAnsi="宋体" w:cs="宋体"/>
          <w:bCs/>
          <w:sz w:val="36"/>
          <w:szCs w:val="36"/>
          <w:highlight w:val="none"/>
          <w:lang w:val="en-US" w:eastAsia="zh-CN"/>
        </w:rPr>
        <w:t xml:space="preserve">6</w:t>
      </w:r>
      <w:r>
        <w:rPr>
          <w:rFonts w:hint="eastAsia" w:ascii="宋体" w:hAnsi="宋体" w:cs="宋体"/>
          <w:bCs/>
          <w:sz w:val="36"/>
          <w:szCs w:val="36"/>
          <w:highlight w:val="none"/>
        </w:rPr>
        <w:t xml:space="preserve">年</w:t>
      </w:r>
      <w:r>
        <w:rPr>
          <w:rFonts w:hint="eastAsia" w:ascii="宋体" w:hAnsi="宋体" w:cs="宋体"/>
          <w:bCs/>
          <w:sz w:val="36"/>
          <w:szCs w:val="36"/>
          <w:highlight w:val="none"/>
          <w:lang w:val="en-US" w:eastAsia="zh-CN"/>
        </w:rPr>
        <w:t xml:space="preserve">8</w:t>
      </w:r>
      <w:r>
        <w:rPr>
          <w:rFonts w:hint="eastAsia" w:ascii="宋体" w:hAnsi="宋体" w:cs="宋体"/>
          <w:bCs/>
          <w:sz w:val="36"/>
          <w:szCs w:val="36"/>
          <w:highlight w:val="none"/>
        </w:rPr>
        <w:t xml:space="preserve">月 </w:t>
      </w:r>
      <w:r>
        <w:rPr>
          <w:rFonts w:hint="eastAsia" w:ascii="宋体" w:hAnsi="宋体" w:cs="宋体"/>
          <w:bCs/>
          <w:sz w:val="36"/>
          <w:szCs w:val="36"/>
          <w:highlight w:val="none"/>
        </w:rPr>
      </w:r>
      <w:r/>
    </w:p>
    <w:p>
      <w:pPr>
        <w:pStyle w:val="1208"/>
        <w:jc w:val="center"/>
        <w:spacing w:line="360" w:lineRule="auto"/>
        <w:rPr>
          <w:rFonts w:hint="eastAsia" w:ascii="宋体" w:hAnsi="宋体" w:cs="宋体"/>
          <w:bCs/>
          <w:sz w:val="36"/>
          <w:szCs w:val="36"/>
          <w:highlight w:val="none"/>
        </w:rPr>
      </w:pPr>
      <w:r>
        <w:rPr>
          <w:rFonts w:hint="eastAsia" w:ascii="宋体" w:hAnsi="宋体" w:cs="宋体"/>
          <w:bCs/>
          <w:sz w:val="36"/>
          <w:szCs w:val="36"/>
          <w:highlight w:val="none"/>
        </w:rPr>
      </w:r>
      <w:r/>
    </w:p>
    <w:p>
      <w:pPr>
        <w:pStyle w:val="1208"/>
        <w:jc w:val="both"/>
        <w:spacing w:line="480" w:lineRule="auto"/>
        <w:rPr>
          <w:rFonts w:hint="eastAsia" w:ascii="宋体" w:hAnsi="宋体" w:cs="宋体"/>
          <w:b/>
          <w:color w:val="000000"/>
          <w:sz w:val="44"/>
          <w:highlight w:val="none"/>
        </w:rPr>
        <w:sectPr>
          <w:headerReference w:type="default" r:id="rId9"/>
          <w:headerReference w:type="even" r:id="rId10"/>
          <w:footerReference w:type="default" r:id="rId13"/>
          <w:footerReference w:type="even" r:id="rId14"/>
          <w:footerReference w:type="first" r:id="rId15"/>
          <w:footnotePr/>
          <w:endnotePr/>
          <w:type w:val="nextPage"/>
          <w:pgSz w:w="11906" w:h="16838" w:orient="portrait"/>
          <w:pgMar w:top="1383" w:right="1304" w:bottom="1440" w:left="1304" w:header="851" w:footer="992" w:gutter="0"/>
          <w:cols w:num="1" w:sep="0" w:space="1701" w:equalWidth="1"/>
          <w:docGrid w:linePitch="360"/>
          <w:titlePg/>
        </w:sectPr>
        <w:outlineLvl w:val="0"/>
      </w:pPr>
      <w:r>
        <w:rPr>
          <w:rFonts w:hint="eastAsia" w:ascii="宋体" w:hAnsi="宋体" w:cs="宋体"/>
          <w:b/>
          <w:color w:val="000000"/>
          <w:sz w:val="44"/>
          <w:highlight w:val="none"/>
        </w:rPr>
      </w:r>
      <w:r/>
    </w:p>
    <w:p>
      <w:pPr>
        <w:pStyle w:val="1208"/>
        <w:jc w:val="center"/>
        <w:spacing w:line="480" w:lineRule="auto"/>
        <w:rPr>
          <w:rFonts w:hint="eastAsia" w:ascii="宋体" w:hAnsi="宋体" w:cs="宋体"/>
          <w:b/>
          <w:color w:val="000000"/>
          <w:sz w:val="44"/>
          <w:highlight w:val="none"/>
        </w:rPr>
        <w:outlineLvl w:val="0"/>
      </w:pPr>
      <w:r>
        <w:rPr>
          <w:rFonts w:hint="eastAsia" w:ascii="宋体" w:hAnsi="宋体" w:cs="宋体"/>
          <w:b/>
          <w:color w:val="000000"/>
          <w:sz w:val="44"/>
          <w:highlight w:val="none"/>
        </w:rPr>
        <w:t xml:space="preserve">总  目  录</w:t>
      </w:r>
      <w:r>
        <w:rPr>
          <w:rFonts w:hint="eastAsia" w:ascii="宋体" w:hAnsi="宋体" w:cs="宋体"/>
          <w:b/>
          <w:color w:val="000000"/>
          <w:sz w:val="44"/>
          <w:highlight w:val="none"/>
        </w:rPr>
      </w:r>
      <w:r/>
    </w:p>
    <w:p>
      <w:pPr>
        <w:pStyle w:val="1208"/>
        <w:spacing w:line="480" w:lineRule="auto"/>
        <w:rPr>
          <w:rFonts w:hint="eastAsia" w:ascii="宋体" w:hAnsi="宋体" w:cs="宋体"/>
          <w:b/>
          <w:color w:val="000000"/>
          <w:sz w:val="28"/>
          <w:highlight w:val="none"/>
        </w:rPr>
      </w:pPr>
      <w:r>
        <w:rPr>
          <w:rFonts w:hint="eastAsia" w:ascii="宋体" w:hAnsi="宋体" w:cs="宋体"/>
          <w:b/>
          <w:color w:val="000000"/>
          <w:sz w:val="28"/>
          <w:highlight w:val="none"/>
        </w:rPr>
      </w:r>
      <w:r/>
    </w:p>
    <w:p>
      <w:pPr>
        <w:pStyle w:val="1208"/>
        <w:numPr>
          <w:ilvl w:val="0"/>
          <w:numId w:val="4"/>
        </w:numPr>
        <w:jc w:val="left"/>
        <w:spacing w:line="480" w:lineRule="auto"/>
        <w:tabs>
          <w:tab w:val="left" w:pos="1440" w:leader="none"/>
        </w:tabs>
        <w:rPr>
          <w:rFonts w:hint="eastAsia" w:ascii="宋体" w:hAnsi="宋体" w:cs="宋体"/>
          <w:color w:val="000000"/>
          <w:sz w:val="32"/>
          <w:highlight w:val="none"/>
        </w:rPr>
        <w:outlineLvl w:val="0"/>
      </w:pPr>
      <w:r>
        <w:rPr>
          <w:rFonts w:hint="eastAsia" w:ascii="宋体" w:hAnsi="宋体" w:cs="宋体"/>
          <w:color w:val="000000"/>
          <w:sz w:val="36"/>
          <w:highlight w:val="none"/>
        </w:rPr>
        <w:t xml:space="preserve">招标公告</w:t>
      </w:r>
      <w:r>
        <w:rPr>
          <w:rFonts w:hint="eastAsia" w:ascii="宋体" w:hAnsi="宋体" w:cs="宋体"/>
          <w:color w:val="000000"/>
          <w:sz w:val="32"/>
          <w:highlight w:val="none"/>
        </w:rPr>
      </w:r>
      <w:r/>
    </w:p>
    <w:p>
      <w:pPr>
        <w:pStyle w:val="1208"/>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投标人须知</w:t>
      </w:r>
      <w:r>
        <w:rPr>
          <w:rFonts w:hint="eastAsia" w:ascii="宋体" w:hAnsi="宋体" w:cs="宋体"/>
          <w:color w:val="000000"/>
          <w:sz w:val="36"/>
          <w:highlight w:val="none"/>
        </w:rPr>
      </w:r>
      <w:r/>
    </w:p>
    <w:p>
      <w:pPr>
        <w:pStyle w:val="1208"/>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合同</w:t>
      </w:r>
      <w:r>
        <w:rPr>
          <w:rFonts w:hint="eastAsia" w:ascii="宋体" w:hAnsi="宋体" w:cs="宋体"/>
          <w:color w:val="000000"/>
          <w:sz w:val="36"/>
          <w:highlight w:val="none"/>
          <w:lang w:val="en-US" w:eastAsia="zh-CN"/>
        </w:rPr>
        <w:t xml:space="preserve">文本</w:t>
      </w:r>
      <w:r>
        <w:rPr>
          <w:rFonts w:hint="eastAsia" w:ascii="宋体" w:hAnsi="宋体" w:cs="宋体"/>
          <w:color w:val="000000"/>
          <w:sz w:val="36"/>
          <w:highlight w:val="none"/>
        </w:rPr>
      </w:r>
      <w:r/>
    </w:p>
    <w:p>
      <w:pPr>
        <w:pStyle w:val="1208"/>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lang w:val="en-US" w:eastAsia="zh-CN"/>
        </w:rPr>
        <w:t xml:space="preserve">采购</w:t>
      </w:r>
      <w:r>
        <w:rPr>
          <w:rFonts w:hint="eastAsia" w:ascii="宋体" w:hAnsi="宋体" w:cs="宋体"/>
          <w:color w:val="000000"/>
          <w:sz w:val="36"/>
          <w:highlight w:val="none"/>
        </w:rPr>
        <w:t xml:space="preserve">需求</w:t>
      </w:r>
      <w:r>
        <w:rPr>
          <w:rFonts w:hint="eastAsia" w:ascii="宋体" w:hAnsi="宋体" w:cs="宋体"/>
          <w:color w:val="000000"/>
          <w:sz w:val="36"/>
          <w:highlight w:val="none"/>
        </w:rPr>
      </w:r>
      <w:r/>
    </w:p>
    <w:p>
      <w:pPr>
        <w:pStyle w:val="1208"/>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评标方法与评标标准</w:t>
      </w:r>
      <w:r>
        <w:rPr>
          <w:rFonts w:hint="eastAsia" w:ascii="宋体" w:hAnsi="宋体" w:cs="宋体"/>
          <w:color w:val="000000"/>
          <w:sz w:val="36"/>
          <w:highlight w:val="none"/>
        </w:rPr>
      </w:r>
      <w:r/>
    </w:p>
    <w:p>
      <w:pPr>
        <w:pStyle w:val="1208"/>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投标文件格式</w:t>
      </w:r>
      <w:r>
        <w:rPr>
          <w:rFonts w:hint="eastAsia" w:ascii="宋体" w:hAnsi="宋体" w:cs="宋体"/>
          <w:color w:val="000000"/>
          <w:sz w:val="36"/>
          <w:highlight w:val="none"/>
        </w:rPr>
      </w:r>
      <w:r/>
    </w:p>
    <w:p>
      <w:pPr>
        <w:pStyle w:val="1209"/>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1208"/>
        <w:jc w:val="center"/>
        <w:spacing w:line="360" w:lineRule="auto"/>
        <w:rPr>
          <w:rFonts w:hint="eastAsia" w:ascii="宋体" w:hAnsi="宋体" w:cs="宋体"/>
          <w:bCs/>
          <w:sz w:val="36"/>
          <w:szCs w:val="36"/>
          <w:highlight w:val="none"/>
        </w:rPr>
        <w:sectPr>
          <w:footerReference w:type="default" r:id="rId16"/>
          <w:footerReference w:type="first" r:id="rId17"/>
          <w:footnotePr/>
          <w:endnotePr/>
          <w:type w:val="nextPage"/>
          <w:pgSz w:w="11906" w:h="16838" w:orient="portrait"/>
          <w:pgMar w:top="1383" w:right="1304" w:bottom="1440" w:left="1304" w:header="851" w:footer="992" w:gutter="0"/>
          <w:pgNumType w:start="1"/>
          <w:cols w:num="1" w:sep="0" w:space="1701" w:equalWidth="1"/>
          <w:docGrid w:linePitch="360"/>
          <w:titlePg/>
        </w:sectPr>
      </w:pPr>
      <w:r>
        <w:rPr>
          <w:rFonts w:hint="eastAsia" w:ascii="宋体" w:hAnsi="宋体" w:cs="宋体"/>
          <w:bCs/>
          <w:sz w:val="36"/>
          <w:szCs w:val="36"/>
          <w:highlight w:val="none"/>
        </w:rPr>
        <w:t xml:space="preserve">  </w:t>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宋体" w:hAnsi="宋体" w:cs="宋体"/>
          <w:bCs/>
          <w:sz w:val="36"/>
          <w:szCs w:val="36"/>
          <w:highlight w:val="none"/>
        </w:rPr>
      </w:r>
      <w:r/>
    </w:p>
    <w:p>
      <w:pPr>
        <w:pStyle w:val="1209"/>
        <w:numPr>
          <w:ilvl w:val="0"/>
          <w:numId w:val="5"/>
        </w:numPr>
        <w:spacing w:line="44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 </w:t>
      </w:r>
      <w:bookmarkEnd w:id="0"/>
      <w:r>
        <w:rPr>
          <w:rFonts w:hint="eastAsia" w:ascii="宋体" w:hAnsi="宋体" w:eastAsia="宋体" w:cs="宋体"/>
          <w:sz w:val="44"/>
          <w:szCs w:val="44"/>
          <w:highlight w:val="none"/>
        </w:rPr>
        <w:t xml:space="preserve">招标公告</w:t>
      </w:r>
      <w:r>
        <w:rPr>
          <w:rFonts w:hint="eastAsia" w:ascii="宋体" w:hAnsi="宋体" w:eastAsia="宋体" w:cs="宋体"/>
          <w:sz w:val="44"/>
          <w:szCs w:val="44"/>
          <w:highlight w:val="none"/>
        </w:rPr>
      </w:r>
      <w:r/>
    </w:p>
    <w:p>
      <w:pPr>
        <w:pStyle w:val="1208"/>
        <w:spacing w:line="440" w:lineRule="exact"/>
        <w:rPr>
          <w:rFonts w:hint="eastAsia" w:ascii="宋体" w:hAnsi="宋体" w:cs="宋体"/>
          <w:highlight w:val="none"/>
        </w:rPr>
      </w:pPr>
      <w:r>
        <w:rPr>
          <w:rFonts w:hint="eastAsia" w:ascii="宋体" w:hAnsi="宋体" w:cs="宋体"/>
          <w:highlight w:val="none"/>
        </w:rPr>
      </w:r>
      <w:r/>
    </w:p>
    <w:p>
      <w:pPr>
        <w:pStyle w:val="1208"/>
        <w:ind w:firstLine="480"/>
        <w:jc w:val="both"/>
        <w:spacing w:beforeAutospacing="0" w:afterAutospacing="0" w:line="440" w:lineRule="exact"/>
        <w:widowControl w:val="off"/>
        <w:rPr>
          <w:rFonts w:hint="eastAsia" w:ascii="宋体" w:hAnsi="宋体" w:eastAsia="宋体" w:cs="宋体"/>
          <w:b/>
          <w:bCs/>
          <w:color w:val="000000"/>
          <w:sz w:val="24"/>
          <w:szCs w:val="24"/>
          <w:highlight w:val="none"/>
          <w:lang w:val="en-US" w:eastAsia="zh-CN" w:bidi="ar-SA"/>
        </w:rPr>
        <w:pBdr>
          <w:top w:val="single" w:color="000000" w:sz="4" w:space="0"/>
          <w:left w:val="single" w:color="000000" w:sz="4" w:space="0"/>
          <w:bottom w:val="single" w:color="000000" w:sz="4" w:space="0"/>
          <w:right w:val="single" w:color="000000" w:sz="4" w:space="0"/>
        </w:pBdr>
        <w:outlineLvl w:val="9"/>
      </w:pPr>
      <w:r/>
      <w:bookmarkStart w:id="6" w:name="_Toc38985263"/>
      <w:r>
        <w:rPr>
          <w:rFonts w:hint="eastAsia" w:ascii="宋体" w:hAnsi="宋体" w:eastAsia="宋体" w:cs="宋体"/>
          <w:b/>
          <w:bCs/>
          <w:color w:val="000000"/>
          <w:sz w:val="24"/>
          <w:szCs w:val="24"/>
          <w:highlight w:val="none"/>
          <w:lang w:val="en-US" w:eastAsia="zh-CN" w:bidi="ar-SA"/>
        </w:rPr>
        <w:t xml:space="preserve">项目概况</w:t>
      </w:r>
      <w:r>
        <w:rPr>
          <w:rFonts w:hint="eastAsia" w:ascii="宋体" w:hAnsi="宋体" w:eastAsia="宋体" w:cs="宋体"/>
          <w:b/>
          <w:bCs/>
          <w:color w:val="000000"/>
          <w:sz w:val="24"/>
          <w:szCs w:val="24"/>
          <w:highlight w:val="none"/>
          <w:lang w:val="en-US" w:eastAsia="zh-CN" w:bidi="ar-SA"/>
        </w:rPr>
      </w:r>
      <w:r/>
    </w:p>
    <w:p>
      <w:pPr>
        <w:pStyle w:val="1208"/>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sz w:val="24"/>
          <w:szCs w:val="24"/>
          <w:highlight w:val="none"/>
          <w:u w:val="none"/>
        </w:rPr>
        <w:t xml:space="preserve">市区楼宇亮化及集控系统更新维护项目</w:t>
      </w:r>
      <w:r>
        <w:rPr>
          <w:rFonts w:hint="eastAsia" w:ascii="宋体" w:hAnsi="宋体" w:eastAsia="宋体" w:cs="宋体"/>
          <w:i w:val="0"/>
          <w:iCs w:val="0"/>
          <w:caps w:val="0"/>
          <w:spacing w:val="0"/>
          <w:sz w:val="24"/>
          <w:szCs w:val="24"/>
          <w:highlight w:val="none"/>
          <w:shd w:val="clear" w:color="auto" w:fill="auto"/>
        </w:rPr>
        <w:t xml:space="preserve">JSZC-320900-JSGM-G2026-0001</w:t>
      </w:r>
      <w:r>
        <w:rPr>
          <w:rFonts w:hint="eastAsia" w:ascii="宋体" w:hAnsi="宋体" w:eastAsia="宋体" w:cs="宋体"/>
          <w:i w:val="0"/>
          <w:iCs w:val="0"/>
          <w:caps w:val="0"/>
          <w:spacing w:val="0"/>
          <w:sz w:val="24"/>
          <w:szCs w:val="24"/>
          <w:highlight w:val="none"/>
          <w:shd w:val="clear" w:color="auto" w:fill="auto"/>
          <w:lang w:val="en-US" w:eastAsia="zh-CN"/>
        </w:rPr>
        <w:t xml:space="preserve">招标项目</w:t>
      </w:r>
      <w:r>
        <w:rPr>
          <w:rFonts w:hint="eastAsia" w:ascii="宋体" w:hAnsi="宋体" w:eastAsia="宋体" w:cs="宋体"/>
          <w:color w:val="000000"/>
          <w:sz w:val="24"/>
          <w:szCs w:val="24"/>
          <w:highlight w:val="none"/>
          <w:lang w:val="en-US" w:eastAsia="zh-CN" w:bidi="ar-SA"/>
        </w:rPr>
        <w:t xml:space="preserve">的潜在投标人应在</w:t>
      </w: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lang w:val="en-US" w:eastAsia="zh-CN" w:bidi="ar-SA"/>
        </w:rPr>
        <w:t xml:space="preserve">，并于</w:t>
      </w:r>
      <w:r>
        <w:rPr>
          <w:rFonts w:hint="eastAsia" w:ascii="宋体" w:hAnsi="宋体" w:eastAsia="宋体" w:cs="宋体"/>
          <w:color w:val="000000"/>
          <w:sz w:val="24"/>
          <w:szCs w:val="24"/>
          <w:highlight w:val="none"/>
          <w:u w:val="single"/>
          <w:lang w:val="en-US" w:eastAsia="zh-CN" w:bidi="ar-SA"/>
        </w:rPr>
        <w:t xml:space="preserve">2026年9月7日15点</w:t>
      </w:r>
      <w:r>
        <w:rPr>
          <w:rFonts w:hint="eastAsia" w:ascii="宋体" w:hAnsi="宋体" w:cs="宋体"/>
          <w:color w:val="000000"/>
          <w:sz w:val="24"/>
          <w:szCs w:val="24"/>
          <w:highlight w:val="none"/>
          <w:u w:val="single"/>
          <w:lang w:val="en-US" w:eastAsia="zh-CN" w:bidi="ar-SA"/>
        </w:rPr>
        <w:t xml:space="preserve">00</w:t>
      </w:r>
      <w:r>
        <w:rPr>
          <w:rFonts w:hint="eastAsia" w:ascii="宋体" w:hAnsi="宋体" w:eastAsia="宋体" w:cs="宋体"/>
          <w:color w:val="000000"/>
          <w:sz w:val="24"/>
          <w:szCs w:val="24"/>
          <w:highlight w:val="none"/>
          <w:u w:val="singl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北京时间）前递交投标文件。</w:t>
      </w:r>
      <w:bookmarkEnd w:id="6"/>
      <w:r>
        <w:rPr>
          <w:rFonts w:hint="eastAsia" w:ascii="宋体" w:hAnsi="宋体" w:eastAsia="宋体" w:cs="宋体"/>
          <w:color w:val="000000"/>
          <w:sz w:val="24"/>
          <w:szCs w:val="24"/>
          <w:highlight w:val="none"/>
          <w:lang w:val="en-US" w:eastAsia="zh-CN" w:bidi="ar-SA"/>
        </w:rPr>
      </w:r>
      <w:r/>
    </w:p>
    <w:p>
      <w:pPr>
        <w:pStyle w:val="1208"/>
        <w:ind w:firstLine="482"/>
        <w:jc w:val="left"/>
        <w:spacing w:line="440" w:lineRule="exact"/>
        <w:tabs>
          <w:tab w:val="left" w:pos="0" w:leader="none"/>
          <w:tab w:val="left" w:pos="3165" w:leader="none"/>
          <w:tab w:val="center" w:pos="4153" w:leader="none"/>
        </w:tabs>
        <w:rPr>
          <w:rFonts w:hint="eastAsia" w:ascii="宋体" w:hAnsi="宋体" w:cs="宋体"/>
          <w:b/>
          <w:sz w:val="24"/>
          <w:szCs w:val="24"/>
          <w:highlight w:val="none"/>
        </w:rPr>
      </w:pPr>
      <w:r/>
      <w:bookmarkStart w:id="7" w:name="_Toc28359079"/>
      <w:r/>
      <w:bookmarkStart w:id="8" w:name="_Toc28359002"/>
      <w:r/>
      <w:bookmarkStart w:id="9" w:name="_Toc35393790"/>
      <w:r/>
      <w:bookmarkStart w:id="10" w:name="_Toc35393621"/>
      <w:r/>
      <w:bookmarkStart w:id="11" w:name="_Hlk24379207"/>
      <w:r>
        <w:rPr>
          <w:rFonts w:hint="eastAsia" w:ascii="宋体" w:hAnsi="宋体" w:cs="宋体"/>
          <w:b/>
          <w:sz w:val="24"/>
          <w:szCs w:val="24"/>
          <w:highlight w:val="none"/>
        </w:rPr>
        <w:t xml:space="preserve">一、项目基本情况</w:t>
      </w:r>
      <w:bookmarkEnd w:id="7"/>
      <w:r/>
      <w:bookmarkEnd w:id="8"/>
      <w:r/>
      <w:bookmarkEnd w:id="9"/>
      <w:r/>
      <w:bookmarkEnd w:id="10"/>
      <w:r>
        <w:rPr>
          <w:rFonts w:hint="eastAsia" w:ascii="宋体" w:hAnsi="宋体" w:cs="宋体"/>
          <w:b/>
          <w:sz w:val="24"/>
          <w:szCs w:val="24"/>
          <w:highlight w:val="none"/>
        </w:rPr>
      </w:r>
      <w:r/>
    </w:p>
    <w:p>
      <w:pPr>
        <w:pStyle w:val="1208"/>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1.项目编</w:t>
      </w:r>
      <w:r>
        <w:rPr>
          <w:rFonts w:hint="eastAsia" w:ascii="宋体" w:hAnsi="宋体" w:eastAsia="宋体" w:cs="宋体"/>
          <w:sz w:val="24"/>
          <w:szCs w:val="24"/>
          <w:highlight w:val="none"/>
        </w:rPr>
        <w:t xml:space="preserve">号：</w:t>
      </w:r>
      <w:r>
        <w:rPr>
          <w:rFonts w:hint="eastAsia" w:ascii="宋体" w:hAnsi="宋体" w:eastAsia="宋体" w:cs="宋体"/>
          <w:i w:val="0"/>
          <w:iCs w:val="0"/>
          <w:caps w:val="0"/>
          <w:spacing w:val="0"/>
          <w:sz w:val="24"/>
          <w:szCs w:val="24"/>
          <w:highlight w:val="none"/>
          <w:shd w:val="clear" w:color="auto" w:fill="auto"/>
        </w:rPr>
        <w:t xml:space="preserve">JSZC-320900-JSGM-G2026-0001</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08"/>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2.项目名称：市区楼宇亮化及集控系统更新维护项目；</w:t>
      </w:r>
      <w:r>
        <w:rPr>
          <w:rFonts w:hint="eastAsia" w:ascii="宋体" w:hAnsi="宋体" w:cs="宋体"/>
          <w:sz w:val="24"/>
          <w:szCs w:val="24"/>
          <w:highlight w:val="none"/>
        </w:rPr>
      </w:r>
      <w:r/>
    </w:p>
    <w:p>
      <w:pPr>
        <w:pStyle w:val="1208"/>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cs="宋体"/>
          <w:sz w:val="24"/>
          <w:szCs w:val="24"/>
          <w:highlight w:val="none"/>
        </w:rPr>
        <w:t xml:space="preserve">.</w:t>
      </w:r>
      <w:r>
        <w:rPr>
          <w:rFonts w:hint="eastAsia" w:ascii="宋体" w:hAnsi="宋体" w:eastAsia="宋体" w:cs="宋体"/>
          <w:color w:val="000000"/>
          <w:sz w:val="24"/>
          <w:szCs w:val="24"/>
          <w:highlight w:val="none"/>
          <w:lang w:eastAsia="zh-CN"/>
        </w:rPr>
        <w:t xml:space="preserve">采购方式：公开招标；</w:t>
      </w:r>
      <w:r>
        <w:rPr>
          <w:rFonts w:hint="eastAsia" w:ascii="宋体" w:hAnsi="宋体" w:eastAsia="宋体" w:cs="宋体"/>
          <w:sz w:val="24"/>
          <w:szCs w:val="24"/>
          <w:highlight w:val="none"/>
        </w:rPr>
      </w:r>
      <w:r/>
    </w:p>
    <w:p>
      <w:pPr>
        <w:pStyle w:val="1208"/>
        <w:ind w:firstLine="480"/>
        <w:jc w:val="left"/>
        <w:spacing w:line="440" w:lineRule="exact"/>
        <w:rPr>
          <w:rFonts w:hint="eastAsia" w:ascii="宋体" w:hAnsi="宋体" w:cs="宋体"/>
          <w:sz w:val="24"/>
          <w:szCs w:val="24"/>
          <w:highlight w:val="none"/>
        </w:rPr>
      </w:pPr>
      <w:r/>
      <w:bookmarkEnd w:id="11"/>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.预算金额：</w:t>
      </w:r>
      <w:r>
        <w:rPr>
          <w:rFonts w:hint="eastAsia" w:ascii="宋体" w:hAnsi="宋体" w:cs="宋体"/>
          <w:sz w:val="24"/>
          <w:szCs w:val="24"/>
          <w:highlight w:val="none"/>
          <w:lang w:val="en-US" w:eastAsia="zh-CN"/>
        </w:rPr>
        <w:t xml:space="preserve">675</w:t>
      </w:r>
      <w:r>
        <w:rPr>
          <w:rFonts w:hint="eastAsia" w:ascii="宋体" w:hAnsi="宋体" w:cs="宋体"/>
          <w:sz w:val="24"/>
          <w:szCs w:val="24"/>
          <w:highlight w:val="none"/>
        </w:rPr>
        <w:t xml:space="preserve">万元/3年；</w:t>
      </w:r>
      <w:r>
        <w:rPr>
          <w:rFonts w:hint="eastAsia" w:ascii="宋体" w:hAnsi="宋体" w:cs="宋体"/>
          <w:sz w:val="24"/>
          <w:szCs w:val="24"/>
          <w:highlight w:val="none"/>
        </w:rPr>
      </w:r>
      <w:r/>
    </w:p>
    <w:p>
      <w:pPr>
        <w:pStyle w:val="1208"/>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.最高限价：</w:t>
      </w:r>
      <w:r>
        <w:rPr>
          <w:rFonts w:hint="eastAsia" w:ascii="宋体" w:hAnsi="宋体" w:cs="宋体"/>
          <w:sz w:val="24"/>
          <w:szCs w:val="24"/>
          <w:highlight w:val="none"/>
          <w:lang w:val="en-US" w:eastAsia="zh-CN"/>
        </w:rPr>
        <w:t xml:space="preserve">675</w:t>
      </w:r>
      <w:r>
        <w:rPr>
          <w:rFonts w:hint="eastAsia" w:ascii="宋体" w:hAnsi="宋体" w:cs="宋体"/>
          <w:sz w:val="24"/>
          <w:szCs w:val="24"/>
          <w:highlight w:val="none"/>
        </w:rPr>
        <w:t xml:space="preserve">万元/3年，高于最高限价的作无效标论处；</w:t>
      </w:r>
      <w:r>
        <w:rPr>
          <w:rFonts w:hint="eastAsia" w:ascii="宋体" w:hAnsi="宋体" w:cs="宋体"/>
          <w:sz w:val="24"/>
          <w:szCs w:val="24"/>
          <w:highlight w:val="none"/>
        </w:rPr>
      </w:r>
      <w:r/>
    </w:p>
    <w:p>
      <w:pPr>
        <w:pStyle w:val="1208"/>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.采购需求：详见招标</w:t>
      </w:r>
      <w:r>
        <w:rPr>
          <w:rFonts w:hint="eastAsia" w:ascii="宋体" w:hAnsi="宋体" w:cs="宋体"/>
          <w:sz w:val="24"/>
          <w:szCs w:val="24"/>
          <w:highlight w:val="none"/>
          <w:lang w:val="en-US" w:eastAsia="zh-CN"/>
        </w:rPr>
        <w:t xml:space="preserve">文件第四章采购</w:t>
      </w:r>
      <w:r>
        <w:rPr>
          <w:rFonts w:hint="eastAsia" w:ascii="宋体" w:hAnsi="宋体" w:cs="宋体"/>
          <w:sz w:val="24"/>
          <w:szCs w:val="24"/>
          <w:highlight w:val="none"/>
        </w:rPr>
        <w:t xml:space="preserve">需求；</w:t>
      </w:r>
      <w:r>
        <w:rPr>
          <w:rFonts w:hint="eastAsia" w:ascii="宋体" w:hAnsi="宋体" w:cs="宋体"/>
          <w:sz w:val="24"/>
          <w:szCs w:val="24"/>
          <w:highlight w:val="none"/>
        </w:rPr>
      </w:r>
      <w:r/>
    </w:p>
    <w:p>
      <w:pPr>
        <w:pStyle w:val="1208"/>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.服务期限：三年（自合同签订之日起）；</w:t>
      </w:r>
      <w:r>
        <w:rPr>
          <w:rFonts w:hint="eastAsia" w:ascii="宋体" w:hAnsi="宋体" w:cs="宋体"/>
          <w:sz w:val="24"/>
          <w:szCs w:val="24"/>
          <w:highlight w:val="none"/>
        </w:rPr>
      </w:r>
      <w:r/>
    </w:p>
    <w:p>
      <w:pPr>
        <w:pStyle w:val="1208"/>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联合体投标。</w:t>
      </w:r>
      <w:r>
        <w:rPr>
          <w:rFonts w:hint="eastAsia" w:ascii="宋体" w:hAnsi="宋体" w:cs="宋体"/>
          <w:sz w:val="24"/>
          <w:szCs w:val="24"/>
          <w:highlight w:val="none"/>
        </w:rPr>
      </w:r>
      <w:r/>
    </w:p>
    <w:p>
      <w:pPr>
        <w:pStyle w:val="1208"/>
        <w:ind w:firstLine="602"/>
        <w:spacing w:line="440" w:lineRule="exact"/>
        <w:rPr>
          <w:rFonts w:hint="eastAsia" w:ascii="宋体" w:hAnsi="宋体" w:cs="宋体"/>
          <w:b/>
          <w:bCs/>
          <w:sz w:val="24"/>
          <w:szCs w:val="24"/>
          <w:highlight w:val="none"/>
        </w:rPr>
      </w:pPr>
      <w:r/>
      <w:bookmarkStart w:id="12" w:name="_Toc28359080"/>
      <w:r/>
      <w:bookmarkStart w:id="13" w:name="_Toc35393791"/>
      <w:r/>
      <w:bookmarkStart w:id="14" w:name="_Toc28359003"/>
      <w:r/>
      <w:bookmarkStart w:id="15" w:name="_Toc35393622"/>
      <w:r>
        <w:rPr>
          <w:rFonts w:hint="eastAsia" w:ascii="宋体" w:hAnsi="宋体" w:cs="宋体"/>
          <w:b/>
          <w:bCs/>
          <w:sz w:val="24"/>
          <w:szCs w:val="24"/>
          <w:highlight w:val="none"/>
        </w:rPr>
        <w:t xml:space="preserve">二、申请人的资格要求</w:t>
      </w:r>
      <w:bookmarkEnd w:id="12"/>
      <w:r/>
      <w:bookmarkEnd w:id="13"/>
      <w:r/>
      <w:bookmarkEnd w:id="14"/>
      <w:r/>
      <w:bookmarkEnd w:id="15"/>
      <w:r>
        <w:rPr>
          <w:rFonts w:hint="eastAsia" w:ascii="宋体" w:hAnsi="宋体" w:cs="宋体"/>
          <w:b/>
          <w:bCs/>
          <w:sz w:val="24"/>
          <w:szCs w:val="24"/>
          <w:highlight w:val="none"/>
        </w:rPr>
      </w:r>
      <w:r/>
    </w:p>
    <w:p>
      <w:pPr>
        <w:pStyle w:val="1208"/>
        <w:ind w:firstLine="480"/>
        <w:jc w:val="left"/>
        <w:keepLines w:val="0"/>
        <w:keepNext w:val="0"/>
        <w:pageBreakBefore w:val="0"/>
        <w:spacing w:line="440" w:lineRule="exact"/>
        <w:widowControl w:val="off"/>
        <w:rPr>
          <w:rFonts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满足《中华人民共和国政府采购法》第二十二条规定，并提供下列材料：</w:t>
      </w:r>
      <w:r>
        <w:rPr>
          <w:rFonts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1.1法人或者其他组织的营业执照等证明文件，自然人的身份证明；</w:t>
      </w:r>
      <w:r>
        <w:rPr>
          <w:rFonts w:hint="eastAsia"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1.2上一年度的财务状况报表（成立不满一年无需提供）；</w:t>
      </w:r>
      <w:r>
        <w:rPr>
          <w:rFonts w:hint="eastAsia"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1.3具备履行合同所必需的设备和专业技术能力的书面声明；</w:t>
      </w:r>
      <w:r>
        <w:rPr>
          <w:rFonts w:hint="eastAsia"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1.5参加政府采购活动前3年内在经营活动中没有重大违法记录的书面声明；</w:t>
      </w:r>
      <w:r>
        <w:rPr>
          <w:rFonts w:hint="eastAsia"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1.6法律、行政法规规定的其他条件；</w:t>
      </w:r>
      <w:r>
        <w:rPr>
          <w:rFonts w:hint="eastAsia"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Times New Roman"/>
          <w:color w:val="000000"/>
          <w:sz w:val="24"/>
          <w:szCs w:val="24"/>
          <w:highlight w:val="none"/>
          <w:lang w:val="en-US" w:eastAsia="zh-CN"/>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1.8单位负责人为同一人或者存在直接控股、管理关系的不同供应商，不得参加同一合同项下的政府采购活动（投标时提供声明）。</w:t>
      </w:r>
      <w:r>
        <w:rPr>
          <w:rFonts w:hint="eastAsia" w:ascii="宋体" w:hAnsi="宋体" w:eastAsia="宋体" w:cs="Times New Roman"/>
          <w:color w:val="000000"/>
          <w:sz w:val="24"/>
          <w:szCs w:val="24"/>
          <w:highlight w:val="none"/>
          <w:lang w:val="en-US" w:eastAsia="zh-CN"/>
        </w:rPr>
      </w:r>
      <w:r/>
    </w:p>
    <w:p>
      <w:pPr>
        <w:pStyle w:val="1208"/>
        <w:ind w:firstLine="480"/>
        <w:jc w:val="left"/>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2.落实政府采购政策需满足的资格要求：本项目不专门面向中小企业。</w:t>
      </w:r>
      <w:r>
        <w:rPr>
          <w:rFonts w:hint="eastAsia" w:ascii="宋体" w:hAnsi="宋体" w:eastAsia="宋体" w:cs="Times New Roman"/>
          <w:color w:val="000000"/>
          <w:sz w:val="24"/>
          <w:szCs w:val="24"/>
          <w:highlight w:val="none"/>
          <w:lang w:val="en-US" w:eastAsia="zh-CN"/>
        </w:rPr>
      </w:r>
      <w:r/>
    </w:p>
    <w:p>
      <w:pPr>
        <w:pStyle w:val="1208"/>
        <w:ind w:firstLine="480"/>
        <w:jc w:val="left"/>
        <w:spacing w:line="440" w:lineRule="exact"/>
        <w:widowControl w:val="off"/>
        <w:rPr>
          <w:rFonts w:hint="eastAsia" w:ascii="宋体" w:hAnsi="宋体" w:cs="宋体"/>
          <w:bCs/>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3.本项目的特定资格要求：</w:t>
      </w:r>
      <w:r>
        <w:rPr>
          <w:rFonts w:hint="eastAsia" w:ascii="宋体" w:hAnsi="宋体" w:cs="Times New Roman"/>
          <w:color w:val="000000"/>
          <w:sz w:val="24"/>
          <w:szCs w:val="24"/>
          <w:highlight w:val="none"/>
          <w:lang w:val="en-US" w:eastAsia="zh-CN"/>
        </w:rPr>
        <w:t xml:space="preserve">无。</w:t>
      </w:r>
      <w:r>
        <w:rPr>
          <w:rFonts w:hint="eastAsia" w:ascii="宋体" w:hAnsi="宋体" w:cs="宋体"/>
          <w:bCs/>
          <w:color w:val="000000"/>
          <w:sz w:val="24"/>
          <w:szCs w:val="24"/>
          <w:highlight w:val="none"/>
        </w:rPr>
      </w:r>
      <w:r/>
    </w:p>
    <w:p>
      <w:pPr>
        <w:pStyle w:val="1290"/>
        <w:ind w:firstLine="482"/>
        <w:spacing w:line="440" w:lineRule="exact"/>
        <w:rPr>
          <w:rFonts w:hint="eastAsia" w:cs="宋体"/>
          <w:b/>
          <w:bCs/>
          <w:highlight w:val="none"/>
        </w:rPr>
      </w:pPr>
      <w:r>
        <w:rPr>
          <w:rFonts w:hint="eastAsia" w:cs="宋体"/>
          <w:b/>
          <w:bCs/>
          <w:highlight w:val="none"/>
        </w:rPr>
        <w:t xml:space="preserve">三、获取招标文件</w:t>
      </w:r>
      <w:r>
        <w:rPr>
          <w:rFonts w:hint="eastAsia" w:cs="宋体"/>
          <w:b/>
          <w:bCs/>
          <w:highlight w:val="none"/>
        </w:rPr>
      </w:r>
      <w:r/>
    </w:p>
    <w:p>
      <w:pPr>
        <w:pStyle w:val="1208"/>
        <w:ind w:firstLine="480"/>
        <w:jc w:val="left"/>
        <w:keepLines w:val="0"/>
        <w:keepNext w:val="0"/>
        <w:pageBreakBefore w:val="0"/>
        <w:spacing w:line="440" w:lineRule="exact"/>
        <w:widowControl w:val="off"/>
        <w:rPr>
          <w:rFonts w:hint="eastAsia" w:ascii="宋体" w:hAnsi="宋体" w:cs="Times New Roman"/>
          <w:color w:val="000000"/>
          <w:sz w:val="24"/>
          <w:szCs w:val="24"/>
          <w:highlight w:val="none"/>
        </w:rPr>
        <w:outlineLvl w:val="9"/>
      </w:pPr>
      <w:r>
        <w:rPr>
          <w:rFonts w:hint="eastAsia" w:ascii="宋体" w:hAnsi="宋体" w:cs="Times New Roman"/>
          <w:color w:val="000000"/>
          <w:sz w:val="24"/>
          <w:szCs w:val="24"/>
          <w:highlight w:val="none"/>
        </w:rPr>
        <w:t xml:space="preserve">1.时间：自招标文件公告发布之日起5个工作日。</w:t>
      </w:r>
      <w:r>
        <w:rPr>
          <w:rFonts w:hint="eastAsia" w:ascii="宋体" w:hAnsi="宋体" w:cs="Times New Roman"/>
          <w:color w:val="000000"/>
          <w:sz w:val="24"/>
          <w:szCs w:val="24"/>
          <w:highlight w:val="none"/>
        </w:rPr>
      </w:r>
      <w:r/>
    </w:p>
    <w:p>
      <w:pPr>
        <w:pStyle w:val="1208"/>
        <w:ind w:firstLine="480"/>
        <w:jc w:val="left"/>
        <w:keepLines w:val="0"/>
        <w:keepNext w:val="0"/>
        <w:pageBreakBefore w:val="0"/>
        <w:spacing w:line="440" w:lineRule="exact"/>
        <w:widowControl w:val="off"/>
        <w:rPr>
          <w:rFonts w:hint="eastAsia" w:ascii="宋体" w:hAnsi="宋体" w:cs="Times New Roman"/>
          <w:color w:val="000000"/>
          <w:sz w:val="24"/>
          <w:szCs w:val="24"/>
          <w:highlight w:val="none"/>
        </w:rPr>
        <w:outlineLvl w:val="9"/>
      </w:pPr>
      <w:r>
        <w:rPr>
          <w:rFonts w:hint="eastAsia" w:ascii="宋体" w:hAnsi="宋体" w:cs="Times New Roman"/>
          <w:color w:val="000000"/>
          <w:sz w:val="24"/>
          <w:szCs w:val="24"/>
          <w:highlight w:val="none"/>
        </w:rPr>
        <w:t xml:space="preserve">2.地点：“苏采云”系统内免费下载（投标人必须在苏采云系统中获取采购文件，方能参与政府采购项目）。</w:t>
      </w:r>
      <w:r>
        <w:rPr>
          <w:rFonts w:hint="eastAsia" w:ascii="宋体" w:hAnsi="宋体" w:cs="Times New Roman"/>
          <w:color w:val="000000"/>
          <w:sz w:val="24"/>
          <w:szCs w:val="24"/>
          <w:highlight w:val="none"/>
        </w:rPr>
      </w:r>
      <w:r/>
    </w:p>
    <w:p>
      <w:pPr>
        <w:pStyle w:val="1208"/>
        <w:ind w:firstLine="480"/>
        <w:jc w:val="left"/>
        <w:keepLines w:val="0"/>
        <w:keepNext w:val="0"/>
        <w:pageBreakBefore w:val="0"/>
        <w:spacing w:line="440" w:lineRule="exact"/>
        <w:widowControl w:val="off"/>
        <w:rPr>
          <w:rFonts w:hint="eastAsia" w:ascii="宋体" w:hAnsi="宋体" w:cs="Times New Roman"/>
          <w:color w:val="000000"/>
          <w:sz w:val="24"/>
          <w:szCs w:val="24"/>
          <w:highlight w:val="none"/>
        </w:rPr>
        <w:outlineLvl w:val="9"/>
      </w:pPr>
      <w:r>
        <w:rPr>
          <w:rFonts w:hint="eastAsia" w:ascii="宋体" w:hAnsi="宋体" w:cs="Times New Roman"/>
          <w:color w:val="000000"/>
          <w:sz w:val="24"/>
          <w:szCs w:val="24"/>
          <w:highlight w:val="none"/>
        </w:rPr>
        <w:t xml:space="preserve">3.方式：本项目采用网上注册登记方式。</w:t>
      </w:r>
      <w:r>
        <w:rPr>
          <w:rFonts w:hint="eastAsia" w:ascii="宋体" w:hAnsi="宋体" w:cs="Times New Roman"/>
          <w:color w:val="000000"/>
          <w:sz w:val="24"/>
          <w:szCs w:val="24"/>
          <w:highlight w:val="none"/>
        </w:rPr>
      </w:r>
      <w:r/>
    </w:p>
    <w:p>
      <w:pPr>
        <w:pStyle w:val="1208"/>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outlineLvl w:val="9"/>
      </w:pPr>
      <w:r>
        <w:rPr>
          <w:rFonts w:hint="eastAsia" w:ascii="宋体" w:hAnsi="宋体" w:cs="Times New Roman"/>
          <w:color w:val="000000"/>
          <w:sz w:val="24"/>
          <w:szCs w:val="24"/>
          <w:highlight w:val="none"/>
        </w:rPr>
        <w:t xml:space="preserve">4.售价：0元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209"/>
        <w:ind w:firstLine="482"/>
        <w:jc w:val="left"/>
        <w:spacing w:line="44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1208"/>
        <w:ind w:firstLine="480"/>
        <w:jc w:val="both"/>
        <w:keepLines w:val="0"/>
        <w:keepNext w:val="0"/>
        <w:pageBreakBefore w:val="0"/>
        <w:spacing w:beforeAutospacing="0" w:afterAutospacing="0" w:line="440" w:lineRule="exact"/>
        <w:shd w:val="clear" w:color="auto" w:fill="ffffff"/>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1.时间：</w:t>
      </w:r>
      <w:r>
        <w:rPr>
          <w:rFonts w:hint="eastAsia" w:ascii="宋体" w:hAnsi="宋体" w:eastAsia="宋体" w:cs="宋体"/>
          <w:color w:val="000000"/>
          <w:sz w:val="24"/>
          <w:szCs w:val="24"/>
          <w:highlight w:val="none"/>
          <w:u w:val="none"/>
          <w:lang w:val="en-US" w:eastAsia="zh-CN" w:bidi="ar-SA"/>
        </w:rPr>
        <w:t xml:space="preserve">2026年9月7日15点00分</w:t>
      </w:r>
      <w:r>
        <w:rPr>
          <w:rFonts w:hint="eastAsia" w:ascii="宋体" w:hAnsi="宋体" w:eastAsia="宋体" w:cs="宋体"/>
          <w:color w:val="000000"/>
          <w:sz w:val="24"/>
          <w:szCs w:val="24"/>
          <w:highlight w:val="none"/>
          <w:lang w:val="en-US" w:eastAsia="zh-CN" w:bidi="ar-SA"/>
        </w:rPr>
        <w:t xml:space="preserve">（北京时间）。</w:t>
      </w:r>
      <w:r>
        <w:rPr>
          <w:rFonts w:hint="eastAsia" w:ascii="宋体" w:hAnsi="宋体" w:eastAsia="宋体" w:cs="宋体"/>
          <w:color w:val="000000"/>
          <w:sz w:val="24"/>
          <w:szCs w:val="24"/>
          <w:highlight w:val="none"/>
          <w:lang w:val="en-US" w:eastAsia="zh-CN" w:bidi="ar-SA"/>
        </w:rPr>
      </w:r>
      <w:r/>
    </w:p>
    <w:p>
      <w:pPr>
        <w:pStyle w:val="1208"/>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2.地点：苏采云“不见面”开标大厅。</w:t>
      </w:r>
      <w:r>
        <w:rPr>
          <w:rFonts w:hint="eastAsia" w:ascii="宋体" w:hAnsi="宋体" w:eastAsia="宋体" w:cs="宋体"/>
          <w:color w:val="000000"/>
          <w:sz w:val="24"/>
          <w:szCs w:val="24"/>
          <w:highlight w:val="none"/>
          <w:lang w:val="en-US" w:eastAsia="zh-CN" w:bidi="ar-SA"/>
        </w:rPr>
      </w:r>
      <w:r/>
    </w:p>
    <w:p>
      <w:pPr>
        <w:pStyle w:val="1208"/>
        <w:ind w:firstLine="474"/>
        <w:spacing w:line="440" w:lineRule="exact"/>
        <w:rPr>
          <w:rFonts w:hint="eastAsia"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五、公告期限</w:t>
      </w:r>
      <w:r>
        <w:rPr>
          <w:rFonts w:hint="eastAsia" w:ascii="宋体" w:hAnsi="宋体" w:cs="宋体"/>
          <w:b/>
          <w:bCs/>
          <w:color w:val="000000"/>
          <w:spacing w:val="-2"/>
          <w:sz w:val="24"/>
          <w:szCs w:val="24"/>
          <w:highlight w:val="none"/>
        </w:rPr>
      </w:r>
      <w:r/>
    </w:p>
    <w:p>
      <w:pPr>
        <w:pStyle w:val="1208"/>
        <w:ind w:firstLine="480"/>
        <w:spacing w:line="44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08"/>
        <w:numPr>
          <w:ilvl w:val="0"/>
          <w:numId w:val="0"/>
        </w:numPr>
        <w:ind w:firstLine="474"/>
        <w:jc w:val="left"/>
        <w:keepLines w:val="0"/>
        <w:keepNext w:val="0"/>
        <w:pageBreakBefore w:val="0"/>
        <w:spacing w:beforeAutospacing="0" w:afterAutospacing="0" w:line="440" w:lineRule="exact"/>
        <w:shd w:val="clear" w:color="auto" w:fill="auto"/>
        <w:widowControl/>
        <w:rPr>
          <w:rFonts w:hint="eastAsia" w:ascii="宋体" w:hAnsi="宋体" w:eastAsia="宋体" w:cs="宋体"/>
          <w:b/>
          <w:bCs/>
          <w:color w:val="000000"/>
          <w:spacing w:val="-2"/>
          <w:sz w:val="24"/>
          <w:szCs w:val="24"/>
          <w:highlight w:val="none"/>
          <w:lang w:val="en-US" w:eastAsia="zh-CN" w:bidi="ar-SA"/>
        </w:rPr>
        <w:outlineLvl w:val="9"/>
      </w:pPr>
      <w:r>
        <w:rPr>
          <w:rFonts w:hint="eastAsia" w:ascii="宋体" w:hAnsi="宋体" w:eastAsia="宋体" w:cs="宋体"/>
          <w:b/>
          <w:bCs/>
          <w:color w:val="000000"/>
          <w:spacing w:val="-2"/>
          <w:sz w:val="24"/>
          <w:szCs w:val="24"/>
          <w:highlight w:val="none"/>
          <w:lang w:val="en-US" w:eastAsia="zh-CN" w:bidi="ar-SA"/>
        </w:rPr>
        <w:t xml:space="preserve">六、其他补充事宜</w:t>
      </w:r>
      <w:r>
        <w:rPr>
          <w:rFonts w:hint="eastAsia" w:ascii="宋体" w:hAnsi="宋体" w:eastAsia="宋体" w:cs="宋体"/>
          <w:b/>
          <w:bCs/>
          <w:color w:val="000000"/>
          <w:spacing w:val="-2"/>
          <w:sz w:val="24"/>
          <w:szCs w:val="24"/>
          <w:highlight w:val="none"/>
          <w:lang w:val="en-US" w:eastAsia="zh-CN" w:bidi="ar-SA"/>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2.潜在供应商访问电子招标响应交易平台的网络地址和方法： </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2.1“苏采云”系统用户注册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获取“CA 数字证书”--CA 绑定与登录--参与投标--下载采购文件（后缀名为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kedt”）--将后缀名为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kedt”的采购文件导入政府采购客户端工具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制作响应文件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右侧消息通知栏）。 </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2.2 潜在投标人访问“苏采云”系统方法：江苏省政府采购网首页</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“苏采云”链接。 </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2.3 采购文件（后缀名为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kedt”）、供应商操作手册及政府采购客户端 工具可通过“苏采云”系统相应链接进行下载。 </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2.4 采购代理机构将数据电文形式的采购文件加载至“苏采云”系统，供潜在供应商下载或者查阅。 </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2.5 请潜在投标单位提前安装相应的控件（详见《“苏采云”系统供应商操作手册》）并使用谷歌浏览器登录“苏采云”系统参与不见面开评标。 </w:t>
      </w:r>
      <w:r>
        <w:rPr>
          <w:rFonts w:hint="eastAsia" w:ascii="宋体" w:hAnsi="宋体" w:eastAsia="宋体" w:cs="Times New Roman"/>
          <w:color w:val="000000"/>
          <w:sz w:val="24"/>
          <w:szCs w:val="24"/>
          <w:highlight w:val="none"/>
        </w:rPr>
      </w:r>
      <w:r/>
    </w:p>
    <w:p>
      <w:pPr>
        <w:pStyle w:val="1208"/>
        <w:ind w:firstLine="480"/>
        <w:jc w:val="left"/>
        <w:spacing w:line="440" w:lineRule="exact"/>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color w:val="000000"/>
          <w:sz w:val="24"/>
          <w:szCs w:val="24"/>
          <w:highlight w:val="none"/>
        </w:rPr>
        <w:t xml:space="preserve">如潜在投标人未按上述要求操作，将自行承担所产生的风险。</w:t>
      </w:r>
      <w:r>
        <w:rPr>
          <w:rFonts w:hint="eastAsia" w:ascii="宋体" w:hAnsi="宋体" w:eastAsia="宋体" w:cs="Times New Roman"/>
          <w:b w:val="0"/>
          <w:bCs w:val="0"/>
          <w:color w:val="000000"/>
          <w:sz w:val="24"/>
          <w:szCs w:val="24"/>
          <w:highlight w:val="none"/>
        </w:rPr>
      </w:r>
      <w:r/>
    </w:p>
    <w:p>
      <w:pPr>
        <w:pStyle w:val="1208"/>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3.有关本次招标的事项若存在变动或修改，敬请及时关注</w:t>
      </w:r>
      <w:r>
        <w:rPr>
          <w:rFonts w:hint="eastAsia" w:ascii="宋体" w:hAnsi="宋体" w:eastAsia="宋体" w:cs="Times New Roman"/>
          <w:color w:val="000000"/>
          <w:sz w:val="24"/>
          <w:szCs w:val="24"/>
          <w:highlight w:val="none"/>
          <w:lang w:eastAsia="zh-CN"/>
        </w:rPr>
        <w:t xml:space="preserve">江苏</w:t>
      </w:r>
      <w:r>
        <w:rPr>
          <w:rFonts w:hint="eastAsia" w:ascii="宋体" w:hAnsi="宋体" w:cs="宋体"/>
          <w:color w:val="000000"/>
          <w:sz w:val="24"/>
          <w:szCs w:val="24"/>
          <w:highlight w:val="none"/>
          <w:lang w:eastAsia="zh-CN"/>
        </w:rPr>
        <w:t xml:space="preserve">冠美项目管理有限公司</w:t>
      </w:r>
      <w:r>
        <w:rPr>
          <w:rFonts w:hint="eastAsia" w:ascii="宋体" w:hAnsi="宋体" w:eastAsia="宋体" w:cs="Times New Roman"/>
          <w:color w:val="000000"/>
          <w:sz w:val="24"/>
          <w:szCs w:val="24"/>
          <w:highlight w:val="none"/>
        </w:rPr>
        <w:t xml:space="preserve">在“中国政府采购网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江苏政府采购网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盐城市政府采购网”发布的更正公告。</w:t>
      </w:r>
      <w:r>
        <w:rPr>
          <w:rFonts w:hint="eastAsia" w:ascii="宋体" w:hAnsi="宋体" w:eastAsia="宋体" w:cs="Times New Roman"/>
          <w:color w:val="000000"/>
          <w:sz w:val="24"/>
          <w:szCs w:val="24"/>
          <w:highlight w:val="none"/>
        </w:rPr>
      </w:r>
      <w:r/>
    </w:p>
    <w:p>
      <w:pPr>
        <w:pStyle w:val="1208"/>
        <w:ind w:firstLine="480"/>
        <w:jc w:val="left"/>
        <w:spacing w:line="440" w:lineRule="exact"/>
        <w:shd w:val="clear" w:color="auto" w:fill="auto"/>
        <w:tabs>
          <w:tab w:val="left" w:pos="0" w:leader="none"/>
          <w:tab w:val="left" w:pos="3165" w:leader="none"/>
          <w:tab w:val="center" w:pos="4153" w:leader="none"/>
        </w:tabs>
        <w:rPr>
          <w:rFonts w:hint="eastAsia" w:ascii="宋体" w:hAnsi="宋体" w:cs="宋体"/>
          <w:b/>
          <w:sz w:val="24"/>
          <w:szCs w:val="24"/>
          <w:highlight w:val="none"/>
          <w:lang w:val="en-US" w:eastAsia="zh-CN"/>
        </w:rPr>
      </w:pPr>
      <w:r>
        <w:rPr>
          <w:rFonts w:hint="eastAsia" w:ascii="宋体" w:hAnsi="宋体" w:eastAsia="宋体" w:cs="Times New Roman"/>
          <w:color w:val="000000"/>
          <w:sz w:val="24"/>
          <w:szCs w:val="24"/>
          <w:highlight w:val="none"/>
        </w:rPr>
        <w:t xml:space="preserve">4.本次招标不收取投标保证金，不收取质量保证金。</w:t>
      </w:r>
      <w:r>
        <w:rPr>
          <w:rFonts w:hint="eastAsia" w:ascii="宋体" w:hAnsi="宋体" w:cs="宋体"/>
          <w:b/>
          <w:sz w:val="24"/>
          <w:szCs w:val="24"/>
          <w:highlight w:val="none"/>
          <w:lang w:val="en-US" w:eastAsia="zh-CN"/>
        </w:rPr>
      </w:r>
      <w:r/>
    </w:p>
    <w:p>
      <w:pPr>
        <w:pStyle w:val="1208"/>
        <w:ind w:firstLine="482"/>
        <w:jc w:val="left"/>
        <w:spacing w:line="440" w:lineRule="exact"/>
        <w:tabs>
          <w:tab w:val="left" w:pos="0" w:leader="none"/>
          <w:tab w:val="left" w:pos="3165" w:leader="none"/>
          <w:tab w:val="center" w:pos="4153" w:leader="none"/>
        </w:tabs>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、对本次招标提出询问，请按以下方式联系。</w:t>
      </w:r>
      <w:r>
        <w:rPr>
          <w:rFonts w:hint="eastAsia" w:ascii="宋体" w:hAnsi="宋体" w:cs="宋体"/>
          <w:b/>
          <w:sz w:val="24"/>
          <w:szCs w:val="24"/>
          <w:highlight w:val="none"/>
        </w:rPr>
      </w:r>
      <w:r/>
    </w:p>
    <w:p>
      <w:pPr>
        <w:pStyle w:val="1208"/>
        <w:ind w:left="479" w:firstLine="181"/>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1.采购人信息</w:t>
      </w:r>
      <w:r>
        <w:rPr>
          <w:rFonts w:hint="eastAsia" w:ascii="宋体" w:hAnsi="宋体" w:cs="宋体"/>
          <w:b/>
          <w:sz w:val="24"/>
          <w:szCs w:val="24"/>
          <w:highlight w:val="none"/>
        </w:rPr>
      </w:r>
      <w:r/>
    </w:p>
    <w:p>
      <w:pPr>
        <w:pStyle w:val="1208"/>
        <w:ind w:left="479" w:firstLine="1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名    称： 盐城市城市管理局</w:t>
      </w:r>
      <w:r>
        <w:rPr>
          <w:rFonts w:hint="eastAsia" w:ascii="宋体" w:hAnsi="宋体" w:cs="宋体"/>
          <w:sz w:val="24"/>
          <w:szCs w:val="24"/>
          <w:highlight w:val="none"/>
        </w:rPr>
      </w:r>
      <w:r/>
    </w:p>
    <w:p>
      <w:pPr>
        <w:pStyle w:val="1208"/>
        <w:ind w:left="479" w:firstLine="1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 盐城市亭湖区毓龙东路31号</w:t>
      </w:r>
      <w:r>
        <w:rPr>
          <w:rFonts w:hint="eastAsia" w:ascii="宋体" w:hAnsi="宋体" w:cs="宋体"/>
          <w:sz w:val="24"/>
          <w:szCs w:val="24"/>
          <w:highlight w:val="none"/>
        </w:rPr>
      </w:r>
      <w:r/>
    </w:p>
    <w:p>
      <w:pPr>
        <w:pStyle w:val="1208"/>
        <w:ind w:left="479" w:firstLine="1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 系 人： 金女士</w:t>
      </w:r>
      <w:r>
        <w:rPr>
          <w:rFonts w:hint="eastAsia" w:ascii="宋体" w:hAnsi="宋体" w:cs="宋体"/>
          <w:sz w:val="24"/>
          <w:szCs w:val="24"/>
          <w:highlight w:val="none"/>
        </w:rPr>
      </w:r>
      <w:r/>
    </w:p>
    <w:p>
      <w:pPr>
        <w:pStyle w:val="1208"/>
        <w:ind w:left="479" w:firstLine="180"/>
        <w:jc w:val="left"/>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 0515-8666</w:t>
      </w:r>
      <w:r>
        <w:rPr>
          <w:rFonts w:hint="eastAsia" w:ascii="宋体" w:hAnsi="宋体" w:cs="宋体"/>
          <w:sz w:val="24"/>
          <w:szCs w:val="24"/>
          <w:highlight w:val="none"/>
          <w:lang w:val="en-US" w:eastAsia="zh-CN"/>
        </w:rPr>
        <w:t xml:space="preserve">8030</w:t>
      </w:r>
      <w:r>
        <w:rPr>
          <w:rFonts w:ascii="宋体" w:hAnsi="宋体" w:eastAsia="宋体" w:cs="宋体"/>
          <w:sz w:val="24"/>
          <w:szCs w:val="24"/>
          <w:highlight w:val="none"/>
          <w:lang w:val="en-US" w:eastAsia="zh-CN"/>
        </w:rPr>
      </w:r>
      <w:r/>
    </w:p>
    <w:p>
      <w:pPr>
        <w:pStyle w:val="1208"/>
        <w:ind w:left="479" w:firstLine="181"/>
        <w:jc w:val="left"/>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2.采购代理机构信息</w:t>
      </w:r>
      <w:r>
        <w:rPr>
          <w:rFonts w:hint="eastAsia" w:ascii="宋体" w:hAnsi="宋体" w:cs="宋体"/>
          <w:sz w:val="24"/>
          <w:szCs w:val="24"/>
          <w:highlight w:val="none"/>
        </w:rPr>
      </w:r>
      <w:r/>
    </w:p>
    <w:p>
      <w:pPr>
        <w:pStyle w:val="1208"/>
        <w:ind w:firstLine="787"/>
        <w:jc w:val="left"/>
        <w:keepLines w:val="0"/>
        <w:keepNext w:val="0"/>
        <w:pageBreakBefore w:val="0"/>
        <w:spacing w:line="440" w:lineRule="exac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名    称：</w:t>
      </w:r>
      <w:r>
        <w:rPr>
          <w:rFonts w:hint="eastAsia" w:ascii="宋体" w:hAnsi="宋体" w:cs="宋体"/>
          <w:color w:val="000000"/>
          <w:sz w:val="24"/>
          <w:szCs w:val="24"/>
          <w:highlight w:val="none"/>
          <w:lang w:eastAsia="zh-CN"/>
        </w:rPr>
        <w:t xml:space="preserve">江苏冠美项目管理有限公司</w:t>
      </w:r>
      <w:r>
        <w:rPr>
          <w:rFonts w:hint="eastAsia" w:ascii="宋体" w:hAnsi="宋体" w:cs="宋体"/>
          <w:color w:val="000000"/>
          <w:sz w:val="24"/>
          <w:szCs w:val="24"/>
          <w:highlight w:val="none"/>
        </w:rPr>
      </w:r>
      <w:r/>
    </w:p>
    <w:p>
      <w:pPr>
        <w:pStyle w:val="1208"/>
        <w:ind w:firstLine="7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color w:val="000000"/>
          <w:sz w:val="24"/>
          <w:szCs w:val="24"/>
          <w:highlight w:val="none"/>
          <w:lang w:val="en-US" w:eastAsia="zh-CN"/>
        </w:rPr>
        <w:t xml:space="preserve">盐城市世纪大道22号5楼</w:t>
      </w:r>
      <w:r>
        <w:rPr>
          <w:rFonts w:hint="eastAsia" w:ascii="宋体" w:hAnsi="宋体" w:cs="宋体"/>
          <w:sz w:val="24"/>
          <w:szCs w:val="24"/>
          <w:highlight w:val="none"/>
        </w:rPr>
      </w:r>
      <w:r/>
    </w:p>
    <w:p>
      <w:pPr>
        <w:pStyle w:val="1208"/>
        <w:ind w:firstLine="72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联 系 人：</w:t>
      </w:r>
      <w:r>
        <w:rPr>
          <w:rFonts w:hint="eastAsia" w:ascii="宋体" w:hAnsi="宋体" w:cs="宋体"/>
          <w:color w:val="000000"/>
          <w:sz w:val="24"/>
          <w:szCs w:val="24"/>
          <w:highlight w:val="none"/>
          <w:lang w:val="en-US" w:eastAsia="zh-CN"/>
        </w:rPr>
        <w:t xml:space="preserve">刘先生</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208"/>
        <w:ind w:firstLine="72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color w:val="000000"/>
          <w:sz w:val="24"/>
          <w:szCs w:val="24"/>
          <w:highlight w:val="none"/>
          <w:lang w:val="en-US" w:eastAsia="zh-CN"/>
        </w:rPr>
        <w:t xml:space="preserve">13851085267</w:t>
      </w:r>
      <w:r>
        <w:rPr>
          <w:rFonts w:hint="eastAsia" w:ascii="宋体" w:hAnsi="宋体" w:cs="宋体"/>
          <w:sz w:val="24"/>
          <w:szCs w:val="24"/>
          <w:highlight w:val="none"/>
        </w:rPr>
      </w:r>
      <w:r/>
    </w:p>
    <w:p>
      <w:pPr>
        <w:pStyle w:val="1208"/>
        <w:ind w:firstLine="723"/>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3.项目联</w:t>
      </w:r>
      <w:r>
        <w:rPr>
          <w:rFonts w:hint="eastAsia" w:ascii="宋体" w:hAnsi="宋体" w:cs="宋体"/>
          <w:b/>
          <w:bCs/>
          <w:sz w:val="24"/>
          <w:szCs w:val="24"/>
          <w:highlight w:val="none"/>
        </w:rPr>
        <w:t xml:space="preserve">系方式</w:t>
      </w:r>
      <w:r>
        <w:rPr>
          <w:rFonts w:hint="eastAsia" w:ascii="宋体" w:hAnsi="宋体" w:cs="宋体"/>
          <w:b/>
          <w:sz w:val="24"/>
          <w:szCs w:val="24"/>
          <w:highlight w:val="none"/>
        </w:rPr>
      </w:r>
      <w:r/>
    </w:p>
    <w:p>
      <w:pPr>
        <w:pStyle w:val="1208"/>
        <w:ind w:firstLine="72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项目联系人：金女士</w:t>
      </w:r>
      <w:r>
        <w:rPr>
          <w:rFonts w:hint="eastAsia" w:ascii="宋体" w:hAnsi="宋体" w:cs="宋体"/>
          <w:sz w:val="24"/>
          <w:szCs w:val="24"/>
          <w:highlight w:val="none"/>
          <w:lang w:val="en-US" w:eastAsia="zh-CN"/>
        </w:rPr>
        <w:t xml:space="preserve">           陈女士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208"/>
        <w:ind w:firstLine="720"/>
        <w:jc w:val="left"/>
        <w:spacing w:line="440" w:lineRule="exact"/>
        <w:rPr>
          <w:rFonts w:ascii="宋体" w:hAnsi="宋体" w:cs="宋体"/>
          <w:bCs/>
          <w:sz w:val="24"/>
          <w:szCs w:val="24"/>
          <w:highlight w:val="none"/>
          <w:lang w:val="en-US"/>
        </w:rPr>
      </w:pPr>
      <w:r>
        <w:rPr>
          <w:rFonts w:hint="eastAsia" w:ascii="宋体" w:hAnsi="宋体" w:cs="宋体"/>
          <w:sz w:val="24"/>
          <w:szCs w:val="24"/>
          <w:highlight w:val="none"/>
        </w:rPr>
        <w:t xml:space="preserve">电      话：0515-8666</w:t>
      </w:r>
      <w:r>
        <w:rPr>
          <w:rFonts w:hint="eastAsia" w:ascii="宋体" w:hAnsi="宋体" w:cs="宋体"/>
          <w:sz w:val="24"/>
          <w:szCs w:val="24"/>
          <w:highlight w:val="none"/>
          <w:lang w:val="en-US" w:eastAsia="zh-CN"/>
        </w:rPr>
        <w:t xml:space="preserve">8030    18361617999    </w:t>
      </w:r>
      <w:r>
        <w:rPr>
          <w:rFonts w:ascii="宋体" w:hAnsi="宋体" w:cs="宋体"/>
          <w:bCs/>
          <w:sz w:val="24"/>
          <w:szCs w:val="24"/>
          <w:highlight w:val="none"/>
          <w:lang w:val="en-US"/>
        </w:rPr>
      </w:r>
      <w:r/>
    </w:p>
    <w:p>
      <w:pPr>
        <w:pStyle w:val="1208"/>
        <w:ind w:firstLine="0"/>
        <w:jc w:val="left"/>
        <w:spacing w:line="440" w:lineRule="exact"/>
        <w:widowControl w:val="off"/>
        <w:rPr>
          <w:rFonts w:hint="eastAsia" w:ascii="宋体" w:hAnsi="宋体" w:eastAsia="宋体" w:cs="Times New Roman"/>
          <w:color w:val="000000"/>
          <w:sz w:val="24"/>
          <w:szCs w:val="24"/>
          <w:highlight w:val="none"/>
          <w:lang w:val="en-US" w:eastAsia="zh-CN"/>
        </w:rPr>
        <w:sectPr>
          <w:headerReference w:type="default" r:id="rId11"/>
          <w:headerReference w:type="first" r:id="rId12"/>
          <w:footerReference w:type="default" r:id="rId18"/>
          <w:footerReference w:type="even" r:id="rId19"/>
          <w:footerReference w:type="first" r:id="rId20"/>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Fonts w:hint="eastAsia" w:ascii="宋体" w:hAnsi="宋体" w:eastAsia="宋体" w:cs="Times New Roman"/>
          <w:color w:val="000000"/>
          <w:sz w:val="24"/>
          <w:szCs w:val="24"/>
          <w:highlight w:val="none"/>
          <w:lang w:val="en-US" w:eastAsia="zh-CN"/>
        </w:rPr>
      </w:r>
      <w:r/>
    </w:p>
    <w:p>
      <w:pPr>
        <w:pStyle w:val="1209"/>
        <w:spacing w:line="440" w:lineRule="exact"/>
        <w:rPr>
          <w:rFonts w:hint="eastAsia" w:ascii="宋体" w:hAnsi="宋体" w:eastAsia="宋体" w:cs="宋体"/>
          <w:bCs/>
          <w:highlight w:val="none"/>
        </w:rPr>
      </w:pPr>
      <w:r/>
      <w:bookmarkStart w:id="16" w:name="_Toc120614211"/>
      <w:r>
        <w:rPr>
          <w:rFonts w:hint="eastAsia" w:ascii="宋体" w:hAnsi="宋体" w:eastAsia="宋体" w:cs="宋体"/>
          <w:sz w:val="44"/>
          <w:szCs w:val="44"/>
          <w:highlight w:val="none"/>
        </w:rPr>
        <w:t xml:space="preserve">第二章  </w:t>
      </w:r>
      <w:bookmarkEnd w:id="1"/>
      <w:r/>
      <w:bookmarkEnd w:id="2"/>
      <w:r/>
      <w:bookmarkEnd w:id="3"/>
      <w:r/>
      <w:bookmarkEnd w:id="4"/>
      <w:r/>
      <w:bookmarkEnd w:id="5"/>
      <w:r/>
      <w:bookmarkEnd w:id="16"/>
      <w:r/>
      <w:bookmarkStart w:id="17" w:name="_Toc513029202"/>
      <w:r/>
      <w:bookmarkStart w:id="18" w:name="_Toc20823274"/>
      <w:r/>
      <w:bookmarkStart w:id="19" w:name="_Toc120614213"/>
      <w:r/>
      <w:bookmarkStart w:id="20" w:name="_Toc16938518"/>
      <w:r>
        <w:rPr>
          <w:rFonts w:hint="eastAsia" w:ascii="宋体" w:hAnsi="宋体" w:eastAsia="宋体" w:cs="宋体"/>
          <w:sz w:val="44"/>
          <w:szCs w:val="44"/>
          <w:highlight w:val="none"/>
        </w:rPr>
        <w:t xml:space="preserve">投标须知</w:t>
      </w:r>
      <w:bookmarkEnd w:id="17"/>
      <w:r/>
      <w:bookmarkEnd w:id="18"/>
      <w:r/>
      <w:bookmarkEnd w:id="19"/>
      <w:r/>
      <w:bookmarkEnd w:id="20"/>
      <w:r>
        <w:rPr>
          <w:rFonts w:hint="eastAsia" w:ascii="宋体" w:hAnsi="宋体" w:eastAsia="宋体" w:cs="宋体"/>
          <w:bCs/>
          <w:highlight w:val="none"/>
        </w:rPr>
      </w:r>
      <w:r/>
    </w:p>
    <w:p>
      <w:pPr>
        <w:pStyle w:val="1211"/>
        <w:ind w:firstLine="241"/>
        <w:spacing w:before="0" w:after="0" w:line="440" w:lineRule="exact"/>
        <w:rPr>
          <w:rFonts w:hint="eastAsia" w:ascii="宋体" w:hAnsi="宋体" w:cs="宋体"/>
          <w:sz w:val="24"/>
          <w:szCs w:val="24"/>
          <w:highlight w:val="none"/>
        </w:rPr>
      </w:pPr>
      <w:r/>
      <w:bookmarkStart w:id="21" w:name="_Toc513029203"/>
      <w:r/>
      <w:bookmarkStart w:id="22" w:name="_Toc120614214"/>
      <w:r/>
      <w:bookmarkStart w:id="23" w:name="_Toc16938519"/>
      <w:r/>
      <w:bookmarkStart w:id="24" w:name="_Toc20823275"/>
      <w:r>
        <w:rPr>
          <w:rFonts w:hint="eastAsia" w:ascii="宋体" w:hAnsi="宋体" w:cs="宋体"/>
          <w:sz w:val="24"/>
          <w:szCs w:val="24"/>
          <w:highlight w:val="none"/>
        </w:rPr>
        <w:t xml:space="preserve">一、总则</w:t>
      </w:r>
      <w:bookmarkEnd w:id="21"/>
      <w:r/>
      <w:bookmarkEnd w:id="22"/>
      <w:r/>
      <w:bookmarkEnd w:id="23"/>
      <w:r/>
      <w:bookmarkEnd w:id="24"/>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25" w:name="_Hlt16619475"/>
      <w:r/>
      <w:bookmarkEnd w:id="25"/>
      <w:r/>
      <w:bookmarkStart w:id="26" w:name="_Toc458694821"/>
      <w:r/>
      <w:bookmarkStart w:id="27" w:name="_Toc20823276"/>
      <w:r/>
      <w:bookmarkStart w:id="28" w:name="_Toc513029204"/>
      <w:r/>
      <w:bookmarkStart w:id="29" w:name="_Toc16938520"/>
      <w:r>
        <w:rPr>
          <w:rFonts w:hint="eastAsia" w:ascii="宋体" w:hAnsi="宋体" w:eastAsia="宋体" w:cs="宋体"/>
          <w:b w:val="0"/>
          <w:bCs w:val="0"/>
          <w:sz w:val="24"/>
          <w:szCs w:val="24"/>
          <w:highlight w:val="none"/>
        </w:rPr>
        <w:t xml:space="preserve">1</w:t>
      </w:r>
      <w:bookmarkEnd w:id="26"/>
      <w:r>
        <w:rPr>
          <w:rFonts w:hint="eastAsia" w:ascii="宋体" w:hAnsi="宋体" w:eastAsia="宋体" w:cs="宋体"/>
          <w:b w:val="0"/>
          <w:bCs w:val="0"/>
          <w:sz w:val="24"/>
          <w:szCs w:val="24"/>
          <w:highlight w:val="none"/>
        </w:rPr>
        <w:t xml:space="preserve">.招标方式</w:t>
      </w:r>
      <w:bookmarkEnd w:id="27"/>
      <w:r/>
      <w:bookmarkEnd w:id="28"/>
      <w:r/>
      <w:bookmarkEnd w:id="29"/>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 本次招标采取公开招标方式，本招标文件仅适用于招标公告中所述项目。</w:t>
      </w:r>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30" w:name="_Toc20823277"/>
      <w:r/>
      <w:bookmarkStart w:id="31" w:name="_Toc513029205"/>
      <w:r/>
      <w:bookmarkStart w:id="32" w:name="_Toc16938521"/>
      <w:r>
        <w:rPr>
          <w:rFonts w:hint="eastAsia" w:ascii="宋体" w:hAnsi="宋体" w:eastAsia="宋体" w:cs="宋体"/>
          <w:b w:val="0"/>
          <w:bCs w:val="0"/>
          <w:sz w:val="24"/>
          <w:szCs w:val="24"/>
          <w:highlight w:val="none"/>
        </w:rPr>
        <w:t xml:space="preserve">2.合格的投标人</w:t>
      </w:r>
      <w:bookmarkEnd w:id="30"/>
      <w:r/>
      <w:bookmarkEnd w:id="31"/>
      <w:r/>
      <w:bookmarkEnd w:id="32"/>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2.1满足招标公告中投标人的资格要求的规定。</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满足本文件实质性条款的规定。</w:t>
      </w:r>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33" w:name="_Toc16938522"/>
      <w:r/>
      <w:bookmarkStart w:id="34" w:name="_Toc513029206"/>
      <w:r/>
      <w:bookmarkStart w:id="35" w:name="_Toc20823278"/>
      <w:r>
        <w:rPr>
          <w:rFonts w:hint="eastAsia" w:ascii="宋体" w:hAnsi="宋体" w:eastAsia="宋体" w:cs="宋体"/>
          <w:b w:val="0"/>
          <w:bCs w:val="0"/>
          <w:sz w:val="24"/>
          <w:szCs w:val="24"/>
          <w:highlight w:val="none"/>
        </w:rPr>
        <w:t xml:space="preserve">3.适用法律</w:t>
      </w:r>
      <w:bookmarkEnd w:id="33"/>
      <w:r/>
      <w:bookmarkEnd w:id="34"/>
      <w:r/>
      <w:bookmarkEnd w:id="35"/>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 本次招标及由此产生的合同受中华人民共和国有关的法律法规制约和保护。</w:t>
      </w:r>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36" w:name="_Toc20823279"/>
      <w:r/>
      <w:bookmarkStart w:id="37" w:name="_Toc16938523"/>
      <w:r/>
      <w:bookmarkStart w:id="38" w:name="_Toc513029207"/>
      <w:r/>
      <w:bookmarkStart w:id="39" w:name="_Toc462564067"/>
      <w:r>
        <w:rPr>
          <w:rFonts w:hint="eastAsia" w:ascii="宋体" w:hAnsi="宋体" w:eastAsia="宋体" w:cs="宋体"/>
          <w:b w:val="0"/>
          <w:bCs w:val="0"/>
          <w:sz w:val="24"/>
          <w:szCs w:val="24"/>
          <w:highlight w:val="none"/>
        </w:rPr>
        <w:t xml:space="preserve">4.投标费用</w:t>
      </w:r>
      <w:bookmarkEnd w:id="36"/>
      <w:r/>
      <w:bookmarkEnd w:id="37"/>
      <w:r/>
      <w:bookmarkEnd w:id="38"/>
      <w:r/>
      <w:bookmarkEnd w:id="39"/>
      <w:r>
        <w:rPr>
          <w:rFonts w:hint="eastAsia" w:ascii="宋体" w:hAnsi="宋体" w:eastAsia="宋体" w:cs="宋体"/>
          <w:b w:val="0"/>
          <w:bCs w:val="0"/>
          <w:sz w:val="24"/>
          <w:szCs w:val="24"/>
          <w:highlight w:val="none"/>
        </w:rPr>
      </w:r>
      <w:r/>
    </w:p>
    <w:p>
      <w:pPr>
        <w:pStyle w:val="1208"/>
        <w:ind w:firstLine="480"/>
        <w:jc w:val="left"/>
        <w:spacing w:line="440" w:lineRule="exact"/>
        <w:widowControl/>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投标人应自行承担所有与参加投标有关的费用，无论投标过程中的做法和结果如何，</w:t>
      </w:r>
      <w:r>
        <w:rPr>
          <w:rFonts w:hint="eastAsia" w:ascii="宋体" w:hAnsi="宋体" w:cs="宋体"/>
          <w:bCs/>
          <w:sz w:val="24"/>
          <w:szCs w:val="24"/>
          <w:highlight w:val="none"/>
        </w:rPr>
        <w:t xml:space="preserve">采购人</w:t>
      </w:r>
      <w:r>
        <w:rPr>
          <w:rFonts w:hint="eastAsia" w:ascii="宋体" w:hAnsi="宋体" w:cs="宋体"/>
          <w:sz w:val="24"/>
          <w:szCs w:val="24"/>
          <w:highlight w:val="none"/>
        </w:rPr>
        <w:t xml:space="preserve">和</w:t>
      </w:r>
      <w:r>
        <w:rPr>
          <w:rFonts w:hint="eastAsia" w:ascii="宋体" w:hAnsi="宋体" w:cs="宋体"/>
          <w:color w:val="000000"/>
          <w:sz w:val="24"/>
          <w:szCs w:val="24"/>
          <w:highlight w:val="none"/>
          <w:lang w:eastAsia="zh-CN"/>
        </w:rPr>
        <w:t xml:space="preserve">江苏冠美项目管理有限公司</w:t>
      </w:r>
      <w:r>
        <w:rPr>
          <w:rFonts w:hint="eastAsia" w:ascii="宋体" w:hAnsi="宋体" w:cs="宋体"/>
          <w:sz w:val="24"/>
          <w:szCs w:val="24"/>
          <w:highlight w:val="none"/>
        </w:rPr>
        <w:t xml:space="preserve">（以下简称采购代理机构）在任何情况下均无义务和责任承担这些费用。</w:t>
      </w:r>
      <w:r>
        <w:rPr>
          <w:rFonts w:hint="eastAsia" w:ascii="宋体" w:hAnsi="宋体" w:cs="宋体"/>
          <w:sz w:val="24"/>
          <w:szCs w:val="24"/>
          <w:highlight w:val="none"/>
        </w:rPr>
      </w:r>
      <w:r/>
    </w:p>
    <w:p>
      <w:pPr>
        <w:pStyle w:val="1208"/>
        <w:ind w:firstLine="480"/>
        <w:jc w:val="left"/>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Cs w:val="0"/>
          <w:color w:val="000000"/>
          <w:sz w:val="24"/>
          <w:szCs w:val="24"/>
          <w:highlight w:val="none"/>
        </w:rPr>
        <w:t xml:space="preserve">本项目</w:t>
      </w:r>
      <w:r>
        <w:rPr>
          <w:rFonts w:hint="eastAsia" w:ascii="宋体" w:hAnsi="宋体" w:eastAsia="宋体" w:cs="宋体"/>
          <w:bCs w:val="0"/>
          <w:color w:val="000000"/>
          <w:sz w:val="24"/>
          <w:szCs w:val="24"/>
          <w:highlight w:val="none"/>
          <w:lang w:val="en-US" w:eastAsia="zh-CN"/>
        </w:rPr>
        <w:t xml:space="preserve">的</w:t>
      </w:r>
      <w:r>
        <w:rPr>
          <w:rFonts w:hint="eastAsia" w:ascii="宋体" w:hAnsi="宋体" w:eastAsia="宋体" w:cs="宋体"/>
          <w:bCs w:val="0"/>
          <w:color w:val="000000"/>
          <w:sz w:val="24"/>
          <w:szCs w:val="24"/>
          <w:highlight w:val="none"/>
        </w:rPr>
        <w:t xml:space="preserve">招标代理服务费</w:t>
      </w:r>
      <w:r>
        <w:rPr>
          <w:rFonts w:hint="eastAsia" w:ascii="宋体" w:hAnsi="宋体" w:eastAsia="宋体" w:cs="宋体"/>
          <w:bCs w:val="0"/>
          <w:color w:val="000000"/>
          <w:sz w:val="24"/>
          <w:szCs w:val="24"/>
          <w:highlight w:val="none"/>
          <w:lang w:val="en-US" w:eastAsia="zh-CN"/>
        </w:rPr>
        <w:t xml:space="preserve">由采购人支付</w:t>
      </w:r>
      <w:r>
        <w:rPr>
          <w:rFonts w:hint="eastAsia" w:ascii="宋体" w:hAnsi="宋体" w:eastAsia="宋体" w:cs="宋体"/>
          <w:bCs w:val="0"/>
          <w:color w:val="000000"/>
          <w:sz w:val="24"/>
          <w:szCs w:val="24"/>
          <w:highlight w:val="none"/>
        </w:rPr>
        <w:t xml:space="preserve">，招标代理服务费参照《江苏省招标代理服务收费的指导意见》苏招协</w:t>
      </w:r>
      <w:r>
        <w:rPr>
          <w:rFonts w:hint="eastAsia" w:ascii="宋体" w:hAnsi="宋体" w:eastAsia="宋体" w:cs="宋体"/>
          <w:bCs w:val="0"/>
          <w:color w:val="000000"/>
          <w:sz w:val="24"/>
          <w:szCs w:val="24"/>
          <w:highlight w:val="none"/>
          <w:lang w:eastAsia="zh-CN"/>
        </w:rPr>
        <w:t xml:space="preserve">〔2022〕2号</w:t>
      </w:r>
      <w:r>
        <w:rPr>
          <w:rFonts w:hint="eastAsia" w:ascii="宋体" w:hAnsi="宋体" w:eastAsia="宋体" w:cs="宋体"/>
          <w:bCs w:val="0"/>
          <w:color w:val="000000"/>
          <w:sz w:val="24"/>
          <w:szCs w:val="24"/>
          <w:highlight w:val="none"/>
        </w:rPr>
        <w:t xml:space="preserve">文收费标准的</w:t>
      </w:r>
      <w:r>
        <w:rPr>
          <w:rFonts w:hint="eastAsia" w:ascii="宋体" w:hAnsi="宋体" w:eastAsia="宋体" w:cs="宋体"/>
          <w:bCs w:val="0"/>
          <w:color w:val="000000"/>
          <w:sz w:val="24"/>
          <w:szCs w:val="24"/>
          <w:highlight w:val="none"/>
          <w:lang w:val="en-US" w:eastAsia="zh-CN"/>
        </w:rPr>
        <w:t xml:space="preserve">25</w:t>
      </w:r>
      <w:r>
        <w:rPr>
          <w:rFonts w:hint="eastAsia" w:ascii="宋体" w:hAnsi="宋体" w:eastAsia="宋体" w:cs="宋体"/>
          <w:bCs w:val="0"/>
          <w:color w:val="000000"/>
          <w:sz w:val="24"/>
          <w:szCs w:val="24"/>
          <w:highlight w:val="none"/>
        </w:rPr>
        <w:t xml:space="preserve">%计取。</w:t>
      </w:r>
      <w:r>
        <w:rPr>
          <w:rFonts w:hint="eastAsia" w:ascii="宋体" w:hAnsi="宋体" w:eastAsia="宋体" w:cs="宋体"/>
          <w:color w:val="000000"/>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5.招标文件的约束力</w:t>
      </w:r>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投标人一旦参加本项目采购活动，即被认为接受了本招标文件的规定和约束</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1211"/>
        <w:ind w:firstLine="241"/>
        <w:spacing w:before="0" w:after="0" w:line="440" w:lineRule="exact"/>
        <w:rPr>
          <w:rFonts w:hint="eastAsia" w:ascii="宋体" w:hAnsi="宋体" w:cs="宋体"/>
          <w:sz w:val="24"/>
          <w:szCs w:val="24"/>
          <w:highlight w:val="none"/>
        </w:rPr>
      </w:pPr>
      <w:r/>
      <w:bookmarkStart w:id="40" w:name="_Toc513029209"/>
      <w:r/>
      <w:bookmarkStart w:id="41" w:name="_Toc120614215"/>
      <w:r/>
      <w:bookmarkStart w:id="42" w:name="_Toc16938525"/>
      <w:r/>
      <w:bookmarkStart w:id="43" w:name="_Toc20823281"/>
      <w:r>
        <w:rPr>
          <w:rFonts w:hint="eastAsia" w:ascii="宋体" w:hAnsi="宋体" w:cs="宋体"/>
          <w:sz w:val="24"/>
          <w:szCs w:val="24"/>
          <w:highlight w:val="none"/>
        </w:rPr>
        <w:t xml:space="preserve">二、招标文件</w:t>
      </w:r>
      <w:bookmarkEnd w:id="40"/>
      <w:r/>
      <w:bookmarkEnd w:id="41"/>
      <w:r/>
      <w:bookmarkEnd w:id="42"/>
      <w:r/>
      <w:bookmarkEnd w:id="43"/>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44" w:name="_Toc513029210"/>
      <w:r/>
      <w:bookmarkStart w:id="45" w:name="_Toc16938526"/>
      <w:r/>
      <w:bookmarkStart w:id="46" w:name="_Toc20823282"/>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招标文件构成</w:t>
      </w:r>
      <w:bookmarkEnd w:id="44"/>
      <w:r/>
      <w:bookmarkEnd w:id="45"/>
      <w:r/>
      <w:bookmarkEnd w:id="46"/>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招标文件有以下部分组成：</w:t>
      </w:r>
      <w:r>
        <w:rPr>
          <w:rFonts w:hint="eastAsia" w:ascii="宋体" w:hAnsi="宋体" w:cs="宋体"/>
          <w:sz w:val="24"/>
          <w:szCs w:val="24"/>
          <w:highlight w:val="none"/>
        </w:rPr>
      </w:r>
      <w:r/>
    </w:p>
    <w:p>
      <w:pPr>
        <w:pStyle w:val="1208"/>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（1）招标公告</w:t>
      </w:r>
      <w:r>
        <w:rPr>
          <w:rFonts w:hint="eastAsia" w:ascii="宋体" w:hAnsi="宋体" w:cs="宋体"/>
          <w:sz w:val="24"/>
          <w:szCs w:val="24"/>
          <w:highlight w:val="none"/>
        </w:rPr>
      </w:r>
      <w:r/>
    </w:p>
    <w:p>
      <w:pPr>
        <w:pStyle w:val="1208"/>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（2）投标人须知</w:t>
      </w:r>
      <w:r>
        <w:rPr>
          <w:rFonts w:hint="eastAsia" w:ascii="宋体" w:hAnsi="宋体" w:cs="宋体"/>
          <w:sz w:val="24"/>
          <w:szCs w:val="24"/>
          <w:highlight w:val="none"/>
        </w:rPr>
      </w:r>
      <w:r/>
    </w:p>
    <w:p>
      <w:pPr>
        <w:pStyle w:val="1208"/>
        <w:ind w:firstLine="36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（3）合同</w:t>
      </w:r>
      <w:r>
        <w:rPr>
          <w:rFonts w:hint="eastAsia" w:ascii="宋体" w:hAnsi="宋体" w:cs="宋体"/>
          <w:sz w:val="24"/>
          <w:szCs w:val="24"/>
          <w:highlight w:val="none"/>
          <w:lang w:val="en-US" w:eastAsia="zh-CN"/>
        </w:rPr>
        <w:t xml:space="preserve">文本</w:t>
      </w:r>
      <w:r>
        <w:rPr>
          <w:rFonts w:hint="eastAsia" w:ascii="宋体" w:hAnsi="宋体" w:cs="宋体"/>
          <w:sz w:val="24"/>
          <w:szCs w:val="24"/>
          <w:highlight w:val="none"/>
          <w:lang w:val="en-US" w:eastAsia="zh-CN"/>
        </w:rPr>
      </w:r>
      <w:r/>
    </w:p>
    <w:p>
      <w:pPr>
        <w:pStyle w:val="1208"/>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需求</w:t>
      </w:r>
      <w:r>
        <w:rPr>
          <w:rFonts w:hint="eastAsia" w:ascii="宋体" w:hAnsi="宋体" w:cs="宋体"/>
          <w:sz w:val="24"/>
          <w:szCs w:val="24"/>
          <w:highlight w:val="none"/>
        </w:rPr>
      </w:r>
      <w:r/>
    </w:p>
    <w:p>
      <w:pPr>
        <w:pStyle w:val="1208"/>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rPr>
          <w:rFonts w:hint="eastAsia" w:ascii="宋体" w:hAnsi="宋体" w:cs="宋体"/>
          <w:sz w:val="24"/>
          <w:szCs w:val="24"/>
          <w:highlight w:val="none"/>
        </w:rPr>
      </w:r>
      <w:r/>
    </w:p>
    <w:p>
      <w:pPr>
        <w:pStyle w:val="1208"/>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请仔细检查招标文件是否齐全，如有缺漏请立即与采购代理机构联系解决。</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lang w:eastAsia="zh-CN"/>
        </w:rPr>
      </w:pPr>
      <w:r/>
      <w:bookmarkStart w:id="47" w:name="_Toc20823283"/>
      <w:r/>
      <w:bookmarkStart w:id="48" w:name="_Toc513029211"/>
      <w:r/>
      <w:bookmarkStart w:id="49" w:name="_Toc462564070"/>
      <w:r/>
      <w:bookmarkStart w:id="50" w:name="_Toc16938527"/>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招标文件的</w:t>
      </w:r>
      <w:bookmarkEnd w:id="47"/>
      <w:r/>
      <w:bookmarkEnd w:id="48"/>
      <w:r/>
      <w:bookmarkEnd w:id="49"/>
      <w:r/>
      <w:bookmarkEnd w:id="50"/>
      <w:r>
        <w:rPr>
          <w:rFonts w:hint="eastAsia" w:ascii="宋体" w:hAnsi="宋体" w:eastAsia="宋体" w:cs="宋体"/>
          <w:b w:val="0"/>
          <w:bCs w:val="0"/>
          <w:sz w:val="24"/>
          <w:szCs w:val="24"/>
          <w:highlight w:val="none"/>
          <w:lang w:val="en-US" w:eastAsia="zh-CN"/>
        </w:rPr>
        <w:t xml:space="preserve">澄清</w:t>
      </w:r>
      <w:r>
        <w:rPr>
          <w:rFonts w:hint="eastAsia" w:ascii="宋体" w:hAnsi="宋体" w:eastAsia="宋体" w:cs="宋体"/>
          <w:b w:val="0"/>
          <w:bCs w:val="0"/>
          <w:sz w:val="24"/>
          <w:szCs w:val="24"/>
          <w:highlight w:val="none"/>
          <w:lang w:eastAsia="zh-CN"/>
        </w:rPr>
      </w:r>
      <w:r/>
    </w:p>
    <w:p>
      <w:pPr>
        <w:pStyle w:val="1208"/>
        <w:ind w:firstLine="480"/>
        <w:jc w:val="left"/>
        <w:spacing w:line="440" w:lineRule="exact"/>
        <w:rPr>
          <w:rFonts w:hint="eastAsia" w:ascii="宋体" w:hAnsi="宋体" w:eastAsia="宋体" w:cs="宋体"/>
          <w:sz w:val="24"/>
          <w:szCs w:val="24"/>
          <w:highlight w:val="none"/>
        </w:rPr>
        <w:outlineLvl w:val="9"/>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任何要求对招标文件进行</w:t>
      </w:r>
      <w:r>
        <w:rPr>
          <w:rFonts w:hint="eastAsia" w:ascii="宋体" w:hAnsi="宋体" w:cs="宋体"/>
          <w:sz w:val="24"/>
          <w:szCs w:val="24"/>
          <w:highlight w:val="none"/>
          <w:lang w:val="en-US" w:eastAsia="zh-CN"/>
        </w:rPr>
        <w:t xml:space="preserve">澄清</w:t>
      </w:r>
      <w:r>
        <w:rPr>
          <w:rFonts w:hint="eastAsia" w:ascii="宋体" w:hAnsi="宋体" w:cs="宋体"/>
          <w:sz w:val="24"/>
          <w:szCs w:val="24"/>
          <w:highlight w:val="none"/>
        </w:rPr>
        <w:t xml:space="preserve">的投标人，应在投标截止日期十日前按招标公告中的通讯地址，</w:t>
      </w:r>
      <w:r>
        <w:rPr>
          <w:rFonts w:hint="eastAsia" w:ascii="宋体" w:hAnsi="宋体" w:eastAsia="宋体" w:cs="宋体"/>
          <w:color w:val="000000"/>
          <w:sz w:val="24"/>
          <w:szCs w:val="24"/>
          <w:highlight w:val="none"/>
        </w:rPr>
        <w:t xml:space="preserve">以书面形式通知</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或采购人。</w:t>
      </w:r>
      <w:r>
        <w:rPr>
          <w:rFonts w:hint="eastAsia" w:ascii="宋体" w:hAnsi="宋体" w:eastAsia="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51" w:name="_Toc462564071"/>
      <w:r/>
      <w:bookmarkStart w:id="52" w:name="_Toc20823284"/>
      <w:r/>
      <w:bookmarkStart w:id="53" w:name="_Toc513029212"/>
      <w:r/>
      <w:bookmarkStart w:id="54" w:name="_Toc16938528"/>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招标文件的修改</w:t>
      </w:r>
      <w:bookmarkEnd w:id="51"/>
      <w:r/>
      <w:bookmarkEnd w:id="52"/>
      <w:r/>
      <w:bookmarkEnd w:id="53"/>
      <w:r/>
      <w:bookmarkEnd w:id="54"/>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在投标截止时间前，</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可以对招标文件进行修改。</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采购人和采购代理机构有权依法推迟投标截止日期和开标日期。</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招标文件的修改将在</w:t>
      </w:r>
      <w:r>
        <w:rPr>
          <w:rFonts w:hint="eastAsia" w:ascii="宋体" w:hAnsi="宋体" w:eastAsia="宋体" w:cs="宋体"/>
          <w:color w:val="000000"/>
          <w:sz w:val="24"/>
          <w:szCs w:val="24"/>
          <w:highlight w:val="none"/>
          <w:lang w:val="en-US" w:eastAsia="zh-CN"/>
        </w:rPr>
        <w:t xml:space="preserve">“中国政府采购网”“江苏政府采购网”“盐城市政府采购网”公布，</w:t>
      </w:r>
      <w:r>
        <w:rPr>
          <w:rFonts w:hint="eastAsia" w:ascii="宋体" w:hAnsi="宋体" w:eastAsia="宋体" w:cs="宋体"/>
          <w:sz w:val="24"/>
          <w:szCs w:val="24"/>
          <w:highlight w:val="none"/>
        </w:rPr>
        <w:t xml:space="preserve">补</w:t>
      </w:r>
      <w:r>
        <w:rPr>
          <w:rFonts w:hint="eastAsia" w:ascii="宋体" w:hAnsi="宋体" w:cs="宋体"/>
          <w:sz w:val="24"/>
          <w:szCs w:val="24"/>
          <w:highlight w:val="none"/>
        </w:rPr>
        <w:t xml:space="preserve">充文件将作为招标文件的组成部分，并对投标人具有约束力。</w:t>
      </w:r>
      <w:r>
        <w:rPr>
          <w:rFonts w:hint="eastAsia" w:ascii="宋体" w:hAnsi="宋体" w:cs="宋体"/>
          <w:sz w:val="24"/>
          <w:szCs w:val="24"/>
          <w:highlight w:val="none"/>
        </w:rPr>
      </w:r>
      <w:r/>
    </w:p>
    <w:p>
      <w:pPr>
        <w:pStyle w:val="1211"/>
        <w:ind w:firstLine="241"/>
        <w:spacing w:before="0" w:after="0" w:line="440" w:lineRule="exact"/>
        <w:rPr>
          <w:rFonts w:hint="eastAsia" w:ascii="宋体" w:hAnsi="宋体" w:cs="宋体"/>
          <w:sz w:val="24"/>
          <w:szCs w:val="24"/>
          <w:highlight w:val="none"/>
        </w:rPr>
      </w:pPr>
      <w:r/>
      <w:bookmarkStart w:id="55" w:name="_Toc20823285"/>
      <w:r/>
      <w:bookmarkStart w:id="56" w:name="_Toc16938529"/>
      <w:r/>
      <w:bookmarkStart w:id="57" w:name="_Toc462564072"/>
      <w:r/>
      <w:bookmarkStart w:id="58" w:name="_Toc120614216"/>
      <w:r/>
      <w:bookmarkStart w:id="59" w:name="_Toc513029213"/>
      <w:r>
        <w:rPr>
          <w:rFonts w:hint="eastAsia" w:ascii="宋体" w:hAnsi="宋体" w:cs="宋体"/>
          <w:sz w:val="24"/>
          <w:szCs w:val="24"/>
          <w:highlight w:val="none"/>
        </w:rPr>
        <w:t xml:space="preserve">三、投标文件的编制</w:t>
      </w:r>
      <w:bookmarkEnd w:id="55"/>
      <w:r/>
      <w:bookmarkEnd w:id="56"/>
      <w:r/>
      <w:bookmarkEnd w:id="57"/>
      <w:r/>
      <w:bookmarkEnd w:id="58"/>
      <w:r/>
      <w:bookmarkEnd w:id="59"/>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Cs w:val="0"/>
          <w:sz w:val="24"/>
          <w:szCs w:val="24"/>
          <w:highlight w:val="none"/>
        </w:rPr>
      </w:pPr>
      <w:r/>
      <w:bookmarkStart w:id="60" w:name="_Toc462564073"/>
      <w:r/>
      <w:bookmarkStart w:id="61" w:name="_Toc16938530"/>
      <w:r/>
      <w:bookmarkStart w:id="62" w:name="_Toc20823286"/>
      <w:r/>
      <w:bookmarkStart w:id="63" w:name="_Toc513029214"/>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投标文件的语言及度量衡单位</w:t>
      </w:r>
      <w:bookmarkEnd w:id="60"/>
      <w:r/>
      <w:bookmarkEnd w:id="61"/>
      <w:r/>
      <w:bookmarkEnd w:id="62"/>
      <w:r/>
      <w:bookmarkEnd w:id="63"/>
      <w:r>
        <w:rPr>
          <w:rFonts w:hint="eastAsia" w:ascii="宋体" w:hAnsi="宋体" w:eastAsia="宋体" w:cs="宋体"/>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投标人提交的投标文件以及投标人与采购人、采购代理机构就有关投标的所有来往通知、函件和文件均应使用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 除技术性能另有规定外，投标文件所使用的度量衡单位，均须采用国家法定计量单位。</w:t>
      </w:r>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64" w:name="_Toc20823287"/>
      <w:r/>
      <w:bookmarkStart w:id="65" w:name="_Toc513029215"/>
      <w:r/>
      <w:bookmarkStart w:id="66" w:name="_Toc462564074"/>
      <w:r/>
      <w:bookmarkStart w:id="67" w:name="_Toc16938531"/>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rPr>
        <w:t xml:space="preserve">投标文件构成</w:t>
      </w:r>
      <w:bookmarkEnd w:id="64"/>
      <w:r/>
      <w:bookmarkEnd w:id="65"/>
      <w:r/>
      <w:bookmarkEnd w:id="66"/>
      <w:r/>
      <w:bookmarkEnd w:id="67"/>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投标人编写的投标文件应包括资信证明文件、投标配置与分项报价表、供货一览表、技术参数响应及偏离表、商务条款响应及偏离表、技术及售后服务承诺书、投标函、开标一览表等部分；</w:t>
      </w:r>
      <w:r>
        <w:rPr>
          <w:rFonts w:hint="eastAsia" w:ascii="宋体" w:hAnsi="宋体" w:cs="宋体"/>
          <w:sz w:val="24"/>
          <w:szCs w:val="24"/>
          <w:highlight w:val="none"/>
        </w:rPr>
      </w:r>
      <w:r/>
    </w:p>
    <w:p>
      <w:pPr>
        <w:pStyle w:val="1208"/>
        <w:ind w:firstLine="48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.2如标书制作工具中格式和内容与</w:t>
      </w: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w:t>
      </w:r>
      <w:r>
        <w:rPr>
          <w:rFonts w:hint="eastAsia" w:ascii="宋体" w:hAnsi="宋体" w:eastAsia="宋体" w:cs="宋体"/>
          <w:color w:val="000000"/>
          <w:sz w:val="24"/>
          <w:szCs w:val="24"/>
          <w:highlight w:val="none"/>
          <w:lang w:val="en-US" w:eastAsia="zh-CN" w:bidi="ar-SA"/>
        </w:rPr>
        <w:t xml:space="preserve">中国政府采购网”“江苏政府采购网”“盐城市政府采购网”发布的招标文件不一致，请以</w:t>
      </w: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w:t>
      </w:r>
      <w:r>
        <w:rPr>
          <w:rFonts w:hint="eastAsia" w:ascii="宋体" w:hAnsi="宋体" w:eastAsia="宋体" w:cs="宋体"/>
          <w:color w:val="000000"/>
          <w:sz w:val="24"/>
          <w:szCs w:val="24"/>
          <w:highlight w:val="none"/>
          <w:lang w:val="en-US" w:eastAsia="zh-CN" w:bidi="ar-SA"/>
        </w:rPr>
        <w:t xml:space="preserve">中国政府采购网”“江苏政府采购网”“盐城市政府采购网”发布的招标文件为准。</w:t>
      </w:r>
      <w:r>
        <w:rPr>
          <w:rFonts w:hint="eastAsia" w:ascii="宋体" w:hAnsi="宋体" w:eastAsia="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68" w:name="_Hlt26954838"/>
      <w:r/>
      <w:bookmarkEnd w:id="68"/>
      <w:r/>
      <w:bookmarkStart w:id="69" w:name="_Hlt26670360"/>
      <w:r/>
      <w:bookmarkEnd w:id="69"/>
      <w:r/>
      <w:bookmarkStart w:id="70" w:name="_Hlt26668975"/>
      <w:r/>
      <w:bookmarkEnd w:id="70"/>
      <w:r/>
      <w:bookmarkStart w:id="71" w:name="_Toc49090509"/>
      <w:r/>
      <w:bookmarkStart w:id="72" w:name="_Toc14577357"/>
      <w:r/>
      <w:bookmarkStart w:id="73" w:name="_Toc513029219"/>
      <w:r/>
      <w:bookmarkStart w:id="74" w:name="_Toc14577354"/>
      <w:r/>
      <w:bookmarkStart w:id="75" w:name="_Toc513029216"/>
      <w:r/>
      <w:bookmarkStart w:id="76" w:name="_Toc49090507"/>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证明投标人资格及符合招标文件规定的文件</w:t>
      </w:r>
      <w:bookmarkEnd w:id="71"/>
      <w:r/>
      <w:bookmarkEnd w:id="72"/>
      <w:r/>
      <w:bookmarkEnd w:id="73"/>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.1</w:t>
      </w:r>
      <w:bookmarkStart w:id="77" w:name="_Hlt26668999"/>
      <w:r/>
      <w:bookmarkEnd w:id="77"/>
      <w:r>
        <w:rPr>
          <w:rFonts w:hint="eastAsia" w:ascii="宋体" w:hAnsi="宋体" w:cs="宋体"/>
          <w:sz w:val="24"/>
          <w:szCs w:val="24"/>
          <w:highlight w:val="none"/>
        </w:rPr>
        <w:t xml:space="preserve">投标人应按要求提交资格证明文件及符合招标文件规定的文件</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证明其及投标标的符合招标文件规定。</w:t>
      </w:r>
      <w:r>
        <w:rPr>
          <w:rFonts w:hint="eastAsia" w:ascii="宋体" w:hAnsi="宋体" w:eastAsia="宋体" w:cs="宋体"/>
          <w:sz w:val="24"/>
          <w:szCs w:val="24"/>
          <w:highlight w:val="none"/>
        </w:rPr>
      </w:r>
      <w:r/>
    </w:p>
    <w:p>
      <w:pPr>
        <w:pStyle w:val="1208"/>
        <w:ind w:firstLine="48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.2</w:t>
      </w:r>
      <w:r>
        <w:rPr>
          <w:rFonts w:hint="eastAsia" w:ascii="宋体" w:hAnsi="宋体" w:eastAsia="宋体" w:cs="宋体"/>
          <w:color w:val="000000"/>
          <w:sz w:val="24"/>
          <w:szCs w:val="24"/>
          <w:highlight w:val="none"/>
          <w:lang w:val="en-US" w:eastAsia="zh-CN" w:bidi="ar-SA"/>
        </w:rPr>
        <w:t xml:space="preserve">招标文件对证明文件无明确形式要求的，证明文件可以以文字资料、图纸和数据等形式提交。</w:t>
      </w:r>
      <w:r>
        <w:rPr>
          <w:rFonts w:hint="eastAsia" w:ascii="宋体" w:hAnsi="宋体" w:eastAsia="宋体" w:cs="宋体"/>
          <w:color w:val="000000"/>
          <w:sz w:val="24"/>
          <w:szCs w:val="24"/>
          <w:highlight w:val="none"/>
          <w:lang w:val="en-US" w:eastAsia="zh-CN" w:bidi="ar-SA"/>
        </w:rPr>
      </w:r>
      <w:r/>
    </w:p>
    <w:p>
      <w:pPr>
        <w:pStyle w:val="1208"/>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投标分项报价表</w:t>
      </w:r>
      <w:r>
        <w:rPr>
          <w:rFonts w:hint="eastAsia" w:ascii="宋体" w:hAnsi="宋体" w:eastAsia="宋体" w:cs="宋体"/>
          <w:color w:val="000000"/>
          <w:sz w:val="24"/>
          <w:szCs w:val="24"/>
          <w:highlight w:val="none"/>
        </w:rPr>
      </w:r>
      <w:r/>
    </w:p>
    <w:p>
      <w:pPr>
        <w:pStyle w:val="120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rPr>
          <w:rFonts w:hint="eastAsia" w:ascii="宋体" w:hAnsi="宋体" w:eastAsia="宋体" w:cs="宋体"/>
          <w:color w:val="000000"/>
          <w:sz w:val="24"/>
          <w:szCs w:val="24"/>
          <w:highlight w:val="none"/>
        </w:rPr>
      </w:r>
      <w:r/>
    </w:p>
    <w:p>
      <w:pPr>
        <w:pStyle w:val="1208"/>
        <w:ind w:firstLine="48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bookmarkEnd w:id="74"/>
      <w:r/>
      <w:bookmarkEnd w:id="75"/>
      <w:r/>
      <w:bookmarkEnd w:id="76"/>
      <w:r/>
      <w:bookmarkStart w:id="78" w:name="_Toc49090508"/>
      <w:r/>
      <w:bookmarkStart w:id="79" w:name="_Toc14577355"/>
      <w:r>
        <w:rPr>
          <w:rFonts w:hint="eastAsia" w:ascii="宋体" w:hAnsi="宋体" w:eastAsia="宋体" w:cs="宋体"/>
          <w:color w:val="000000"/>
          <w:sz w:val="24"/>
          <w:szCs w:val="24"/>
          <w:highlight w:val="none"/>
          <w:lang w:val="en-US" w:eastAsia="zh-CN" w:bidi="ar-SA"/>
        </w:rPr>
        <w:t xml:space="preserve">13.技术要求响应及偏离表、商务要求响应及偏离表</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13.1投标人需对招标文件中的技术要求与商务要求逐项作出响应或偏离，并说明原因。</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tabs>
          <w:tab w:val="left" w:pos="103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13.2投标人可在投标文件中提供认为需要的其他技术文件或说明。</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14.投标函和开标一览表</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14.1投标人应按照招标文件中提供的格式完整、正确填写投标函、开标一览表。</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15.投标有效期</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15.1投标有效期为采购人规定的开标之日后</w:t>
      </w:r>
      <w:r>
        <w:rPr>
          <w:rFonts w:hint="eastAsia" w:ascii="宋体" w:hAnsi="宋体" w:eastAsia="宋体" w:cs="宋体"/>
          <w:b w:val="0"/>
          <w:color w:val="000000"/>
          <w:sz w:val="24"/>
          <w:szCs w:val="24"/>
          <w:highlight w:val="none"/>
          <w:u w:val="none"/>
          <w:lang w:val="en-US" w:eastAsia="zh-CN" w:bidi="ar-SA"/>
        </w:rPr>
        <w:t xml:space="preserve">九十（90）天</w:t>
      </w:r>
      <w:r>
        <w:rPr>
          <w:rFonts w:hint="eastAsia" w:ascii="宋体" w:hAnsi="宋体" w:eastAsia="宋体" w:cs="宋体"/>
          <w:color w:val="000000"/>
          <w:sz w:val="24"/>
          <w:szCs w:val="24"/>
          <w:highlight w:val="none"/>
          <w:lang w:val="en-US" w:eastAsia="zh-CN" w:bidi="ar-SA"/>
        </w:rPr>
        <w:t xml:space="preserve">。投标有效期比规定短的将被视为未实质性响应招标文件而予以拒绝。</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16.投标有效期的延长</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szCs w:val="24"/>
          <w:highlight w:val="none"/>
          <w:lang w:val="en-US" w:eastAsia="zh-CN" w:bidi="ar-SA"/>
        </w:rPr>
      </w:r>
      <w:r/>
    </w:p>
    <w:p>
      <w:pPr>
        <w:pStyle w:val="1211"/>
        <w:ind w:firstLine="241"/>
        <w:spacing w:before="0" w:after="0" w:line="440" w:lineRule="exact"/>
        <w:rPr>
          <w:rFonts w:hint="eastAsia" w:ascii="宋体" w:hAnsi="宋体" w:cs="宋体"/>
          <w:sz w:val="24"/>
          <w:szCs w:val="24"/>
          <w:highlight w:val="none"/>
        </w:rPr>
      </w:pPr>
      <w:r/>
      <w:bookmarkEnd w:id="78"/>
      <w:r/>
      <w:bookmarkEnd w:id="79"/>
      <w:r/>
      <w:bookmarkStart w:id="80" w:name="_Toc513029224"/>
      <w:r/>
      <w:bookmarkStart w:id="81" w:name="_Toc20823296"/>
      <w:r/>
      <w:bookmarkStart w:id="82" w:name="_Toc16938540"/>
      <w:r/>
      <w:bookmarkStart w:id="83" w:name="_Toc120614217"/>
      <w:r>
        <w:rPr>
          <w:rFonts w:hint="eastAsia" w:ascii="宋体" w:hAnsi="宋体" w:cs="宋体"/>
          <w:sz w:val="24"/>
          <w:szCs w:val="24"/>
          <w:highlight w:val="none"/>
        </w:rPr>
        <w:t xml:space="preserve">四、投标文件的递交</w:t>
      </w:r>
      <w:bookmarkEnd w:id="80"/>
      <w:r/>
      <w:bookmarkEnd w:id="81"/>
      <w:r/>
      <w:bookmarkEnd w:id="82"/>
      <w:r/>
      <w:bookmarkEnd w:id="83"/>
      <w:r>
        <w:rPr>
          <w:rFonts w:hint="eastAsia" w:ascii="宋体" w:hAnsi="宋体" w:cs="宋体"/>
          <w:sz w:val="24"/>
          <w:szCs w:val="24"/>
          <w:highlight w:val="none"/>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84" w:name="_Toc16938541"/>
      <w:r/>
      <w:bookmarkStart w:id="85" w:name="_Toc20823297"/>
      <w:r/>
      <w:bookmarkStart w:id="86" w:name="_Toc513029225"/>
      <w:r/>
      <w:bookmarkStart w:id="87" w:name="_Toc462564084"/>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7</w:t>
      </w:r>
      <w:bookmarkEnd w:id="84"/>
      <w:r/>
      <w:bookmarkEnd w:id="85"/>
      <w:r/>
      <w:bookmarkEnd w:id="86"/>
      <w:r/>
      <w:bookmarkEnd w:id="87"/>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投标文件的递交</w:t>
      </w:r>
      <w:r>
        <w:rPr>
          <w:rFonts w:hint="eastAsia" w:ascii="宋体" w:hAnsi="宋体" w:eastAsia="宋体" w:cs="宋体"/>
          <w:b w:val="0"/>
          <w:bCs w:val="0"/>
          <w:sz w:val="24"/>
          <w:szCs w:val="24"/>
          <w:highlight w:val="none"/>
        </w:rPr>
      </w:r>
      <w:r/>
    </w:p>
    <w:p>
      <w:pPr>
        <w:pStyle w:val="1208"/>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.1电子投标文件的递交</w:t>
      </w:r>
      <w:r>
        <w:rPr>
          <w:rFonts w:hint="eastAsia" w:ascii="宋体" w:hAnsi="宋体" w:cs="宋体"/>
          <w:bCs/>
          <w:sz w:val="24"/>
          <w:szCs w:val="24"/>
          <w:highlight w:val="none"/>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投标人应当按照《操作手册》规定，在投标截止时间前制作并上传电子投标文件。</w:t>
      </w:r>
      <w:r>
        <w:rPr>
          <w:rFonts w:hint="eastAsia" w:ascii="宋体" w:hAnsi="宋体" w:eastAsia="宋体" w:cs="宋体"/>
          <w:color w:val="000000"/>
          <w:sz w:val="24"/>
          <w:szCs w:val="24"/>
          <w:highlight w:val="none"/>
          <w:lang w:val="en-US" w:eastAsia="zh-CN" w:bidi="ar-SA"/>
        </w:rPr>
      </w:r>
      <w:r/>
    </w:p>
    <w:p>
      <w:pPr>
        <w:pStyle w:val="1212"/>
        <w:ind w:firstLine="360"/>
        <w:spacing w:before="0" w:after="0" w:line="440" w:lineRule="exact"/>
        <w:rPr>
          <w:rFonts w:hint="eastAsia" w:ascii="宋体" w:hAnsi="宋体" w:eastAsia="宋体" w:cs="宋体"/>
          <w:b w:val="0"/>
          <w:bCs w:val="0"/>
          <w:sz w:val="24"/>
          <w:szCs w:val="24"/>
          <w:highlight w:val="none"/>
        </w:rPr>
      </w:pPr>
      <w:r/>
      <w:bookmarkStart w:id="88" w:name="_Toc16938542"/>
      <w:r/>
      <w:bookmarkStart w:id="89" w:name="_Toc513029226"/>
      <w:r/>
      <w:bookmarkStart w:id="90" w:name="_Toc20823298"/>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投标截止日期</w:t>
      </w:r>
      <w:bookmarkEnd w:id="88"/>
      <w:r/>
      <w:bookmarkEnd w:id="89"/>
      <w:r/>
      <w:bookmarkEnd w:id="90"/>
      <w:r>
        <w:rPr>
          <w:rFonts w:hint="eastAsia" w:ascii="宋体" w:hAnsi="宋体" w:eastAsia="宋体" w:cs="宋体"/>
          <w:b w:val="0"/>
          <w:bCs w:val="0"/>
          <w:sz w:val="24"/>
          <w:szCs w:val="24"/>
          <w:highlight w:val="none"/>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18.1投标人上传电子投标文件的时间不得迟于招标公告中规定的投标截止时间。</w:t>
      </w:r>
      <w:r>
        <w:rPr>
          <w:rFonts w:hint="eastAsia" w:ascii="宋体" w:hAnsi="宋体" w:eastAsia="宋体" w:cs="宋体"/>
          <w:color w:val="000000"/>
          <w:sz w:val="24"/>
          <w:szCs w:val="24"/>
          <w:highlight w:val="none"/>
          <w:u w:val="singl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投标人应充分考虑到网络环境、网络带宽等风险因素，如因投标人自身原因造成的电子投标文件上传不成功的按照本招标文件第二章第26.1.2条规定作无效投标处理。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18.2代理机构可以按照规定，通过修改招标文件酌情延长投标截止时间，在此情况下，投标人的所有权利和义务以及投标人受制的截止时间均应以延长后新的截止时间为准。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bookmarkStart w:id="91" w:name="_Toc16938543"/>
      <w:r/>
      <w:bookmarkStart w:id="92" w:name="_Toc513029227"/>
      <w:r/>
      <w:bookmarkStart w:id="93" w:name="_Toc20823299"/>
      <w:r>
        <w:rPr>
          <w:rFonts w:hint="eastAsia" w:ascii="宋体" w:hAnsi="宋体" w:eastAsia="宋体" w:cs="宋体"/>
          <w:color w:val="000000"/>
          <w:sz w:val="24"/>
          <w:szCs w:val="24"/>
          <w:highlight w:val="none"/>
          <w:lang w:val="en-US" w:eastAsia="zh-CN" w:bidi="ar-SA"/>
        </w:rPr>
        <w:t xml:space="preserve">19.投标文件的拒收</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19.1代理机构拒绝接收在其规定的投标截止时间后上传的任何投标文件。</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20.投标文件的撤回和修改</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20.1投标文件的撤回</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20.1.1电子投标文件的撤回</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投标人可在投标截止时间前，撤回其电子投标文件，具体操作方法见《操作手册》。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20.1.2投标人撤回电子投标文件，则认为其不再参与本项目投标活动。</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20.2投标文件的修改</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20.2.1投标人可在投标截止时间前，对其电子投标文件进行修改，具体操作方法见《操作手册》。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20.2.2在投标截止时间之后，投标人不得对其电子投标文件作任何修改。</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20.3在投标截止时间至招标文件中规定的投标有效期满之间的这段时间内，投标人不得撤回其投标。</w:t>
      </w:r>
      <w:r>
        <w:rPr>
          <w:rFonts w:hint="eastAsia" w:ascii="宋体" w:hAnsi="宋体" w:eastAsia="宋体" w:cs="宋体"/>
          <w:color w:val="000000"/>
          <w:sz w:val="24"/>
          <w:szCs w:val="24"/>
          <w:highlight w:val="none"/>
          <w:lang w:val="en-US" w:eastAsia="zh-CN" w:bidi="ar-SA"/>
        </w:rPr>
      </w:r>
      <w:r/>
    </w:p>
    <w:p>
      <w:pPr>
        <w:pStyle w:val="1208"/>
        <w:ind w:left="0" w:firstLine="482"/>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五、开标与评标</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21.开标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21.2开标仪式由代理机构组织。苏采云系统将自动对项目进行开标，并宣布各投标人名称和投标价格。</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21.3投标人在开标过程中涉及到的投标文件解密、开标结果确认等工作，应按照《操作手册》规定执行。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22.评标委员会</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22.1开标后，代理机构将立即组织评标委员会（以下简称评委会）进行评标。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22.2评委会由采购人代表和有关技术、经济等方面的专家组成，且人员构成符合政府采购有关规定。</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22.3评委会独立工作，负责评审所有投标文件并确定中标候选人。</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23.评标过程的保密与公正</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23.1凡是与审查、澄清、评价和比较投标的有关资料以及授标建议等，采购人、评委、代理机构均不得向投标人或与评标无关的其他人员透露。</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23.2在评标过程中，投标人不得以任何行为影响评标过程，否则其投标文件将被作为无效投标文件。</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23.3代理机构和评标委员会不向未中标的投标人解释未中标原因，也不公布评标过程中的相关细节。</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24.投标文件的澄清</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评标委员会并非对每个投标人都做澄清要求。</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24.3接到评委会澄清、说明和补正要求的投标人如未按规定作出澄清、说明和补正，其风险由投标人自行承担。</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25.对投标文件的初审</w:t>
      </w:r>
      <w:r>
        <w:rPr>
          <w:rFonts w:hint="eastAsia" w:ascii="宋体" w:hAnsi="宋体" w:eastAsia="宋体" w:cs="宋体"/>
          <w:color w:val="000000"/>
          <w:sz w:val="24"/>
          <w:szCs w:val="24"/>
          <w:highlight w:val="none"/>
          <w:lang w:val="en-US" w:eastAsia="zh-CN" w:bidi="ar-SA"/>
        </w:rPr>
      </w:r>
      <w:r/>
    </w:p>
    <w:p>
      <w:pPr>
        <w:pStyle w:val="1208"/>
        <w:ind w:left="0"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25.1投标文件初审分为资格审查和符合性审查。</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（2）大写金额和小写金额不一致的，以大写金额为准。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（4）总价金额与按单价汇总金额不一致的，以单价金额计算结果为准。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同时出现两种以上错误的，按照前款规定的顺序修正。</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25.6投标人在开、评标全过程中应保持通信畅通，及时登录苏采云系统查阅、答复相关信息，并安排专人与代理机构及评标委员会联系。</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26.无效投标条款和废标条款</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26.1无效投标条款</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26.1.1投标人在苏采云系统规定的时间内未成功解密电子投标文件的。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26.1.2投标人未按照招标文件要求上传电子投标文件的。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26.1.3同一投标人提交两个（含两个）以上不同的投标报价的。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26.1.4投标人不具备招标文件中规定资格要求的。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26.1.5投标人的报价超过了采购预算或最高限价的。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26.1.6未通过符合性审查的。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26.1.7不符合招标文件中规定的实质性要求和条件的</w:t>
      </w:r>
      <w:r>
        <w:rPr>
          <w:rFonts w:hint="eastAsia" w:ascii="宋体" w:hAnsi="宋体" w:eastAsia="宋体" w:cs="宋体"/>
          <w:i/>
          <w:iCs/>
          <w:color w:val="000000"/>
          <w:sz w:val="24"/>
          <w:szCs w:val="24"/>
          <w:highlight w:val="none"/>
          <w:lang w:val="en-US" w:eastAsia="zh-CN" w:bidi="ar-SA"/>
        </w:rPr>
        <w:t xml:space="preserve">（</w:t>
      </w:r>
      <w:r>
        <w:rPr>
          <w:rFonts w:hint="eastAsia" w:ascii="宋体" w:hAnsi="宋体" w:eastAsia="宋体" w:cs="宋体"/>
          <w:i/>
          <w:iCs/>
          <w:color w:val="000000"/>
          <w:sz w:val="24"/>
          <w:szCs w:val="24"/>
          <w:highlight w:val="none"/>
          <w:u w:val="none"/>
          <w:lang w:val="en-US" w:eastAsia="zh-CN" w:bidi="ar-SA"/>
        </w:rPr>
        <w:t xml:space="preserve">本招标文件中斜体且有下划线部分为实质性要求和条件）</w:t>
      </w:r>
      <w:r>
        <w:rPr>
          <w:rFonts w:hint="eastAsia" w:ascii="宋体" w:hAnsi="宋体" w:eastAsia="宋体" w:cs="宋体"/>
          <w:i w:val="0"/>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26.1.9投标文件含有采购人不能接受的附加条件的。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26.1.10投标人不能证明其报价合理性的，评标委员会应当将其作为无效投标处理。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相关法律法规对供应商报价有规定的，从其规定。</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4"/>
          <w:szCs w:val="24"/>
          <w:highlight w:val="none"/>
          <w:lang w:val="en-US" w:eastAsia="zh-CN" w:bidi="ar-SA"/>
        </w:rPr>
      </w:r>
      <w:r/>
    </w:p>
    <w:p>
      <w:pPr>
        <w:pStyle w:val="1254"/>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26.1.11投标文件未按照招标文件要求加盖CA电子公章的。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26.1.12其他法律、法规及本招标文件规定的属无效投标的情形。</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26.2废标条款</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26.2.1符合专业条件的供应商或者对招标文件作实质响应的供应商不足三家的。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26.2.2出现影响采购公正的违法、违规行为的。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26.2.3因重大变故，采购任务取消的。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26.2.4评标委员会认定招标文件存在歧义、重大缺陷导致评审工作无法进行。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26.2.5因苏采云系统系统故障原因造成开标不成功的。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26.3投标截止时间结束后参加投标的供应商不足三家的处理：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highlight w:val="none"/>
          <w:lang w:val="en-US" w:eastAsia="zh-CN" w:bidi="ar-SA"/>
        </w:rPr>
      </w:r>
      <w:r/>
    </w:p>
    <w:p>
      <w:pPr>
        <w:pStyle w:val="1208"/>
        <w:ind w:left="0" w:firstLine="482"/>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六、定标</w:t>
      </w:r>
      <w:r>
        <w:rPr>
          <w:rFonts w:hint="eastAsia" w:ascii="宋体" w:hAnsi="宋体" w:eastAsia="宋体" w:cs="宋体"/>
          <w:b/>
          <w:color w:val="000000"/>
          <w:sz w:val="24"/>
          <w:szCs w:val="24"/>
          <w:highlight w:val="none"/>
          <w:lang w:val="en-US" w:eastAsia="zh-CN" w:bidi="ar-SA"/>
        </w:rPr>
      </w:r>
      <w:r/>
    </w:p>
    <w:p>
      <w:pPr>
        <w:pStyle w:val="1212"/>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27.确定中标单位</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27.1中标候选人的选取原则和数量见招标文件第五章规定。</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27.2采购人应根据评委会推荐的中标候选人确定中标人。</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27.3代理机构将在“中国政府采购网”“江苏政府采购网”“盐城市政府采购网”发布中标公告，公告期限为1个工作日。</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27.4若有充分证据证明，中标人出现下列情况之一的，一经查实，将被取消中标资格：</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27.4.1提供虚假材料谋取中标的。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27.4.2向采购人、代理机构行贿或者提供其他不正当利益的。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27.4.3属于本文件规定的无效条件，但在评标过程中又未被评委会发现的。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27.4.4与采购人或者其他供应商恶意串通的。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27.4.5采取不正当手段诋毁、排挤其他供应商的。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27.5有下列情形之一的，视为投标人串通投标，投标无效：</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27.5.1不同投标人的投标文件由同一单位或者个人编制。</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27.5.2不同投标人委托同一单位或者个人办理投标事宜。</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27.5.3不同投标人的投标文件载明的项目管理成员或者联系人员为同一人。</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27.5.4不同投标人的投标文件异常一致或者投标报价呈规律性差异。</w:t>
      </w:r>
      <w:r>
        <w:rPr>
          <w:rFonts w:hint="eastAsia" w:ascii="宋体" w:hAnsi="宋体" w:eastAsia="宋体" w:cs="宋体"/>
          <w:color w:val="000000"/>
          <w:sz w:val="24"/>
          <w:szCs w:val="24"/>
          <w:highlight w:val="none"/>
          <w:lang w:val="en-US" w:eastAsia="zh-CN" w:bidi="ar-SA"/>
        </w:rPr>
      </w:r>
      <w:r/>
    </w:p>
    <w:p>
      <w:pPr>
        <w:pStyle w:val="1212"/>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28.质疑处理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28.2.3对中标或者成交结果提出质疑的，为中标或者成交结果公告期限届满之日。</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line="440" w:lineRule="exact"/>
        <w:widowControl/>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代理机构及采购人只接收以纸质原件形式送达的质疑,采购人和代理机构不接受未填写快递运单的快件。质疑接收联系地址：盐城市世纪大道22号5楼501室，联系电话：13851085267。</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28.5以下情形的质疑不予受理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28.5.1内容不符合《政府采购质疑和投诉办法》第十二条规定的质疑。</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28.5.2超出政府采购法定期限的质疑。</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28.5.3以传真、电子邮件等方式递交的非原件形式的质疑。</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28.5.4未参加投标活动的供应商或在投标活动中自身权益未受到损害的供应商所提出的质疑。</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28.5.5供应商组成联合体参加投标，联合体中任何一方或多方未按要求签字、盖章、加盖公章的质疑。</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val="en-US" w:eastAsia="zh-CN" w:bidi="ar-SA"/>
        </w:rPr>
      </w:r>
      <w:r/>
    </w:p>
    <w:p>
      <w:pPr>
        <w:pStyle w:val="1212"/>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29.中标通知书</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lang w:val="en-US" w:eastAsia="zh-CN" w:bidi="ar-SA"/>
        </w:rPr>
      </w:r>
      <w:r/>
    </w:p>
    <w:p>
      <w:pPr>
        <w:pStyle w:val="1208"/>
        <w:ind w:left="0" w:firstLine="482"/>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七、授予合同</w:t>
      </w:r>
      <w:r>
        <w:rPr>
          <w:rFonts w:hint="eastAsia" w:ascii="宋体" w:hAnsi="宋体" w:eastAsia="宋体" w:cs="宋体"/>
          <w:color w:val="000000"/>
          <w:sz w:val="24"/>
          <w:szCs w:val="24"/>
          <w:highlight w:val="none"/>
          <w:lang w:val="en-US" w:eastAsia="zh-CN" w:bidi="ar-SA"/>
        </w:rPr>
      </w:r>
      <w:r/>
    </w:p>
    <w:p>
      <w:pPr>
        <w:pStyle w:val="1212"/>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30.签订合同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30.2招标文件、中标人的投标文件及招标过程中有关澄清、承诺文件均应作为合同附件。</w:t>
      </w:r>
      <w:r>
        <w:rPr>
          <w:rFonts w:hint="eastAsia" w:ascii="宋体" w:hAnsi="宋体" w:eastAsia="宋体" w:cs="宋体"/>
          <w:color w:val="000000"/>
          <w:sz w:val="24"/>
          <w:szCs w:val="24"/>
          <w:highlight w:val="none"/>
          <w:lang w:val="en-US" w:eastAsia="zh-CN" w:bidi="ar-SA"/>
        </w:rPr>
      </w:r>
      <w:r/>
    </w:p>
    <w:p>
      <w:pPr>
        <w:pStyle w:val="1208"/>
        <w:ind w:firstLine="48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30.3签订合同后，</w:t>
      </w:r>
      <w:r>
        <w:rPr>
          <w:rFonts w:hint="eastAsia" w:ascii="宋体" w:hAnsi="宋体" w:eastAsia="宋体" w:cs="宋体"/>
          <w:i/>
          <w:iCs/>
          <w:color w:val="000000"/>
          <w:sz w:val="24"/>
          <w:szCs w:val="24"/>
          <w:highlight w:val="none"/>
          <w:u w:val="single"/>
          <w:lang w:val="en-US" w:eastAsia="zh-CN" w:bidi="ar-SA"/>
        </w:rPr>
        <w:t xml:space="preserve">中标人不得将合同标的进行转包</w:t>
      </w:r>
      <w:r>
        <w:rPr>
          <w:rFonts w:hint="eastAsia" w:ascii="宋体" w:hAnsi="宋体" w:eastAsia="宋体" w:cs="宋体"/>
          <w:color w:val="000000"/>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lang w:val="en-US" w:eastAsia="zh-CN" w:bidi="ar-SA"/>
        </w:rPr>
      </w:r>
      <w:r/>
    </w:p>
    <w:p>
      <w:pPr>
        <w:pStyle w:val="1208"/>
        <w:numPr>
          <w:ilvl w:val="0"/>
          <w:numId w:val="0"/>
        </w:numPr>
        <w:ind w:firstLine="482"/>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w:t>
      </w:r>
      <w:r>
        <w:rPr>
          <w:rFonts w:hint="eastAsia" w:ascii="宋体" w:hAnsi="宋体" w:eastAsia="宋体" w:cs="宋体"/>
          <w:b/>
          <w:bCs/>
          <w:color w:val="000000"/>
          <w:sz w:val="24"/>
          <w:szCs w:val="24"/>
          <w:highlight w:val="none"/>
          <w:lang w:val="en-US" w:eastAsia="zh-CN" w:bidi="ar-SA"/>
        </w:rPr>
        <w:t xml:space="preserve">服务（包含与服务相关的货物）的追加</w:t>
      </w:r>
      <w:r>
        <w:rPr>
          <w:rFonts w:hint="eastAsia" w:ascii="宋体" w:hAnsi="宋体" w:eastAsia="宋体" w:cs="宋体"/>
          <w:b/>
          <w:bCs/>
          <w:color w:val="000000"/>
          <w:sz w:val="24"/>
          <w:szCs w:val="24"/>
          <w:highlight w:val="none"/>
          <w:lang w:val="en-US" w:eastAsia="zh-CN" w:bidi="ar-SA"/>
        </w:rPr>
      </w:r>
      <w:r/>
    </w:p>
    <w:p>
      <w:pPr>
        <w:pStyle w:val="1208"/>
        <w:numPr>
          <w:ilvl w:val="0"/>
          <w:numId w:val="0"/>
        </w:numPr>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32.政府采购政策功能落实</w:t>
      </w:r>
      <w:r>
        <w:rPr>
          <w:rFonts w:hint="eastAsia" w:ascii="宋体" w:hAnsi="宋体" w:eastAsia="宋体" w:cs="宋体"/>
          <w:color w:val="000000"/>
          <w:sz w:val="24"/>
          <w:szCs w:val="24"/>
          <w:highlight w:val="none"/>
          <w:lang w:val="en-US" w:eastAsia="zh-CN" w:bidi="ar-SA"/>
        </w:rPr>
      </w:r>
      <w:r/>
    </w:p>
    <w:p>
      <w:pPr>
        <w:pStyle w:val="1208"/>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32.1政府采购线上合同信用融资政策</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32.3.1中小企业定义：</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中小企</w:t>
      </w:r>
      <w:r>
        <w:rPr>
          <w:rFonts w:hint="eastAsia" w:ascii="宋体" w:hAnsi="宋体" w:eastAsia="宋体" w:cs="宋体"/>
          <w:color w:val="000000"/>
          <w:sz w:val="24"/>
          <w:szCs w:val="24"/>
          <w:highlight w:val="none"/>
          <w:lang w:val="en-US" w:eastAsia="zh-CN" w:bidi="ar-S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32.3.2供应商提供的货物、工程或者服务符合下列情形的，享受中小企业扶持政策：</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32.3.2.2在工程采购项目中，工程由中小企业承建，即工程施工单位为中小企业；</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32.3.6残疾人福利单位定义：享受政府采购支持政策的残疾人福利性单位应当同时满足以下条件：</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32.3.6.1安置的残疾人占本单位在职职工人数的比例不低于25%（含25%），并且安置的残疾人人数不少于10人（含10人）；</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32.3.6.2依法与安置的每位残疾人签订了一年以上（含一年）的劳动合同或服务协议；</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32.3.7本项目是否专门面向中小企业预留采购份额见第一章《招标公告》。</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32.3.8采购标的对应的中小企业划分标准所属行业见第四章《采购需求》。</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32.3.9小微企业价格评审优惠的政策：见第五章《评标方法和评标标准》。</w:t>
      </w:r>
      <w:r>
        <w:rPr>
          <w:rFonts w:hint="eastAsia" w:ascii="宋体" w:hAnsi="宋体" w:eastAsia="宋体" w:cs="宋体"/>
          <w:color w:val="000000"/>
          <w:sz w:val="24"/>
          <w:szCs w:val="24"/>
          <w:highlight w:val="none"/>
          <w:lang w:val="en-US" w:eastAsia="zh-CN" w:bidi="ar-SA"/>
        </w:rPr>
      </w:r>
      <w:r/>
    </w:p>
    <w:p>
      <w:pPr>
        <w:pStyle w:val="1208"/>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32.4政府采购节能产品、环境标志产品</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32.4.1严格执行政府采购关于支持</w:t>
      </w:r>
      <w:r>
        <w:rPr>
          <w:rFonts w:hint="eastAsia" w:ascii="宋体" w:hAnsi="宋体" w:eastAsia="宋体" w:cs="宋体"/>
          <w:color w:val="000000"/>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32.5绿色包装</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32.8实施本国产品标准及相关政策</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32.8.1本项目对采购本国产品给予政策支持，具体内容见招标文件“第五章 评标方法与评标标准”。</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w:t>
      </w:r>
      <w:r>
        <w:rPr>
          <w:rFonts w:hint="eastAsia" w:ascii="宋体" w:hAnsi="宋体" w:eastAsia="宋体" w:cs="宋体"/>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w:t>
      </w:r>
      <w:r>
        <w:rPr>
          <w:rFonts w:hint="eastAsia" w:ascii="宋体" w:hAnsi="宋体" w:eastAsia="宋体" w:cs="宋体"/>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w:t>
      </w:r>
      <w:r>
        <w:rPr>
          <w:rFonts w:hint="eastAsia" w:ascii="宋体" w:hAnsi="宋体" w:eastAsia="宋体" w:cs="宋体"/>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1212"/>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33.预付款制度</w:t>
      </w:r>
      <w:r>
        <w:rPr>
          <w:rFonts w:hint="eastAsia" w:ascii="宋体" w:hAnsi="宋体" w:eastAsia="宋体" w:cs="宋体"/>
          <w:color w:val="000000"/>
          <w:sz w:val="24"/>
          <w:szCs w:val="24"/>
          <w:highlight w:val="none"/>
          <w:lang w:val="en-US" w:eastAsia="zh-CN" w:bidi="ar-SA"/>
        </w:rPr>
      </w:r>
      <w:r/>
    </w:p>
    <w:p>
      <w:pPr>
        <w:pStyle w:val="1208"/>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1208"/>
        <w:ind w:firstLine="480"/>
        <w:jc w:val="left"/>
        <w:spacing w:line="440" w:lineRule="exact"/>
        <w:widowControl/>
        <w:rPr>
          <w:rFonts w:hint="eastAsia" w:ascii="宋体" w:hAnsi="宋体" w:eastAsia="宋体" w:cs="宋体"/>
          <w:sz w:val="24"/>
          <w:szCs w:val="21"/>
          <w:highlight w:val="none"/>
        </w:rPr>
      </w:pPr>
      <w:r/>
      <w:bookmarkEnd w:id="91"/>
      <w:r/>
      <w:bookmarkEnd w:id="92"/>
      <w:r/>
      <w:bookmarkEnd w:id="93"/>
      <w:r/>
      <w:bookmarkStart w:id="94" w:name="_Toc513029242"/>
      <w:r/>
      <w:bookmarkStart w:id="95" w:name="_Toc16938558"/>
      <w:r/>
      <w:bookmarkStart w:id="96" w:name="_Toc479757207"/>
      <w:r/>
      <w:bookmarkStart w:id="97" w:name="_Toc20823314"/>
      <w:r/>
      <w:bookmarkStart w:id="98" w:name="_Toc120614221"/>
      <w:r>
        <w:rPr>
          <w:rFonts w:hint="eastAsia" w:ascii="宋体" w:hAnsi="宋体" w:eastAsia="宋体" w:cs="宋体"/>
          <w:sz w:val="24"/>
          <w:szCs w:val="21"/>
          <w:highlight w:val="none"/>
        </w:rPr>
      </w:r>
      <w:r/>
    </w:p>
    <w:p>
      <w:pPr>
        <w:pStyle w:val="1231"/>
        <w:spacing w:after="0" w:line="44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p>
      <w:pPr>
        <w:pStyle w:val="1209"/>
        <w:jc w:val="center"/>
        <w:spacing w:line="440" w:lineRule="exact"/>
        <w:rPr>
          <w:rFonts w:hint="eastAsia" w:ascii="宋体" w:hAnsi="宋体" w:eastAsia="宋体" w:cs="宋体"/>
          <w:bCs/>
          <w:sz w:val="44"/>
          <w:highlight w:val="none"/>
          <w:lang w:val="en-US" w:eastAsia="zh-CN"/>
        </w:rPr>
      </w:pPr>
      <w:r/>
      <w:bookmarkEnd w:id="94"/>
      <w:r/>
      <w:bookmarkEnd w:id="95"/>
      <w:r/>
      <w:bookmarkEnd w:id="96"/>
      <w:r/>
      <w:bookmarkEnd w:id="97"/>
      <w:r/>
      <w:bookmarkEnd w:id="98"/>
      <w:r>
        <w:rPr>
          <w:rFonts w:hint="eastAsia" w:ascii="宋体" w:hAnsi="宋体" w:eastAsia="宋体" w:cs="宋体"/>
          <w:bCs/>
          <w:sz w:val="44"/>
          <w:highlight w:val="none"/>
        </w:rPr>
        <w:t xml:space="preserve">第三章  合同</w:t>
      </w:r>
      <w:r>
        <w:rPr>
          <w:rFonts w:hint="eastAsia" w:ascii="宋体" w:hAnsi="宋体" w:eastAsia="宋体" w:cs="宋体"/>
          <w:bCs/>
          <w:sz w:val="44"/>
          <w:highlight w:val="none"/>
          <w:lang w:val="en-US" w:eastAsia="zh-CN"/>
        </w:rPr>
        <w:t xml:space="preserve">文本</w:t>
      </w:r>
      <w:r>
        <w:rPr>
          <w:rFonts w:hint="eastAsia" w:ascii="宋体" w:hAnsi="宋体" w:eastAsia="宋体" w:cs="宋体"/>
          <w:bCs/>
          <w:sz w:val="44"/>
          <w:highlight w:val="none"/>
          <w:lang w:val="en-US" w:eastAsia="zh-CN"/>
        </w:rPr>
      </w:r>
      <w:r/>
    </w:p>
    <w:p>
      <w:pPr>
        <w:pStyle w:val="1208"/>
        <w:ind w:firstLine="480"/>
        <w:spacing w:line="440" w:lineRule="exact"/>
        <w:rPr>
          <w:rFonts w:hint="eastAsia" w:ascii="宋体" w:hAnsi="宋体" w:cs="宋体"/>
          <w:sz w:val="24"/>
          <w:szCs w:val="24"/>
          <w:highlight w:val="none"/>
        </w:rPr>
      </w:pPr>
      <w:r/>
      <w:bookmarkStart w:id="99" w:name="_Toc20823315"/>
      <w:r/>
      <w:bookmarkStart w:id="100" w:name="_Toc513029243"/>
      <w:r/>
      <w:bookmarkStart w:id="101" w:name="_Toc16938559"/>
      <w:r>
        <w:rPr>
          <w:rFonts w:hint="eastAsia" w:ascii="宋体" w:hAnsi="宋体" w:cs="宋体"/>
          <w:sz w:val="24"/>
          <w:szCs w:val="24"/>
          <w:highlight w:val="none"/>
        </w:rPr>
        <w:t xml:space="preserve">以下为中标后签</w:t>
      </w:r>
      <w:r>
        <w:rPr>
          <w:rFonts w:hint="eastAsia" w:ascii="宋体" w:hAnsi="宋体" w:cs="宋体"/>
          <w:sz w:val="24"/>
          <w:szCs w:val="24"/>
          <w:highlight w:val="none"/>
          <w:lang w:val="en-US" w:eastAsia="zh-CN"/>
        </w:rPr>
        <w:t xml:space="preserve">订</w:t>
      </w:r>
      <w:r>
        <w:rPr>
          <w:rFonts w:hint="eastAsia" w:ascii="宋体" w:hAnsi="宋体" w:cs="宋体"/>
          <w:sz w:val="24"/>
          <w:szCs w:val="24"/>
          <w:highlight w:val="none"/>
        </w:rPr>
        <w:t xml:space="preserve">本项目合同的通用条款，中标供应商不得提出实质性的修改，关于专用条款将由采购人与中标供应商结合本项目具体情况协商后签订。</w:t>
      </w:r>
      <w:r>
        <w:rPr>
          <w:rFonts w:hint="eastAsia" w:ascii="宋体" w:hAnsi="宋体" w:cs="宋体"/>
          <w:sz w:val="24"/>
          <w:szCs w:val="24"/>
          <w:highlight w:val="none"/>
        </w:rPr>
      </w:r>
      <w:r/>
    </w:p>
    <w:p>
      <w:pPr>
        <w:pStyle w:val="1208"/>
        <w:jc w:val="center"/>
        <w:spacing w:before="0" w:after="0" w:line="440" w:lineRule="exact"/>
        <w:rPr>
          <w:rFonts w:hint="eastAsia" w:ascii="宋体" w:hAnsi="宋体" w:cs="宋体"/>
          <w:b/>
          <w:sz w:val="24"/>
          <w:szCs w:val="24"/>
          <w:highlight w:val="none"/>
        </w:rPr>
        <w:outlineLvl w:val="1"/>
      </w:pPr>
      <w:r>
        <w:rPr>
          <w:rFonts w:hint="eastAsia" w:ascii="宋体" w:hAnsi="宋体" w:cs="宋体"/>
          <w:b/>
          <w:sz w:val="24"/>
          <w:szCs w:val="24"/>
          <w:highlight w:val="none"/>
        </w:rPr>
        <w:t xml:space="preserve">政府采购合同</w:t>
      </w:r>
      <w:r>
        <w:rPr>
          <w:rFonts w:hint="eastAsia" w:ascii="宋体" w:hAnsi="宋体" w:cs="宋体"/>
          <w:b/>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市区楼宇亮化及集控系统更新维护项目</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rPr>
      </w:r>
      <w:r/>
    </w:p>
    <w:p>
      <w:pPr>
        <w:pStyle w:val="1208"/>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甲方：（采购人）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盐城市城市管理局</w:t>
      </w:r>
      <w:r>
        <w:rPr>
          <w:rFonts w:hint="eastAsia" w:ascii="宋体" w:hAnsi="宋体" w:cs="宋体"/>
          <w:sz w:val="24"/>
          <w:szCs w:val="24"/>
          <w:highlight w:val="none"/>
          <w:u w:val="single"/>
        </w:rPr>
        <w:t xml:space="preserve">   </w:t>
      </w:r>
      <w:r>
        <w:rPr>
          <w:rFonts w:ascii="宋体" w:hAnsi="宋体" w:cs="宋体"/>
          <w:sz w:val="24"/>
          <w:szCs w:val="24"/>
          <w:highlight w:val="none"/>
        </w:rPr>
      </w:r>
      <w:r/>
    </w:p>
    <w:p>
      <w:pPr>
        <w:pStyle w:val="1208"/>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乙方：（供应商）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甲、乙双方根据市区楼宇亮化及集控系统更新维护项目公开招标的结果，签署本合同。</w:t>
      </w:r>
      <w:r>
        <w:rPr>
          <w:rFonts w:hint="eastAsia" w:ascii="宋体" w:hAnsi="宋体" w:cs="宋体"/>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一、服务内容</w:t>
      </w:r>
      <w:r>
        <w:rPr>
          <w:rFonts w:hint="eastAsia" w:ascii="宋体" w:hAnsi="宋体" w:cs="宋体"/>
          <w:b/>
          <w:bCs/>
          <w:sz w:val="24"/>
          <w:szCs w:val="24"/>
          <w:highlight w:val="none"/>
        </w:rPr>
      </w:r>
      <w:r/>
    </w:p>
    <w:p>
      <w:pPr>
        <w:pStyle w:val="1290"/>
        <w:ind w:firstLine="480"/>
        <w:spacing w:line="440" w:lineRule="exact"/>
        <w:rPr>
          <w:rFonts w:hint="eastAsia" w:cs="宋体"/>
          <w:highlight w:val="none"/>
        </w:rPr>
      </w:pPr>
      <w:r>
        <w:rPr>
          <w:rFonts w:hint="eastAsia" w:cs="宋体"/>
          <w:highlight w:val="none"/>
        </w:rPr>
        <w:t xml:space="preserve">市区楼宇亮化及集控系统更新</w:t>
      </w:r>
      <w:r>
        <w:rPr>
          <w:rFonts w:hint="eastAsia" w:cs="宋体"/>
          <w:highlight w:val="none"/>
        </w:rPr>
        <w:t xml:space="preserve">维护</w:t>
      </w:r>
      <w:r>
        <w:rPr>
          <w:rFonts w:hint="eastAsia" w:cs="宋体"/>
          <w:highlight w:val="none"/>
        </w:rPr>
        <w:t xml:space="preserve">项目为服务外包项目，主要内容为集控中心</w:t>
      </w:r>
      <w:r>
        <w:rPr>
          <w:rFonts w:hint="eastAsia" w:cs="宋体"/>
          <w:highlight w:val="none"/>
          <w:lang w:val="en-US" w:eastAsia="zh-CN"/>
        </w:rPr>
        <w:t xml:space="preserve">维保</w:t>
      </w:r>
      <w:r>
        <w:rPr>
          <w:rFonts w:hint="eastAsia" w:cs="宋体"/>
          <w:highlight w:val="none"/>
        </w:rPr>
        <w:t xml:space="preserve">、强弱电控制节点端设备</w:t>
      </w:r>
      <w:r>
        <w:rPr>
          <w:rFonts w:hint="eastAsia" w:cs="宋体"/>
          <w:highlight w:val="none"/>
          <w:lang w:val="en-US" w:eastAsia="zh-CN"/>
        </w:rPr>
        <w:t xml:space="preserve">维保</w:t>
      </w:r>
      <w:r>
        <w:rPr>
          <w:rFonts w:hint="eastAsia" w:cs="宋体"/>
          <w:highlight w:val="none"/>
        </w:rPr>
        <w:t xml:space="preserve">和市区部分楼宇亮化灯具、管线及配套设施维保，含2</w:t>
      </w:r>
      <w:r>
        <w:rPr>
          <w:rFonts w:hint="eastAsia" w:cs="宋体"/>
          <w:highlight w:val="none"/>
          <w:lang w:val="en-US" w:eastAsia="zh-CN"/>
        </w:rPr>
        <w:t xml:space="preserve">9</w:t>
      </w:r>
      <w:r>
        <w:rPr>
          <w:rFonts w:hint="eastAsia" w:cs="宋体"/>
          <w:highlight w:val="none"/>
        </w:rPr>
        <w:t xml:space="preserve">幢</w:t>
      </w:r>
      <w:r>
        <w:rPr>
          <w:rFonts w:hint="eastAsia" w:cs="宋体"/>
          <w:highlight w:val="none"/>
          <w:lang w:bidi="ar"/>
        </w:rPr>
        <w:t xml:space="preserve">媒体屏楼宇和</w:t>
      </w:r>
      <w:r>
        <w:rPr>
          <w:rFonts w:hint="eastAsia" w:cs="宋体"/>
          <w:highlight w:val="none"/>
          <w:lang w:val="en-US" w:eastAsia="zh-CN" w:bidi="ar"/>
        </w:rPr>
        <w:t xml:space="preserve">350</w:t>
      </w:r>
      <w:r>
        <w:rPr>
          <w:rFonts w:hint="eastAsia" w:cs="宋体"/>
          <w:highlight w:val="none"/>
          <w:lang w:bidi="ar"/>
        </w:rPr>
        <w:t xml:space="preserve">幢双色温楼宇的弱电控制节点端</w:t>
      </w:r>
      <w:r>
        <w:rPr>
          <w:rFonts w:hint="eastAsia" w:cs="宋体"/>
          <w:highlight w:val="none"/>
          <w:lang w:val="en-US" w:eastAsia="zh-CN" w:bidi="ar"/>
        </w:rPr>
        <w:t xml:space="preserve">设备</w:t>
      </w:r>
      <w:r>
        <w:rPr>
          <w:rFonts w:hint="eastAsia" w:cs="宋体"/>
          <w:highlight w:val="none"/>
          <w:lang w:bidi="ar"/>
        </w:rPr>
        <w:t xml:space="preserve">维保、894幢楼宇的强电控制节点端设备维保，109幢市直管楼宇亮化的灯具、</w:t>
      </w:r>
      <w:r>
        <w:rPr>
          <w:rFonts w:hint="eastAsia" w:cs="宋体"/>
          <w:highlight w:val="none"/>
        </w:rPr>
        <w:t xml:space="preserve">管线及配套设施维保，</w:t>
      </w:r>
      <w:r>
        <w:rPr>
          <w:rFonts w:hint="eastAsia" w:cs="宋体"/>
          <w:highlight w:val="none"/>
          <w:lang w:bidi="ar"/>
        </w:rPr>
        <w:t xml:space="preserve">其他满足系统正常使用的内容</w:t>
      </w:r>
      <w:r>
        <w:rPr>
          <w:rFonts w:hint="eastAsia" w:cs="宋体"/>
          <w:highlight w:val="none"/>
          <w:lang w:eastAsia="zh-CN" w:bidi="ar"/>
        </w:rPr>
        <w:t xml:space="preserve">（</w:t>
      </w:r>
      <w:r>
        <w:rPr>
          <w:rFonts w:hint="eastAsia" w:cs="宋体"/>
          <w:highlight w:val="none"/>
        </w:rPr>
        <w:t xml:space="preserve">详见工程量清单</w:t>
      </w:r>
      <w:r>
        <w:rPr>
          <w:rFonts w:hint="eastAsia" w:cs="宋体"/>
          <w:highlight w:val="none"/>
          <w:lang w:eastAsia="zh-CN" w:bidi="ar"/>
        </w:rPr>
        <w:t xml:space="preserve">）</w:t>
      </w:r>
      <w:r>
        <w:rPr>
          <w:rFonts w:hint="eastAsia" w:cs="宋体"/>
          <w:highlight w:val="none"/>
        </w:rPr>
        <w:t xml:space="preserve">。</w:t>
      </w:r>
      <w:r>
        <w:rPr>
          <w:rFonts w:hint="eastAsia" w:cs="宋体"/>
          <w:highlight w:val="none"/>
        </w:rPr>
      </w:r>
      <w:r/>
    </w:p>
    <w:p>
      <w:pPr>
        <w:pStyle w:val="1208"/>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、维保服务期</w:t>
      </w:r>
      <w:r>
        <w:rPr>
          <w:rFonts w:hint="eastAsia" w:ascii="宋体" w:hAnsi="宋体" w:eastAsia="宋体" w:cs="宋体"/>
          <w:b/>
          <w:bCs/>
          <w:sz w:val="24"/>
          <w:szCs w:val="24"/>
          <w:highlight w:val="none"/>
        </w:rPr>
      </w:r>
      <w:r/>
    </w:p>
    <w:p>
      <w:pPr>
        <w:pStyle w:val="1290"/>
        <w:spacing w:line="440" w:lineRule="exact"/>
        <w:rPr>
          <w:rFonts w:hint="eastAsia" w:cs="宋体"/>
          <w:highlight w:val="none"/>
        </w:rPr>
      </w:pPr>
      <w:r>
        <w:rPr>
          <w:rFonts w:hint="eastAsia" w:cs="宋体"/>
          <w:highlight w:val="none"/>
          <w:lang w:val="en-US" w:eastAsia="zh-CN"/>
        </w:rPr>
        <w:t xml:space="preserve">2.1</w:t>
      </w:r>
      <w:r>
        <w:rPr>
          <w:rFonts w:hint="eastAsia" w:cs="宋体"/>
          <w:highlight w:val="none"/>
        </w:rPr>
        <w:t xml:space="preserve">本项目整体维保服务期限为3年，自本合同签订之日起计算。</w:t>
      </w:r>
      <w:r>
        <w:rPr>
          <w:rFonts w:hint="eastAsia" w:cs="宋体"/>
          <w:highlight w:val="none"/>
        </w:rPr>
      </w:r>
      <w:r/>
    </w:p>
    <w:p>
      <w:pPr>
        <w:pStyle w:val="1290"/>
        <w:spacing w:line="440" w:lineRule="exact"/>
        <w:rPr>
          <w:rFonts w:hint="eastAsia" w:cs="宋体"/>
          <w:highlight w:val="none"/>
        </w:rPr>
      </w:pPr>
      <w:r>
        <w:rPr>
          <w:rFonts w:hint="eastAsia" w:cs="宋体"/>
          <w:highlight w:val="none"/>
          <w:lang w:val="en-US" w:eastAsia="zh-CN"/>
        </w:rPr>
        <w:t xml:space="preserve">2.2</w:t>
      </w:r>
      <w:r>
        <w:rPr>
          <w:rFonts w:hint="eastAsia" w:cs="宋体"/>
          <w:highlight w:val="none"/>
        </w:rPr>
        <w:t xml:space="preserve">双方采用一年一签方式</w:t>
      </w:r>
      <w:r>
        <w:rPr>
          <w:rFonts w:hint="eastAsia" w:cs="宋体"/>
          <w:highlight w:val="none"/>
          <w:lang w:val="en-US" w:eastAsia="zh-CN"/>
        </w:rPr>
        <w:t xml:space="preserve">签订年度维保合同</w:t>
      </w:r>
      <w:r>
        <w:rPr>
          <w:rFonts w:hint="eastAsia" w:cs="宋体"/>
          <w:highlight w:val="none"/>
        </w:rPr>
        <w:t xml:space="preserve">，每期年度合同服务期限为</w:t>
      </w:r>
      <w:r>
        <w:rPr>
          <w:rFonts w:hint="eastAsia" w:cs="宋体"/>
          <w:highlight w:val="none"/>
          <w:lang w:val="en-US" w:eastAsia="zh-CN"/>
        </w:rPr>
        <w:t xml:space="preserve">12个月</w:t>
      </w:r>
      <w:r>
        <w:rPr>
          <w:rFonts w:hint="eastAsia" w:cs="宋体"/>
          <w:highlight w:val="none"/>
        </w:rPr>
        <w:t xml:space="preserve">，在满足续签条件的前提下逐年续签，</w:t>
      </w:r>
      <w:r>
        <w:rPr>
          <w:rFonts w:hint="eastAsia" w:cs="宋体"/>
          <w:highlight w:val="none"/>
          <w:lang w:val="en-US" w:eastAsia="zh-CN"/>
        </w:rPr>
        <w:t xml:space="preserve">直至</w:t>
      </w:r>
      <w:r>
        <w:rPr>
          <w:rFonts w:hint="eastAsia" w:cs="宋体"/>
          <w:highlight w:val="none"/>
        </w:rPr>
        <w:t xml:space="preserve">3年总维保期限届满。</w:t>
      </w:r>
      <w:r>
        <w:rPr>
          <w:rFonts w:hint="eastAsia" w:cs="宋体"/>
          <w:highlight w:val="none"/>
        </w:rPr>
      </w:r>
      <w:r/>
    </w:p>
    <w:p>
      <w:pPr>
        <w:pStyle w:val="1290"/>
        <w:spacing w:line="440" w:lineRule="exact"/>
        <w:rPr>
          <w:rFonts w:eastAsia="宋体" w:cs="宋体"/>
          <w:highlight w:val="none"/>
          <w:lang w:val="en-US" w:eastAsia="zh-CN"/>
        </w:rPr>
      </w:pPr>
      <w:r>
        <w:rPr>
          <w:rFonts w:hint="eastAsia" w:cs="宋体"/>
          <w:highlight w:val="none"/>
          <w:lang w:val="en-US" w:eastAsia="zh-CN"/>
        </w:rPr>
        <w:t xml:space="preserve">2.3本项目集控中心软件升级及硬件更新自合同签订之日起30日内完成。</w:t>
      </w:r>
      <w:r>
        <w:rPr>
          <w:rFonts w:eastAsia="宋体" w:cs="宋体"/>
          <w:highlight w:val="none"/>
          <w:lang w:val="en-US" w:eastAsia="zh-CN"/>
        </w:rPr>
      </w:r>
      <w:r/>
    </w:p>
    <w:p>
      <w:pPr>
        <w:pStyle w:val="1208"/>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、合同金额</w:t>
      </w:r>
      <w:r>
        <w:rPr>
          <w:rFonts w:hint="eastAsia" w:ascii="宋体" w:hAnsi="宋体" w:eastAsia="宋体" w:cs="宋体"/>
          <w:b/>
          <w:bCs/>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本项目3年维保服务总价款为人民币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元（¥</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），分三个年度平均支付，每年度合同对应价款为人民币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08"/>
        <w:ind w:firstLine="480"/>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w:t>
      </w:r>
      <w:r>
        <w:rPr>
          <w:rFonts w:hint="eastAsia" w:ascii="宋体" w:hAnsi="宋体" w:cs="宋体"/>
          <w:sz w:val="24"/>
          <w:szCs w:val="24"/>
          <w:highlight w:val="none"/>
        </w:rPr>
        <w:t xml:space="preserve">该价格</w:t>
      </w:r>
      <w:r>
        <w:rPr>
          <w:rFonts w:hint="eastAsia" w:ascii="宋体" w:hAnsi="宋体" w:cs="宋体"/>
          <w:sz w:val="24"/>
          <w:szCs w:val="24"/>
          <w:highlight w:val="none"/>
          <w:lang w:val="en-US" w:eastAsia="zh-CN"/>
        </w:rPr>
        <w:t xml:space="preserve">采用</w:t>
      </w:r>
      <w:r>
        <w:rPr>
          <w:rFonts w:hint="eastAsia" w:ascii="宋体" w:hAnsi="宋体" w:cs="宋体"/>
          <w:sz w:val="24"/>
          <w:szCs w:val="24"/>
          <w:highlight w:val="none"/>
        </w:rPr>
        <w:t xml:space="preserve">固定总价，</w:t>
      </w:r>
      <w:r>
        <w:rPr>
          <w:rFonts w:hint="eastAsia" w:ascii="宋体" w:hAnsi="宋体" w:cs="宋体"/>
          <w:sz w:val="24"/>
          <w:szCs w:val="24"/>
          <w:highlight w:val="none"/>
          <w:lang w:val="en-US" w:eastAsia="zh-CN"/>
        </w:rPr>
        <w:t xml:space="preserve">价格</w:t>
      </w:r>
      <w:r>
        <w:rPr>
          <w:rFonts w:hint="eastAsia" w:ascii="宋体" w:hAnsi="宋体" w:cs="宋体"/>
          <w:sz w:val="24"/>
          <w:szCs w:val="24"/>
          <w:highlight w:val="none"/>
        </w:rPr>
        <w:t xml:space="preserve">包含3年维保期内全部</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rPr>
        <w:t xml:space="preserve">服务费用</w:t>
      </w:r>
      <w:r>
        <w:rPr>
          <w:rFonts w:hint="eastAsia" w:ascii="宋体" w:hAnsi="宋体" w:cs="宋体"/>
          <w:sz w:val="24"/>
          <w:szCs w:val="24"/>
          <w:highlight w:val="none"/>
          <w:lang w:val="en-US" w:eastAsia="zh-CN"/>
        </w:rPr>
        <w:t xml:space="preserve">。因城市建设更新需要，亮化楼宇及终端设备维保数量增、减幅度在5%（含）以内，</w:t>
      </w:r>
      <w:r>
        <w:rPr>
          <w:rFonts w:hint="eastAsia" w:ascii="宋体" w:hAnsi="宋体" w:cs="宋体"/>
          <w:sz w:val="24"/>
          <w:szCs w:val="24"/>
          <w:highlight w:val="none"/>
        </w:rPr>
        <w:t xml:space="preserve">合同费用不作调整。</w:t>
      </w:r>
      <w:r>
        <w:rPr>
          <w:rFonts w:hint="eastAsia" w:ascii="宋体" w:hAnsi="宋体" w:cs="宋体"/>
          <w:sz w:val="24"/>
          <w:szCs w:val="24"/>
          <w:highlight w:val="none"/>
          <w:lang w:val="en-US" w:eastAsia="zh-CN"/>
        </w:rPr>
        <w:t xml:space="preserve">如超出5%，超出部分按投标单价按实结算。</w:t>
      </w:r>
      <w:r>
        <w:rPr>
          <w:rFonts w:ascii="宋体" w:hAnsi="宋体" w:eastAsia="宋体" w:cs="宋体"/>
          <w:sz w:val="24"/>
          <w:szCs w:val="24"/>
          <w:highlight w:val="none"/>
          <w:lang w:val="en-US" w:eastAsia="zh-CN"/>
        </w:rPr>
      </w:r>
      <w:r/>
    </w:p>
    <w:p>
      <w:pPr>
        <w:pStyle w:val="1208"/>
        <w:ind w:firstLine="480"/>
        <w:spacing w:line="440" w:lineRule="exact"/>
        <w:rPr>
          <w:rStyle w:val="1260"/>
          <w:rFonts w:ascii="宋体" w:hAnsi="宋体" w:eastAsia="宋体" w:cs="宋体"/>
          <w:b/>
          <w:bCs/>
          <w:color w:val="000000"/>
          <w:sz w:val="24"/>
          <w:szCs w:val="24"/>
          <w:highlight w:val="none"/>
        </w:rPr>
      </w:pPr>
      <w:r>
        <w:rPr>
          <w:rStyle w:val="1260"/>
          <w:rFonts w:hint="eastAsia" w:ascii="宋体" w:hAnsi="宋体" w:eastAsia="宋体" w:cs="宋体"/>
          <w:b/>
          <w:bCs/>
          <w:color w:val="000000"/>
          <w:sz w:val="24"/>
          <w:szCs w:val="24"/>
          <w:highlight w:val="none"/>
          <w:lang w:val="en-US" w:eastAsia="zh-CN"/>
        </w:rPr>
        <w:t xml:space="preserve">四、</w:t>
      </w:r>
      <w:r>
        <w:rPr>
          <w:rStyle w:val="1260"/>
          <w:rFonts w:ascii="宋体" w:hAnsi="宋体" w:eastAsia="宋体" w:cs="宋体"/>
          <w:b/>
          <w:bCs/>
          <w:color w:val="000000"/>
          <w:sz w:val="24"/>
          <w:szCs w:val="24"/>
          <w:highlight w:val="none"/>
        </w:rPr>
        <w:t xml:space="preserve">年度合同续签</w:t>
      </w:r>
      <w:r>
        <w:rPr>
          <w:rStyle w:val="1260"/>
          <w:rFonts w:ascii="宋体" w:hAnsi="宋体" w:eastAsia="宋体" w:cs="宋体"/>
          <w:b/>
          <w:bCs/>
          <w:color w:val="000000"/>
          <w:sz w:val="24"/>
          <w:szCs w:val="24"/>
          <w:highlight w:val="none"/>
        </w:rPr>
      </w:r>
      <w:r/>
    </w:p>
    <w:p>
      <w:pPr>
        <w:pStyle w:val="1208"/>
        <w:ind w:firstLine="480"/>
        <w:spacing w:line="440" w:lineRule="exact"/>
        <w:rPr>
          <w:rFonts w:ascii="宋体" w:hAnsi="宋体" w:eastAsia="宋体" w:cs="宋体"/>
          <w:sz w:val="24"/>
          <w:szCs w:val="24"/>
          <w:highlight w:val="none"/>
        </w:rPr>
      </w:pPr>
      <w:r>
        <w:rPr>
          <w:rFonts w:ascii="宋体" w:hAnsi="宋体" w:eastAsia="宋体" w:cs="宋体"/>
          <w:sz w:val="24"/>
          <w:szCs w:val="24"/>
          <w:highlight w:val="none"/>
        </w:rPr>
        <w:t xml:space="preserve">双方应在当期年度合同期满前30日内协商续签下一年度维保合同。如乙方上一年度服务经甲方考核合格且甲方年度预算落实，双方应按本合同约定的服务内容续签</w:t>
      </w:r>
      <w:r>
        <w:rPr>
          <w:rFonts w:hint="eastAsia" w:ascii="宋体" w:hAnsi="宋体" w:eastAsia="宋体" w:cs="宋体"/>
          <w:sz w:val="24"/>
          <w:szCs w:val="24"/>
          <w:highlight w:val="none"/>
          <w:lang w:eastAsia="zh-CN"/>
        </w:rPr>
        <w:t xml:space="preserve">；如乙方上一年度考核不合格，甲方有权不再续签；如乙方考核合格，甲方不按期付款，乙方有权不再续签；</w:t>
      </w:r>
      <w:r>
        <w:rPr>
          <w:rFonts w:ascii="宋体" w:hAnsi="宋体" w:eastAsia="宋体" w:cs="宋体"/>
          <w:sz w:val="24"/>
          <w:szCs w:val="24"/>
          <w:highlight w:val="none"/>
        </w:rPr>
        <w:t xml:space="preserve">任一年度不再续签的，维保服务相应终止，双方互不承担违约责任。3年总维保期限届满，本项目维保服务自动终止。</w:t>
      </w:r>
      <w:r>
        <w:rPr>
          <w:rFonts w:ascii="宋体" w:hAnsi="宋体" w:eastAsia="宋体" w:cs="宋体"/>
          <w:sz w:val="24"/>
          <w:szCs w:val="24"/>
          <w:highlight w:val="none"/>
        </w:rPr>
      </w:r>
      <w:r/>
    </w:p>
    <w:p>
      <w:pPr>
        <w:pStyle w:val="1208"/>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lang w:eastAsia="zh-CN"/>
        </w:rPr>
        <w:t xml:space="preserve">五</w:t>
      </w:r>
      <w:r>
        <w:rPr>
          <w:rFonts w:hint="eastAsia" w:ascii="宋体" w:hAnsi="宋体" w:cs="宋体"/>
          <w:b/>
          <w:sz w:val="24"/>
          <w:szCs w:val="24"/>
          <w:highlight w:val="none"/>
        </w:rPr>
        <w:t xml:space="preserve">、付款方式</w:t>
      </w:r>
      <w:r>
        <w:rPr>
          <w:rFonts w:hint="eastAsia" w:ascii="宋体" w:hAnsi="宋体" w:cs="宋体"/>
          <w:b/>
          <w:sz w:val="24"/>
          <w:szCs w:val="24"/>
          <w:highlight w:val="none"/>
        </w:rPr>
      </w:r>
      <w:r/>
    </w:p>
    <w:p>
      <w:pPr>
        <w:pStyle w:val="1208"/>
        <w:ind w:firstLine="480"/>
        <w:jc w:val="left"/>
        <w:keepLines w:val="0"/>
        <w:keepNext w:val="0"/>
        <w:spacing w:line="440" w:lineRule="exact"/>
        <w:widowControl/>
        <w:rPr>
          <w:rFonts w:ascii="宋体" w:hAnsi="宋体" w:eastAsia="宋体" w:cs="宋体"/>
          <w:i w:val="0"/>
          <w:iCs w:val="0"/>
          <w:caps w:val="0"/>
          <w:spacing w:val="0"/>
          <w:sz w:val="24"/>
          <w:szCs w:val="24"/>
          <w:highlight w:val="none"/>
          <w:shd w:val="clear" w:color="auto" w:fill="auto"/>
          <w:lang w:val="en-US" w:eastAsia="zh-CN" w:bidi="ar"/>
        </w:rPr>
        <w:suppressLineNumbers w:val="0"/>
      </w:pPr>
      <w:r>
        <w:rPr>
          <w:rFonts w:ascii="宋体" w:hAnsi="宋体" w:eastAsia="宋体" w:cs="宋体"/>
          <w:i w:val="0"/>
          <w:iCs w:val="0"/>
          <w:caps w:val="0"/>
          <w:spacing w:val="0"/>
          <w:sz w:val="24"/>
          <w:szCs w:val="24"/>
          <w:highlight w:val="none"/>
          <w:shd w:val="clear" w:color="auto" w:fill="auto"/>
          <w:lang w:val="en-US" w:eastAsia="zh-CN" w:bidi="ar"/>
        </w:rPr>
        <w:t xml:space="preserve">5.1</w:t>
      </w:r>
      <w:r>
        <w:rPr>
          <w:rFonts w:ascii="宋体" w:hAnsi="宋体" w:eastAsia="宋体" w:cs="宋体"/>
          <w:i w:val="0"/>
          <w:iCs w:val="0"/>
          <w:caps w:val="0"/>
          <w:spacing w:val="0"/>
          <w:sz w:val="24"/>
          <w:szCs w:val="24"/>
          <w:highlight w:val="none"/>
          <w:shd w:val="clear" w:color="auto" w:fill="auto"/>
          <w:lang w:val="en-US" w:eastAsia="zh-CN" w:bidi="ar"/>
        </w:rPr>
        <w:t xml:space="preserve">年度合同签订</w:t>
      </w:r>
      <w:r>
        <w:rPr>
          <w:rFonts w:ascii="宋体" w:hAnsi="宋体" w:eastAsia="宋体" w:cs="宋体"/>
          <w:i w:val="0"/>
          <w:iCs w:val="0"/>
          <w:caps w:val="0"/>
          <w:spacing w:val="0"/>
          <w:sz w:val="24"/>
          <w:szCs w:val="24"/>
          <w:highlight w:val="none"/>
          <w:shd w:val="clear" w:color="auto" w:fill="auto"/>
          <w:lang w:val="en-US" w:eastAsia="zh-CN" w:bidi="ar"/>
        </w:rPr>
        <w:t xml:space="preserve">后</w:t>
      </w:r>
      <w:r>
        <w:rPr>
          <w:rFonts w:ascii="宋体" w:hAnsi="宋体" w:eastAsia="宋体" w:cs="宋体"/>
          <w:i w:val="0"/>
          <w:iCs w:val="0"/>
          <w:caps w:val="0"/>
          <w:spacing w:val="0"/>
          <w:sz w:val="24"/>
          <w:szCs w:val="24"/>
          <w:highlight w:val="none"/>
          <w:shd w:val="clear" w:color="auto" w:fill="auto"/>
          <w:lang w:val="en-US" w:eastAsia="zh-CN" w:bidi="ar"/>
        </w:rPr>
        <w:t xml:space="preserve">，甲方支付该年度价款的30%作为预付款。每年度维保服务满6个月，经甲方考核合格</w:t>
      </w:r>
      <w:r>
        <w:rPr>
          <w:rFonts w:ascii="宋体" w:hAnsi="宋体" w:eastAsia="宋体" w:cs="宋体"/>
          <w:i w:val="0"/>
          <w:iCs w:val="0"/>
          <w:caps w:val="0"/>
          <w:spacing w:val="0"/>
          <w:sz w:val="24"/>
          <w:szCs w:val="24"/>
          <w:highlight w:val="none"/>
          <w:shd w:val="clear" w:color="auto" w:fill="auto"/>
          <w:lang w:val="en-US" w:eastAsia="zh-CN" w:bidi="ar"/>
        </w:rPr>
        <w:t xml:space="preserve">后</w:t>
      </w:r>
      <w:r>
        <w:rPr>
          <w:rFonts w:ascii="宋体" w:hAnsi="宋体" w:eastAsia="宋体" w:cs="宋体"/>
          <w:i w:val="0"/>
          <w:iCs w:val="0"/>
          <w:caps w:val="0"/>
          <w:spacing w:val="0"/>
          <w:sz w:val="24"/>
          <w:szCs w:val="24"/>
          <w:highlight w:val="none"/>
          <w:shd w:val="clear" w:color="auto" w:fill="auto"/>
          <w:lang w:val="en-US" w:eastAsia="zh-CN" w:bidi="ar"/>
        </w:rPr>
        <w:t xml:space="preserve">，支付该年度价款的</w:t>
      </w:r>
      <w:r>
        <w:rPr>
          <w:rFonts w:ascii="宋体" w:hAnsi="宋体" w:eastAsia="宋体" w:cs="宋体"/>
          <w:i w:val="0"/>
          <w:iCs w:val="0"/>
          <w:caps w:val="0"/>
          <w:spacing w:val="0"/>
          <w:sz w:val="24"/>
          <w:szCs w:val="24"/>
          <w:highlight w:val="none"/>
          <w:shd w:val="clear" w:color="auto" w:fill="auto"/>
          <w:lang w:val="en-US" w:eastAsia="zh-CN" w:bidi="ar"/>
        </w:rPr>
        <w:t xml:space="preserve">20</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t xml:space="preserve">每年度维保期满、服务考核合格</w:t>
      </w:r>
      <w:r>
        <w:rPr>
          <w:rFonts w:ascii="宋体" w:hAnsi="宋体" w:eastAsia="宋体" w:cs="宋体"/>
          <w:i w:val="0"/>
          <w:iCs w:val="0"/>
          <w:caps w:val="0"/>
          <w:spacing w:val="0"/>
          <w:sz w:val="24"/>
          <w:szCs w:val="24"/>
          <w:highlight w:val="none"/>
          <w:shd w:val="clear" w:color="auto" w:fill="auto"/>
          <w:lang w:val="en-US" w:eastAsia="zh-CN" w:bidi="ar"/>
        </w:rPr>
        <w:t xml:space="preserve">后</w:t>
      </w:r>
      <w:r>
        <w:rPr>
          <w:rFonts w:ascii="宋体" w:hAnsi="宋体" w:eastAsia="宋体" w:cs="宋体"/>
          <w:i w:val="0"/>
          <w:iCs w:val="0"/>
          <w:caps w:val="0"/>
          <w:spacing w:val="0"/>
          <w:sz w:val="24"/>
          <w:szCs w:val="24"/>
          <w:highlight w:val="none"/>
          <w:shd w:val="clear" w:color="auto" w:fill="auto"/>
          <w:lang w:val="en-US" w:eastAsia="zh-CN" w:bidi="ar"/>
        </w:rPr>
        <w:t xml:space="preserve">，支付该年度价款的</w:t>
      </w:r>
      <w:r>
        <w:rPr>
          <w:rFonts w:ascii="宋体" w:hAnsi="宋体" w:eastAsia="宋体" w:cs="宋体"/>
          <w:i w:val="0"/>
          <w:iCs w:val="0"/>
          <w:caps w:val="0"/>
          <w:spacing w:val="0"/>
          <w:sz w:val="24"/>
          <w:szCs w:val="24"/>
          <w:highlight w:val="none"/>
          <w:shd w:val="clear" w:color="auto" w:fill="auto"/>
          <w:lang w:val="en-US" w:eastAsia="zh-CN" w:bidi="ar"/>
        </w:rPr>
        <w:t xml:space="preserve">5</w:t>
      </w:r>
      <w:r>
        <w:rPr>
          <w:rFonts w:ascii="宋体" w:hAnsi="宋体" w:eastAsia="宋体" w:cs="宋体"/>
          <w:i w:val="0"/>
          <w:iCs w:val="0"/>
          <w:caps w:val="0"/>
          <w:spacing w:val="0"/>
          <w:sz w:val="24"/>
          <w:szCs w:val="24"/>
          <w:highlight w:val="none"/>
          <w:shd w:val="clear" w:color="auto" w:fill="auto"/>
          <w:lang w:val="en-US" w:eastAsia="zh-CN" w:bidi="ar"/>
        </w:rPr>
        <w:t xml:space="preserve">0%</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t xml:space="preserve">乙方考核不合格的，甲方有权暂缓支付直至整改合格。各年度付款标准、比例、节点一致，按年度合同分别执行</w:t>
      </w:r>
      <w:r>
        <w:rPr>
          <w:rFonts w:ascii="宋体" w:hAnsi="宋体" w:eastAsia="宋体" w:cs="宋体"/>
          <w:sz w:val="24"/>
          <w:szCs w:val="24"/>
          <w:highlight w:val="none"/>
        </w:rPr>
        <w:t xml:space="preserve">（以上付款进度，无任何利息补偿）</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r>
      <w:r/>
    </w:p>
    <w:p>
      <w:pPr>
        <w:pStyle w:val="1208"/>
        <w:ind w:firstLine="480"/>
        <w:spacing w:line="440" w:lineRule="exact"/>
        <w:rPr>
          <w:rFonts w:ascii="宋体" w:hAnsi="宋体" w:eastAsia="宋体" w:cs="宋体"/>
          <w:sz w:val="24"/>
          <w:szCs w:val="24"/>
          <w:highlight w:val="none"/>
        </w:rPr>
      </w:pPr>
      <w:r>
        <w:rPr>
          <w:rFonts w:ascii="宋体" w:hAnsi="宋体" w:eastAsia="宋体" w:cs="宋体"/>
          <w:bCs w:val="0"/>
          <w:sz w:val="24"/>
          <w:szCs w:val="24"/>
          <w:highlight w:val="none"/>
          <w:lang w:val="en-US" w:eastAsia="zh-CN"/>
        </w:rPr>
        <w:t xml:space="preserve">5.2</w:t>
      </w:r>
      <w:r>
        <w:rPr>
          <w:rFonts w:ascii="宋体" w:hAnsi="宋体" w:eastAsia="宋体" w:cs="宋体"/>
          <w:bCs w:val="0"/>
          <w:sz w:val="24"/>
          <w:szCs w:val="24"/>
          <w:highlight w:val="none"/>
        </w:rPr>
        <w:t xml:space="preserve">维保服务期内，甲方根据《盐城市市区亮化设施维护考核细则》进行考核，并按考核结果支付费用。付款周期内月度考核平均得分在95分（含）以上按100%支付考核周期内维保服务费，低于95分的，每低1%扣考核周期内维保服务费用的1%。</w:t>
      </w:r>
      <w:r>
        <w:rPr>
          <w:rFonts w:ascii="宋体" w:hAnsi="宋体" w:eastAsia="宋体" w:cs="宋体"/>
          <w:sz w:val="24"/>
          <w:szCs w:val="24"/>
          <w:highlight w:val="none"/>
        </w:rPr>
      </w:r>
      <w:r/>
    </w:p>
    <w:p>
      <w:pPr>
        <w:pStyle w:val="1208"/>
        <w:ind w:firstLine="480"/>
        <w:spacing w:line="440" w:lineRule="exact"/>
        <w:rPr>
          <w:rFonts w:ascii="宋体" w:hAnsi="宋体" w:eastAsia="宋体" w:cs="宋体"/>
          <w:sz w:val="24"/>
          <w:szCs w:val="24"/>
          <w:highlight w:val="none"/>
        </w:rPr>
      </w:pPr>
      <w:r>
        <w:rPr>
          <w:rFonts w:ascii="宋体" w:hAnsi="宋体" w:eastAsia="宋体" w:cs="宋体"/>
          <w:bCs w:val="0"/>
          <w:sz w:val="24"/>
          <w:szCs w:val="24"/>
          <w:highlight w:val="none"/>
          <w:lang w:val="en-US" w:eastAsia="zh-CN"/>
        </w:rPr>
        <w:t xml:space="preserve">5.3</w:t>
      </w:r>
      <w:r>
        <w:rPr>
          <w:rFonts w:ascii="宋体" w:hAnsi="宋体" w:eastAsia="宋体" w:cs="宋体"/>
          <w:sz w:val="24"/>
          <w:szCs w:val="24"/>
          <w:highlight w:val="none"/>
        </w:rPr>
        <w:t xml:space="preserve">对于满足合同约定支付条件的，甲方应当自收到发票后1</w:t>
      </w:r>
      <w:r>
        <w:rPr>
          <w:rFonts w:ascii="宋体" w:hAnsi="宋体" w:eastAsia="宋体" w:cs="宋体"/>
          <w:sz w:val="24"/>
          <w:szCs w:val="24"/>
          <w:highlight w:val="none"/>
          <w:lang w:val="en-US" w:eastAsia="zh-CN"/>
        </w:rPr>
        <w:t xml:space="preserve">0</w:t>
      </w:r>
      <w:r>
        <w:rPr>
          <w:rFonts w:ascii="宋体" w:hAnsi="宋体" w:eastAsia="宋体" w:cs="宋体"/>
          <w:sz w:val="24"/>
          <w:szCs w:val="24"/>
          <w:highlight w:val="none"/>
        </w:rPr>
        <w:t xml:space="preserve">日内将资金支付到合同约定的乙方账户。如因乙方未按甲方要求及时提交符合要求的付款资料，甲方有权顺延支付相应款项，且无需承担逾期付款责任。</w:t>
      </w:r>
      <w:r>
        <w:rPr>
          <w:rFonts w:ascii="宋体" w:hAnsi="宋体" w:eastAsia="宋体" w:cs="宋体"/>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六</w:t>
      </w:r>
      <w:r>
        <w:rPr>
          <w:rFonts w:hint="eastAsia" w:ascii="宋体" w:hAnsi="宋体" w:cs="宋体"/>
          <w:b/>
          <w:bCs/>
          <w:sz w:val="24"/>
          <w:szCs w:val="24"/>
          <w:highlight w:val="none"/>
        </w:rPr>
        <w:t xml:space="preserve">、技术资料</w:t>
      </w:r>
      <w:r>
        <w:rPr>
          <w:rFonts w:hint="eastAsia" w:ascii="宋体" w:hAnsi="宋体" w:cs="宋体"/>
          <w:b/>
          <w:bCs/>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.1乙方应按招标文件规定的时间向甲方提供使用货物及服务的有关技术资料。</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szCs w:val="24"/>
          <w:highlight w:val="none"/>
        </w:rPr>
      </w:r>
      <w:r/>
    </w:p>
    <w:p>
      <w:pPr>
        <w:pStyle w:val="1208"/>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七</w:t>
      </w:r>
      <w:r>
        <w:rPr>
          <w:rFonts w:hint="eastAsia" w:ascii="宋体" w:hAnsi="宋体" w:eastAsia="宋体" w:cs="宋体"/>
          <w:b/>
          <w:bCs/>
          <w:sz w:val="24"/>
          <w:szCs w:val="24"/>
          <w:highlight w:val="none"/>
        </w:rPr>
        <w:t xml:space="preserve">、知识产权</w:t>
      </w:r>
      <w:r>
        <w:rPr>
          <w:rFonts w:hint="eastAsia" w:ascii="宋体" w:hAnsi="宋体" w:eastAsia="宋体" w:cs="宋体"/>
          <w:b/>
          <w:bCs/>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 w:val="24"/>
          <w:szCs w:val="24"/>
          <w:highlight w:val="none"/>
        </w:rPr>
      </w:r>
      <w:r/>
    </w:p>
    <w:p>
      <w:pPr>
        <w:pStyle w:val="1208"/>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、产权担保</w:t>
      </w:r>
      <w:r>
        <w:rPr>
          <w:rFonts w:hint="eastAsia" w:ascii="宋体" w:hAnsi="宋体" w:eastAsia="宋体" w:cs="宋体"/>
          <w:b/>
          <w:bCs/>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 乙方保证所交付的货物的所有权完全属于乙方且无任何抵押、查封等产权瑕疵。</w:t>
      </w:r>
      <w:r>
        <w:rPr>
          <w:rFonts w:hint="eastAsia" w:ascii="宋体" w:hAnsi="宋体" w:cs="宋体"/>
          <w:sz w:val="24"/>
          <w:szCs w:val="24"/>
          <w:highlight w:val="none"/>
        </w:rPr>
      </w:r>
      <w:r/>
    </w:p>
    <w:p>
      <w:pPr>
        <w:pStyle w:val="1208"/>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九</w:t>
      </w:r>
      <w:r>
        <w:rPr>
          <w:rFonts w:hint="eastAsia" w:ascii="宋体" w:hAnsi="宋体" w:eastAsia="宋体" w:cs="宋体"/>
          <w:b/>
          <w:bCs/>
          <w:sz w:val="24"/>
          <w:szCs w:val="24"/>
          <w:highlight w:val="none"/>
        </w:rPr>
        <w:t xml:space="preserve">、履约保证金</w:t>
      </w:r>
      <w:r>
        <w:rPr>
          <w:rFonts w:hint="eastAsia" w:ascii="宋体" w:hAnsi="宋体" w:eastAsia="宋体" w:cs="宋体"/>
          <w:b/>
          <w:bCs/>
          <w:sz w:val="24"/>
          <w:szCs w:val="24"/>
          <w:highlight w:val="none"/>
        </w:rPr>
      </w:r>
      <w:r/>
    </w:p>
    <w:p>
      <w:pPr>
        <w:pStyle w:val="1208"/>
        <w:ind w:firstLine="480"/>
        <w:jc w:val="left"/>
        <w:spacing w:line="440" w:lineRule="exact"/>
        <w:widowControl/>
        <w:rPr>
          <w:rFonts w:hAnsi="宋体"/>
          <w:sz w:val="24"/>
          <w:szCs w:val="24"/>
          <w:highlight w:val="none"/>
        </w:rPr>
      </w:pPr>
      <w:r>
        <w:rPr>
          <w:rFonts w:hint="eastAsia" w:hAnsi="宋体"/>
          <w:sz w:val="24"/>
          <w:szCs w:val="24"/>
          <w:highlight w:val="none"/>
          <w:lang w:val="en-US" w:eastAsia="zh-CN"/>
        </w:rPr>
        <w:t xml:space="preserve">9.1</w:t>
      </w:r>
      <w:r>
        <w:rPr>
          <w:rFonts w:hAnsi="宋体"/>
          <w:sz w:val="24"/>
          <w:szCs w:val="24"/>
          <w:highlight w:val="none"/>
        </w:rPr>
        <w:t xml:space="preserve">乙方交纳人民币</w:t>
      </w:r>
      <w:r>
        <w:rPr>
          <w:rFonts w:hint="eastAsia" w:hAnsi="宋体"/>
          <w:sz w:val="24"/>
          <w:szCs w:val="24"/>
          <w:highlight w:val="none"/>
          <w:u w:val="single"/>
        </w:rPr>
        <w:t xml:space="preserve">          </w:t>
      </w:r>
      <w:r>
        <w:rPr>
          <w:rFonts w:hAnsi="宋体"/>
          <w:sz w:val="24"/>
          <w:szCs w:val="24"/>
          <w:highlight w:val="none"/>
        </w:rPr>
        <w:t xml:space="preserve">元作为本合同的履约保证金。</w:t>
      </w:r>
      <w:r>
        <w:rPr>
          <w:rFonts w:hAnsi="宋体"/>
          <w:sz w:val="24"/>
          <w:szCs w:val="24"/>
          <w:highlight w:val="none"/>
        </w:rPr>
      </w:r>
      <w:r/>
    </w:p>
    <w:p>
      <w:pPr>
        <w:pStyle w:val="1208"/>
        <w:ind w:firstLine="480"/>
        <w:jc w:val="left"/>
        <w:spacing w:line="440" w:lineRule="exact"/>
        <w:widowControl/>
        <w:rPr>
          <w:rFonts w:ascii="宋体" w:hAnsi="宋体"/>
          <w:color w:val="000000"/>
          <w:sz w:val="24"/>
          <w:szCs w:val="24"/>
          <w:highlight w:val="none"/>
        </w:rPr>
      </w:pPr>
      <w:r>
        <w:rPr>
          <w:rFonts w:hint="eastAsia" w:hAnsi="宋体" w:eastAsia="宋体"/>
          <w:sz w:val="24"/>
          <w:szCs w:val="24"/>
          <w:highlight w:val="none"/>
          <w:lang w:val="en-US" w:eastAsia="zh-CN"/>
        </w:rPr>
        <w:t xml:space="preserve">9.2</w:t>
      </w:r>
      <w:r>
        <w:rPr>
          <w:rFonts w:hint="eastAsia" w:ascii="宋体" w:hAnsi="宋体" w:eastAsia="宋体" w:cs="宋体"/>
          <w:color w:val="000000"/>
          <w:sz w:val="24"/>
          <w:szCs w:val="24"/>
          <w:highlight w:val="none"/>
          <w:lang w:val="en-US" w:eastAsia="zh-CN" w:bidi="ar-SA"/>
        </w:rPr>
        <w:t xml:space="preserve">履约保证金的缴纳形式：乙方应当以支票、汇票、本票或者金融机构、担保机构出具的保函等非现金形式提交履约保证金。如以履约保函（保险）形式缴纳履约保证金，乙方可通过政府采购电子履约保函（保险）平台（www.jsdzbh.com）在线申请履约保函（保险）。</w:t>
      </w:r>
      <w:r>
        <w:rPr>
          <w:rFonts w:ascii="宋体" w:hAnsi="宋体"/>
          <w:color w:val="000000"/>
          <w:sz w:val="24"/>
          <w:szCs w:val="24"/>
          <w:highlight w:val="none"/>
        </w:rPr>
      </w:r>
      <w:r/>
    </w:p>
    <w:p>
      <w:pPr>
        <w:pStyle w:val="120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9.3履约保证金为</w:t>
      </w:r>
      <w:r>
        <w:rPr>
          <w:rFonts w:hint="eastAsia" w:hAnsi="宋体"/>
          <w:sz w:val="24"/>
          <w:szCs w:val="24"/>
          <w:highlight w:val="none"/>
          <w:lang w:val="en-US" w:eastAsia="zh-CN"/>
        </w:rPr>
        <w:t xml:space="preserve">年度</w:t>
      </w:r>
      <w:r>
        <w:rPr>
          <w:rFonts w:hAnsi="宋体"/>
          <w:sz w:val="24"/>
          <w:szCs w:val="24"/>
          <w:highlight w:val="none"/>
        </w:rPr>
        <w:t xml:space="preserve">合同金额的</w:t>
      </w:r>
      <w:r>
        <w:rPr>
          <w:rFonts w:hint="eastAsia" w:hAnsi="宋体"/>
          <w:sz w:val="24"/>
          <w:szCs w:val="24"/>
          <w:highlight w:val="none"/>
        </w:rPr>
        <w:t xml:space="preserve">10</w:t>
      </w:r>
      <w:r>
        <w:rPr>
          <w:rFonts w:hAnsi="宋体"/>
          <w:sz w:val="24"/>
          <w:szCs w:val="24"/>
          <w:highlight w:val="none"/>
        </w:rPr>
        <w:t xml:space="preserve">%</w:t>
      </w:r>
      <w:r>
        <w:rPr>
          <w:rFonts w:hint="eastAsia" w:hAnsi="宋体"/>
          <w:sz w:val="24"/>
          <w:szCs w:val="24"/>
          <w:highlight w:val="none"/>
          <w:lang w:eastAsia="zh-CN"/>
        </w:rPr>
        <w:t xml:space="preserve">，</w:t>
      </w:r>
      <w:r>
        <w:rPr>
          <w:rFonts w:hint="eastAsia" w:hAnsi="宋体"/>
          <w:color w:val="000000"/>
          <w:sz w:val="24"/>
          <w:szCs w:val="24"/>
          <w:highlight w:val="none"/>
          <w:lang w:val="en-US" w:eastAsia="zh-CN"/>
        </w:rPr>
        <w:t xml:space="preserve">甲方</w:t>
      </w:r>
      <w:r>
        <w:rPr>
          <w:rFonts w:hAnsi="宋体"/>
          <w:color w:val="000000"/>
          <w:sz w:val="24"/>
          <w:szCs w:val="24"/>
          <w:highlight w:val="none"/>
        </w:rPr>
        <w:t xml:space="preserve">对AA评</w:t>
      </w:r>
      <w:r>
        <w:rPr>
          <w:rFonts w:ascii="宋体" w:hAnsi="宋体"/>
          <w:color w:val="000000"/>
          <w:sz w:val="24"/>
          <w:szCs w:val="24"/>
          <w:highlight w:val="none"/>
        </w:rPr>
        <w:t xml:space="preserve">级及以上政府采购供应商（</w:t>
      </w:r>
      <w:r>
        <w:rPr>
          <w:rFonts w:hint="eastAsia" w:ascii="宋体" w:hAnsi="宋体"/>
          <w:color w:val="000000"/>
          <w:sz w:val="24"/>
          <w:szCs w:val="24"/>
          <w:highlight w:val="none"/>
        </w:rPr>
        <w:t xml:space="preserve">中标单位需在签合同前提供信用管理部门备案的第三方信用报告，且信用报告通过“信用盐城网”可查实</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3A的供应商免交履约保证金，2A的供应商按</w:t>
      </w:r>
      <w:r>
        <w:rPr>
          <w:rFonts w:hint="eastAsia" w:ascii="宋体" w:hAnsi="宋体"/>
          <w:color w:val="000000"/>
          <w:sz w:val="24"/>
          <w:szCs w:val="24"/>
          <w:highlight w:val="none"/>
          <w:lang w:val="en-US" w:eastAsia="zh-CN"/>
        </w:rPr>
        <w:t xml:space="preserve">年度合同金额的</w:t>
      </w: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缴纳。</w:t>
      </w:r>
      <w:r>
        <w:rPr>
          <w:rFonts w:hint="eastAsia" w:ascii="宋体" w:hAnsi="宋体"/>
          <w:color w:val="000000"/>
          <w:sz w:val="24"/>
          <w:szCs w:val="24"/>
          <w:highlight w:val="none"/>
        </w:rPr>
      </w:r>
      <w:r/>
    </w:p>
    <w:p>
      <w:pPr>
        <w:pStyle w:val="120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9.4</w:t>
      </w:r>
      <w:r>
        <w:rPr>
          <w:rFonts w:hint="eastAsia" w:ascii="宋体" w:hAnsi="宋体"/>
          <w:color w:val="000000"/>
          <w:sz w:val="24"/>
          <w:szCs w:val="24"/>
          <w:highlight w:val="none"/>
        </w:rPr>
        <w:t xml:space="preserve">履约保证金</w:t>
      </w:r>
      <w:r>
        <w:rPr>
          <w:rFonts w:hint="eastAsia" w:ascii="宋体" w:hAnsi="宋体"/>
          <w:color w:val="000000"/>
          <w:sz w:val="24"/>
          <w:szCs w:val="24"/>
          <w:highlight w:val="none"/>
          <w:lang w:val="en-US" w:eastAsia="zh-CN"/>
        </w:rPr>
        <w:t xml:space="preserve">于</w:t>
      </w:r>
      <w:r>
        <w:rPr>
          <w:rFonts w:hint="eastAsia" w:ascii="宋体" w:hAnsi="宋体"/>
          <w:color w:val="000000"/>
          <w:sz w:val="24"/>
          <w:szCs w:val="24"/>
          <w:highlight w:val="none"/>
        </w:rPr>
        <w:t xml:space="preserve">项目</w:t>
      </w:r>
      <w:r>
        <w:rPr>
          <w:rFonts w:hint="eastAsia" w:ascii="宋体" w:hAnsi="宋体"/>
          <w:color w:val="000000"/>
          <w:sz w:val="24"/>
          <w:szCs w:val="24"/>
          <w:highlight w:val="none"/>
          <w:lang w:val="en-US" w:eastAsia="zh-CN"/>
        </w:rPr>
        <w:t xml:space="preserve">内容</w:t>
      </w:r>
      <w:r>
        <w:rPr>
          <w:rFonts w:hint="eastAsia" w:ascii="宋体" w:hAnsi="宋体"/>
          <w:color w:val="000000"/>
          <w:sz w:val="24"/>
          <w:szCs w:val="24"/>
          <w:highlight w:val="none"/>
        </w:rPr>
        <w:t xml:space="preserve">全部验收后，甲方免息返还给乙方；如因乙方单方面原因导致项目不能按时完成验收，履约保证金不予退还；项目全部验收后，如因甲方单方面原因导致履约保证金不能退还，甲方承担相应的法律责任。</w:t>
      </w:r>
      <w:r>
        <w:rPr>
          <w:rFonts w:hint="eastAsia" w:ascii="宋体" w:hAnsi="宋体"/>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履约保证金的退还：</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.1方式：退还至</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缴纳履约保证金的账户。</w:t>
      </w:r>
      <w:r>
        <w:rPr>
          <w:rFonts w:hint="eastAsia" w:ascii="宋体" w:hAnsi="宋体" w:eastAsia="宋体" w:cs="Times New Roman"/>
          <w:color w:val="000000"/>
          <w:sz w:val="24"/>
          <w:szCs w:val="24"/>
          <w:highlight w:val="none"/>
        </w:rPr>
        <w:t xml:space="preserve">如为保函，在到期时自行失效。</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.2时间：验收合格且</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收到发票后30日内。</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.3条件：按合同要求全部履约完成并经</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验收合格，且</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收到</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出具的发票。</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.4不予退还情形：</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除不可抗力情况外，</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出现下列情形之一的，其履约保证金，</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将视情节决定不予退还或部分不予退还。</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无正当理由拒绝签订合同的，或者在签订合同时向</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提出附加条件或者更改合同实质性内容要求的；</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不履行与</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订立的合同的；</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所供货物或服务不符合招标文件规定要求的；</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采取欺骗、弄虚作假方式投标的或与</w:t>
      </w:r>
      <w:r>
        <w:rPr>
          <w:rFonts w:hint="eastAsia" w:ascii="宋体" w:hAnsi="宋体" w:eastAsia="宋体" w:cs="Times New Roman"/>
          <w:color w:val="000000"/>
          <w:sz w:val="24"/>
          <w:szCs w:val="24"/>
          <w:highlight w:val="none"/>
          <w:lang w:eastAsia="zh-CN"/>
        </w:rPr>
        <w:t xml:space="preserve">其他</w:t>
      </w:r>
      <w:r>
        <w:rPr>
          <w:rFonts w:hint="eastAsia" w:ascii="宋体" w:hAnsi="宋体" w:eastAsia="宋体" w:cs="Times New Roman"/>
          <w:color w:val="000000"/>
          <w:sz w:val="24"/>
          <w:szCs w:val="24"/>
          <w:highlight w:val="none"/>
        </w:rPr>
        <w:t xml:space="preserve">投标人串通投标的；</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将合同内容转包、违法分包的；</w:t>
      </w:r>
      <w:r>
        <w:rPr>
          <w:rFonts w:hint="eastAsia" w:ascii="宋体" w:hAnsi="宋体" w:eastAsia="宋体" w:cs="Times New Roman"/>
          <w:color w:val="000000"/>
          <w:sz w:val="24"/>
          <w:szCs w:val="24"/>
          <w:highlight w:val="none"/>
        </w:rPr>
      </w:r>
      <w:r/>
    </w:p>
    <w:p>
      <w:pPr>
        <w:pStyle w:val="1208"/>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故意捏造事实或伪造证明材料，进行虚假恶意投诉或反映的。</w:t>
      </w:r>
      <w:r>
        <w:rPr>
          <w:rFonts w:hint="eastAsia" w:ascii="宋体" w:hAnsi="宋体" w:eastAsia="宋体" w:cs="Times New Roman"/>
          <w:color w:val="000000"/>
          <w:sz w:val="24"/>
          <w:szCs w:val="24"/>
          <w:highlight w:val="none"/>
        </w:rPr>
      </w:r>
      <w:r/>
    </w:p>
    <w:p>
      <w:pPr>
        <w:pStyle w:val="120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.5逾期退还的违约责任：</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逾期无故未退还履约保证金的，按中国人民银行同期贷款基准利率上浮20%后的利率支付超期资金占用费，但因</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自身原因导致无法及时退还的除外。</w:t>
      </w:r>
      <w:r>
        <w:rPr>
          <w:rFonts w:hint="eastAsia" w:ascii="宋体" w:hAnsi="宋体" w:eastAsia="宋体" w:cs="Times New Roman"/>
          <w:color w:val="000000"/>
          <w:sz w:val="24"/>
          <w:szCs w:val="24"/>
          <w:highlight w:val="none"/>
        </w:rPr>
      </w:r>
      <w:r/>
    </w:p>
    <w:p>
      <w:pPr>
        <w:pStyle w:val="1208"/>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、转包或分包</w:t>
      </w:r>
      <w:r>
        <w:rPr>
          <w:rFonts w:hint="eastAsia" w:ascii="宋体" w:hAnsi="宋体" w:eastAsia="宋体" w:cs="宋体"/>
          <w:b/>
          <w:bCs/>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.1本合同范围的货物</w:t>
      </w:r>
      <w:r>
        <w:rPr>
          <w:rFonts w:hint="eastAsia" w:ascii="宋体" w:hAnsi="宋体" w:cs="宋体"/>
          <w:sz w:val="24"/>
          <w:szCs w:val="24"/>
          <w:highlight w:val="none"/>
          <w:lang w:val="en-US" w:eastAsia="zh-CN"/>
        </w:rPr>
        <w:t xml:space="preserve">或服务</w:t>
      </w:r>
      <w:r>
        <w:rPr>
          <w:rFonts w:hint="eastAsia" w:ascii="宋体" w:hAnsi="宋体" w:cs="宋体"/>
          <w:sz w:val="24"/>
          <w:szCs w:val="24"/>
          <w:highlight w:val="none"/>
        </w:rPr>
        <w:t xml:space="preserve">，应由乙方直接供应，不得转让他人供应；</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.2 除非得到甲方的书面同意，乙方不得部分分包给他人供应。</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.3如有转让和未经甲方同意的分包行为，甲方有权终止合同。</w:t>
      </w:r>
      <w:r>
        <w:rPr>
          <w:rFonts w:hint="eastAsia" w:ascii="宋体" w:hAnsi="宋体" w:cs="宋体"/>
          <w:sz w:val="24"/>
          <w:szCs w:val="24"/>
          <w:highlight w:val="none"/>
        </w:rPr>
      </w:r>
      <w:r/>
    </w:p>
    <w:p>
      <w:pPr>
        <w:pStyle w:val="1208"/>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十一</w:t>
      </w:r>
      <w:r>
        <w:rPr>
          <w:rFonts w:hint="eastAsia" w:ascii="宋体" w:hAnsi="宋体" w:eastAsia="宋体" w:cs="宋体"/>
          <w:b/>
          <w:bCs/>
          <w:sz w:val="24"/>
          <w:szCs w:val="24"/>
          <w:highlight w:val="none"/>
        </w:rPr>
        <w:t xml:space="preserve">、权利和义务</w:t>
      </w:r>
      <w:r>
        <w:rPr>
          <w:rFonts w:hint="eastAsia" w:ascii="宋体" w:hAnsi="宋体" w:eastAsia="宋体" w:cs="宋体"/>
          <w:b/>
          <w:bCs/>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甲方权利和义务</w:t>
      </w:r>
      <w:r>
        <w:rPr>
          <w:rFonts w:hint="eastAsia" w:ascii="宋体" w:hAnsi="宋体" w:cs="宋体"/>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甲方具有对乙方服务项目进行日常检查、考核、管理的权利，</w:t>
      </w:r>
      <w:r>
        <w:rPr>
          <w:rFonts w:hint="eastAsia" w:ascii="宋体" w:hAnsi="宋体" w:cs="宋体"/>
          <w:bCs/>
          <w:sz w:val="24"/>
          <w:szCs w:val="24"/>
          <w:highlight w:val="none"/>
          <w:lang w:val="en-US" w:eastAsia="zh-CN"/>
        </w:rPr>
        <w:t xml:space="preserve">承担</w:t>
      </w:r>
      <w:r>
        <w:rPr>
          <w:rFonts w:hint="eastAsia" w:ascii="宋体" w:hAnsi="宋体" w:cs="宋体"/>
          <w:bCs/>
          <w:sz w:val="24"/>
          <w:szCs w:val="24"/>
          <w:highlight w:val="none"/>
        </w:rPr>
        <w:t xml:space="preserve">组织项目启动会、维护交接、资料移交和验收认定的义务。</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甲方负责审定乙方的年度和月度维保计划，检查维保计划执行情况，核实乙方上报的维保工作量，</w:t>
      </w:r>
      <w:r>
        <w:rPr>
          <w:rFonts w:hint="eastAsia" w:ascii="宋体" w:hAnsi="宋体" w:cs="宋体"/>
          <w:bCs/>
          <w:sz w:val="24"/>
          <w:szCs w:val="24"/>
          <w:highlight w:val="none"/>
          <w:lang w:eastAsia="zh-CN"/>
        </w:rPr>
        <w:t xml:space="preserve">并</w:t>
      </w:r>
      <w:r>
        <w:rPr>
          <w:rFonts w:hint="eastAsia" w:ascii="宋体" w:hAnsi="宋体" w:cs="宋体"/>
          <w:bCs/>
          <w:sz w:val="24"/>
          <w:szCs w:val="24"/>
          <w:highlight w:val="none"/>
        </w:rPr>
        <w:t xml:space="preserve">组织对乙方进行考核</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根据考核结果支付服务费用。</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甲方对于日常检查发现的亮化集控系统、控制节点端设备、灯具及其他相关配套设施等各类亮化设施（以下简称亮化设施）问题，甲方有权要求乙方及时修复。</w:t>
      </w:r>
      <w:r>
        <w:rPr>
          <w:rFonts w:hint="eastAsia" w:ascii="宋体" w:hAnsi="宋体" w:cs="宋体"/>
          <w:bCs/>
          <w:sz w:val="24"/>
          <w:szCs w:val="24"/>
          <w:highlight w:val="none"/>
          <w:lang w:val="en-US" w:eastAsia="zh-CN"/>
        </w:rPr>
        <w:t xml:space="preserve">部分稳定性差、故障频繁的设备，甲方综合认定需更换的，乙方无条件按要求整改。</w:t>
      </w:r>
      <w:r>
        <w:rPr>
          <w:rFonts w:hint="eastAsia" w:ascii="宋体" w:hAnsi="宋体" w:cs="宋体"/>
          <w:bCs/>
          <w:sz w:val="24"/>
          <w:szCs w:val="24"/>
          <w:highlight w:val="none"/>
        </w:rPr>
        <w:t xml:space="preserve">若乙方不能及时处理亮化设施出现的任何问题，影响亮化设施正常运行时，甲方有权指派他人代为处理，产生费用由乙方承担。重大活动、重要节日、恶劣天气条件、安全生产专项行动等情况</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甲方有权</w:t>
      </w:r>
      <w:r>
        <w:rPr>
          <w:rFonts w:hint="eastAsia" w:ascii="宋体" w:hAnsi="宋体" w:cs="宋体"/>
          <w:bCs/>
          <w:sz w:val="24"/>
          <w:szCs w:val="24"/>
          <w:highlight w:val="none"/>
        </w:rPr>
        <w:t xml:space="preserve">随时安排调动乙方人员开展专项巡查检修工作。</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如发现亮化设施处于危急状况时，甲方有权要求乙方限期按要求采取相关措施。</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如因乙方发生重大质量、生产安全事故，或擅自停业歇业，或作业过程造成重大环境污染，或其他重大、紧急可能</w:t>
      </w:r>
      <w:r>
        <w:rPr>
          <w:rFonts w:hint="eastAsia" w:ascii="宋体" w:hAnsi="宋体" w:cs="宋体"/>
          <w:bCs/>
          <w:sz w:val="24"/>
          <w:szCs w:val="24"/>
          <w:highlight w:val="none"/>
          <w:lang w:eastAsia="zh-CN"/>
        </w:rPr>
        <w:t xml:space="preserve">危及</w:t>
      </w:r>
      <w:r>
        <w:rPr>
          <w:rFonts w:hint="eastAsia" w:ascii="宋体" w:hAnsi="宋体" w:cs="宋体"/>
          <w:bCs/>
          <w:sz w:val="24"/>
          <w:szCs w:val="24"/>
          <w:highlight w:val="none"/>
        </w:rPr>
        <w:t xml:space="preserve">公共安全或社会公共利益行为的，甲方有权指派他人临时接管乙方的承包项目，产生费用由乙方承担。乙方必须赔偿因</w:t>
      </w:r>
      <w:r>
        <w:rPr>
          <w:rFonts w:hint="eastAsia" w:ascii="宋体" w:hAnsi="宋体" w:cs="宋体"/>
          <w:bCs/>
          <w:sz w:val="24"/>
          <w:szCs w:val="24"/>
          <w:highlight w:val="none"/>
          <w:lang w:val="en-US" w:eastAsia="zh-CN"/>
        </w:rPr>
        <w:t xml:space="preserve">自身</w:t>
      </w:r>
      <w:r>
        <w:rPr>
          <w:rFonts w:hint="eastAsia" w:ascii="宋体" w:hAnsi="宋体" w:cs="宋体"/>
          <w:bCs/>
          <w:sz w:val="24"/>
          <w:szCs w:val="24"/>
          <w:highlight w:val="none"/>
        </w:rPr>
        <w:t xml:space="preserve">的责任所造成的经济损失。事故处理后是否恢复履行合同由甲方决定。</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甲方负责向乙方提供有关亮化设施维保的规范性文件、相关的技术规程、考核细则及各类相关资料、文件，并对乙方工作进行指导。</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根据工作需要甲方协助乙方办理进出楼宇的介绍信、工作联系函、维保工程车辆通行证等</w:t>
      </w:r>
      <w:r>
        <w:rPr>
          <w:rFonts w:hint="eastAsia" w:ascii="宋体" w:hAnsi="宋体" w:cs="宋体"/>
          <w:bCs/>
          <w:sz w:val="24"/>
          <w:szCs w:val="24"/>
          <w:highlight w:val="none"/>
          <w:lang w:val="en-US" w:eastAsia="zh-CN"/>
        </w:rPr>
        <w:t xml:space="preserve">必需</w:t>
      </w:r>
      <w:r>
        <w:rPr>
          <w:rFonts w:hint="eastAsia" w:ascii="宋体" w:hAnsi="宋体" w:cs="宋体"/>
          <w:bCs/>
          <w:sz w:val="24"/>
          <w:szCs w:val="24"/>
          <w:highlight w:val="none"/>
        </w:rPr>
        <w:t xml:space="preserve">的证明材料。</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甲方有权对维保工作中采用新工艺、新材料、新方法的适用性、安全性进行审查。</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11.2</w:t>
      </w:r>
      <w:r>
        <w:rPr>
          <w:rFonts w:hint="eastAsia" w:ascii="宋体" w:hAnsi="宋体" w:cs="宋体"/>
          <w:sz w:val="24"/>
          <w:szCs w:val="24"/>
          <w:highlight w:val="none"/>
        </w:rPr>
        <w:t xml:space="preserve">乙方权利和义务</w:t>
      </w:r>
      <w:r>
        <w:rPr>
          <w:rFonts w:hint="eastAsia" w:ascii="宋体" w:hAnsi="宋体" w:cs="宋体"/>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1.2.1</w:t>
      </w:r>
      <w:r>
        <w:rPr>
          <w:rFonts w:hint="eastAsia" w:ascii="宋体" w:hAnsi="宋体" w:cs="宋体"/>
          <w:bCs/>
          <w:sz w:val="24"/>
          <w:szCs w:val="24"/>
          <w:highlight w:val="none"/>
        </w:rPr>
        <w:t xml:space="preserve">乙方根据维保质量及甲方对乙方维保服务考核得分情况取得相应维保服务费用。</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11.2.2</w:t>
      </w:r>
      <w:r>
        <w:rPr>
          <w:rFonts w:hint="eastAsia" w:ascii="宋体" w:hAnsi="宋体" w:cs="宋体"/>
          <w:bCs/>
          <w:sz w:val="24"/>
          <w:szCs w:val="24"/>
          <w:highlight w:val="none"/>
        </w:rPr>
        <w:t xml:space="preserve">乙方按照服务内容及考核要求组织维护队伍，健全管理制度，组织日常巡检等工作，确保亮化设施正常运行。</w:t>
      </w:r>
      <w:r>
        <w:rPr>
          <w:rFonts w:hint="eastAsia" w:ascii="宋体" w:hAnsi="宋体" w:cs="宋体"/>
          <w:bCs/>
          <w:sz w:val="24"/>
          <w:szCs w:val="24"/>
          <w:highlight w:val="none"/>
        </w:rPr>
      </w:r>
      <w:r/>
    </w:p>
    <w:p>
      <w:pPr>
        <w:pStyle w:val="1208"/>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，乙方</w:t>
      </w:r>
      <w:r>
        <w:rPr>
          <w:rFonts w:hint="eastAsia" w:ascii="宋体" w:hAnsi="宋体" w:cs="宋体"/>
          <w:sz w:val="24"/>
          <w:szCs w:val="24"/>
          <w:highlight w:val="none"/>
        </w:rPr>
        <w:t xml:space="preserve">项目团队人员相对稳定，满足维保服务需求，</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明确项目负责人1人，每周</w:t>
      </w:r>
      <w:r>
        <w:rPr>
          <w:rFonts w:hint="eastAsia" w:ascii="宋体" w:hAnsi="宋体" w:cs="宋体"/>
          <w:bCs/>
          <w:sz w:val="24"/>
          <w:szCs w:val="24"/>
          <w:highlight w:val="none"/>
          <w:lang w:val="en-US" w:eastAsia="zh-CN"/>
        </w:rPr>
        <w:t xml:space="preserve">向</w:t>
      </w:r>
      <w:r>
        <w:rPr>
          <w:rFonts w:hint="eastAsia" w:ascii="宋体" w:hAnsi="宋体" w:cs="宋体"/>
          <w:bCs/>
          <w:sz w:val="24"/>
          <w:szCs w:val="24"/>
          <w:highlight w:val="none"/>
        </w:rPr>
        <w:t xml:space="preserve">甲方汇报一次维保情况，具体时间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汇报形式</w:t>
      </w:r>
      <w:r>
        <w:rPr>
          <w:rFonts w:hint="eastAsia" w:ascii="宋体" w:hAnsi="宋体" w:cs="宋体"/>
          <w:bCs/>
          <w:sz w:val="24"/>
          <w:szCs w:val="24"/>
          <w:highlight w:val="none"/>
        </w:rPr>
        <w:t xml:space="preserve">由甲方指定，另外现场维护人员不少于4人。项目负责人或现场维护人员不配合甲方工作或不能胜任工作，乙方应按甲方要求更换相应人员，自甲方要求更换之日起五日内更换到位。具备办公室、仓库、维修机械设备、巡检车辆及相应的作业工具等，服务期内拆除材料的由乙方存放保管，维保服务期结束后，移交并转运至甲方指定地点，费用由乙方承担。</w:t>
      </w:r>
      <w:r>
        <w:rPr>
          <w:rFonts w:hint="eastAsia" w:ascii="宋体" w:hAnsi="宋体" w:cs="宋体"/>
          <w:bCs/>
          <w:sz w:val="24"/>
          <w:szCs w:val="24"/>
          <w:highlight w:val="none"/>
        </w:rPr>
      </w:r>
      <w:r/>
    </w:p>
    <w:p>
      <w:pPr>
        <w:pStyle w:val="1208"/>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（2）乙方应建立相关制度，保障维保工作安全有序进行。</w:t>
      </w:r>
      <w:r>
        <w:rPr>
          <w:rFonts w:hint="eastAsia" w:ascii="宋体" w:hAnsi="宋体" w:cs="宋体"/>
          <w:bCs/>
          <w:sz w:val="24"/>
          <w:szCs w:val="24"/>
          <w:highlight w:val="none"/>
        </w:rPr>
      </w:r>
      <w:r/>
    </w:p>
    <w:p>
      <w:pPr>
        <w:pStyle w:val="1208"/>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安全生产管理体系，确定安全生产主体责任制度。企业负责人为安全第一负责人，全面负责维修队伍的安全、消防、交通等安全工作。安全生产管理制度包括：安全生产责任制、安全生产检查制度、安全操作规程、安全行车规定、安全生产教育培训制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事故隐患内部报告和奖励制度</w:t>
      </w:r>
      <w:r>
        <w:rPr>
          <w:rFonts w:hint="eastAsia" w:ascii="宋体" w:hAnsi="宋体" w:cs="宋体"/>
          <w:bCs/>
          <w:sz w:val="24"/>
          <w:szCs w:val="24"/>
          <w:highlight w:val="none"/>
        </w:rPr>
        <w:t xml:space="preserve">等。</w:t>
      </w:r>
      <w:r>
        <w:rPr>
          <w:rFonts w:hint="eastAsia" w:ascii="宋体" w:hAnsi="宋体" w:cs="宋体"/>
          <w:bCs/>
          <w:sz w:val="24"/>
          <w:szCs w:val="24"/>
          <w:highlight w:val="none"/>
        </w:rPr>
      </w:r>
      <w:r/>
    </w:p>
    <w:p>
      <w:pPr>
        <w:pStyle w:val="1208"/>
        <w:ind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乙方应建立设备材料管理和材料设备的供应制度。准备充足的维修材料以应对日常维修及突发事件的需要，采购的材料及设备必须符合国家质量标准，并不得低于原有标准，材料及设备进场时必须附有出厂合格证，同时附采购合同及已使用材料、设备的清单，如需变更材料、设备品牌，应经甲方同意。</w:t>
      </w:r>
      <w:r>
        <w:rPr>
          <w:rFonts w:hint="eastAsia" w:ascii="宋体" w:hAnsi="宋体" w:cs="宋体"/>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乙方应建立值班工作制度，对发现的亮化设施问题及时修复，重大问题须向甲方汇报，值班电话须24小时保持畅通，并填写值班日志。</w:t>
      </w:r>
      <w:r>
        <w:rPr>
          <w:rFonts w:hint="eastAsia" w:ascii="宋体" w:hAnsi="宋体" w:cs="宋体"/>
          <w:bCs/>
          <w:sz w:val="24"/>
          <w:szCs w:val="24"/>
          <w:highlight w:val="none"/>
        </w:rPr>
      </w:r>
      <w:r/>
    </w:p>
    <w:p>
      <w:pPr>
        <w:pStyle w:val="1208"/>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cs="宋体"/>
          <w:bCs/>
          <w:sz w:val="24"/>
          <w:szCs w:val="24"/>
          <w:highlight w:val="none"/>
        </w:rPr>
      </w:r>
      <w:r/>
    </w:p>
    <w:p>
      <w:pPr>
        <w:pStyle w:val="1208"/>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乙方应建立文明施工和环境保护制度。落实文明施工和环境保护的相关措施。</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乙方须编制年度、月度维保计划，经甲方审核后执行，对于日常检查发现的亮化设施问题，应当及时修复，并形成台账按月报送。重大活动、重要节日、恶劣天气条件、安全生产专项行动等情况应根据甲方要求开展专项巡查检修工作，乙方对甲方提出的整改事项按要求限期整改，整改完成后，报由甲方验收认定。 </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乙方应加强用电安全巡查，及时发现并切断私自接用亮化设施电源的行为。因偷盗、撞击、施工破坏等非正常损坏的亮化设施设备，乙方需及时向甲方报告，并立即组织抢修，所需材料及相关维修费用由乙方承担，乙方有权向责任方追偿。</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乙方应严格执行相关安全规定，确保不发生安全生产事故，乙方自行承担维护工作中任何状况下的安全责任，相关一切费用均由乙方承担。</w:t>
      </w:r>
      <w:r>
        <w:rPr>
          <w:rFonts w:hint="eastAsia" w:ascii="宋体" w:hAnsi="宋体" w:cs="宋体"/>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乙方应做好技术资料的保密，确保本项目资料、数据等为甲方所有，不得向其他任何单位和个人提供本项目相关资料，乙方在合同签订前提供设备及软件原厂针对甲方及本项目的服务承诺函，承诺函内容主要包括所有设备及软件的永久使用权归甲方所有不受任何限制，维保服务期内外无条件配合甲方对设备及软件进行维保、对接、升级和改造；乙方应按甲方要求完善项目资料，按甲方要求交送甲方归档，在服务期满后乙方应向甲方交回本项目相关的所有资料。</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维保服务期内外，乙方不得对本项目软硬件及系统进行破坏或未经授权使用，不得针对本项目进行信息渗透、人为破坏及其他影响系统正常运行的行为。</w:t>
      </w:r>
      <w:r>
        <w:rPr>
          <w:rFonts w:hint="eastAsia" w:ascii="宋体" w:hAnsi="宋体" w:cs="宋体"/>
          <w:bCs/>
          <w:sz w:val="24"/>
          <w:szCs w:val="24"/>
          <w:highlight w:val="none"/>
        </w:rPr>
      </w:r>
      <w:r/>
    </w:p>
    <w:p>
      <w:pPr>
        <w:pStyle w:val="1208"/>
        <w:ind w:left="-1"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乙方应保证强弱电控制系统、控制节点端及亮化设施的兼容性，完成对接并受控，应保证强弱电控制系统分别独立组网，组建内部网，不得接入其他网络，确保网络安全稳定。</w:t>
      </w:r>
      <w:r>
        <w:rPr>
          <w:rFonts w:hint="eastAsia" w:ascii="宋体" w:hAnsi="宋体" w:cs="宋体"/>
          <w:sz w:val="24"/>
          <w:szCs w:val="24"/>
          <w:highlight w:val="none"/>
        </w:rPr>
      </w:r>
      <w:r/>
    </w:p>
    <w:p>
      <w:pPr>
        <w:pStyle w:val="1208"/>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eastAsia="zh-CN"/>
        </w:rPr>
        <w:t xml:space="preserve">二</w:t>
      </w:r>
      <w:r>
        <w:rPr>
          <w:rFonts w:hint="eastAsia" w:ascii="宋体" w:hAnsi="宋体" w:cs="宋体"/>
          <w:b/>
          <w:sz w:val="24"/>
          <w:szCs w:val="24"/>
          <w:highlight w:val="none"/>
        </w:rPr>
        <w:t xml:space="preserve">、税费</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12</w:t>
      </w:r>
      <w:r>
        <w:rPr>
          <w:rFonts w:hint="eastAsia" w:ascii="宋体" w:hAnsi="宋体" w:cs="宋体"/>
          <w:sz w:val="24"/>
          <w:szCs w:val="24"/>
          <w:highlight w:val="none"/>
        </w:rPr>
        <w:t xml:space="preserve">.1本合同执行中相关的一切税费均由乙方负担。</w:t>
      </w:r>
      <w:r>
        <w:rPr>
          <w:rFonts w:hint="eastAsia" w:ascii="宋体" w:hAnsi="宋体" w:cs="宋体"/>
          <w:sz w:val="24"/>
          <w:szCs w:val="24"/>
          <w:highlight w:val="none"/>
        </w:rPr>
      </w:r>
      <w:r/>
    </w:p>
    <w:p>
      <w:pPr>
        <w:pStyle w:val="1208"/>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、质量保证及售后服务</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.1乙方</w:t>
      </w:r>
      <w:r>
        <w:rPr>
          <w:rFonts w:hint="eastAsia" w:ascii="宋体" w:hAnsi="宋体" w:cs="宋体"/>
          <w:sz w:val="24"/>
          <w:szCs w:val="24"/>
          <w:highlight w:val="none"/>
          <w:lang w:val="en-US" w:eastAsia="zh-CN"/>
        </w:rPr>
        <w:t xml:space="preserve">维保过程中，如需更换设备或配件，</w:t>
      </w:r>
      <w:r>
        <w:rPr>
          <w:rFonts w:hint="eastAsia" w:ascii="宋体" w:hAnsi="宋体" w:cs="宋体"/>
          <w:sz w:val="24"/>
          <w:szCs w:val="24"/>
          <w:highlight w:val="none"/>
        </w:rPr>
        <w:t xml:space="preserve">应按招标文件规定的货物性能、技术要求、质量标准向甲方提供未经使用的全新产品。</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.2乙方</w:t>
      </w:r>
      <w:r>
        <w:rPr>
          <w:rFonts w:hint="eastAsia" w:ascii="宋体" w:hAnsi="宋体" w:cs="宋体"/>
          <w:sz w:val="24"/>
          <w:szCs w:val="24"/>
          <w:highlight w:val="none"/>
          <w:lang w:val="en-US" w:eastAsia="zh-CN"/>
        </w:rPr>
        <w:t xml:space="preserve">维保、更换的设备等不符合合同约定的质量标准或出现质量缺陷，甲方有权要求</w:t>
      </w:r>
      <w:r>
        <w:rPr>
          <w:rFonts w:hint="eastAsia" w:ascii="宋体" w:hAnsi="宋体" w:cs="宋体"/>
          <w:sz w:val="24"/>
          <w:szCs w:val="24"/>
          <w:highlight w:val="none"/>
        </w:rPr>
        <w:t xml:space="preserve">乙方</w:t>
      </w:r>
      <w:r>
        <w:rPr>
          <w:rFonts w:hint="eastAsia" w:ascii="宋体" w:hAnsi="宋体" w:cs="宋体"/>
          <w:sz w:val="24"/>
          <w:szCs w:val="24"/>
          <w:highlight w:val="none"/>
          <w:lang w:val="en-US" w:eastAsia="zh-CN"/>
        </w:rPr>
        <w:t xml:space="preserve">及时修理、</w:t>
      </w:r>
      <w:r>
        <w:rPr>
          <w:rFonts w:hint="eastAsia" w:ascii="宋体" w:hAnsi="宋体" w:cs="宋体"/>
          <w:sz w:val="24"/>
          <w:szCs w:val="24"/>
          <w:highlight w:val="none"/>
        </w:rPr>
        <w:t xml:space="preserve">更换</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并重新调试</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在服务期内，乙方应对货物出现的质量及安全问题负责处理解决并承担一切费用。</w:t>
      </w:r>
      <w:r>
        <w:rPr>
          <w:rFonts w:hint="eastAsia" w:ascii="宋体" w:hAnsi="宋体" w:cs="宋体"/>
          <w:sz w:val="24"/>
          <w:szCs w:val="24"/>
          <w:highlight w:val="none"/>
        </w:rPr>
      </w:r>
      <w:r/>
    </w:p>
    <w:p>
      <w:pPr>
        <w:pStyle w:val="1208"/>
        <w:numPr>
          <w:ilvl w:val="0"/>
          <w:numId w:val="6"/>
        </w:numPr>
        <w:ind w:firstLine="480"/>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履约</w:t>
      </w:r>
      <w:r>
        <w:rPr>
          <w:rFonts w:hint="eastAsia" w:ascii="宋体" w:hAnsi="宋体" w:eastAsia="宋体" w:cs="宋体"/>
          <w:b/>
          <w:bCs/>
          <w:sz w:val="24"/>
          <w:szCs w:val="24"/>
          <w:highlight w:val="none"/>
        </w:rPr>
        <w:t xml:space="preserve">验收</w:t>
      </w:r>
      <w:r>
        <w:rPr>
          <w:rFonts w:ascii="宋体" w:hAnsi="宋体" w:eastAsia="宋体" w:cs="宋体"/>
          <w:b/>
          <w:bCs/>
          <w:sz w:val="24"/>
          <w:szCs w:val="24"/>
          <w:highlight w:val="none"/>
          <w:lang w:val="en-US" w:eastAsia="zh-CN"/>
        </w:rPr>
      </w:r>
      <w:r/>
    </w:p>
    <w:p>
      <w:pPr>
        <w:pStyle w:val="1208"/>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.1甲方依法组织履约验收工作</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验收分为半年阶段性验收和年度验收。</w:t>
      </w:r>
      <w:r>
        <w:rPr>
          <w:rFonts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.2甲方组织履约验收前制定验收方案，明确验时间、方式、程序等</w:t>
      </w:r>
      <w:r>
        <w:rPr>
          <w:rFonts w:hint="eastAsia" w:ascii="宋体" w:hAnsi="宋体" w:cs="宋体"/>
          <w:sz w:val="24"/>
          <w:szCs w:val="24"/>
          <w:highlight w:val="none"/>
          <w:lang w:val="en-US" w:eastAsia="zh-CN"/>
        </w:rPr>
        <w:t xml:space="preserve">事项</w:t>
      </w:r>
      <w:r>
        <w:rPr>
          <w:rFonts w:hint="eastAsia" w:ascii="宋体" w:hAnsi="宋体" w:cs="宋体"/>
          <w:sz w:val="24"/>
          <w:szCs w:val="24"/>
          <w:highlight w:val="none"/>
        </w:rPr>
        <w:t xml:space="preserve">，并</w:t>
      </w:r>
      <w:r>
        <w:rPr>
          <w:rFonts w:hint="eastAsia" w:ascii="宋体" w:hAnsi="宋体" w:cs="宋体"/>
          <w:sz w:val="24"/>
          <w:szCs w:val="24"/>
          <w:highlight w:val="none"/>
          <w:lang w:val="en-US" w:eastAsia="zh-CN"/>
        </w:rPr>
        <w:t xml:space="preserve">结合项目特点、</w:t>
      </w:r>
      <w:r>
        <w:rPr>
          <w:rFonts w:hint="eastAsia" w:ascii="宋体" w:hAnsi="宋体" w:cs="宋体"/>
          <w:sz w:val="24"/>
          <w:szCs w:val="24"/>
          <w:highlight w:val="none"/>
        </w:rPr>
        <w:t xml:space="preserve">考核情况和服务效果进行验收。乙方应</w:t>
      </w:r>
      <w:r>
        <w:rPr>
          <w:rFonts w:hint="eastAsia" w:ascii="宋体" w:hAnsi="宋体" w:cs="宋体"/>
          <w:sz w:val="24"/>
          <w:szCs w:val="24"/>
          <w:highlight w:val="none"/>
          <w:lang w:val="en-US" w:eastAsia="zh-CN"/>
        </w:rPr>
        <w:t xml:space="preserve">按照</w:t>
      </w:r>
      <w:r>
        <w:rPr>
          <w:rFonts w:hint="eastAsia" w:ascii="宋体" w:hAnsi="宋体" w:cs="宋体"/>
          <w:sz w:val="24"/>
          <w:szCs w:val="24"/>
          <w:highlight w:val="none"/>
        </w:rPr>
        <w:t xml:space="preserve">验收方案</w:t>
      </w:r>
      <w:r>
        <w:rPr>
          <w:rFonts w:hint="eastAsia" w:ascii="宋体" w:hAnsi="宋体" w:cs="宋体"/>
          <w:sz w:val="24"/>
          <w:szCs w:val="24"/>
          <w:highlight w:val="none"/>
          <w:lang w:val="en-US" w:eastAsia="zh-CN"/>
        </w:rPr>
        <w:t xml:space="preserve">予以</w:t>
      </w:r>
      <w:r>
        <w:rPr>
          <w:rFonts w:hint="eastAsia" w:ascii="宋体" w:hAnsi="宋体" w:cs="宋体"/>
          <w:sz w:val="24"/>
          <w:szCs w:val="24"/>
          <w:highlight w:val="none"/>
        </w:rPr>
        <w:t xml:space="preserve">配合。</w:t>
      </w:r>
      <w:r>
        <w:rPr>
          <w:rFonts w:hint="eastAsia" w:ascii="宋体" w:hAnsi="宋体" w:cs="宋体"/>
          <w:sz w:val="24"/>
          <w:szCs w:val="24"/>
          <w:highlight w:val="none"/>
        </w:rPr>
      </w:r>
      <w:r/>
    </w:p>
    <w:p>
      <w:pPr>
        <w:pStyle w:val="1290"/>
        <w:spacing w:line="44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.3甲方成立验收小组</w:t>
      </w:r>
      <w:r>
        <w:rPr>
          <w:rFonts w:hint="eastAsia" w:cs="宋体"/>
          <w:sz w:val="24"/>
          <w:szCs w:val="24"/>
          <w:highlight w:val="none"/>
          <w:lang w:val="en-US" w:eastAsia="zh-CN"/>
        </w:rPr>
        <w:t xml:space="preserve">核查乙方履约情况。验收时乙方必须在现场。</w:t>
      </w:r>
      <w:r>
        <w:rPr>
          <w:rFonts w:hint="eastAsia" w:ascii="宋体" w:hAnsi="宋体" w:cs="宋体"/>
          <w:sz w:val="24"/>
          <w:szCs w:val="24"/>
          <w:highlight w:val="none"/>
        </w:rPr>
        <w:t xml:space="preserve">验收结束后，验收小组出具验收书，列明验收情况及项目总体评价，由验收双方共同签署。验收结果</w:t>
      </w:r>
      <w:r>
        <w:rPr>
          <w:rFonts w:hint="eastAsia" w:cs="宋体"/>
          <w:sz w:val="24"/>
          <w:szCs w:val="24"/>
          <w:highlight w:val="none"/>
          <w:lang w:val="en-US" w:eastAsia="zh-CN"/>
        </w:rPr>
        <w:t xml:space="preserve">作为</w:t>
      </w:r>
      <w:r>
        <w:rPr>
          <w:rFonts w:hint="eastAsia" w:ascii="宋体" w:hAnsi="宋体" w:cs="宋体"/>
          <w:sz w:val="24"/>
          <w:szCs w:val="24"/>
          <w:highlight w:val="none"/>
        </w:rPr>
        <w:t xml:space="preserve">资金支付及履约保证金返还</w:t>
      </w:r>
      <w:r>
        <w:rPr>
          <w:rFonts w:hint="eastAsia" w:cs="宋体"/>
          <w:sz w:val="24"/>
          <w:szCs w:val="24"/>
          <w:highlight w:val="none"/>
          <w:lang w:val="en-US" w:eastAsia="zh-CN"/>
        </w:rPr>
        <w:t xml:space="preserve">依据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90"/>
        <w:spacing w:line="440" w:lineRule="exact"/>
        <w:rPr>
          <w:rFonts w:hint="eastAsia" w:ascii="楷体_GB2312" w:hAnsi="Times New Roman" w:eastAsia="楷体_GB2312" w:cs="Times New Roman"/>
          <w:sz w:val="24"/>
          <w:szCs w:val="24"/>
          <w:highlight w:val="none"/>
        </w:rPr>
        <w:outlineLvl w:val="1"/>
      </w:pPr>
      <w:r>
        <w:rPr>
          <w:rFonts w:hint="eastAsia" w:ascii="新宋体" w:hAnsi="新宋体" w:eastAsia="新宋体" w:cs="新宋体"/>
          <w:highlight w:val="none"/>
        </w:rPr>
        <w:t xml:space="preserve">1</w:t>
      </w:r>
      <w:r>
        <w:rPr>
          <w:rFonts w:hint="eastAsia" w:ascii="新宋体" w:hAnsi="新宋体" w:eastAsia="新宋体" w:cs="新宋体"/>
          <w:highlight w:val="none"/>
          <w:lang w:val="en-US" w:eastAsia="zh-CN"/>
        </w:rPr>
        <w:t xml:space="preserve">4</w:t>
      </w:r>
      <w:r>
        <w:rPr>
          <w:rFonts w:hint="eastAsia" w:ascii="新宋体" w:hAnsi="新宋体" w:eastAsia="新宋体" w:cs="新宋体"/>
          <w:highlight w:val="none"/>
        </w:rPr>
        <w:t xml:space="preserve">.</w:t>
      </w:r>
      <w:r>
        <w:rPr>
          <w:rFonts w:hint="eastAsia" w:ascii="新宋体" w:hAnsi="新宋体" w:eastAsia="新宋体" w:cs="新宋体"/>
          <w:highlight w:val="none"/>
          <w:lang w:val="en-US" w:eastAsia="zh-CN"/>
        </w:rPr>
        <w:t xml:space="preserve">4</w:t>
      </w:r>
      <w:r>
        <w:rPr>
          <w:rFonts w:hint="eastAsia" w:ascii="新宋体" w:hAnsi="新宋体" w:eastAsia="新宋体" w:cs="新宋体"/>
          <w:highlight w:val="none"/>
        </w:rPr>
        <w:t xml:space="preserve">验收依据：</w:t>
      </w:r>
      <w:r>
        <w:rPr>
          <w:rFonts w:hint="eastAsia" w:ascii="新宋体" w:hAnsi="新宋体" w:eastAsia="新宋体" w:cs="新宋体"/>
          <w:highlight w:val="none"/>
          <w:lang w:val="en-US" w:eastAsia="zh-CN"/>
        </w:rPr>
        <w:t xml:space="preserve">本项目</w:t>
      </w:r>
      <w:r>
        <w:rPr>
          <w:rFonts w:hint="eastAsia" w:ascii="新宋体" w:hAnsi="新宋体" w:eastAsia="新宋体" w:cs="新宋体"/>
          <w:highlight w:val="none"/>
        </w:rPr>
        <w:t xml:space="preserve">招标文件第四章采购需求、《盐城市市区亮化设施维护考核细则》、投标文件技术响应、本合同</w:t>
      </w:r>
      <w:r>
        <w:rPr>
          <w:rFonts w:hint="eastAsia" w:ascii="新宋体" w:hAnsi="新宋体" w:eastAsia="新宋体" w:cs="新宋体"/>
          <w:highlight w:val="none"/>
          <w:lang w:val="en-US" w:eastAsia="zh-CN"/>
        </w:rPr>
        <w:t xml:space="preserve">全部</w:t>
      </w:r>
      <w:r>
        <w:rPr>
          <w:rFonts w:hint="eastAsia" w:ascii="新宋体" w:hAnsi="新宋体" w:eastAsia="新宋体" w:cs="新宋体"/>
          <w:highlight w:val="none"/>
        </w:rPr>
        <w:t xml:space="preserve">约定</w:t>
      </w:r>
      <w:r>
        <w:rPr>
          <w:rFonts w:hint="eastAsia" w:ascii="新宋体" w:hAnsi="新宋体" w:eastAsia="新宋体" w:cs="新宋体"/>
          <w:highlight w:val="none"/>
          <w:lang w:eastAsia="zh-CN"/>
        </w:rPr>
        <w:t xml:space="preserve">。</w:t>
      </w:r>
      <w:r>
        <w:rPr>
          <w:rFonts w:hint="eastAsia" w:ascii="楷体_GB2312" w:hAnsi="Times New Roman" w:eastAsia="楷体_GB2312" w:cs="Times New Roman"/>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.5</w:t>
      </w:r>
      <w:r>
        <w:rPr>
          <w:rFonts w:hint="eastAsia" w:ascii="宋体" w:hAnsi="宋体" w:cs="宋体"/>
          <w:sz w:val="24"/>
          <w:szCs w:val="24"/>
          <w:highlight w:val="none"/>
        </w:rPr>
        <w:t xml:space="preserve">项目</w:t>
      </w:r>
      <w:r>
        <w:rPr>
          <w:rFonts w:hint="eastAsia" w:ascii="宋体" w:hAnsi="宋体" w:cs="宋体"/>
          <w:sz w:val="24"/>
          <w:szCs w:val="24"/>
          <w:highlight w:val="none"/>
        </w:rPr>
        <w:t xml:space="preserve">验收合格的，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sz w:val="24"/>
          <w:szCs w:val="24"/>
          <w:highlight w:val="none"/>
        </w:rPr>
      </w:r>
      <w:r/>
    </w:p>
    <w:p>
      <w:pPr>
        <w:pStyle w:val="1208"/>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eastAsia="zh-CN"/>
        </w:rPr>
        <w:t xml:space="preserve">五</w:t>
      </w:r>
      <w:r>
        <w:rPr>
          <w:rFonts w:hint="eastAsia" w:ascii="宋体" w:hAnsi="宋体" w:cs="宋体"/>
          <w:b/>
          <w:sz w:val="24"/>
          <w:szCs w:val="24"/>
          <w:highlight w:val="none"/>
        </w:rPr>
        <w:t xml:space="preserve">、违约责任</w:t>
      </w:r>
      <w:r>
        <w:rPr>
          <w:rFonts w:hint="eastAsia" w:ascii="宋体" w:hAnsi="宋体" w:cs="宋体"/>
          <w:sz w:val="24"/>
          <w:szCs w:val="24"/>
          <w:highlight w:val="none"/>
        </w:rPr>
      </w:r>
      <w:r/>
    </w:p>
    <w:p>
      <w:pPr>
        <w:pStyle w:val="1208"/>
        <w:ind w:firstLine="482"/>
        <w:spacing w:line="440" w:lineRule="exact"/>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15.1</w:t>
      </w:r>
      <w:r>
        <w:rPr>
          <w:rFonts w:hint="eastAsia" w:ascii="宋体" w:hAnsi="宋体" w:cs="宋体"/>
          <w:b w:val="0"/>
          <w:bCs/>
          <w:sz w:val="24"/>
          <w:szCs w:val="24"/>
          <w:highlight w:val="none"/>
        </w:rPr>
        <w:t xml:space="preserve">乙方逾期</w:t>
      </w:r>
      <w:r>
        <w:rPr>
          <w:rFonts w:hint="eastAsia" w:ascii="宋体" w:hAnsi="宋体" w:cs="宋体"/>
          <w:b w:val="0"/>
          <w:bCs/>
          <w:sz w:val="24"/>
          <w:szCs w:val="24"/>
          <w:highlight w:val="none"/>
          <w:lang w:val="en-US" w:eastAsia="zh-CN"/>
        </w:rPr>
        <w:t xml:space="preserve">完成软件升级、硬件更新、维保服务、故障抢修等约定事项的，每逾期一日，按当期年度合同价款万分之五支付违约金，</w:t>
      </w:r>
      <w:r>
        <w:rPr>
          <w:rFonts w:hint="eastAsia" w:ascii="宋体" w:hAnsi="宋体" w:cs="宋体"/>
          <w:b w:val="0"/>
          <w:bCs/>
          <w:sz w:val="24"/>
          <w:szCs w:val="24"/>
          <w:highlight w:val="none"/>
        </w:rPr>
        <w:t xml:space="preserve">甲方</w:t>
      </w:r>
      <w:r>
        <w:rPr>
          <w:rFonts w:hint="eastAsia" w:ascii="宋体" w:hAnsi="宋体" w:cs="宋体"/>
          <w:b w:val="0"/>
          <w:bCs/>
          <w:sz w:val="24"/>
          <w:szCs w:val="24"/>
          <w:highlight w:val="none"/>
          <w:lang w:val="en-US" w:eastAsia="zh-CN"/>
        </w:rPr>
        <w:t xml:space="preserve">有权</w:t>
      </w:r>
      <w:r>
        <w:rPr>
          <w:rFonts w:hint="eastAsia" w:ascii="宋体" w:hAnsi="宋体" w:cs="宋体"/>
          <w:b w:val="0"/>
          <w:bCs/>
          <w:sz w:val="24"/>
          <w:szCs w:val="24"/>
          <w:highlight w:val="none"/>
        </w:rPr>
        <w:t xml:space="preserve">从待付合同款项中</w:t>
      </w:r>
      <w:r>
        <w:rPr>
          <w:rFonts w:hint="eastAsia" w:ascii="宋体" w:hAnsi="宋体" w:cs="宋体"/>
          <w:b w:val="0"/>
          <w:bCs/>
          <w:sz w:val="24"/>
          <w:szCs w:val="24"/>
          <w:highlight w:val="none"/>
          <w:lang w:val="en-US" w:eastAsia="zh-CN"/>
        </w:rPr>
        <w:t xml:space="preserve">直接</w:t>
      </w:r>
      <w:r>
        <w:rPr>
          <w:rFonts w:hint="eastAsia" w:ascii="宋体" w:hAnsi="宋体" w:cs="宋体"/>
          <w:b w:val="0"/>
          <w:bCs/>
          <w:sz w:val="24"/>
          <w:szCs w:val="24"/>
          <w:highlight w:val="none"/>
        </w:rPr>
        <w:t xml:space="preserve">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b w:val="0"/>
          <w:bCs/>
          <w:sz w:val="24"/>
          <w:szCs w:val="24"/>
          <w:highlight w:val="none"/>
          <w:lang w:val="en-US" w:eastAsia="zh-CN"/>
        </w:rPr>
        <w:t xml:space="preserve">5</w:t>
      </w:r>
      <w:r>
        <w:rPr>
          <w:rFonts w:hint="eastAsia" w:ascii="宋体" w:hAnsi="宋体" w:cs="宋体"/>
          <w:b w:val="0"/>
          <w:bCs/>
          <w:sz w:val="24"/>
          <w:szCs w:val="24"/>
          <w:highlight w:val="none"/>
        </w:rPr>
        <w:t xml:space="preserve">%的违约金，如造成甲方损失超过违约金的，超出部分由乙方继续承担赔偿责任。</w:t>
      </w:r>
      <w:r>
        <w:rPr>
          <w:rFonts w:hint="eastAsia" w:ascii="宋体" w:hAnsi="宋体" w:cs="宋体"/>
          <w:b w:val="0"/>
          <w:bCs/>
          <w:sz w:val="24"/>
          <w:szCs w:val="24"/>
          <w:highlight w:val="none"/>
        </w:rPr>
      </w:r>
      <w:r/>
    </w:p>
    <w:p>
      <w:pPr>
        <w:pStyle w:val="1208"/>
        <w:ind w:firstLine="482"/>
        <w:spacing w:line="440" w:lineRule="exact"/>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eastAsia="zh-CN"/>
        </w:rPr>
        <w:t xml:space="preserve">1</w:t>
      </w:r>
      <w:r>
        <w:rPr>
          <w:rFonts w:hint="eastAsia" w:ascii="宋体" w:hAnsi="宋体" w:cs="宋体"/>
          <w:b w:val="0"/>
          <w:bCs/>
          <w:sz w:val="24"/>
          <w:szCs w:val="24"/>
          <w:highlight w:val="none"/>
          <w:lang w:val="en-US" w:eastAsia="zh-CN"/>
        </w:rPr>
        <w:t xml:space="preserve">5.2</w:t>
      </w:r>
      <w:r>
        <w:rPr>
          <w:rFonts w:hint="eastAsia" w:ascii="宋体" w:hAnsi="宋体" w:cs="宋体"/>
          <w:b w:val="0"/>
          <w:bCs/>
          <w:sz w:val="24"/>
          <w:szCs w:val="24"/>
          <w:highlight w:val="none"/>
        </w:rPr>
        <w:t xml:space="preserve">乙方</w:t>
      </w:r>
      <w:r>
        <w:rPr>
          <w:rFonts w:hint="eastAsia" w:ascii="宋体" w:hAnsi="宋体" w:cs="宋体"/>
          <w:b w:val="0"/>
          <w:bCs/>
          <w:sz w:val="24"/>
          <w:szCs w:val="24"/>
          <w:highlight w:val="none"/>
          <w:lang w:val="en-US" w:eastAsia="zh-CN"/>
        </w:rPr>
        <w:t xml:space="preserve">提供服务、更换设备、系统运行</w:t>
      </w:r>
      <w:r>
        <w:rPr>
          <w:rFonts w:hint="eastAsia" w:ascii="宋体" w:hAnsi="宋体" w:cs="宋体"/>
          <w:b w:val="0"/>
          <w:bCs/>
          <w:sz w:val="24"/>
          <w:szCs w:val="24"/>
          <w:highlight w:val="none"/>
        </w:rPr>
        <w:t xml:space="preserve">的标准不符合合同规定及招标文件规定标准的，</w:t>
      </w:r>
      <w:r>
        <w:rPr>
          <w:rFonts w:hint="eastAsia" w:ascii="宋体" w:hAnsi="宋体" w:cs="宋体"/>
          <w:b w:val="0"/>
          <w:bCs/>
          <w:sz w:val="24"/>
          <w:szCs w:val="24"/>
          <w:highlight w:val="none"/>
          <w:lang w:val="en-US" w:eastAsia="zh-CN"/>
        </w:rPr>
        <w:t xml:space="preserve">甲方下发整改通知书限期整改；逾期整改不合格或仍存在重大质量缺陷的，甲方可单方面解除合同并按15.1追责。</w:t>
      </w:r>
      <w:r>
        <w:rPr>
          <w:rFonts w:hint="eastAsia" w:ascii="宋体" w:hAnsi="宋体" w:cs="宋体"/>
          <w:b w:val="0"/>
          <w:bCs/>
          <w:sz w:val="24"/>
          <w:szCs w:val="24"/>
          <w:highlight w:val="none"/>
          <w:lang w:val="en-US" w:eastAsia="zh-CN"/>
        </w:rPr>
      </w:r>
      <w:r/>
    </w:p>
    <w:p>
      <w:pPr>
        <w:pStyle w:val="1208"/>
        <w:ind w:firstLine="482"/>
        <w:spacing w:line="440" w:lineRule="exact"/>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w:t>
      </w:r>
      <w:r>
        <w:rPr>
          <w:rFonts w:hint="eastAsia" w:ascii="宋体" w:hAnsi="宋体" w:cs="宋体"/>
          <w:b w:val="0"/>
          <w:bCs/>
          <w:sz w:val="24"/>
          <w:szCs w:val="24"/>
          <w:highlight w:val="none"/>
          <w:lang w:eastAsia="zh-CN"/>
        </w:rPr>
        <w:t xml:space="preserve">5</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lang w:eastAsia="zh-CN"/>
        </w:rPr>
        <w:t xml:space="preserve">3</w:t>
      </w:r>
      <w:r>
        <w:rPr>
          <w:rFonts w:hint="eastAsia" w:ascii="宋体" w:hAnsi="宋体" w:cs="宋体"/>
          <w:b w:val="0"/>
          <w:bCs/>
          <w:sz w:val="24"/>
          <w:szCs w:val="24"/>
          <w:highlight w:val="none"/>
        </w:rPr>
        <w:t xml:space="preserve">由于乙方</w:t>
      </w:r>
      <w:r>
        <w:rPr>
          <w:rFonts w:hint="eastAsia" w:ascii="宋体" w:hAnsi="宋体" w:cs="宋体"/>
          <w:b w:val="0"/>
          <w:bCs/>
          <w:sz w:val="24"/>
          <w:szCs w:val="24"/>
          <w:highlight w:val="none"/>
          <w:lang w:val="en-US" w:eastAsia="zh-CN"/>
        </w:rPr>
        <w:t xml:space="preserve">运维、人员、安全管理等</w:t>
      </w:r>
      <w:r>
        <w:rPr>
          <w:rFonts w:hint="eastAsia" w:ascii="宋体" w:hAnsi="宋体" w:cs="宋体"/>
          <w:b w:val="0"/>
          <w:bCs/>
          <w:sz w:val="24"/>
          <w:szCs w:val="24"/>
          <w:highlight w:val="none"/>
        </w:rPr>
        <w:t xml:space="preserve">原因，给国家、甲方或第三方造成</w:t>
      </w:r>
      <w:r>
        <w:rPr>
          <w:rFonts w:hint="eastAsia" w:ascii="宋体" w:hAnsi="宋体" w:cs="宋体"/>
          <w:b w:val="0"/>
          <w:bCs/>
          <w:sz w:val="24"/>
          <w:szCs w:val="24"/>
          <w:highlight w:val="none"/>
          <w:lang w:val="en-US" w:eastAsia="zh-CN"/>
        </w:rPr>
        <w:t xml:space="preserve">人身财产</w:t>
      </w:r>
      <w:r>
        <w:rPr>
          <w:rFonts w:hint="eastAsia" w:ascii="宋体" w:hAnsi="宋体" w:cs="宋体"/>
          <w:b w:val="0"/>
          <w:bCs/>
          <w:sz w:val="24"/>
          <w:szCs w:val="24"/>
          <w:highlight w:val="none"/>
        </w:rPr>
        <w:t xml:space="preserve">损失</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发生安全事故、引发媒体及社会负面舆情的，</w:t>
      </w:r>
      <w:r>
        <w:rPr>
          <w:rFonts w:hint="eastAsia" w:ascii="宋体" w:hAnsi="宋体" w:cs="宋体"/>
          <w:b w:val="0"/>
          <w:bCs/>
          <w:sz w:val="24"/>
          <w:szCs w:val="24"/>
          <w:highlight w:val="none"/>
        </w:rPr>
        <w:t xml:space="preserve">所涉及的行政的、法律的、民事的责任由乙方全部承担，并承担相应的经济赔偿，甲方有权终止合同。</w:t>
      </w:r>
      <w:r>
        <w:rPr>
          <w:rFonts w:hint="eastAsia" w:ascii="宋体" w:hAnsi="宋体" w:cs="宋体"/>
          <w:b w:val="0"/>
          <w:bCs/>
          <w:sz w:val="24"/>
          <w:szCs w:val="24"/>
          <w:highlight w:val="none"/>
        </w:rPr>
      </w:r>
      <w:r/>
    </w:p>
    <w:p>
      <w:pPr>
        <w:pStyle w:val="1208"/>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、不可抗力事件处理</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.1在合同有效期内，任何一方因不可抗力事件导致不能履行合同，则合同履行期可延长，其延长期与不可抗力影响期相同。</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.2不可抗力事件发生后，应立即通知对方，并寄送有关权威机构出具的证明。</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.3不可抗力事件延续120日以上，双方应通过友好协商，确定是否继续履行合同。</w:t>
      </w:r>
      <w:r>
        <w:rPr>
          <w:rFonts w:hint="eastAsia" w:ascii="宋体" w:hAnsi="宋体" w:cs="宋体"/>
          <w:sz w:val="24"/>
          <w:szCs w:val="24"/>
          <w:highlight w:val="none"/>
        </w:rPr>
      </w:r>
      <w:r/>
    </w:p>
    <w:p>
      <w:pPr>
        <w:pStyle w:val="1208"/>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、诉讼</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.1双方在执行合同中所发生的一切争议，应通过协商解决。如协商不成，可向</w:t>
      </w:r>
      <w:r>
        <w:rPr>
          <w:rFonts w:hint="eastAsia" w:ascii="宋体" w:hAnsi="宋体" w:cs="宋体"/>
          <w:sz w:val="24"/>
          <w:szCs w:val="24"/>
          <w:highlight w:val="none"/>
          <w:lang w:val="en-US" w:eastAsia="zh-CN"/>
        </w:rPr>
        <w:t xml:space="preserve">甲方住所</w:t>
      </w:r>
      <w:r>
        <w:rPr>
          <w:rFonts w:hint="eastAsia" w:ascii="宋体" w:hAnsi="宋体" w:cs="宋体"/>
          <w:sz w:val="24"/>
          <w:szCs w:val="24"/>
          <w:highlight w:val="none"/>
        </w:rPr>
        <w:t xml:space="preserve">地</w:t>
      </w:r>
      <w:r>
        <w:rPr>
          <w:rFonts w:hint="eastAsia" w:ascii="宋体" w:hAnsi="宋体" w:cs="宋体"/>
          <w:sz w:val="24"/>
          <w:szCs w:val="24"/>
          <w:highlight w:val="none"/>
          <w:lang w:val="en-US" w:eastAsia="zh-CN"/>
        </w:rPr>
        <w:t xml:space="preserve">人民</w:t>
      </w:r>
      <w:r>
        <w:rPr>
          <w:rFonts w:hint="eastAsia" w:ascii="宋体" w:hAnsi="宋体" w:cs="宋体"/>
          <w:sz w:val="24"/>
          <w:szCs w:val="24"/>
          <w:highlight w:val="none"/>
        </w:rPr>
        <w:t xml:space="preserve">法院起诉，</w:t>
      </w:r>
      <w:r>
        <w:rPr>
          <w:rFonts w:hint="eastAsia" w:ascii="宋体" w:hAnsi="宋体" w:cs="宋体"/>
          <w:sz w:val="24"/>
          <w:szCs w:val="24"/>
          <w:highlight w:val="none"/>
          <w:lang w:val="en-US" w:eastAsia="zh-CN"/>
        </w:rPr>
        <w:t xml:space="preserve">甲方住所</w:t>
      </w:r>
      <w:r>
        <w:rPr>
          <w:rFonts w:hint="eastAsia" w:ascii="宋体" w:hAnsi="宋体" w:cs="宋体"/>
          <w:sz w:val="24"/>
          <w:szCs w:val="24"/>
          <w:highlight w:val="none"/>
        </w:rPr>
        <w:t xml:space="preserve">地在此约定为盐城市</w:t>
      </w:r>
      <w:r>
        <w:rPr>
          <w:rFonts w:hint="eastAsia" w:ascii="宋体" w:hAnsi="宋体" w:cs="宋体"/>
          <w:sz w:val="24"/>
          <w:szCs w:val="24"/>
          <w:highlight w:val="none"/>
          <w:lang w:val="en-US" w:eastAsia="zh-CN"/>
        </w:rPr>
        <w:t xml:space="preserve">亭湖区</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08"/>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、合同生效及其它</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 合同经双方法定代表人或授权委托代表人签字并加盖单位公章后生效。</w:t>
      </w:r>
      <w:r>
        <w:rPr>
          <w:rFonts w:hint="eastAsia" w:ascii="宋体" w:hAnsi="宋体" w:cs="宋体"/>
          <w:sz w:val="24"/>
          <w:szCs w:val="24"/>
          <w:highlight w:val="none"/>
        </w:rPr>
      </w:r>
      <w:r/>
    </w:p>
    <w:p>
      <w:pPr>
        <w:pStyle w:val="1208"/>
        <w:ind w:firstLine="480"/>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18.2本合同附件包括：招标文件、投标文件，中标通知书，甲、乙双方均应严格遵守。</w:t>
      </w:r>
      <w:r>
        <w:rPr>
          <w:rFonts w:ascii="宋体" w:hAnsi="宋体" w:eastAsia="宋体" w:cs="宋体"/>
          <w:sz w:val="24"/>
          <w:szCs w:val="24"/>
          <w:highlight w:val="none"/>
          <w:lang w:val="en-US" w:eastAsia="zh-CN"/>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本合同未尽事宜，遵照</w:t>
      </w:r>
      <w:r>
        <w:rPr>
          <w:rFonts w:hint="eastAsia" w:ascii="宋体" w:hAnsi="宋体" w:cs="宋体"/>
          <w:sz w:val="24"/>
          <w:szCs w:val="24"/>
          <w:highlight w:val="none"/>
          <w:lang w:eastAsia="zh-CN"/>
        </w:rPr>
        <w:t xml:space="preserve">《中华人民共和国民法典》</w:t>
      </w:r>
      <w:r>
        <w:rPr>
          <w:rFonts w:hint="eastAsia" w:ascii="宋体" w:hAnsi="宋体" w:cs="宋体"/>
          <w:sz w:val="24"/>
          <w:szCs w:val="24"/>
          <w:highlight w:val="none"/>
        </w:rPr>
        <w:t xml:space="preserve">有关条文执行。</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 本合同正本一式六份，具有同等法律效力，甲方、乙方各执三份。</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甲方：                                   乙方： </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地址：                                   地址： </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                   法定代表人或授权代表：</w:t>
      </w:r>
      <w:r>
        <w:rPr>
          <w:rFonts w:hint="eastAsia" w:ascii="宋体" w:hAnsi="宋体" w:cs="宋体"/>
          <w:sz w:val="24"/>
          <w:szCs w:val="24"/>
          <w:highlight w:val="none"/>
        </w:rPr>
      </w:r>
      <w:r/>
    </w:p>
    <w:p>
      <w:pPr>
        <w:pStyle w:val="1208"/>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                               联系电话：</w:t>
      </w:r>
      <w:r>
        <w:rPr>
          <w:rFonts w:hint="eastAsia" w:ascii="宋体" w:hAnsi="宋体" w:cs="宋体"/>
          <w:sz w:val="24"/>
          <w:szCs w:val="24"/>
          <w:highlight w:val="none"/>
        </w:rPr>
      </w:r>
      <w:r/>
    </w:p>
    <w:p>
      <w:pPr>
        <w:pStyle w:val="1236"/>
        <w:ind w:firstLine="480"/>
        <w:jc w:val="right"/>
        <w:spacing w:before="0" w:after="0" w:line="440" w:lineRule="exact"/>
        <w:rPr>
          <w:rFonts w:hint="eastAsia" w:hAnsi="宋体" w:cs="宋体"/>
          <w:sz w:val="24"/>
          <w:szCs w:val="24"/>
          <w:highlight w:val="none"/>
        </w:rPr>
      </w:pPr>
      <w:r>
        <w:rPr>
          <w:rFonts w:hint="eastAsia" w:hAnsi="宋体" w:cs="宋体"/>
          <w:sz w:val="24"/>
          <w:szCs w:val="24"/>
          <w:highlight w:val="none"/>
        </w:rPr>
        <w:t xml:space="preserve">签订日期：      年  月  日</w:t>
      </w:r>
      <w:bookmarkEnd w:id="99"/>
      <w:r/>
      <w:bookmarkEnd w:id="100"/>
      <w:r/>
      <w:bookmarkEnd w:id="101"/>
      <w:r>
        <w:rPr>
          <w:rFonts w:hint="eastAsia" w:hAnsi="宋体" w:cs="宋体"/>
          <w:sz w:val="24"/>
          <w:szCs w:val="24"/>
          <w:highlight w:val="none"/>
        </w:rPr>
      </w:r>
      <w:r/>
    </w:p>
    <w:p>
      <w:pPr>
        <w:pStyle w:val="1209"/>
        <w:spacing w:line="440" w:lineRule="exact"/>
        <w:rPr>
          <w:rFonts w:hint="eastAsia" w:ascii="宋体" w:hAnsi="宋体" w:eastAsia="宋体" w:cs="宋体"/>
          <w:b/>
          <w:sz w:val="30"/>
          <w:szCs w:val="32"/>
          <w:highlight w:val="none"/>
        </w:rPr>
      </w:pPr>
      <w:r/>
      <w:bookmarkStart w:id="102" w:name="_Toc120614244"/>
      <w:r/>
      <w:bookmarkStart w:id="103" w:name="_Toc16938590"/>
      <w:r/>
      <w:bookmarkStart w:id="104" w:name="_Toc20823346"/>
      <w:r/>
      <w:bookmarkStart w:id="105" w:name="_Hlt16619350"/>
      <w:r/>
      <w:bookmarkStart w:id="106" w:name="_Toc479757211"/>
      <w:r/>
      <w:bookmarkStart w:id="107" w:name="_Toc462564139"/>
      <w:r>
        <w:rPr>
          <w:rFonts w:hint="eastAsia" w:ascii="宋体" w:hAnsi="宋体" w:eastAsia="宋体" w:cs="宋体"/>
          <w:bCs/>
          <w:sz w:val="24"/>
          <w:szCs w:val="24"/>
          <w:highlight w:val="none"/>
        </w:rPr>
        <w:br w:type="page" w:clear="all"/>
      </w:r>
      <w:bookmarkEnd w:id="102"/>
      <w:r/>
      <w:bookmarkEnd w:id="103"/>
      <w:r/>
      <w:bookmarkEnd w:id="104"/>
      <w:r/>
      <w:bookmarkEnd w:id="105"/>
      <w:r/>
      <w:bookmarkStart w:id="108" w:name="_Toc49090575"/>
      <w:r/>
      <w:bookmarkStart w:id="109" w:name="_Toc26554093"/>
      <w:r>
        <w:rPr>
          <w:rFonts w:hint="eastAsia" w:ascii="宋体" w:hAnsi="宋体" w:eastAsia="宋体" w:cs="宋体"/>
          <w:bCs/>
          <w:sz w:val="44"/>
          <w:highlight w:val="none"/>
        </w:rPr>
        <w:t xml:space="preserve">第四章 </w:t>
      </w:r>
      <w:r>
        <w:rPr>
          <w:rFonts w:hint="eastAsia" w:ascii="宋体" w:hAnsi="宋体" w:eastAsia="宋体" w:cs="宋体"/>
          <w:bCs/>
          <w:sz w:val="44"/>
          <w:highlight w:val="none"/>
          <w:lang w:val="en-US" w:eastAsia="zh-CN"/>
        </w:rPr>
        <w:t xml:space="preserve">采购</w:t>
      </w:r>
      <w:r>
        <w:rPr>
          <w:rFonts w:hint="eastAsia" w:ascii="宋体" w:hAnsi="宋体" w:eastAsia="宋体" w:cs="宋体"/>
          <w:bCs/>
          <w:sz w:val="44"/>
          <w:highlight w:val="none"/>
        </w:rPr>
        <w:t xml:space="preserve">需求</w:t>
      </w:r>
      <w:r>
        <w:rPr>
          <w:rFonts w:hint="eastAsia" w:ascii="宋体" w:hAnsi="宋体" w:eastAsia="宋体" w:cs="宋体"/>
          <w:b/>
          <w:sz w:val="30"/>
          <w:szCs w:val="32"/>
          <w:highlight w:val="none"/>
        </w:rPr>
      </w:r>
      <w:r/>
    </w:p>
    <w:p>
      <w:pPr>
        <w:pStyle w:val="1290"/>
        <w:numPr>
          <w:ilvl w:val="1"/>
          <w:numId w:val="7"/>
        </w:numPr>
        <w:spacing w:line="440" w:lineRule="exact"/>
        <w:rPr>
          <w:rFonts w:hint="eastAsia" w:cs="宋体"/>
          <w:b/>
          <w:bCs/>
          <w:highlight w:val="none"/>
        </w:rPr>
        <w:outlineLvl w:val="1"/>
      </w:pPr>
      <w:r/>
      <w:bookmarkStart w:id="110" w:name="_Toc530304323"/>
      <w:r/>
      <w:bookmarkStart w:id="111" w:name="_Toc530144806"/>
      <w:r>
        <w:rPr>
          <w:rFonts w:hint="eastAsia" w:cs="宋体"/>
          <w:b/>
          <w:bCs/>
          <w:highlight w:val="none"/>
        </w:rPr>
        <w:t xml:space="preserve">服务内容</w:t>
      </w:r>
      <w:r>
        <w:rPr>
          <w:rFonts w:hint="eastAsia" w:cs="宋体"/>
          <w:b/>
          <w:bCs/>
          <w:highlight w:val="none"/>
        </w:rPr>
      </w:r>
      <w:r/>
    </w:p>
    <w:p>
      <w:pPr>
        <w:pStyle w:val="1290"/>
        <w:spacing w:line="440" w:lineRule="exact"/>
        <w:rPr>
          <w:rFonts w:hint="eastAsia" w:cs="宋体"/>
          <w:highlight w:val="none"/>
        </w:rPr>
      </w:pPr>
      <w:r>
        <w:rPr>
          <w:rFonts w:hint="eastAsia" w:cs="宋体"/>
          <w:highlight w:val="none"/>
        </w:rPr>
        <w:t xml:space="preserve">市区楼宇亮化及集控系统更新</w:t>
      </w:r>
      <w:r>
        <w:rPr>
          <w:rFonts w:hint="eastAsia" w:cs="宋体"/>
          <w:highlight w:val="none"/>
        </w:rPr>
        <w:t xml:space="preserve">维护</w:t>
      </w:r>
      <w:r>
        <w:rPr>
          <w:rFonts w:hint="eastAsia" w:cs="宋体"/>
          <w:highlight w:val="none"/>
        </w:rPr>
        <w:t xml:space="preserve">项目为服务外包项目，主要内容为集控中心</w:t>
      </w:r>
      <w:r>
        <w:rPr>
          <w:rFonts w:hint="eastAsia" w:cs="宋体"/>
          <w:highlight w:val="none"/>
          <w:lang w:val="en-US" w:eastAsia="zh-CN"/>
        </w:rPr>
        <w:t xml:space="preserve">维保</w:t>
      </w:r>
      <w:r>
        <w:rPr>
          <w:rFonts w:hint="eastAsia" w:cs="宋体"/>
          <w:highlight w:val="none"/>
        </w:rPr>
        <w:t xml:space="preserve">、强弱电控制节点端设备</w:t>
      </w:r>
      <w:r>
        <w:rPr>
          <w:rFonts w:hint="eastAsia" w:cs="宋体"/>
          <w:highlight w:val="none"/>
          <w:lang w:val="en-US" w:eastAsia="zh-CN"/>
        </w:rPr>
        <w:t xml:space="preserve">维保</w:t>
      </w:r>
      <w:r>
        <w:rPr>
          <w:rFonts w:hint="eastAsia" w:cs="宋体"/>
          <w:highlight w:val="none"/>
        </w:rPr>
        <w:t xml:space="preserve">和市区部分楼宇亮化灯具、管线及配套设施维保，含2</w:t>
      </w:r>
      <w:r>
        <w:rPr>
          <w:rFonts w:hint="eastAsia" w:cs="宋体"/>
          <w:highlight w:val="none"/>
          <w:lang w:val="en-US" w:eastAsia="zh-CN"/>
        </w:rPr>
        <w:t xml:space="preserve">9</w:t>
      </w:r>
      <w:r>
        <w:rPr>
          <w:rFonts w:hint="eastAsia" w:cs="宋体"/>
          <w:highlight w:val="none"/>
        </w:rPr>
        <w:t xml:space="preserve">幢</w:t>
      </w:r>
      <w:r>
        <w:rPr>
          <w:rFonts w:hint="eastAsia" w:cs="宋体"/>
          <w:highlight w:val="none"/>
          <w:lang w:bidi="ar"/>
        </w:rPr>
        <w:t xml:space="preserve">媒体屏楼宇和350幢双色温楼宇的弱电控制节点端</w:t>
      </w:r>
      <w:r>
        <w:rPr>
          <w:rFonts w:hint="eastAsia" w:cs="宋体"/>
          <w:highlight w:val="none"/>
          <w:lang w:val="en-US" w:eastAsia="zh-CN" w:bidi="ar"/>
        </w:rPr>
        <w:t xml:space="preserve">设备</w:t>
      </w:r>
      <w:r>
        <w:rPr>
          <w:rFonts w:hint="eastAsia" w:cs="宋体"/>
          <w:highlight w:val="none"/>
          <w:lang w:bidi="ar"/>
        </w:rPr>
        <w:t xml:space="preserve">维保、894幢楼宇的强电控制节点端设备维保，109幢市直管楼宇亮化的灯具、</w:t>
      </w:r>
      <w:r>
        <w:rPr>
          <w:rFonts w:hint="eastAsia" w:cs="宋体"/>
          <w:highlight w:val="none"/>
        </w:rPr>
        <w:t xml:space="preserve">管线及配套设施维保，</w:t>
      </w:r>
      <w:r>
        <w:rPr>
          <w:rFonts w:hint="eastAsia" w:cs="宋体"/>
          <w:highlight w:val="none"/>
          <w:lang w:bidi="ar"/>
        </w:rPr>
        <w:t xml:space="preserve">其他满足系统正常使用的内容</w:t>
      </w:r>
      <w:r>
        <w:rPr>
          <w:rFonts w:hint="eastAsia" w:cs="宋体"/>
          <w:highlight w:val="none"/>
        </w:rPr>
        <w:t xml:space="preserve">。</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本次服务内容主要有</w:t>
      </w:r>
      <w:r>
        <w:rPr>
          <w:rFonts w:hint="eastAsia" w:cs="宋体"/>
          <w:highlight w:val="none"/>
          <w:lang w:val="en-US" w:eastAsia="zh-CN"/>
        </w:rPr>
        <w:t xml:space="preserve">四</w:t>
      </w:r>
      <w:r>
        <w:rPr>
          <w:rFonts w:hint="eastAsia" w:cs="宋体"/>
          <w:highlight w:val="none"/>
        </w:rPr>
        <w:t xml:space="preserve">个方面：</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1.集控中心部分</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涉及集控中心软硬件维保</w:t>
      </w:r>
      <w:r>
        <w:rPr>
          <w:rFonts w:hint="eastAsia" w:cs="宋体"/>
          <w:highlight w:val="none"/>
          <w:lang w:val="en-US" w:eastAsia="zh-CN"/>
        </w:rPr>
        <w:t xml:space="preserve">服务</w:t>
      </w:r>
      <w:r>
        <w:rPr>
          <w:rFonts w:hint="eastAsia" w:cs="宋体"/>
          <w:highlight w:val="none"/>
        </w:rPr>
        <w:t xml:space="preserve">、集控中心</w:t>
      </w:r>
      <w:r>
        <w:rPr>
          <w:rFonts w:hint="eastAsia" w:cs="宋体"/>
          <w:highlight w:val="none"/>
          <w:lang w:val="en-US" w:eastAsia="zh-CN"/>
        </w:rPr>
        <w:t xml:space="preserve">软件升级及硬件更新</w:t>
      </w:r>
      <w:r>
        <w:rPr>
          <w:rFonts w:hint="eastAsia" w:cs="宋体"/>
          <w:highlight w:val="none"/>
        </w:rPr>
        <w:t xml:space="preserve">，互联网专线</w:t>
      </w:r>
      <w:r>
        <w:rPr>
          <w:rFonts w:hint="eastAsia" w:cs="宋体"/>
          <w:highlight w:val="none"/>
          <w:lang w:val="en-US" w:eastAsia="zh-CN"/>
        </w:rPr>
        <w:t xml:space="preserve">租赁</w:t>
      </w:r>
      <w:r>
        <w:rPr>
          <w:rFonts w:hint="eastAsia" w:cs="宋体"/>
          <w:highlight w:val="none"/>
        </w:rPr>
        <w:t xml:space="preserve">及</w:t>
      </w:r>
      <w:r>
        <w:rPr>
          <w:rFonts w:hint="eastAsia" w:cs="宋体"/>
          <w:highlight w:val="none"/>
          <w:lang w:val="en-US" w:eastAsia="zh-CN"/>
        </w:rPr>
        <w:t xml:space="preserve">满足系统运行的流量和物联网卡数量</w:t>
      </w:r>
      <w:r>
        <w:rPr>
          <w:rFonts w:hint="eastAsia" w:cs="宋体"/>
          <w:highlight w:val="none"/>
        </w:rPr>
        <w:t xml:space="preserve">等。</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2.弱电控制节点端部分</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涉及2</w:t>
      </w:r>
      <w:r>
        <w:rPr>
          <w:rFonts w:hint="eastAsia" w:cs="宋体"/>
          <w:highlight w:val="none"/>
          <w:lang w:val="en-US" w:eastAsia="zh-CN"/>
        </w:rPr>
        <w:t xml:space="preserve">9</w:t>
      </w:r>
      <w:r>
        <w:rPr>
          <w:rFonts w:hint="eastAsia" w:cs="宋体"/>
          <w:highlight w:val="none"/>
        </w:rPr>
        <w:t xml:space="preserve">幢</w:t>
      </w:r>
      <w:r>
        <w:rPr>
          <w:rFonts w:hint="eastAsia" w:cs="宋体"/>
          <w:highlight w:val="none"/>
          <w:lang w:bidi="ar"/>
        </w:rPr>
        <w:t xml:space="preserve">媒体屏楼宇节点端设备维保、350幢双色温楼宇节点端设备维保等</w:t>
      </w:r>
      <w:r>
        <w:rPr>
          <w:rFonts w:hint="eastAsia" w:cs="宋体"/>
          <w:highlight w:val="none"/>
        </w:rPr>
        <w:t xml:space="preserve">。</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3.强电控制节点端部分</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涉及894幢楼宇</w:t>
      </w:r>
      <w:r>
        <w:rPr>
          <w:rFonts w:hint="eastAsia" w:cs="宋体"/>
          <w:highlight w:val="none"/>
          <w:lang w:bidi="ar"/>
        </w:rPr>
        <w:t xml:space="preserve">强电控制节点端设备维保等</w:t>
      </w:r>
      <w:r>
        <w:rPr>
          <w:rFonts w:hint="eastAsia" w:cs="宋体"/>
          <w:highlight w:val="none"/>
        </w:rPr>
        <w:t xml:space="preserve">。</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4.亮化灯具及配套设施部分</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涉及</w:t>
      </w:r>
      <w:r>
        <w:rPr>
          <w:rFonts w:hint="eastAsia" w:cs="宋体"/>
          <w:highlight w:val="none"/>
          <w:lang w:bidi="ar"/>
        </w:rPr>
        <w:t xml:space="preserve">109幢市直管楼宇亮化的灯具、</w:t>
      </w:r>
      <w:r>
        <w:rPr>
          <w:rFonts w:hint="eastAsia" w:cs="宋体"/>
          <w:highlight w:val="none"/>
        </w:rPr>
        <w:t xml:space="preserve">管线及配套设施维保。</w:t>
      </w:r>
      <w:r>
        <w:rPr>
          <w:rFonts w:hint="eastAsia" w:cs="宋体"/>
          <w:highlight w:val="none"/>
        </w:rPr>
      </w:r>
      <w:r/>
    </w:p>
    <w:p>
      <w:pPr>
        <w:pStyle w:val="1290"/>
        <w:numPr>
          <w:ilvl w:val="1"/>
          <w:numId w:val="7"/>
        </w:numPr>
        <w:spacing w:line="440" w:lineRule="exact"/>
        <w:rPr>
          <w:rFonts w:hint="eastAsia" w:cs="宋体"/>
          <w:b/>
          <w:bCs/>
          <w:highlight w:val="none"/>
        </w:rPr>
        <w:outlineLvl w:val="1"/>
      </w:pPr>
      <w:r/>
      <w:bookmarkEnd w:id="110"/>
      <w:r/>
      <w:bookmarkEnd w:id="111"/>
      <w:r>
        <w:rPr>
          <w:rFonts w:hint="eastAsia" w:cs="宋体"/>
          <w:b/>
          <w:bCs/>
          <w:highlight w:val="none"/>
        </w:rPr>
        <w:t xml:space="preserve">服务内容清单</w:t>
      </w:r>
      <w:r>
        <w:rPr>
          <w:rFonts w:hint="eastAsia" w:cs="宋体"/>
          <w:b/>
          <w:bCs/>
          <w:highlight w:val="none"/>
        </w:rPr>
      </w:r>
      <w:r/>
    </w:p>
    <w:tbl>
      <w:tblPr>
        <w:tblW w:w="46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272"/>
        <w:gridCol w:w="3834"/>
        <w:gridCol w:w="730"/>
        <w:gridCol w:w="886"/>
      </w:tblGrid>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272"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项目/服务名称</w:t>
            </w:r>
            <w:r>
              <w:rPr>
                <w:rFonts w:hint="eastAsia" w:ascii="宋体" w:hAnsi="宋体" w:eastAsia="宋体" w:cs="宋体"/>
                <w:b/>
                <w:bCs/>
                <w:i w:val="0"/>
                <w:iCs w:val="0"/>
                <w:color w:val="000000"/>
                <w:sz w:val="20"/>
                <w:szCs w:val="20"/>
                <w:highlight w:val="none"/>
                <w:u w:val="none"/>
              </w:rPr>
            </w:r>
            <w:r/>
          </w:p>
        </w:tc>
        <w:tc>
          <w:tcPr>
            <w:tcW w:w="3834"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规格参数/功能要求</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一、集控中心部分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27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集控中心软硬件维保服务</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lang w:bidi="ar"/>
              </w:rPr>
              <w:t xml:space="preserve">集控中心现有设备及软件维保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lang w:bidi="ar"/>
              </w:rPr>
              <w:t xml:space="preserve">互联网专线租赁</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90"/>
              <w:numPr>
                <w:ilvl w:val="0"/>
                <w:numId w:val="0"/>
              </w:numPr>
              <w:ind w:left="0" w:firstLine="0"/>
              <w:jc w:val="left"/>
              <w:spacing w:line="440" w:lineRule="exact"/>
              <w:rPr>
                <w:rFonts w:hint="eastAsia" w:ascii="宋体" w:hAnsi="宋体" w:eastAsia="宋体" w:cs="宋体"/>
                <w:b w:val="0"/>
                <w:bCs w:val="0"/>
                <w:color w:val="000000"/>
                <w:sz w:val="20"/>
                <w:szCs w:val="20"/>
                <w:highlight w:val="none"/>
                <w:lang w:val="en-US" w:eastAsia="zh-CN" w:bidi="ar"/>
              </w:rPr>
            </w:pPr>
            <w:r>
              <w:rPr>
                <w:rFonts w:hint="eastAsia" w:ascii="宋体" w:hAnsi="宋体" w:eastAsia="宋体" w:cs="宋体"/>
                <w:b w:val="0"/>
                <w:bCs w:val="0"/>
                <w:color w:val="000000"/>
                <w:sz w:val="20"/>
                <w:szCs w:val="20"/>
                <w:highlight w:val="none"/>
                <w:lang w:val="en-US" w:eastAsia="zh-CN" w:bidi="ar"/>
              </w:rPr>
              <w:t xml:space="preserve">物联网卡</w:t>
            </w:r>
            <w:r>
              <w:rPr>
                <w:rFonts w:hint="eastAsia" w:ascii="宋体" w:hAnsi="宋体" w:eastAsia="宋体" w:cs="宋体"/>
                <w:b w:val="0"/>
                <w:bCs w:val="0"/>
                <w:color w:val="000000"/>
                <w:sz w:val="20"/>
                <w:szCs w:val="20"/>
                <w:highlight w:val="none"/>
                <w:lang w:val="en-US" w:eastAsia="zh-CN" w:bidi="ar"/>
              </w:rPr>
            </w:r>
            <w:r/>
          </w:p>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27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集控中心软件升级及硬件更新</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强电控制系统功能升级</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rPr>
              <w:t xml:space="preserve">机房、操作室智能门禁安防服务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机房智能视频监控服务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ascii="宋体" w:hAnsi="宋体" w:eastAsia="宋体" w:cs="宋体"/>
                <w:i w:val="0"/>
                <w:iCs w:val="0"/>
                <w:color w:val="000000"/>
                <w:sz w:val="20"/>
                <w:szCs w:val="20"/>
                <w:highlight w:val="none"/>
                <w:u w:val="none"/>
                <w:lang w:val="en-US"/>
              </w:rPr>
            </w:r>
            <w:r/>
          </w:p>
        </w:tc>
        <w:tc>
          <w:tcPr>
            <w:tcW w:w="2272" w:type="dxa"/>
            <w:vAlign w:val="center"/>
            <w:vMerge w:val="continue"/>
            <w:textDirection w:val="lrTb"/>
            <w:noWrap w:val="false"/>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集控中心整体办公环境维保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二、弱电控制节点端部分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27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媒体屏楼宇节点端维保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媒体屏楼宇节点端维保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27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双色温楼宇节点端维保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双色温楼宇节点端维保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三、强电控制节点端部分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ascii="宋体" w:hAnsi="宋体" w:eastAsia="宋体" w:cs="宋体"/>
                <w:i w:val="0"/>
                <w:iCs w:val="0"/>
                <w:color w:val="000000"/>
                <w:sz w:val="20"/>
                <w:szCs w:val="20"/>
                <w:highlight w:val="none"/>
                <w:u w:val="none"/>
                <w:lang w:val="en-US"/>
              </w:rPr>
            </w:r>
            <w:r/>
          </w:p>
        </w:tc>
        <w:tc>
          <w:tcPr>
            <w:tcW w:w="2272" w:type="dxa"/>
            <w:vAlign w:val="center"/>
            <w:textDirection w:val="lrTb"/>
            <w:noWrap w:val="false"/>
          </w:tcPr>
          <w:p>
            <w:pPr>
              <w:pStyle w:val="1208"/>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强电控制节点端维保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强电控制节点端维保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894</w:t>
            </w:r>
            <w:r>
              <w:rPr>
                <w:rFonts w:hint="eastAsia" w:ascii="宋体" w:hAnsi="宋体" w:eastAsia="宋体" w:cs="宋体"/>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四、亮化灯具及配套设施部分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27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亮化设施维保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亮化设施维保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rPr>
                <w:rFonts w:hint="eastAsia" w:ascii="宋体" w:hAnsi="宋体" w:eastAsia="宋体" w:cs="宋体"/>
                <w:i w:val="0"/>
                <w:iCs w:val="0"/>
                <w:color w:val="000000"/>
                <w:sz w:val="20"/>
                <w:szCs w:val="20"/>
                <w:highlight w:val="none"/>
                <w:u w:val="none"/>
              </w:rPr>
            </w:r>
            <w:r/>
          </w:p>
        </w:tc>
      </w:tr>
    </w:tbl>
    <w:p>
      <w:pPr>
        <w:pStyle w:val="1290"/>
        <w:ind w:firstLine="482"/>
        <w:spacing w:line="440" w:lineRule="exact"/>
        <w:rPr>
          <w:rFonts w:hint="eastAsia" w:cs="宋体"/>
          <w:b/>
          <w:bCs/>
          <w:highlight w:val="none"/>
        </w:rPr>
      </w:pPr>
      <w:r>
        <w:rPr>
          <w:rFonts w:hint="eastAsia" w:cs="宋体"/>
          <w:b/>
          <w:bCs/>
          <w:highlight w:val="none"/>
        </w:rPr>
        <w:t xml:space="preserve">注：</w:t>
      </w:r>
      <w:r>
        <w:rPr>
          <w:rFonts w:hint="eastAsia" w:cs="宋体"/>
          <w:b/>
          <w:bCs/>
          <w:highlight w:val="none"/>
        </w:rPr>
      </w:r>
      <w:r/>
    </w:p>
    <w:p>
      <w:pPr>
        <w:pStyle w:val="1290"/>
        <w:ind w:firstLine="482"/>
        <w:spacing w:line="440" w:lineRule="exact"/>
        <w:rPr>
          <w:rFonts w:hint="eastAsia" w:cs="宋体"/>
          <w:b/>
          <w:bCs/>
          <w:highlight w:val="none"/>
        </w:rPr>
      </w:pPr>
      <w:r>
        <w:rPr>
          <w:rFonts w:hint="eastAsia" w:cs="宋体"/>
          <w:b/>
          <w:bCs/>
          <w:highlight w:val="none"/>
        </w:rPr>
        <w:t xml:space="preserve">1.本次招标提供的服务内容清单供投标人进行参考，在实际实施过程中，若招标文件内容和实施现场实际情况未能完全符合，中标人应根据实际情况进行调整及补充，但必须保证项目的完整性，采购人不增加额外建设费用，产生的一切费用由中标人自行承担。</w:t>
      </w:r>
      <w:r>
        <w:rPr>
          <w:rFonts w:hint="eastAsia" w:cs="宋体"/>
          <w:b/>
          <w:bCs/>
          <w:highlight w:val="none"/>
        </w:rPr>
      </w:r>
      <w:r/>
    </w:p>
    <w:p>
      <w:pPr>
        <w:pStyle w:val="1290"/>
        <w:ind w:firstLine="482"/>
        <w:spacing w:line="440" w:lineRule="exact"/>
        <w:rPr>
          <w:rFonts w:hint="eastAsia" w:cs="宋体"/>
          <w:b/>
          <w:bCs/>
          <w:highlight w:val="none"/>
        </w:rPr>
      </w:pPr>
      <w:r>
        <w:rPr>
          <w:rFonts w:hint="eastAsia" w:cs="宋体"/>
          <w:b/>
          <w:bCs/>
          <w:highlight w:val="none"/>
        </w:rPr>
        <w:t xml:space="preserve">2.本项目采用全包方式（交钥匙项目），包括且不限于维护维保、设备更换、设备维修、深化设计、实施方案、设备选型，配件及辅材、工具采购、运输抵达现场后的清点报验、仓库搭建、储存、保管、安装、配合施工、安全保护、现场环境清理、垃圾运输、破坏恢复、临时设施、系统调试、系统测试、验收、人员培训等一系列工作。</w:t>
      </w:r>
      <w:r>
        <w:rPr>
          <w:rFonts w:hint="eastAsia" w:cs="宋体"/>
          <w:b/>
          <w:bCs/>
          <w:highlight w:val="none"/>
        </w:rPr>
      </w:r>
      <w:r/>
    </w:p>
    <w:p>
      <w:pPr>
        <w:pStyle w:val="1290"/>
        <w:ind w:firstLine="482"/>
        <w:spacing w:line="440" w:lineRule="exact"/>
        <w:rPr>
          <w:rFonts w:hint="eastAsia" w:cs="宋体"/>
          <w:b/>
          <w:bCs/>
          <w:highlight w:val="none"/>
        </w:rPr>
      </w:pPr>
      <w:r>
        <w:rPr>
          <w:rFonts w:hint="eastAsia" w:cs="宋体"/>
          <w:b/>
          <w:bCs/>
          <w:highlight w:val="none"/>
        </w:rPr>
        <w:t xml:space="preserve">3</w:t>
      </w:r>
      <w:r>
        <w:rPr>
          <w:rFonts w:hint="eastAsia" w:cs="宋体"/>
          <w:b/>
          <w:bCs/>
          <w:highlight w:val="none"/>
          <w:lang w:val="en-US" w:eastAsia="zh-CN"/>
        </w:rPr>
        <w:t xml:space="preserve">.</w:t>
      </w:r>
      <w:r>
        <w:rPr>
          <w:rFonts w:hint="eastAsia" w:cs="宋体"/>
          <w:b/>
          <w:bCs/>
          <w:highlight w:val="none"/>
        </w:rPr>
        <w:t xml:space="preserve">考虑到本项目实施特点及可扩展性需要，投标人应事先保留适当项目实施不可预见费以保证本项目顺利开展，集控中心软硬件系统须预留余量且具有不低于2000幢楼宇的强电控制节点端接入能力（包含</w:t>
      </w:r>
      <w:r>
        <w:rPr>
          <w:rFonts w:hint="eastAsia" w:cs="宋体"/>
          <w:b/>
          <w:bCs/>
          <w:highlight w:val="none"/>
          <w:lang w:val="en-US" w:eastAsia="zh-CN"/>
        </w:rPr>
        <w:t xml:space="preserve">但</w:t>
      </w:r>
      <w:r>
        <w:rPr>
          <w:rFonts w:hint="eastAsia" w:cs="宋体"/>
          <w:b/>
          <w:bCs/>
          <w:highlight w:val="none"/>
        </w:rPr>
        <w:t xml:space="preserve">不限于带宽、硬件规格、软件平台、软件接口等）及第三方设备接入能力（包含</w:t>
      </w:r>
      <w:r>
        <w:rPr>
          <w:rFonts w:hint="eastAsia" w:cs="宋体"/>
          <w:b/>
          <w:bCs/>
          <w:highlight w:val="none"/>
          <w:lang w:val="en-US" w:eastAsia="zh-CN"/>
        </w:rPr>
        <w:t xml:space="preserve">但</w:t>
      </w:r>
      <w:r>
        <w:rPr>
          <w:rFonts w:hint="eastAsia" w:cs="宋体"/>
          <w:b/>
          <w:bCs/>
          <w:highlight w:val="none"/>
        </w:rPr>
        <w:t xml:space="preserve">不限于温湿度传感器、水浸传感器、</w:t>
      </w:r>
      <w:r>
        <w:rPr>
          <w:rFonts w:hint="eastAsia" w:cs="宋体"/>
          <w:b/>
          <w:bCs/>
          <w:highlight w:val="none"/>
          <w:lang w:val="en-US" w:eastAsia="zh-CN"/>
        </w:rPr>
        <w:t xml:space="preserve">光感应监测设备等</w:t>
      </w:r>
      <w:r>
        <w:rPr>
          <w:rFonts w:hint="eastAsia" w:cs="宋体"/>
          <w:b/>
          <w:bCs/>
          <w:highlight w:val="none"/>
        </w:rPr>
        <w:t xml:space="preserve">）须根据</w:t>
      </w:r>
      <w:r>
        <w:rPr>
          <w:rFonts w:hint="eastAsia" w:cs="宋体"/>
          <w:b/>
          <w:bCs/>
          <w:highlight w:val="none"/>
          <w:lang w:val="en-US" w:eastAsia="zh-CN"/>
        </w:rPr>
        <w:t xml:space="preserve">采购人</w:t>
      </w:r>
      <w:r>
        <w:rPr>
          <w:rFonts w:hint="eastAsia" w:cs="宋体"/>
          <w:b/>
          <w:bCs/>
          <w:highlight w:val="none"/>
        </w:rPr>
        <w:t xml:space="preserve">要求提供服务。</w:t>
      </w:r>
      <w:r>
        <w:rPr>
          <w:rFonts w:hint="eastAsia" w:cs="宋体"/>
          <w:b/>
          <w:bCs/>
          <w:highlight w:val="none"/>
        </w:rPr>
      </w:r>
      <w:r/>
    </w:p>
    <w:p>
      <w:pPr>
        <w:pStyle w:val="1290"/>
        <w:numPr>
          <w:ilvl w:val="1"/>
          <w:numId w:val="7"/>
        </w:numPr>
        <w:spacing w:line="440" w:lineRule="exact"/>
        <w:rPr>
          <w:rFonts w:hint="eastAsia" w:cs="宋体"/>
          <w:b/>
          <w:bCs/>
          <w:highlight w:val="none"/>
        </w:rPr>
        <w:outlineLvl w:val="1"/>
      </w:pPr>
      <w:r>
        <w:rPr>
          <w:rFonts w:hint="eastAsia" w:cs="宋体"/>
          <w:b/>
          <w:bCs/>
          <w:highlight w:val="none"/>
        </w:rPr>
        <w:t xml:space="preserve">技术及服务要求</w:t>
      </w:r>
      <w:r>
        <w:rPr>
          <w:rFonts w:hint="eastAsia" w:cs="宋体"/>
          <w:b/>
          <w:bCs/>
          <w:highlight w:val="none"/>
        </w:rPr>
      </w:r>
      <w:r/>
    </w:p>
    <w:p>
      <w:pPr>
        <w:pStyle w:val="1290"/>
        <w:ind w:firstLine="482"/>
        <w:spacing w:line="440" w:lineRule="exact"/>
        <w:rPr>
          <w:rFonts w:hint="eastAsia" w:cs="宋体"/>
          <w:b/>
          <w:bCs/>
          <w:highlight w:val="none"/>
        </w:rPr>
      </w:pPr>
      <w:r>
        <w:rPr>
          <w:rFonts w:hint="eastAsia" w:cs="宋体"/>
          <w:b/>
          <w:bCs/>
          <w:highlight w:val="none"/>
        </w:rPr>
        <w:t xml:space="preserve">标注“▲”条款为重要条款。</w:t>
      </w:r>
      <w:r>
        <w:rPr>
          <w:rFonts w:hint="eastAsia" w:cs="宋体"/>
          <w:b/>
          <w:bCs/>
          <w:highlight w:val="none"/>
        </w:rPr>
      </w:r>
      <w:r/>
    </w:p>
    <w:p>
      <w:pPr>
        <w:pStyle w:val="1290"/>
        <w:numPr>
          <w:ilvl w:val="0"/>
          <w:numId w:val="8"/>
        </w:numPr>
        <w:ind w:firstLine="402"/>
        <w:spacing w:line="440" w:lineRule="exact"/>
        <w:rPr>
          <w:rFonts w:hint="eastAsia" w:cs="宋体"/>
          <w:b/>
          <w:bCs/>
          <w:highlight w:val="none"/>
        </w:rPr>
        <w:outlineLvl w:val="2"/>
      </w:pPr>
      <w:r>
        <w:rPr>
          <w:rFonts w:hint="eastAsia" w:cs="宋体"/>
          <w:b/>
          <w:bCs/>
          <w:highlight w:val="none"/>
        </w:rPr>
        <w:t xml:space="preserve">详细技术要求</w:t>
      </w:r>
      <w:r>
        <w:rPr>
          <w:rFonts w:hint="eastAsia" w:cs="宋体"/>
          <w:b/>
          <w:bCs/>
          <w:highlight w:val="none"/>
        </w:rPr>
      </w:r>
      <w:r/>
    </w:p>
    <w:p>
      <w:pPr>
        <w:pStyle w:val="1290"/>
        <w:numPr>
          <w:ilvl w:val="0"/>
          <w:numId w:val="9"/>
        </w:numPr>
        <w:ind w:left="420" w:firstLine="0"/>
        <w:spacing w:line="440" w:lineRule="exact"/>
        <w:rPr>
          <w:rFonts w:hint="eastAsia" w:cs="宋体"/>
          <w:b/>
          <w:bCs/>
          <w:highlight w:val="none"/>
        </w:rPr>
        <w:outlineLvl w:val="3"/>
      </w:pPr>
      <w:r>
        <w:rPr>
          <w:rFonts w:hint="eastAsia" w:cs="宋体"/>
          <w:b/>
          <w:bCs/>
          <w:highlight w:val="none"/>
          <w:lang w:bidi="ar"/>
        </w:rPr>
        <w:t xml:space="preserve">集控中心软硬件维保</w:t>
      </w:r>
      <w:r>
        <w:rPr>
          <w:rFonts w:hint="eastAsia" w:cs="宋体"/>
          <w:b/>
          <w:bCs/>
          <w:highlight w:val="none"/>
          <w:lang w:val="en-US" w:eastAsia="zh-CN" w:bidi="ar"/>
        </w:rPr>
        <w:t xml:space="preserve">服务</w:t>
      </w:r>
      <w:r>
        <w:rPr>
          <w:rFonts w:hint="eastAsia" w:cs="宋体"/>
          <w:b/>
          <w:bCs/>
          <w:highlight w:val="none"/>
        </w:rPr>
      </w:r>
      <w:r/>
    </w:p>
    <w:p>
      <w:pPr>
        <w:pStyle w:val="1290"/>
        <w:ind w:firstLine="482"/>
        <w:spacing w:line="440" w:lineRule="exact"/>
        <w:rPr>
          <w:rFonts w:hint="eastAsia" w:cs="宋体"/>
          <w:highlight w:val="none"/>
          <w:lang w:bidi="ar"/>
        </w:rPr>
      </w:pPr>
      <w:r>
        <w:rPr>
          <w:rFonts w:hint="eastAsia" w:cs="宋体"/>
          <w:b/>
          <w:bCs/>
          <w:highlight w:val="none"/>
          <w:lang w:val="en-US" w:eastAsia="zh-CN" w:bidi="ar"/>
        </w:rPr>
        <w:t xml:space="preserve">（1）</w:t>
      </w:r>
      <w:r>
        <w:rPr>
          <w:rFonts w:hint="eastAsia" w:cs="宋体"/>
          <w:b/>
          <w:bCs/>
          <w:highlight w:val="none"/>
          <w:lang w:bidi="ar"/>
        </w:rPr>
        <w:t xml:space="preserve">集控中心现有设备及软件维保</w:t>
      </w:r>
      <w:r>
        <w:rPr>
          <w:rFonts w:hint="eastAsia" w:cs="宋体"/>
          <w:b/>
          <w:bCs/>
          <w:highlight w:val="none"/>
          <w:lang w:eastAsia="zh-CN" w:bidi="ar"/>
        </w:rPr>
        <w:t xml:space="preserve">。</w:t>
      </w:r>
      <w:r>
        <w:rPr>
          <w:rFonts w:hint="eastAsia" w:cs="宋体"/>
          <w:highlight w:val="none"/>
          <w:lang w:eastAsia="zh-CN" w:bidi="ar"/>
        </w:rPr>
        <w:t xml:space="preserve">包括强弱电控制系统硬件、强弱电控制系统软件、安全系统设备和网络设备</w:t>
      </w:r>
      <w:r>
        <w:rPr>
          <w:rFonts w:hint="eastAsia" w:cs="宋体"/>
          <w:highlight w:val="none"/>
          <w:lang w:val="en-US" w:eastAsia="zh-CN" w:bidi="ar"/>
        </w:rPr>
        <w:t xml:space="preserve">四个部分。</w:t>
      </w:r>
      <w:r>
        <w:rPr>
          <w:rFonts w:hint="eastAsia" w:cs="宋体"/>
          <w:highlight w:val="none"/>
          <w:lang w:bidi="ar"/>
        </w:rPr>
        <w:t xml:space="preserve">投标人自行查勘现场，须保证集控中心软硬件正常稳定运行。</w:t>
      </w:r>
      <w:r>
        <w:rPr>
          <w:rFonts w:hint="eastAsia" w:cs="宋体"/>
          <w:highlight w:val="none"/>
          <w:lang w:bidi="ar"/>
        </w:rPr>
      </w:r>
      <w:r/>
    </w:p>
    <w:p>
      <w:pPr>
        <w:pStyle w:val="1290"/>
        <w:ind w:firstLine="482"/>
        <w:spacing w:line="440" w:lineRule="exact"/>
        <w:rPr>
          <w:rFonts w:hint="eastAsia" w:cs="宋体"/>
          <w:highlight w:val="none"/>
          <w:lang w:bidi="ar"/>
        </w:rPr>
      </w:pPr>
      <w:r>
        <w:rPr>
          <w:rFonts w:hint="eastAsia" w:cs="宋体"/>
          <w:b/>
          <w:bCs/>
          <w:highlight w:val="none"/>
        </w:rPr>
        <w:t xml:space="preserve">▲</w:t>
      </w:r>
      <w:r>
        <w:rPr>
          <w:rFonts w:hint="eastAsia" w:cs="宋体"/>
          <w:highlight w:val="none"/>
          <w:lang w:bidi="ar"/>
        </w:rPr>
        <w:t xml:space="preserve">投标人须保证</w:t>
      </w:r>
      <w:r>
        <w:rPr>
          <w:rFonts w:hint="eastAsia" w:cs="宋体"/>
          <w:highlight w:val="none"/>
          <w:lang w:val="en-US" w:eastAsia="zh-CN" w:bidi="ar"/>
        </w:rPr>
        <w:t xml:space="preserve">强</w:t>
      </w:r>
      <w:r>
        <w:rPr>
          <w:rFonts w:hint="eastAsia" w:cs="宋体"/>
          <w:highlight w:val="none"/>
          <w:lang w:bidi="ar"/>
        </w:rPr>
        <w:t xml:space="preserve">弱电控制系统</w:t>
      </w:r>
      <w:r>
        <w:rPr>
          <w:rFonts w:hint="eastAsia" w:cs="宋体"/>
          <w:highlight w:val="none"/>
          <w:lang w:val="en-US" w:eastAsia="zh-CN" w:bidi="ar"/>
        </w:rPr>
        <w:t xml:space="preserve">分别</w:t>
      </w:r>
      <w:r>
        <w:rPr>
          <w:rFonts w:hint="eastAsia" w:cs="宋体"/>
          <w:highlight w:val="none"/>
          <w:lang w:bidi="ar"/>
        </w:rPr>
        <w:t xml:space="preserve">独立组网，组建</w:t>
      </w:r>
      <w:r>
        <w:rPr>
          <w:rFonts w:hint="eastAsia" w:cs="宋体"/>
          <w:highlight w:val="none"/>
          <w:lang w:val="en-US" w:eastAsia="zh-CN" w:bidi="ar"/>
        </w:rPr>
        <w:t xml:space="preserve">强</w:t>
      </w:r>
      <w:r>
        <w:rPr>
          <w:rFonts w:hint="eastAsia" w:cs="宋体"/>
          <w:highlight w:val="none"/>
          <w:lang w:bidi="ar"/>
        </w:rPr>
        <w:t xml:space="preserve">弱电控制内部网，不得接入其他网络。</w:t>
      </w:r>
      <w:r>
        <w:rPr>
          <w:rFonts w:hint="eastAsia" w:cs="宋体"/>
          <w:highlight w:val="none"/>
          <w:lang w:bidi="ar"/>
        </w:rPr>
      </w:r>
      <w:r/>
    </w:p>
    <w:p>
      <w:pPr>
        <w:pStyle w:val="1290"/>
        <w:ind w:firstLine="480"/>
        <w:spacing w:line="440" w:lineRule="exact"/>
        <w:rPr>
          <w:rFonts w:hint="eastAsia" w:ascii="宋体" w:hAnsi="宋体" w:eastAsia="宋体" w:cs="宋体"/>
          <w:highlight w:val="none"/>
          <w:lang w:val="en-US" w:eastAsia="zh-CN" w:bidi="ar"/>
        </w:rPr>
      </w:pPr>
      <w:r>
        <w:rPr>
          <w:rFonts w:hint="eastAsia" w:cs="宋体"/>
          <w:b w:val="0"/>
          <w:bCs w:val="0"/>
          <w:highlight w:val="none"/>
        </w:rPr>
        <w:t xml:space="preserve">▲</w:t>
      </w:r>
      <w:r>
        <w:rPr>
          <w:rFonts w:hint="eastAsia" w:ascii="宋体" w:hAnsi="宋体" w:eastAsia="宋体" w:cs="宋体"/>
          <w:sz w:val="24"/>
          <w:szCs w:val="24"/>
          <w:highlight w:val="none"/>
          <w:lang w:val="en-US" w:eastAsia="zh-CN" w:bidi="ar"/>
        </w:rPr>
        <w:t xml:space="preserve">为保证设备正常运行和系统安全，投标人须保证数据备份一体机、下一代防火墙、日志审计系统的三年质保和升级服务，并提供服务承诺函。</w:t>
      </w:r>
      <w:r>
        <w:rPr>
          <w:rFonts w:hint="eastAsia" w:ascii="宋体" w:hAnsi="宋体" w:eastAsia="宋体" w:cs="宋体"/>
          <w:highlight w:val="none"/>
          <w:lang w:val="en-US" w:eastAsia="zh-CN" w:bidi="ar"/>
        </w:rPr>
      </w:r>
      <w:r/>
    </w:p>
    <w:p>
      <w:pPr>
        <w:pStyle w:val="1290"/>
        <w:ind w:firstLine="480"/>
        <w:spacing w:line="440" w:lineRule="exact"/>
        <w:rPr>
          <w:rFonts w:hint="eastAsia" w:cs="宋体"/>
          <w:highlight w:val="none"/>
        </w:rPr>
      </w:pPr>
      <w:r>
        <w:rPr>
          <w:rFonts w:hint="eastAsia" w:cs="宋体"/>
          <w:highlight w:val="none"/>
        </w:rPr>
        <w:t xml:space="preserve">详细内容如下：</w:t>
      </w:r>
      <w:r>
        <w:rPr>
          <w:rFonts w:hint="eastAsia" w:cs="宋体"/>
          <w:highlight w:val="none"/>
        </w:rPr>
      </w:r>
      <w:r/>
    </w:p>
    <w:tbl>
      <w:tblPr>
        <w:tblW w:w="4962" w:type="pct"/>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220"/>
        <w:gridCol w:w="1369"/>
        <w:gridCol w:w="4502"/>
        <w:gridCol w:w="740"/>
        <w:gridCol w:w="667"/>
      </w:tblGrid>
      <w:tr>
        <w:trPr>
          <w:trHeight w:val="560"/>
        </w:trPr>
        <w:tc>
          <w:tcPr>
            <w:tcW w:w="33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67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产品名称</w:t>
            </w:r>
            <w:r>
              <w:rPr>
                <w:rFonts w:hint="eastAsia" w:ascii="宋体" w:hAnsi="宋体" w:eastAsia="宋体" w:cs="宋体"/>
                <w:b/>
                <w:bCs/>
                <w:i w:val="0"/>
                <w:iCs w:val="0"/>
                <w:color w:val="000000"/>
                <w:sz w:val="20"/>
                <w:szCs w:val="20"/>
                <w:highlight w:val="none"/>
                <w:u w:val="none"/>
              </w:rPr>
            </w:r>
            <w:r/>
          </w:p>
        </w:tc>
        <w:tc>
          <w:tcPr>
            <w:tcW w:w="752"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规格型号</w:t>
            </w:r>
            <w:r>
              <w:rPr>
                <w:rFonts w:hint="eastAsia" w:ascii="宋体" w:hAnsi="宋体" w:eastAsia="宋体" w:cs="宋体"/>
                <w:b/>
                <w:bCs/>
                <w:i w:val="0"/>
                <w:iCs w:val="0"/>
                <w:color w:val="000000"/>
                <w:sz w:val="20"/>
                <w:szCs w:val="20"/>
                <w:highlight w:val="none"/>
                <w:u w:val="none"/>
              </w:rPr>
            </w:r>
            <w:r/>
          </w:p>
        </w:tc>
        <w:tc>
          <w:tcPr>
            <w:tcW w:w="2473"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参数说明</w:t>
            </w:r>
            <w:r>
              <w:rPr>
                <w:rFonts w:hint="eastAsia" w:ascii="宋体" w:hAnsi="宋体" w:eastAsia="宋体" w:cs="宋体"/>
                <w:b/>
                <w:bCs/>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 位</w:t>
            </w:r>
            <w:r>
              <w:rPr>
                <w:rFonts w:hint="eastAsia" w:ascii="宋体" w:hAnsi="宋体" w:eastAsia="宋体" w:cs="宋体"/>
                <w:b/>
                <w:bCs/>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520"/>
        </w:trPr>
        <w:tc>
          <w:tcPr>
            <w:tcW w:w="33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1208"/>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强弱电控制系统硬件</w:t>
            </w:r>
            <w:r>
              <w:rPr>
                <w:rFonts w:hint="eastAsia" w:ascii="宋体" w:hAnsi="宋体" w:eastAsia="宋体" w:cs="宋体"/>
                <w:b/>
                <w:bCs/>
                <w:i w:val="0"/>
                <w:iCs w:val="0"/>
                <w:color w:val="000000"/>
                <w:sz w:val="20"/>
                <w:szCs w:val="20"/>
                <w:highlight w:val="none"/>
                <w:u w:val="none"/>
              </w:rPr>
            </w:r>
            <w:r/>
          </w:p>
        </w:tc>
      </w:tr>
      <w:tr>
        <w:trPr>
          <w:trHeight w:val="905"/>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70" w:type="dxa"/>
            <w:vAlign w:val="center"/>
            <w:vMerge w:val="restart"/>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中央服务器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联想SystemX 3650 M5</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城市集群灯光控制系统--超级灯光控制服务器(服务器端)/至强Inter Core 八核 i5-4570S /16GB/500G固态硬盘/2*100/1000M网卡</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4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70" w:type="dxa"/>
            <w:vAlign w:val="center"/>
            <w:vMerge w:val="continue"/>
            <w:textDirection w:val="lrTb"/>
            <w:noWrap w:val="false"/>
          </w:tcPr>
          <w:p>
            <w:pPr>
              <w:pStyle w:val="120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显示器</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84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70" w:type="dxa"/>
            <w:vAlign w:val="center"/>
            <w:vMerge w:val="restart"/>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总控制器（弱电）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工控机</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城市集群灯光控制系统集控器专业版/IPC547-4770/Intel I7 4770 CPU/DDR3 16G 内存，500G固态硬盘/2GB独立显卡,支持VGA/DVI-D 双屏显示功能</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3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70" w:type="dxa"/>
            <w:vAlign w:val="center"/>
            <w:vMerge w:val="continue"/>
            <w:textDirection w:val="lrTb"/>
            <w:noWrap w:val="false"/>
          </w:tcPr>
          <w:p>
            <w:pPr>
              <w:pStyle w:val="120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显示器</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2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70" w:type="dxa"/>
            <w:vAlign w:val="center"/>
            <w:vMerge w:val="restart"/>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视频分割主机（弱电）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工控机</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城市集群灯光控制系统视频分割专业版/IPC3000-H81-4570/ Intel I5 4570 CPU/DDR3 4G 内存 ，128G工业固态硬盘/双千兆网口/2GB独立显卡,支持VGA/DVI-D 双屏显示功能</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365"/>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70" w:type="dxa"/>
            <w:vAlign w:val="center"/>
            <w:vMerge w:val="continue"/>
            <w:textDirection w:val="lrTb"/>
            <w:noWrap w:val="false"/>
          </w:tcPr>
          <w:p>
            <w:pPr>
              <w:pStyle w:val="120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显示器</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72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服务器（强电）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中兴ZXCLOUD R5300 G4</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2U机架式服务器，1个银牌4214R（12核2.4G）,64G内存,6个1.2T SAS存储，4个GE电口。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接口：支持7个USB接口（4个后端USB3.0，2个前端USB2.0，1个内置USB3.0接口），1个串口，2个VGA接口，1个独立管理网口。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BIOS支持中英文界面，独立管理接口，支持SNMP、IPMI，虚拟KVM（支持录屏）、虚拟媒体、远程控制、硬件监控等特性。</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14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数据备份一体机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深信服aStorBackup1210</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产品规格：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2U机架式设备，主频2.4GHz，内存64GB，2块480GB企业级SSD，3块6T企业级SATA磁盘，4个千兆口，4个万兆光口。</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34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管理终端</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联想扬天M460-001AB</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台式管理终端性能要求：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1)处理器i5-12400；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2)16GB内存；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3)1块256GB SSD硬盘，1块1T SATA硬盘;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4)配置USB原厂键盘鼠标，配置27寸液晶显示器。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640"/>
        </w:trPr>
        <w:tc>
          <w:tcPr>
            <w:tcW w:w="33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1208"/>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强弱电控制系统软件</w:t>
            </w:r>
            <w:r>
              <w:rPr>
                <w:rFonts w:hint="eastAsia" w:ascii="宋体" w:hAnsi="宋体" w:eastAsia="宋体" w:cs="宋体"/>
                <w:b/>
                <w:bCs/>
                <w:i w:val="0"/>
                <w:iCs w:val="0"/>
                <w:color w:val="000000"/>
                <w:sz w:val="20"/>
                <w:szCs w:val="20"/>
                <w:highlight w:val="none"/>
                <w:u w:val="none"/>
              </w:rPr>
            </w:r>
            <w:r/>
          </w:p>
        </w:tc>
      </w:tr>
      <w:tr>
        <w:trPr>
          <w:trHeight w:val="66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服务器软件（弱电）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中央服务器软件</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城市集群灯光互联网控制服务器软件，为整个控制系统提供服务支撑。</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15"/>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总控制器软件（弱电）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总控制器软件</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城市集群灯光互联网控制集控端软件，用于集控端对节点端的集中控制操作</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75"/>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效果分割软件（弱电）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效果分割软件</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城市集群灯光效果分割软件，用于效果视频文件的分割、处理、下发等管理</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84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强电控制系统（强电）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爱克EXC-ECCP5.0智慧照明综合管理平台</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控制软件（灯光、定时、管理 ，授权控制管理，逻辑控制管理、触发）集成控制软件，无线触发，网络监控。</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00"/>
        </w:trPr>
        <w:tc>
          <w:tcPr>
            <w:tcW w:w="33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1208"/>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安全系统设备</w:t>
            </w:r>
            <w:r>
              <w:rPr>
                <w:rFonts w:hint="eastAsia" w:ascii="宋体" w:hAnsi="宋体" w:eastAsia="宋体" w:cs="宋体"/>
                <w:b/>
                <w:bCs/>
                <w:i w:val="0"/>
                <w:iCs w:val="0"/>
                <w:color w:val="000000"/>
                <w:sz w:val="20"/>
                <w:szCs w:val="20"/>
                <w:highlight w:val="none"/>
                <w:u w:val="none"/>
              </w:rPr>
            </w:r>
            <w:r/>
          </w:p>
        </w:tc>
      </w:tr>
      <w:tr>
        <w:trPr>
          <w:trHeight w:val="485"/>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人员在岗监测设备</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海康威视</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在岗监测系统，含线缆、配件、供电设备、硬盘录像机。</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58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下一代防火墙</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绿盟NFNX3</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设备详细参数：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1U机型，含交流双电源，2个MGMT口，18个千兆电口，8个Combo口，4个千兆电口（支持bypass）、2个万兆光口、2个USB接口。网络层吞吐4G，最大并发连接数200W，具有传统防火墙、IPSec VPN等功能，包含15个并发SSLVPN用户授权、IDS\IPS模块、防病毒模块、URL识别模块。</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72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日志审计系统</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绿盟LASNX3</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1U机型，含交流冗余电源模块，2个USB接口，1个RJ45串口，1个GE管理口，4个千兆SFP插槽，6个GE电口，1个接口扩展槽位，1TB SATA硬盘。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内置采集器，含日志收集、日志查询、日志存储、报表管理、事件管理、资产管理、用户管理、系统配置等功能。授权接入40个日志源。</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00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人脸识别门禁一体机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海康威视</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1）设备应采用嵌入式 linux 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2）认证方式：支持人脸、刷卡（Mifare卡/IC卡、手机NFC卡、CPU卡序列号、身份证卡序列号））、密码、二维码(通过摄像头识别)认证方式；可外接USB身份证模块，实现人证比对功能；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3）7英寸触摸屏；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4）采用200W像素双目摄像头，帧率为25帧/s；支持接入NVR设备，实现视频监控录像。</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60"/>
        </w:trPr>
        <w:tc>
          <w:tcPr>
            <w:tcW w:w="33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1208"/>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 网络设备</w:t>
            </w:r>
            <w:r>
              <w:rPr>
                <w:rFonts w:hint="eastAsia" w:ascii="宋体" w:hAnsi="宋体" w:eastAsia="宋体" w:cs="宋体"/>
                <w:b/>
                <w:bCs/>
                <w:i w:val="0"/>
                <w:iCs w:val="0"/>
                <w:color w:val="000000"/>
                <w:sz w:val="20"/>
                <w:szCs w:val="20"/>
                <w:highlight w:val="none"/>
                <w:u w:val="none"/>
              </w:rPr>
            </w:r>
            <w:r/>
          </w:p>
        </w:tc>
      </w:tr>
      <w:tr>
        <w:trPr>
          <w:trHeight w:val="470"/>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光端机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光端机</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定制，光纤转换用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35"/>
        </w:trPr>
        <w:tc>
          <w:tcPr>
            <w:tcW w:w="33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交换机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华为S5735S-L24T4S</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交换容量336Gbps，包转发率51Mpps，支持千兆电口24个，千兆SFP接口4个，无风扇，自然散热。</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435"/>
        </w:trPr>
        <w:tc>
          <w:tcPr>
            <w:tcW w:w="330" w:type="dxa"/>
            <w:vAlign w:val="center"/>
            <w:textDirection w:val="lrTb"/>
            <w:noWrap w:val="false"/>
          </w:tcPr>
          <w:p>
            <w:pPr>
              <w:pStyle w:val="1208"/>
              <w:jc w:val="center"/>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ascii="宋体" w:hAnsi="宋体" w:eastAsia="宋体" w:cs="宋体"/>
                <w:b/>
                <w:bCs/>
                <w:i w:val="0"/>
                <w:iCs w:val="0"/>
                <w:color w:val="000000"/>
                <w:sz w:val="20"/>
                <w:szCs w:val="20"/>
                <w:highlight w:val="none"/>
                <w:u w:val="none"/>
                <w:lang w:val="en-US" w:eastAsia="zh-CN" w:bidi="ar"/>
              </w:rPr>
            </w:r>
            <w:r/>
          </w:p>
        </w:tc>
        <w:tc>
          <w:tcPr>
            <w:gridSpan w:val="5"/>
            <w:tcW w:w="8498" w:type="dxa"/>
            <w:vAlign w:val="center"/>
            <w:textDirection w:val="lrTb"/>
            <w:noWrap w:val="false"/>
          </w:tcPr>
          <w:p>
            <w:pPr>
              <w:pStyle w:val="1208"/>
              <w:jc w:val="left"/>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其他设备</w:t>
            </w:r>
            <w:r>
              <w:rPr>
                <w:rFonts w:ascii="宋体" w:hAnsi="宋体" w:eastAsia="宋体" w:cs="宋体"/>
                <w:b/>
                <w:bCs/>
                <w:i w:val="0"/>
                <w:iCs w:val="0"/>
                <w:color w:val="000000"/>
                <w:sz w:val="20"/>
                <w:szCs w:val="20"/>
                <w:highlight w:val="none"/>
                <w:u w:val="none"/>
                <w:lang w:val="en-US" w:eastAsia="zh-CN" w:bidi="ar"/>
              </w:rPr>
            </w:r>
            <w:r/>
          </w:p>
        </w:tc>
      </w:tr>
      <w:tr>
        <w:trPr>
          <w:trHeight w:val="435"/>
        </w:trPr>
        <w:tc>
          <w:tcPr>
            <w:tcW w:w="330" w:type="dxa"/>
            <w:vAlign w:val="center"/>
            <w:textDirection w:val="lrTb"/>
            <w:noWrap w:val="false"/>
          </w:tcPr>
          <w:p>
            <w:pPr>
              <w:pStyle w:val="120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ascii="宋体" w:hAnsi="宋体" w:eastAsia="宋体" w:cs="宋体"/>
                <w:i w:val="0"/>
                <w:iCs w:val="0"/>
                <w:color w:val="000000"/>
                <w:sz w:val="20"/>
                <w:szCs w:val="20"/>
                <w:highlight w:val="none"/>
                <w:u w:val="none"/>
                <w:lang w:val="en-US" w:eastAsia="zh-CN" w:bidi="ar"/>
              </w:rPr>
            </w:r>
            <w:r/>
          </w:p>
        </w:tc>
        <w:tc>
          <w:tcPr>
            <w:tcW w:w="67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UPS电源</w:t>
            </w:r>
            <w:r>
              <w:rPr>
                <w:rFonts w:hint="eastAsia" w:ascii="宋体" w:hAnsi="宋体" w:eastAsia="宋体" w:cs="宋体"/>
                <w:i w:val="0"/>
                <w:iCs w:val="0"/>
                <w:color w:val="000000"/>
                <w:sz w:val="20"/>
                <w:szCs w:val="20"/>
                <w:highlight w:val="none"/>
                <w:u w:val="none"/>
                <w:lang w:val="en-US" w:eastAsia="zh-CN" w:bidi="ar"/>
              </w:rPr>
            </w:r>
            <w:r/>
          </w:p>
        </w:tc>
        <w:tc>
          <w:tcPr>
            <w:tcW w:w="752"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艾默生UHA1R-003L</w:t>
            </w:r>
            <w:r>
              <w:rPr>
                <w:rFonts w:hint="eastAsia" w:ascii="宋体" w:hAnsi="宋体" w:eastAsia="宋体" w:cs="宋体"/>
                <w:i w:val="0"/>
                <w:iCs w:val="0"/>
                <w:color w:val="000000"/>
                <w:sz w:val="20"/>
                <w:szCs w:val="20"/>
                <w:highlight w:val="none"/>
                <w:u w:val="none"/>
                <w:lang w:val="en-US" w:eastAsia="zh-CN" w:bidi="ar"/>
              </w:rPr>
            </w:r>
            <w:r/>
          </w:p>
        </w:tc>
        <w:tc>
          <w:tcPr>
            <w:tcW w:w="2473"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主机:                                                                </w:t>
            </w:r>
            <w:r>
              <w:rPr>
                <w:rFonts w:hint="eastAsia" w:ascii="宋体" w:hAnsi="宋体" w:eastAsia="宋体" w:cs="宋体"/>
                <w:i w:val="0"/>
                <w:iCs w:val="0"/>
                <w:color w:val="000000"/>
                <w:sz w:val="20"/>
                <w:szCs w:val="20"/>
                <w:highlight w:val="none"/>
                <w:u w:val="none"/>
                <w:lang w:val="en-US" w:eastAsia="zh-CN" w:bidi="ar"/>
              </w:rPr>
              <w:t xml:space="preserve">     交流输入:220V50/60Hz 16A                                                                                                                                                                                                 交流输出220V 50/60Hz 12.3A                </w:t>
            </w:r>
            <w:r>
              <w:rPr>
                <w:rFonts w:hint="eastAsia" w:ascii="宋体" w:hAnsi="宋体" w:eastAsia="宋体" w:cs="宋体"/>
                <w:i w:val="0"/>
                <w:iCs w:val="0"/>
                <w:color w:val="000000"/>
                <w:sz w:val="20"/>
                <w:szCs w:val="20"/>
                <w:highlight w:val="none"/>
                <w:u w:val="none"/>
                <w:lang w:val="en-US" w:eastAsia="zh-CN" w:bidi="ar"/>
              </w:rPr>
              <w:t xml:space="preserve">                                                                                                                                                                                 容量：3kVA/2.7kW                                                           电池  12块</w:t>
            </w:r>
            <w:r>
              <w:rPr>
                <w:rFonts w:hint="eastAsia" w:ascii="宋体" w:hAnsi="宋体" w:eastAsia="宋体" w:cs="宋体"/>
                <w:i w:val="0"/>
                <w:iCs w:val="0"/>
                <w:color w:val="000000"/>
                <w:sz w:val="20"/>
                <w:szCs w:val="20"/>
                <w:highlight w:val="none"/>
                <w:u w:val="none"/>
                <w:lang w:val="en-US" w:eastAsia="zh-CN" w:bidi="ar"/>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r>
      <w:tr>
        <w:trPr>
          <w:trHeight w:val="435"/>
        </w:trPr>
        <w:tc>
          <w:tcPr>
            <w:tcW w:w="330" w:type="dxa"/>
            <w:vAlign w:val="center"/>
            <w:textDirection w:val="lrTb"/>
            <w:noWrap w:val="false"/>
          </w:tcPr>
          <w:p>
            <w:pPr>
              <w:pStyle w:val="120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ascii="宋体" w:hAnsi="宋体" w:eastAsia="宋体" w:cs="宋体"/>
                <w:i w:val="0"/>
                <w:iCs w:val="0"/>
                <w:color w:val="000000"/>
                <w:sz w:val="20"/>
                <w:szCs w:val="20"/>
                <w:highlight w:val="none"/>
                <w:u w:val="none"/>
                <w:lang w:val="en-US" w:eastAsia="zh-CN" w:bidi="ar"/>
              </w:rPr>
            </w:r>
            <w:r/>
          </w:p>
        </w:tc>
        <w:tc>
          <w:tcPr>
            <w:tcW w:w="670" w:type="dxa"/>
            <w:vAlign w:val="center"/>
            <w:textDirection w:val="lrTb"/>
            <w:noWrap w:val="false"/>
          </w:tcPr>
          <w:p>
            <w:pPr>
              <w:pStyle w:val="1208"/>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显示屏</w:t>
            </w:r>
            <w:r>
              <w:rPr>
                <w:rFonts w:ascii="宋体" w:hAnsi="宋体" w:eastAsia="宋体" w:cs="宋体"/>
                <w:i w:val="0"/>
                <w:iCs w:val="0"/>
                <w:color w:val="000000"/>
                <w:sz w:val="20"/>
                <w:szCs w:val="20"/>
                <w:highlight w:val="none"/>
                <w:u w:val="none"/>
                <w:lang w:val="en-US" w:eastAsia="zh-CN" w:bidi="ar"/>
              </w:rPr>
            </w:r>
            <w:r/>
          </w:p>
        </w:tc>
        <w:tc>
          <w:tcPr>
            <w:tcW w:w="752" w:type="dxa"/>
            <w:vAlign w:val="center"/>
            <w:textDirection w:val="lrTb"/>
            <w:noWrap w:val="false"/>
          </w:tcPr>
          <w:p>
            <w:pPr>
              <w:pStyle w:val="1208"/>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CVTOUCH</w:t>
            </w:r>
            <w:r>
              <w:rPr>
                <w:rFonts w:ascii="宋体" w:hAnsi="宋体" w:eastAsia="宋体" w:cs="宋体"/>
                <w:i w:val="0"/>
                <w:iCs w:val="0"/>
                <w:color w:val="000000"/>
                <w:sz w:val="20"/>
                <w:szCs w:val="20"/>
                <w:highlight w:val="none"/>
                <w:u w:val="none"/>
                <w:lang w:val="en-US" w:eastAsia="zh-CN" w:bidi="ar"/>
              </w:rPr>
            </w:r>
            <w:r/>
          </w:p>
        </w:tc>
        <w:tc>
          <w:tcPr>
            <w:tcW w:w="2473" w:type="dxa"/>
            <w:vAlign w:val="center"/>
            <w:textDirection w:val="lrTb"/>
            <w:noWrap w:val="false"/>
          </w:tcPr>
          <w:p>
            <w:pPr>
              <w:pStyle w:val="1208"/>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75寸触摸显示屏</w:t>
            </w:r>
            <w:r>
              <w:rPr>
                <w:rFonts w:ascii="宋体" w:hAnsi="宋体" w:eastAsia="宋体" w:cs="宋体"/>
                <w:i w:val="0"/>
                <w:iCs w:val="0"/>
                <w:color w:val="000000"/>
                <w:sz w:val="20"/>
                <w:szCs w:val="20"/>
                <w:highlight w:val="none"/>
                <w:u w:val="none"/>
                <w:lang w:val="en-US" w:eastAsia="zh-CN" w:bidi="ar"/>
              </w:rPr>
            </w:r>
            <w:r/>
          </w:p>
        </w:tc>
        <w:tc>
          <w:tcPr>
            <w:tcW w:w="40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c>
          <w:tcPr>
            <w:tcW w:w="36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r>
    </w:tbl>
    <w:p>
      <w:pPr>
        <w:pStyle w:val="1290"/>
        <w:numPr>
          <w:ilvl w:val="0"/>
          <w:numId w:val="0"/>
        </w:numPr>
        <w:ind w:left="0" w:firstLine="482"/>
        <w:spacing w:line="240" w:lineRule="auto"/>
        <w:rPr>
          <w:rFonts w:hint="eastAsia" w:cs="宋体"/>
          <w:highlight w:val="none"/>
          <w:lang w:bidi="ar"/>
        </w:rPr>
        <w:outlineLvl w:val="3"/>
      </w:pPr>
      <w:r>
        <w:rPr>
          <w:rFonts w:hint="eastAsia" w:cs="宋体"/>
          <w:b/>
          <w:bCs/>
          <w:highlight w:val="none"/>
          <w:lang w:val="en-US" w:eastAsia="zh-CN" w:bidi="ar"/>
        </w:rPr>
        <w:t xml:space="preserve">（2）</w:t>
      </w:r>
      <w:r>
        <w:rPr>
          <w:rFonts w:hint="eastAsia" w:cs="宋体"/>
          <w:b/>
          <w:bCs/>
          <w:highlight w:val="none"/>
          <w:lang w:bidi="ar"/>
        </w:rPr>
        <w:t xml:space="preserve">互联网专线租赁</w:t>
      </w:r>
      <w:r>
        <w:rPr>
          <w:rFonts w:hint="eastAsia" w:cs="宋体"/>
          <w:highlight w:val="none"/>
          <w:lang w:bidi="ar"/>
        </w:rPr>
      </w:r>
      <w:r/>
    </w:p>
    <w:p>
      <w:pPr>
        <w:pStyle w:val="1290"/>
        <w:jc w:val="left"/>
        <w:spacing w:line="440" w:lineRule="exact"/>
        <w:rPr>
          <w:rFonts w:hint="eastAsia" w:cs="宋体"/>
          <w:highlight w:val="none"/>
          <w:lang w:bidi="ar"/>
        </w:rPr>
      </w:pPr>
      <w:r>
        <w:rPr>
          <w:rFonts w:hint="eastAsia" w:cs="宋体"/>
          <w:b/>
          <w:bCs/>
          <w:highlight w:val="none"/>
        </w:rPr>
        <w:t xml:space="preserve">▲</w:t>
      </w:r>
      <w:r>
        <w:rPr>
          <w:rFonts w:hint="eastAsia" w:cs="宋体"/>
          <w:highlight w:val="none"/>
          <w:lang w:bidi="ar"/>
        </w:rPr>
        <w:t xml:space="preserve">投标人自行查勘现场并进行测算专线数量及带宽（不低于100M带宽），须保证互联网专线满足系统正常运行，在服务期内免费提供满足系统运行的所需带宽及专线数量，如</w:t>
      </w:r>
      <w:r>
        <w:rPr>
          <w:rFonts w:hint="eastAsia" w:cs="宋体"/>
          <w:bCs/>
          <w:highlight w:val="none"/>
        </w:rPr>
        <w:t xml:space="preserve">采购人</w:t>
      </w:r>
      <w:r>
        <w:rPr>
          <w:rFonts w:hint="eastAsia" w:cs="宋体"/>
          <w:highlight w:val="none"/>
          <w:lang w:bidi="ar"/>
        </w:rPr>
        <w:t xml:space="preserve">巡查发现未能达到正常运行要求须无条件进行整改。租赁时间为3年，费用由中标单位自行承担。</w:t>
      </w:r>
      <w:r>
        <w:rPr>
          <w:rFonts w:hint="eastAsia" w:cs="宋体"/>
          <w:highlight w:val="none"/>
          <w:lang w:bidi="ar"/>
        </w:rPr>
      </w:r>
      <w:r/>
    </w:p>
    <w:p>
      <w:pPr>
        <w:pStyle w:val="1290"/>
        <w:numPr>
          <w:ilvl w:val="0"/>
          <w:numId w:val="0"/>
        </w:numPr>
        <w:ind w:left="0" w:firstLine="482"/>
        <w:jc w:val="left"/>
        <w:spacing w:line="440" w:lineRule="exact"/>
        <w:rPr>
          <w:rFonts w:hint="eastAsia" w:cs="宋体"/>
          <w:b/>
          <w:bCs/>
          <w:highlight w:val="none"/>
          <w:lang w:val="en-US" w:eastAsia="zh-CN" w:bidi="ar"/>
        </w:rPr>
      </w:pPr>
      <w:r>
        <w:rPr>
          <w:rFonts w:hint="eastAsia" w:cs="宋体"/>
          <w:b/>
          <w:bCs/>
          <w:highlight w:val="none"/>
          <w:lang w:val="en-US" w:eastAsia="zh-CN" w:bidi="ar"/>
        </w:rPr>
        <w:t xml:space="preserve">（3）物联网卡</w:t>
      </w:r>
      <w:r>
        <w:rPr>
          <w:rFonts w:hint="eastAsia" w:cs="宋体"/>
          <w:b/>
          <w:bCs/>
          <w:highlight w:val="none"/>
          <w:lang w:val="en-US" w:eastAsia="zh-CN" w:bidi="ar"/>
        </w:rPr>
      </w:r>
      <w:r/>
    </w:p>
    <w:p>
      <w:pPr>
        <w:pStyle w:val="1290"/>
        <w:numPr>
          <w:ilvl w:val="0"/>
          <w:numId w:val="0"/>
        </w:numPr>
        <w:ind w:left="0" w:firstLine="482"/>
        <w:jc w:val="left"/>
        <w:spacing w:line="440" w:lineRule="exact"/>
        <w:rPr>
          <w:rFonts w:hint="eastAsia" w:cs="宋体"/>
          <w:b/>
          <w:bCs/>
          <w:highlight w:val="none"/>
          <w:lang w:val="en-US" w:eastAsia="zh-CN" w:bidi="ar"/>
        </w:rPr>
        <w:outlineLvl w:val="9"/>
      </w:pPr>
      <w:r>
        <w:rPr>
          <w:rFonts w:hint="eastAsia" w:cs="宋体"/>
          <w:b/>
          <w:bCs/>
          <w:highlight w:val="none"/>
        </w:rPr>
        <w:t xml:space="preserve">▲</w:t>
      </w:r>
      <w:r>
        <w:rPr>
          <w:rFonts w:hint="eastAsia" w:cs="宋体"/>
          <w:highlight w:val="none"/>
          <w:lang w:bidi="ar"/>
        </w:rPr>
        <w:t xml:space="preserve">投标人自行查勘现场并进行测算数量及流量，须保证物联网卡满足系统正常运行，保证组建内部网，在服务期内免费提供满足系统运行的所需流量及网卡数量，如采购人巡查发现未能达到正常运行要求须无条件进行整改。服务时间为3年，费用由中标单位自行承担。</w:t>
      </w:r>
      <w:r>
        <w:rPr>
          <w:rFonts w:hint="eastAsia" w:cs="宋体"/>
          <w:b/>
          <w:bCs/>
          <w:highlight w:val="none"/>
          <w:lang w:val="en-US" w:eastAsia="zh-CN" w:bidi="ar"/>
        </w:rPr>
      </w:r>
      <w:r/>
    </w:p>
    <w:p>
      <w:pPr>
        <w:pStyle w:val="1290"/>
        <w:numPr>
          <w:ilvl w:val="0"/>
          <w:numId w:val="0"/>
        </w:numPr>
        <w:ind w:left="0" w:firstLine="482"/>
        <w:jc w:val="left"/>
        <w:spacing w:line="440" w:lineRule="exact"/>
        <w:rPr>
          <w:rFonts w:hint="eastAsia" w:ascii="宋体" w:hAnsi="宋体" w:eastAsia="宋体" w:cs="宋体"/>
          <w:b/>
          <w:bCs/>
          <w:highlight w:val="none"/>
          <w:lang w:val="en-US" w:eastAsia="zh-CN" w:bidi="ar"/>
        </w:rPr>
        <w:outlineLvl w:val="9"/>
      </w:pPr>
      <w:r>
        <w:rPr>
          <w:rFonts w:hint="eastAsia" w:ascii="宋体" w:hAnsi="宋体" w:eastAsia="宋体" w:cs="宋体"/>
          <w:b/>
          <w:bCs/>
          <w:highlight w:val="none"/>
          <w:lang w:val="en-US" w:eastAsia="zh-CN" w:bidi="ar"/>
        </w:rPr>
        <w:t xml:space="preserve">2.集控中心软件升级及硬件更新</w:t>
      </w:r>
      <w:r>
        <w:rPr>
          <w:rFonts w:hint="eastAsia" w:ascii="宋体" w:hAnsi="宋体" w:eastAsia="宋体" w:cs="宋体"/>
          <w:b/>
          <w:bCs/>
          <w:highlight w:val="none"/>
          <w:lang w:val="en-US" w:eastAsia="zh-CN" w:bidi="ar"/>
        </w:rPr>
      </w:r>
      <w:r/>
    </w:p>
    <w:p>
      <w:pPr>
        <w:pStyle w:val="1290"/>
        <w:numPr>
          <w:ilvl w:val="0"/>
          <w:numId w:val="0"/>
        </w:numPr>
        <w:ind w:left="0" w:firstLine="482"/>
        <w:rPr>
          <w:rFonts w:hint="eastAsia" w:cs="宋体"/>
          <w:b/>
          <w:bCs/>
          <w:highlight w:val="none"/>
          <w:lang w:val="en-US" w:eastAsia="zh-CN" w:bidi="ar"/>
        </w:rPr>
        <w:outlineLvl w:val="3"/>
      </w:pPr>
      <w:r>
        <w:rPr>
          <w:rFonts w:hint="eastAsia" w:cs="宋体"/>
          <w:b/>
          <w:bCs/>
          <w:highlight w:val="none"/>
          <w:lang w:eastAsia="zh-CN" w:bidi="ar"/>
        </w:rPr>
        <w:t xml:space="preserve">（</w:t>
      </w:r>
      <w:r>
        <w:rPr>
          <w:rFonts w:hint="eastAsia" w:cs="宋体"/>
          <w:b/>
          <w:bCs/>
          <w:highlight w:val="none"/>
          <w:lang w:val="en-US" w:eastAsia="zh-CN" w:bidi="ar"/>
        </w:rPr>
        <w:t xml:space="preserve">1</w:t>
      </w:r>
      <w:r>
        <w:rPr>
          <w:rFonts w:hint="eastAsia" w:cs="宋体"/>
          <w:b/>
          <w:bCs/>
          <w:highlight w:val="none"/>
          <w:lang w:eastAsia="zh-CN" w:bidi="ar"/>
        </w:rPr>
        <w:t xml:space="preserve">）</w:t>
      </w:r>
      <w:r>
        <w:rPr>
          <w:rFonts w:hint="eastAsia" w:cs="宋体"/>
          <w:b/>
          <w:bCs/>
          <w:highlight w:val="none"/>
          <w:lang w:val="en-US" w:eastAsia="zh-CN" w:bidi="ar"/>
        </w:rPr>
        <w:t xml:space="preserve">强电控制系统功能升级</w:t>
      </w:r>
      <w:r>
        <w:rPr>
          <w:rFonts w:hint="eastAsia" w:cs="宋体"/>
          <w:b/>
          <w:bCs/>
          <w:highlight w:val="none"/>
          <w:lang w:val="en-US" w:eastAsia="zh-CN" w:bidi="ar"/>
        </w:rPr>
      </w:r>
      <w:r/>
    </w:p>
    <w:p>
      <w:pPr>
        <w:pStyle w:val="1290"/>
        <w:numPr>
          <w:ilvl w:val="0"/>
          <w:numId w:val="0"/>
        </w:numPr>
        <w:ind w:left="0" w:firstLine="480"/>
        <w:jc w:val="left"/>
        <w:spacing w:line="440" w:lineRule="exact"/>
        <w:rPr>
          <w:rFonts w:hint="eastAsia" w:eastAsia="宋体" w:cs="宋体"/>
          <w:b w:val="0"/>
          <w:bCs w:val="0"/>
          <w:highlight w:val="none"/>
          <w:lang w:bidi="ar"/>
        </w:rPr>
        <w:outlineLvl w:val="9"/>
      </w:pPr>
      <w:r>
        <w:rPr>
          <w:rFonts w:hint="eastAsia" w:eastAsia="宋体" w:cs="宋体"/>
          <w:b w:val="0"/>
          <w:bCs w:val="0"/>
          <w:highlight w:val="none"/>
          <w:lang w:bidi="ar"/>
        </w:rPr>
        <w:t xml:space="preserve">①增加光感应监测设备，</w:t>
      </w:r>
      <w:r>
        <w:rPr>
          <w:rFonts w:hint="eastAsia" w:ascii="宋体" w:hAnsi="宋体" w:eastAsia="宋体" w:cs="宋体"/>
          <w:sz w:val="24"/>
          <w:szCs w:val="24"/>
          <w:highlight w:val="none"/>
          <w:lang w:val="en-US" w:eastAsia="zh-CN" w:bidi="ar"/>
        </w:rPr>
        <w:t xml:space="preserve">接入强电控制系统，</w:t>
      </w:r>
      <w:r>
        <w:rPr>
          <w:rFonts w:hint="eastAsia" w:eastAsia="宋体" w:cs="宋体"/>
          <w:b w:val="0"/>
          <w:bCs w:val="0"/>
          <w:highlight w:val="none"/>
          <w:lang w:bidi="ar"/>
        </w:rPr>
        <w:t xml:space="preserve">引入自动化控制机制，</w:t>
      </w:r>
      <w:r>
        <w:rPr>
          <w:rFonts w:hint="eastAsia" w:eastAsia="宋体" w:cs="宋体"/>
          <w:sz w:val="24"/>
          <w:szCs w:val="24"/>
          <w:highlight w:val="none"/>
          <w:lang w:val="en-US" w:eastAsia="zh-CN" w:bidi="ar"/>
        </w:rPr>
        <w:t xml:space="preserve">实现</w:t>
      </w:r>
      <w:r>
        <w:rPr>
          <w:rFonts w:hint="eastAsia" w:ascii="宋体" w:hAnsi="宋体" w:eastAsia="宋体" w:cs="宋体"/>
          <w:sz w:val="24"/>
          <w:szCs w:val="24"/>
          <w:highlight w:val="none"/>
          <w:lang w:val="en-US" w:eastAsia="zh-CN" w:bidi="ar"/>
        </w:rPr>
        <w:t xml:space="preserve">根据亮度值</w:t>
      </w:r>
      <w:r>
        <w:rPr>
          <w:rFonts w:hint="eastAsia" w:eastAsia="宋体" w:cs="宋体"/>
          <w:sz w:val="24"/>
          <w:szCs w:val="24"/>
          <w:highlight w:val="none"/>
          <w:lang w:val="en-US" w:eastAsia="zh-CN" w:bidi="ar"/>
        </w:rPr>
        <w:t xml:space="preserve">自动</w:t>
      </w:r>
      <w:r>
        <w:rPr>
          <w:rFonts w:hint="eastAsia" w:ascii="宋体" w:hAnsi="宋体" w:eastAsia="宋体" w:cs="宋体"/>
          <w:sz w:val="24"/>
          <w:szCs w:val="24"/>
          <w:highlight w:val="none"/>
          <w:lang w:val="en-US" w:eastAsia="zh-CN" w:bidi="ar"/>
        </w:rPr>
        <w:t xml:space="preserve">控制</w:t>
      </w:r>
      <w:r>
        <w:rPr>
          <w:rFonts w:hint="eastAsia" w:eastAsia="宋体" w:cs="宋体"/>
          <w:sz w:val="24"/>
          <w:szCs w:val="24"/>
          <w:highlight w:val="none"/>
          <w:lang w:val="en-US" w:eastAsia="zh-CN" w:bidi="ar"/>
        </w:rPr>
        <w:t xml:space="preserve">亮化</w:t>
      </w:r>
      <w:r>
        <w:rPr>
          <w:rFonts w:hint="eastAsia" w:ascii="宋体" w:hAnsi="宋体" w:eastAsia="宋体" w:cs="宋体"/>
          <w:sz w:val="24"/>
          <w:szCs w:val="24"/>
          <w:highlight w:val="none"/>
          <w:lang w:val="en-US" w:eastAsia="zh-CN" w:bidi="ar"/>
        </w:rPr>
        <w:t xml:space="preserve">设施开启等。</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提供承诺函，格式自拟</w:t>
      </w:r>
      <w:r>
        <w:rPr>
          <w:rFonts w:hint="eastAsia" w:ascii="宋体" w:hAnsi="宋体" w:eastAsia="宋体" w:cs="宋体"/>
          <w:sz w:val="24"/>
          <w:szCs w:val="24"/>
          <w:highlight w:val="none"/>
          <w:lang w:eastAsia="zh-CN" w:bidi="ar"/>
        </w:rPr>
        <w:t xml:space="preserve">）</w:t>
      </w:r>
      <w:r>
        <w:rPr>
          <w:rFonts w:hint="eastAsia" w:eastAsia="宋体" w:cs="宋体"/>
          <w:b w:val="0"/>
          <w:bCs w:val="0"/>
          <w:highlight w:val="none"/>
          <w:lang w:bidi="ar"/>
        </w:rPr>
      </w:r>
      <w:r/>
    </w:p>
    <w:p>
      <w:pPr>
        <w:pStyle w:val="1290"/>
        <w:numPr>
          <w:ilvl w:val="0"/>
          <w:numId w:val="0"/>
        </w:numPr>
        <w:ind w:left="0" w:firstLine="480"/>
        <w:jc w:val="left"/>
        <w:spacing w:line="440" w:lineRule="exact"/>
        <w:rPr>
          <w:rFonts w:hint="eastAsia" w:eastAsia="宋体" w:cs="宋体"/>
          <w:b w:val="0"/>
          <w:bCs w:val="0"/>
          <w:highlight w:val="none"/>
          <w:lang w:eastAsia="zh-CN" w:bidi="ar"/>
        </w:rPr>
        <w:outlineLvl w:val="9"/>
      </w:pPr>
      <w:r>
        <w:rPr>
          <w:rFonts w:hint="eastAsia" w:eastAsia="宋体" w:cs="宋体"/>
          <w:b w:val="0"/>
          <w:bCs w:val="0"/>
          <w:highlight w:val="none"/>
          <w:lang w:bidi="ar"/>
        </w:rPr>
        <w:t xml:space="preserve">②系统增加在线率的周、月和年度统计功能</w:t>
      </w:r>
      <w:r>
        <w:rPr>
          <w:rFonts w:hint="eastAsia" w:eastAsia="宋体" w:cs="宋体"/>
          <w:b w:val="0"/>
          <w:bCs w:val="0"/>
          <w:highlight w:val="none"/>
          <w:lang w:eastAsia="zh-CN" w:bidi="ar"/>
        </w:rPr>
        <w:t xml:space="preserve">。</w:t>
      </w:r>
      <w:r>
        <w:rPr>
          <w:rFonts w:hint="eastAsia" w:eastAsia="宋体" w:cs="宋体"/>
          <w:b w:val="0"/>
          <w:bCs w:val="0"/>
          <w:highlight w:val="none"/>
          <w:lang w:eastAsia="zh-CN" w:bidi="ar"/>
        </w:rPr>
      </w:r>
      <w:r/>
    </w:p>
    <w:p>
      <w:pPr>
        <w:pStyle w:val="1290"/>
        <w:numPr>
          <w:ilvl w:val="0"/>
          <w:numId w:val="0"/>
        </w:numPr>
        <w:ind w:firstLine="480"/>
        <w:spacing w:line="440" w:lineRule="exact"/>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bidi="ar"/>
        </w:rPr>
        <w:t xml:space="preserve">▲中标人须承诺</w:t>
      </w:r>
      <w:r>
        <w:rPr>
          <w:rFonts w:hint="eastAsia" w:ascii="宋体" w:hAnsi="宋体" w:eastAsia="宋体" w:cs="宋体"/>
          <w:sz w:val="24"/>
          <w:szCs w:val="24"/>
          <w:highlight w:val="none"/>
          <w:lang w:val="en-US" w:eastAsia="zh-CN" w:bidi="ar"/>
        </w:rPr>
        <w:t xml:space="preserve">在现有强电控制系统平台软件基础上，进行功能升级，增加根据亮度值自动控制强电设施开启功能和平台数据统计功能（如周、月在线率统计等）。本次强电控制系统升级由中标人根据详细升级方案经采购人确认后实施，维保期内采购人有权根据维保需要对功能进行调整或优化。（提供承诺函，格式自拟</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eastAsia="zh-CN" w:bidi="ar"/>
        </w:rPr>
      </w:r>
      <w:r/>
    </w:p>
    <w:p>
      <w:pPr>
        <w:pStyle w:val="1290"/>
        <w:numPr>
          <w:ilvl w:val="0"/>
          <w:numId w:val="0"/>
        </w:numPr>
        <w:ind w:firstLine="480"/>
        <w:spacing w:line="440" w:lineRule="exact"/>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bidi="ar"/>
        </w:rPr>
        <w:t xml:space="preserve">▲</w:t>
      </w:r>
      <w:r>
        <w:rPr>
          <w:rFonts w:hint="eastAsia" w:ascii="宋体" w:hAnsi="宋体" w:eastAsia="宋体" w:cs="宋体"/>
          <w:bCs w:val="0"/>
          <w:sz w:val="24"/>
          <w:szCs w:val="24"/>
          <w:highlight w:val="none"/>
          <w:lang w:val="en-US" w:eastAsia="zh-CN" w:bidi="ar"/>
        </w:rPr>
        <w:t xml:space="preserve">项目集控中心软件升级及硬件更新自合同签订之日起30日内完成。</w:t>
      </w:r>
      <w:r>
        <w:rPr>
          <w:rFonts w:hint="eastAsia" w:ascii="宋体" w:hAnsi="宋体" w:eastAsia="宋体" w:cs="宋体"/>
          <w:sz w:val="24"/>
          <w:szCs w:val="24"/>
          <w:highlight w:val="none"/>
          <w:lang w:eastAsia="zh-CN" w:bidi="ar"/>
        </w:rPr>
      </w:r>
      <w:r/>
    </w:p>
    <w:p>
      <w:pPr>
        <w:pStyle w:val="1290"/>
        <w:numPr>
          <w:ilvl w:val="0"/>
          <w:numId w:val="0"/>
        </w:numPr>
        <w:ind w:firstLine="480"/>
        <w:spacing w:line="440" w:lineRule="exact"/>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bidi="ar"/>
        </w:rPr>
        <w:t xml:space="preserve">▲</w:t>
      </w:r>
      <w:r>
        <w:rPr>
          <w:rFonts w:hint="eastAsia" w:eastAsia="宋体" w:cs="宋体"/>
          <w:highlight w:val="none"/>
          <w:lang w:bidi="ar"/>
        </w:rPr>
        <w:t xml:space="preserve">考虑到本项目实施特点及可扩展性需要，集控中心软硬件系统须预留余量且具有不低于2000幢楼宇的强电控制节点端接入能力（包含或不限于带宽、硬件规格、软件平台、软件接口等）及第三方设备接入能力（包含或不限于光感应监测设备</w:t>
      </w:r>
      <w:r>
        <w:rPr>
          <w:rFonts w:hint="eastAsia" w:eastAsia="宋体" w:cs="宋体"/>
          <w:highlight w:val="none"/>
          <w:lang w:eastAsia="zh-CN" w:bidi="ar"/>
        </w:rPr>
        <w:t xml:space="preserve">、</w:t>
      </w:r>
      <w:r>
        <w:rPr>
          <w:rFonts w:hint="eastAsia" w:eastAsia="宋体" w:cs="宋体"/>
          <w:highlight w:val="none"/>
          <w:lang w:bidi="ar"/>
        </w:rPr>
        <w:t xml:space="preserve">温湿度传感器、水浸传感器等）</w:t>
      </w:r>
      <w:r>
        <w:rPr>
          <w:rFonts w:hint="eastAsia" w:eastAsia="宋体" w:cs="宋体"/>
          <w:highlight w:val="none"/>
          <w:lang w:eastAsia="zh-CN" w:bidi="ar"/>
        </w:rPr>
        <w:t xml:space="preserve">，</w:t>
      </w:r>
      <w:r>
        <w:rPr>
          <w:rFonts w:hint="eastAsia" w:eastAsia="宋体" w:cs="宋体"/>
          <w:highlight w:val="none"/>
          <w:lang w:val="en-US" w:eastAsia="zh-CN" w:bidi="ar"/>
        </w:rPr>
        <w:t xml:space="preserve">需</w:t>
      </w:r>
      <w:r>
        <w:rPr>
          <w:rFonts w:hint="eastAsia" w:eastAsia="宋体" w:cs="宋体"/>
          <w:highlight w:val="none"/>
          <w:lang w:bidi="ar"/>
        </w:rPr>
        <w:t xml:space="preserve">根据</w:t>
      </w:r>
      <w:r>
        <w:rPr>
          <w:rFonts w:hint="eastAsia" w:eastAsia="宋体" w:cs="宋体"/>
          <w:highlight w:val="none"/>
          <w:lang w:val="en-US" w:eastAsia="zh-CN" w:bidi="ar"/>
        </w:rPr>
        <w:t xml:space="preserve">采购人</w:t>
      </w:r>
      <w:r>
        <w:rPr>
          <w:rFonts w:hint="eastAsia" w:eastAsia="宋体" w:cs="宋体"/>
          <w:highlight w:val="none"/>
          <w:lang w:bidi="ar"/>
        </w:rPr>
        <w:t xml:space="preserve">要求提供服务。</w:t>
      </w:r>
      <w:r>
        <w:rPr>
          <w:rFonts w:hint="eastAsia" w:ascii="宋体" w:hAnsi="宋体" w:eastAsia="宋体" w:cs="宋体"/>
          <w:sz w:val="24"/>
          <w:szCs w:val="24"/>
          <w:highlight w:val="none"/>
          <w:lang w:bidi="ar"/>
        </w:rPr>
      </w:r>
      <w:r/>
    </w:p>
    <w:p>
      <w:pPr>
        <w:pStyle w:val="1290"/>
        <w:numPr>
          <w:ilvl w:val="0"/>
          <w:numId w:val="0"/>
        </w:numPr>
        <w:ind w:firstLine="480"/>
        <w:spacing w:line="440" w:lineRule="exact"/>
        <w:rPr>
          <w:rFonts w:hint="eastAsia" w:ascii="宋体" w:hAnsi="宋体" w:eastAsia="宋体" w:cs="宋体"/>
          <w:sz w:val="24"/>
          <w:szCs w:val="24"/>
          <w:highlight w:val="none"/>
          <w:lang w:val="en-US" w:eastAsia="zh-CN" w:bidi="ar"/>
        </w:rPr>
        <w:outlineLvl w:val="9"/>
      </w:pPr>
      <w:r>
        <w:rPr>
          <w:rFonts w:hint="eastAsia" w:ascii="宋体" w:hAnsi="宋体" w:eastAsia="宋体" w:cs="宋体"/>
          <w:sz w:val="24"/>
          <w:szCs w:val="24"/>
          <w:highlight w:val="none"/>
          <w:lang w:bidi="ar"/>
        </w:rPr>
        <w:t xml:space="preserve">中标人须承诺</w:t>
      </w:r>
      <w:r>
        <w:rPr>
          <w:rFonts w:hint="eastAsia" w:ascii="宋体" w:hAnsi="宋体" w:eastAsia="宋体" w:cs="宋体"/>
          <w:sz w:val="24"/>
          <w:szCs w:val="24"/>
          <w:highlight w:val="none"/>
          <w:lang w:val="en-US" w:eastAsia="zh-CN" w:bidi="ar"/>
        </w:rPr>
        <w:t xml:space="preserve">平台</w:t>
      </w:r>
      <w:r>
        <w:rPr>
          <w:rFonts w:hint="eastAsia" w:ascii="宋体" w:hAnsi="宋体" w:eastAsia="宋体" w:cs="宋体"/>
          <w:sz w:val="24"/>
          <w:szCs w:val="24"/>
          <w:highlight w:val="none"/>
          <w:lang w:bidi="ar"/>
        </w:rPr>
        <w:t xml:space="preserve">接口与盐城市城市管理局综管服平台</w:t>
      </w:r>
      <w:r>
        <w:rPr>
          <w:rFonts w:hint="eastAsia" w:ascii="宋体" w:hAnsi="宋体" w:eastAsia="宋体" w:cs="宋体"/>
          <w:sz w:val="24"/>
          <w:szCs w:val="24"/>
          <w:highlight w:val="none"/>
          <w:lang w:eastAsia="zh-CN" w:bidi="ar"/>
        </w:rPr>
        <w:t xml:space="preserve">保持</w:t>
      </w:r>
      <w:r>
        <w:rPr>
          <w:rFonts w:hint="eastAsia" w:ascii="宋体" w:hAnsi="宋体" w:eastAsia="宋体" w:cs="宋体"/>
          <w:sz w:val="24"/>
          <w:szCs w:val="24"/>
          <w:highlight w:val="none"/>
          <w:lang w:bidi="ar"/>
        </w:rPr>
        <w:t xml:space="preserve">对接</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实时同步更新点位基本</w:t>
      </w:r>
      <w:r>
        <w:rPr>
          <w:rFonts w:hint="eastAsia" w:ascii="宋体" w:hAnsi="宋体" w:eastAsia="宋体" w:cs="宋体"/>
          <w:sz w:val="24"/>
          <w:szCs w:val="24"/>
          <w:highlight w:val="none"/>
          <w:lang w:bidi="ar"/>
        </w:rPr>
        <w:t xml:space="preserve">信息、经纬度、在线率、状态等</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r>
      <w:r/>
    </w:p>
    <w:p>
      <w:pPr>
        <w:pStyle w:val="1290"/>
        <w:numPr>
          <w:ilvl w:val="0"/>
          <w:numId w:val="0"/>
        </w:numPr>
        <w:ind w:left="420" w:firstLine="0"/>
        <w:spacing w:line="440" w:lineRule="exact"/>
        <w:rPr>
          <w:rFonts w:hint="eastAsia" w:cs="宋体"/>
          <w:b/>
          <w:bCs/>
          <w:highlight w:val="none"/>
          <w:lang w:eastAsia="zh-CN" w:bidi="ar"/>
        </w:rPr>
        <w:outlineLvl w:val="3"/>
      </w:pPr>
      <w:r>
        <w:rPr>
          <w:rFonts w:hint="eastAsia" w:cs="宋体"/>
          <w:b/>
          <w:bCs/>
          <w:highlight w:val="none"/>
          <w:lang w:eastAsia="zh-CN" w:bidi="ar"/>
        </w:rPr>
        <w:t xml:space="preserve">（</w:t>
      </w:r>
      <w:r>
        <w:rPr>
          <w:rFonts w:hint="eastAsia" w:cs="宋体"/>
          <w:b/>
          <w:bCs/>
          <w:highlight w:val="none"/>
          <w:lang w:val="en-US" w:eastAsia="zh-CN" w:bidi="ar"/>
        </w:rPr>
        <w:t xml:space="preserve">2</w:t>
      </w:r>
      <w:r>
        <w:rPr>
          <w:rFonts w:hint="eastAsia" w:cs="宋体"/>
          <w:b/>
          <w:bCs/>
          <w:highlight w:val="none"/>
          <w:lang w:eastAsia="zh-CN" w:bidi="ar"/>
        </w:rPr>
        <w:t xml:space="preserve">）机房、</w:t>
      </w:r>
      <w:r>
        <w:rPr>
          <w:rFonts w:hint="eastAsia" w:cs="宋体"/>
          <w:b/>
          <w:bCs/>
          <w:highlight w:val="none"/>
          <w:lang w:val="en-US" w:eastAsia="zh-CN" w:bidi="ar"/>
        </w:rPr>
        <w:t xml:space="preserve">操作室智能门禁安防服务</w:t>
      </w:r>
      <w:r>
        <w:rPr>
          <w:rFonts w:hint="eastAsia" w:cs="宋体"/>
          <w:b/>
          <w:bCs/>
          <w:highlight w:val="none"/>
          <w:lang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val="en-US" w:eastAsia="zh-CN" w:bidi="ar"/>
        </w:rPr>
        <w:outlineLvl w:val="9"/>
      </w:pPr>
      <w:r>
        <w:rPr>
          <w:rFonts w:hint="eastAsia" w:ascii="宋体" w:hAnsi="宋体" w:eastAsia="宋体" w:cs="宋体"/>
          <w:b w:val="0"/>
          <w:bCs w:val="0"/>
          <w:highlight w:val="none"/>
          <w:lang w:val="en-US" w:eastAsia="zh-CN" w:bidi="ar"/>
        </w:rPr>
        <w:t xml:space="preserve">包含2套点位门禁系统适配部署、专业安装、调试和运维，配套提供所需设施及安装辅材。</w:t>
      </w:r>
      <w:r>
        <w:rPr>
          <w:rFonts w:hint="eastAsia" w:ascii="宋体" w:hAnsi="宋体" w:eastAsia="宋体" w:cs="宋体"/>
          <w:b w:val="0"/>
          <w:bCs w:val="0"/>
          <w:highlight w:val="none"/>
          <w:lang w:val="en-US"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安全</w:t>
      </w:r>
      <w:r>
        <w:rPr>
          <w:rFonts w:hint="eastAsia" w:ascii="宋体" w:hAnsi="宋体" w:eastAsia="宋体" w:cs="宋体"/>
          <w:b w:val="0"/>
          <w:bCs w:val="0"/>
          <w:highlight w:val="none"/>
          <w:lang w:val="en-US" w:eastAsia="zh-CN" w:bidi="ar"/>
        </w:rPr>
        <w:t xml:space="preserve">与材质标准</w:t>
      </w:r>
      <w:r>
        <w:rPr>
          <w:rFonts w:hint="eastAsia" w:ascii="宋体" w:hAnsi="宋体" w:eastAsia="宋体" w:cs="宋体"/>
          <w:b w:val="0"/>
          <w:bCs w:val="0"/>
          <w:highlight w:val="none"/>
          <w:lang w:eastAsia="zh-CN" w:bidi="ar"/>
        </w:rPr>
        <w:t xml:space="preserve">：符合国家GB/T 21556-2016《锁具安全通用技术条件》，安全等级≥C级，</w:t>
      </w:r>
      <w:r>
        <w:rPr>
          <w:rFonts w:hint="eastAsia" w:ascii="宋体" w:hAnsi="宋体" w:eastAsia="宋体" w:cs="宋体"/>
          <w:b w:val="0"/>
          <w:bCs w:val="0"/>
          <w:highlight w:val="none"/>
          <w:lang w:val="en-US" w:eastAsia="zh-CN" w:bidi="ar"/>
        </w:rPr>
        <w:t xml:space="preserve">具备</w:t>
      </w:r>
      <w:r>
        <w:rPr>
          <w:rFonts w:hint="eastAsia" w:ascii="宋体" w:hAnsi="宋体" w:eastAsia="宋体" w:cs="宋体"/>
          <w:b w:val="0"/>
          <w:bCs w:val="0"/>
          <w:highlight w:val="none"/>
          <w:lang w:eastAsia="zh-CN" w:bidi="ar"/>
        </w:rPr>
        <w:t xml:space="preserve">防撬、防暴力开启、防技术开启</w:t>
      </w:r>
      <w:r>
        <w:rPr>
          <w:rFonts w:hint="eastAsia" w:ascii="宋体" w:hAnsi="宋体" w:eastAsia="宋体" w:cs="宋体"/>
          <w:b w:val="0"/>
          <w:bCs w:val="0"/>
          <w:highlight w:val="none"/>
          <w:lang w:val="en-US" w:eastAsia="zh-CN" w:bidi="ar"/>
        </w:rPr>
        <w:t xml:space="preserve">能力</w:t>
      </w:r>
      <w:r>
        <w:rPr>
          <w:rFonts w:hint="eastAsia" w:ascii="宋体" w:hAnsi="宋体" w:eastAsia="宋体" w:cs="宋体"/>
          <w:b w:val="0"/>
          <w:bCs w:val="0"/>
          <w:highlight w:val="none"/>
          <w:lang w:eastAsia="zh-CN" w:bidi="ar"/>
        </w:rPr>
        <w:t xml:space="preserve">。锁体采用304不锈钢加厚材质（厚度≥2.0mm），</w:t>
      </w:r>
      <w:r>
        <w:rPr>
          <w:rFonts w:hint="eastAsia" w:ascii="宋体" w:hAnsi="宋体" w:eastAsia="宋体" w:cs="宋体"/>
          <w:b w:val="0"/>
          <w:bCs w:val="0"/>
          <w:highlight w:val="none"/>
          <w:lang w:val="en-US" w:eastAsia="zh-CN" w:bidi="ar"/>
        </w:rPr>
        <w:t xml:space="preserve">配置</w:t>
      </w:r>
      <w:r>
        <w:rPr>
          <w:rFonts w:hint="eastAsia" w:ascii="宋体" w:hAnsi="宋体" w:eastAsia="宋体" w:cs="宋体"/>
          <w:b w:val="0"/>
          <w:bCs w:val="0"/>
          <w:highlight w:val="none"/>
          <w:lang w:eastAsia="zh-CN" w:bidi="ar"/>
        </w:rPr>
        <w:t xml:space="preserve">防技术开启C级锁芯。</w:t>
      </w:r>
      <w:r>
        <w:rPr>
          <w:rFonts w:hint="eastAsia" w:ascii="宋体" w:hAnsi="宋体" w:eastAsia="宋体" w:cs="宋体"/>
          <w:b w:val="0"/>
          <w:bCs w:val="0"/>
          <w:highlight w:val="none"/>
          <w:lang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val="en-US" w:eastAsia="zh-CN" w:bidi="ar"/>
        </w:rPr>
        <w:t xml:space="preserve">开门</w:t>
      </w:r>
      <w:r>
        <w:rPr>
          <w:rFonts w:hint="eastAsia" w:ascii="宋体" w:hAnsi="宋体" w:eastAsia="宋体" w:cs="宋体"/>
          <w:b w:val="0"/>
          <w:bCs w:val="0"/>
          <w:highlight w:val="none"/>
          <w:lang w:eastAsia="zh-CN" w:bidi="ar"/>
        </w:rPr>
        <w:t xml:space="preserve">识别</w:t>
      </w:r>
      <w:r>
        <w:rPr>
          <w:rFonts w:hint="eastAsia" w:ascii="宋体" w:hAnsi="宋体" w:eastAsia="宋体" w:cs="宋体"/>
          <w:b w:val="0"/>
          <w:bCs w:val="0"/>
          <w:highlight w:val="none"/>
          <w:lang w:val="en-US" w:eastAsia="zh-CN" w:bidi="ar"/>
        </w:rPr>
        <w:t xml:space="preserve">功能</w:t>
      </w:r>
      <w:r>
        <w:rPr>
          <w:rFonts w:hint="eastAsia" w:ascii="宋体" w:hAnsi="宋体" w:eastAsia="宋体" w:cs="宋体"/>
          <w:b w:val="0"/>
          <w:bCs w:val="0"/>
          <w:highlight w:val="none"/>
          <w:lang w:eastAsia="zh-CN" w:bidi="ar"/>
        </w:rPr>
        <w:t xml:space="preserve">：支持指纹识别、密码输入双核心功能，应急</w:t>
      </w:r>
      <w:r>
        <w:rPr>
          <w:rFonts w:hint="eastAsia" w:ascii="宋体" w:hAnsi="宋体" w:eastAsia="宋体" w:cs="宋体"/>
          <w:b w:val="0"/>
          <w:bCs w:val="0"/>
          <w:highlight w:val="none"/>
          <w:lang w:val="en-US" w:eastAsia="zh-CN" w:bidi="ar"/>
        </w:rPr>
        <w:t xml:space="preserve">防复制</w:t>
      </w:r>
      <w:r>
        <w:rPr>
          <w:rFonts w:hint="eastAsia" w:ascii="宋体" w:hAnsi="宋体" w:eastAsia="宋体" w:cs="宋体"/>
          <w:b w:val="0"/>
          <w:bCs w:val="0"/>
          <w:highlight w:val="none"/>
          <w:lang w:eastAsia="zh-CN" w:bidi="ar"/>
        </w:rPr>
        <w:t xml:space="preserve">钥匙开启</w:t>
      </w:r>
      <w:r>
        <w:rPr>
          <w:rFonts w:hint="eastAsia" w:ascii="宋体" w:hAnsi="宋体" w:eastAsia="宋体" w:cs="宋体"/>
          <w:b w:val="0"/>
          <w:bCs w:val="0"/>
          <w:highlight w:val="none"/>
          <w:lang w:val="en-US" w:eastAsia="zh-CN" w:bidi="ar"/>
        </w:rPr>
        <w:t xml:space="preserve">三重方式</w:t>
      </w:r>
      <w:r>
        <w:rPr>
          <w:rFonts w:hint="eastAsia" w:ascii="宋体" w:hAnsi="宋体" w:eastAsia="宋体" w:cs="宋体"/>
          <w:b w:val="0"/>
          <w:bCs w:val="0"/>
          <w:highlight w:val="none"/>
          <w:lang w:eastAsia="zh-CN" w:bidi="ar"/>
        </w:rPr>
        <w:t xml:space="preserve">，可独立使用、组合使用。指纹采集器采用高精度半导体活体指纹识别技术，</w:t>
      </w:r>
      <w:r>
        <w:rPr>
          <w:rFonts w:hint="eastAsia" w:ascii="宋体" w:hAnsi="宋体" w:eastAsia="宋体" w:cs="宋体"/>
          <w:b w:val="0"/>
          <w:bCs w:val="0"/>
          <w:highlight w:val="none"/>
          <w:lang w:val="en-US" w:eastAsia="zh-CN" w:bidi="ar"/>
        </w:rPr>
        <w:t xml:space="preserve">杜绝</w:t>
      </w:r>
      <w:r>
        <w:rPr>
          <w:rFonts w:hint="eastAsia" w:ascii="宋体" w:hAnsi="宋体" w:eastAsia="宋体" w:cs="宋体"/>
          <w:b w:val="0"/>
          <w:bCs w:val="0"/>
          <w:highlight w:val="none"/>
          <w:lang w:eastAsia="zh-CN" w:bidi="ar"/>
        </w:rPr>
        <w:t xml:space="preserve">假指纹（硅胶、仿造指纹等），识别速度≤0.3秒，识别成功率≥99.9%，具备指纹磨损自适应功能。支持6-12位数字密码输入，</w:t>
      </w:r>
      <w:r>
        <w:rPr>
          <w:rFonts w:hint="eastAsia" w:ascii="宋体" w:hAnsi="宋体" w:eastAsia="宋体" w:cs="宋体"/>
          <w:b w:val="0"/>
          <w:bCs w:val="0"/>
          <w:highlight w:val="none"/>
          <w:lang w:val="en-US" w:eastAsia="zh-CN" w:bidi="ar"/>
        </w:rPr>
        <w:t xml:space="preserve">区分管理员/普通用户权限，具备密码防窥输入、错码锁定防护功能。</w:t>
      </w:r>
      <w:r>
        <w:rPr>
          <w:rFonts w:hint="eastAsia" w:ascii="宋体" w:hAnsi="宋体" w:eastAsia="宋体" w:cs="宋体"/>
          <w:b w:val="0"/>
          <w:bCs w:val="0"/>
          <w:highlight w:val="none"/>
          <w:lang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供电</w:t>
      </w:r>
      <w:r>
        <w:rPr>
          <w:rFonts w:hint="eastAsia" w:ascii="宋体" w:hAnsi="宋体" w:eastAsia="宋体" w:cs="宋体"/>
          <w:b w:val="0"/>
          <w:bCs w:val="0"/>
          <w:highlight w:val="none"/>
          <w:lang w:val="en-US" w:eastAsia="zh-CN" w:bidi="ar"/>
        </w:rPr>
        <w:t xml:space="preserve">与环境适配</w:t>
      </w:r>
      <w:r>
        <w:rPr>
          <w:rFonts w:hint="eastAsia" w:ascii="宋体" w:hAnsi="宋体" w:eastAsia="宋体" w:cs="宋体"/>
          <w:b w:val="0"/>
          <w:bCs w:val="0"/>
          <w:highlight w:val="none"/>
          <w:lang w:eastAsia="zh-CN" w:bidi="ar"/>
        </w:rPr>
        <w:t xml:space="preserve">：采用直流6V供电，</w:t>
      </w:r>
      <w:r>
        <w:rPr>
          <w:rFonts w:hint="eastAsia" w:ascii="宋体" w:hAnsi="宋体" w:eastAsia="宋体" w:cs="宋体"/>
          <w:b w:val="0"/>
          <w:bCs w:val="0"/>
          <w:highlight w:val="none"/>
          <w:lang w:val="en-US" w:eastAsia="zh-CN" w:bidi="ar"/>
        </w:rPr>
        <w:t xml:space="preserve">适配</w:t>
      </w:r>
      <w:r>
        <w:rPr>
          <w:rFonts w:hint="eastAsia" w:ascii="宋体" w:hAnsi="宋体" w:eastAsia="宋体" w:cs="宋体"/>
          <w:b w:val="0"/>
          <w:bCs w:val="0"/>
          <w:highlight w:val="none"/>
          <w:lang w:eastAsia="zh-CN" w:bidi="ar"/>
        </w:rPr>
        <w:t xml:space="preserve">5号干电池供电，待机时</w:t>
      </w:r>
      <w:r>
        <w:rPr>
          <w:rFonts w:hint="eastAsia" w:ascii="宋体" w:hAnsi="宋体" w:eastAsia="宋体" w:cs="宋体"/>
          <w:b w:val="0"/>
          <w:bCs w:val="0"/>
          <w:highlight w:val="none"/>
          <w:lang w:val="en-US" w:eastAsia="zh-CN" w:bidi="ar"/>
        </w:rPr>
        <w:t xml:space="preserve">长</w:t>
      </w:r>
      <w:r>
        <w:rPr>
          <w:rFonts w:hint="eastAsia" w:ascii="宋体" w:hAnsi="宋体" w:eastAsia="宋体" w:cs="宋体"/>
          <w:b w:val="0"/>
          <w:bCs w:val="0"/>
          <w:highlight w:val="none"/>
          <w:lang w:eastAsia="zh-CN" w:bidi="ar"/>
        </w:rPr>
        <w:t xml:space="preserve">≥12个月，支持应急供电接口（Type-C接口，兼容主流充电设备），配备备用电池仓，避免突发断电无法开门。</w:t>
      </w:r>
      <w:r>
        <w:rPr>
          <w:rFonts w:hint="eastAsia" w:ascii="宋体" w:hAnsi="宋体" w:eastAsia="宋体" w:cs="宋体"/>
          <w:b w:val="0"/>
          <w:bCs w:val="0"/>
          <w:highlight w:val="none"/>
          <w:lang w:val="en-US" w:eastAsia="zh-CN" w:bidi="ar"/>
        </w:rPr>
        <w:t xml:space="preserve">整机</w:t>
      </w:r>
      <w:r>
        <w:rPr>
          <w:rFonts w:hint="eastAsia" w:ascii="宋体" w:hAnsi="宋体" w:eastAsia="宋体" w:cs="宋体"/>
          <w:b w:val="0"/>
          <w:bCs w:val="0"/>
          <w:highlight w:val="none"/>
          <w:lang w:eastAsia="zh-CN" w:bidi="ar"/>
        </w:rPr>
        <w:t xml:space="preserve">防</w:t>
      </w:r>
      <w:r>
        <w:rPr>
          <w:rFonts w:hint="eastAsia" w:ascii="宋体" w:hAnsi="宋体" w:eastAsia="宋体" w:cs="宋体"/>
          <w:b w:val="0"/>
          <w:bCs w:val="0"/>
          <w:highlight w:val="none"/>
          <w:lang w:val="en-US" w:eastAsia="zh-CN" w:bidi="ar"/>
        </w:rPr>
        <w:t xml:space="preserve">护</w:t>
      </w:r>
      <w:r>
        <w:rPr>
          <w:rFonts w:hint="eastAsia" w:ascii="宋体" w:hAnsi="宋体" w:eastAsia="宋体" w:cs="宋体"/>
          <w:b w:val="0"/>
          <w:bCs w:val="0"/>
          <w:highlight w:val="none"/>
          <w:lang w:eastAsia="zh-CN" w:bidi="ar"/>
        </w:rPr>
        <w:t xml:space="preserve">等级≥IP65，</w:t>
      </w:r>
      <w:r>
        <w:rPr>
          <w:rFonts w:hint="eastAsia" w:ascii="宋体" w:hAnsi="宋体" w:eastAsia="宋体" w:cs="宋体"/>
          <w:b w:val="0"/>
          <w:bCs w:val="0"/>
          <w:highlight w:val="none"/>
          <w:lang w:val="en-US" w:eastAsia="zh-CN" w:bidi="ar"/>
        </w:rPr>
        <w:t xml:space="preserve">防水、防尘、防静电</w:t>
      </w:r>
      <w:r>
        <w:rPr>
          <w:rFonts w:hint="eastAsia" w:ascii="宋体" w:hAnsi="宋体" w:eastAsia="宋体" w:cs="宋体"/>
          <w:b w:val="0"/>
          <w:bCs w:val="0"/>
          <w:highlight w:val="none"/>
          <w:lang w:eastAsia="zh-CN" w:bidi="ar"/>
        </w:rPr>
        <w:t xml:space="preserve">，防电磁、</w:t>
      </w:r>
      <w:r>
        <w:rPr>
          <w:rFonts w:hint="eastAsia" w:ascii="宋体" w:hAnsi="宋体" w:eastAsia="宋体" w:cs="宋体"/>
          <w:b w:val="0"/>
          <w:bCs w:val="0"/>
          <w:highlight w:val="none"/>
          <w:lang w:val="en-US" w:eastAsia="zh-CN" w:bidi="ar"/>
        </w:rPr>
        <w:t xml:space="preserve">强</w:t>
      </w:r>
      <w:r>
        <w:rPr>
          <w:rFonts w:hint="eastAsia" w:ascii="宋体" w:hAnsi="宋体" w:eastAsia="宋体" w:cs="宋体"/>
          <w:b w:val="0"/>
          <w:bCs w:val="0"/>
          <w:highlight w:val="none"/>
          <w:lang w:eastAsia="zh-CN" w:bidi="ar"/>
        </w:rPr>
        <w:t xml:space="preserve">磁场</w:t>
      </w:r>
      <w:r>
        <w:rPr>
          <w:rFonts w:hint="eastAsia" w:ascii="宋体" w:hAnsi="宋体" w:eastAsia="宋体" w:cs="宋体"/>
          <w:b w:val="0"/>
          <w:bCs w:val="0"/>
          <w:highlight w:val="none"/>
          <w:lang w:val="en-US" w:eastAsia="zh-CN" w:bidi="ar"/>
        </w:rPr>
        <w:t xml:space="preserve">干扰</w:t>
      </w:r>
      <w:r>
        <w:rPr>
          <w:rFonts w:hint="eastAsia" w:ascii="宋体" w:hAnsi="宋体" w:eastAsia="宋体" w:cs="宋体"/>
          <w:b w:val="0"/>
          <w:bCs w:val="0"/>
          <w:highlight w:val="none"/>
          <w:lang w:eastAsia="zh-CN" w:bidi="ar"/>
        </w:rPr>
        <w:t xml:space="preserve">，适配机房各类环境。</w:t>
      </w:r>
      <w:r>
        <w:rPr>
          <w:rFonts w:hint="eastAsia" w:ascii="宋体" w:hAnsi="宋体" w:eastAsia="宋体" w:cs="宋体"/>
          <w:b w:val="0"/>
          <w:bCs w:val="0"/>
          <w:highlight w:val="none"/>
          <w:lang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安装</w:t>
      </w:r>
      <w:r>
        <w:rPr>
          <w:rFonts w:hint="eastAsia" w:ascii="宋体" w:hAnsi="宋体" w:eastAsia="宋体" w:cs="宋体"/>
          <w:b w:val="0"/>
          <w:bCs w:val="0"/>
          <w:highlight w:val="none"/>
          <w:lang w:val="en-US" w:eastAsia="zh-CN" w:bidi="ar"/>
        </w:rPr>
        <w:t xml:space="preserve">服务</w:t>
      </w:r>
      <w:r>
        <w:rPr>
          <w:rFonts w:hint="eastAsia" w:ascii="宋体" w:hAnsi="宋体" w:eastAsia="宋体" w:cs="宋体"/>
          <w:b w:val="0"/>
          <w:bCs w:val="0"/>
          <w:highlight w:val="none"/>
          <w:lang w:eastAsia="zh-CN" w:bidi="ar"/>
        </w:rPr>
        <w:t xml:space="preserve">：尺寸适配常规机房玻璃门，配套提供玻璃门专用安装夹具、螺丝、接线等配件，夹具适配玻璃厚度15mm，安装后不损伤玻璃，承重能力≥50N，无脱落风险。</w:t>
      </w:r>
      <w:r>
        <w:rPr>
          <w:rFonts w:hint="eastAsia" w:ascii="宋体" w:hAnsi="宋体" w:eastAsia="宋体" w:cs="宋体"/>
          <w:b w:val="0"/>
          <w:bCs w:val="0"/>
          <w:highlight w:val="none"/>
          <w:lang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质保服务：免费质保≥3年，质保期内免费提供维修、配件更换服务，质保期外提供终身成本价维修服务。</w:t>
      </w:r>
      <w:r>
        <w:rPr>
          <w:rFonts w:hint="eastAsia" w:ascii="宋体" w:hAnsi="宋体" w:eastAsia="宋体" w:cs="宋体"/>
          <w:b w:val="0"/>
          <w:bCs w:val="0"/>
          <w:highlight w:val="none"/>
          <w:lang w:eastAsia="zh-CN" w:bidi="ar"/>
        </w:rPr>
      </w:r>
      <w:r/>
    </w:p>
    <w:p>
      <w:pPr>
        <w:pStyle w:val="1290"/>
        <w:numPr>
          <w:ilvl w:val="0"/>
          <w:numId w:val="0"/>
        </w:numPr>
        <w:ind w:left="0" w:firstLine="482"/>
        <w:spacing w:line="440" w:lineRule="exact"/>
        <w:rPr>
          <w:rFonts w:eastAsia="宋体" w:cs="宋体"/>
          <w:b/>
          <w:bCs/>
          <w:highlight w:val="none"/>
          <w:lang w:val="en-US" w:eastAsia="zh-CN" w:bidi="ar"/>
        </w:rPr>
        <w:outlineLvl w:val="9"/>
      </w:pPr>
      <w:r>
        <w:rPr>
          <w:rFonts w:hint="eastAsia" w:eastAsia="宋体" w:cs="宋体"/>
          <w:b/>
          <w:bCs/>
          <w:highlight w:val="none"/>
          <w:lang w:val="en-US" w:eastAsia="zh-CN" w:bidi="ar"/>
        </w:rPr>
        <w:t xml:space="preserve">（3）机房</w:t>
      </w:r>
      <w:r>
        <w:rPr>
          <w:rFonts w:hint="eastAsia" w:eastAsia="宋体" w:cs="宋体"/>
          <w:b/>
          <w:bCs/>
          <w:highlight w:val="none"/>
          <w:lang w:val="en-US" w:eastAsia="zh-CN" w:bidi="ar"/>
        </w:rPr>
        <w:t xml:space="preserve">智能</w:t>
      </w:r>
      <w:r>
        <w:rPr>
          <w:rFonts w:hint="eastAsia" w:eastAsia="宋体" w:cs="宋体"/>
          <w:b/>
          <w:bCs/>
          <w:highlight w:val="none"/>
          <w:lang w:val="en-US" w:eastAsia="zh-CN" w:bidi="ar"/>
        </w:rPr>
        <w:t xml:space="preserve">视频监控服务</w:t>
      </w:r>
      <w:r>
        <w:rPr>
          <w:rFonts w:eastAsia="宋体" w:cs="宋体"/>
          <w:b/>
          <w:bCs/>
          <w:highlight w:val="none"/>
          <w:lang w:val="en-US"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val="en-US" w:eastAsia="zh-CN" w:bidi="ar"/>
        </w:rPr>
        <w:outlineLvl w:val="9"/>
      </w:pPr>
      <w:r>
        <w:rPr>
          <w:rFonts w:hint="eastAsia" w:ascii="宋体" w:hAnsi="宋体" w:eastAsia="宋体" w:cs="宋体"/>
          <w:b w:val="0"/>
          <w:bCs w:val="0"/>
          <w:highlight w:val="none"/>
          <w:lang w:val="en-US" w:eastAsia="zh-CN" w:bidi="ar"/>
        </w:rPr>
        <w:t xml:space="preserve">包含2台400万高清全彩半球摄像机、1套硬盘录像机的全套适配部署、专业安装、调试和运维，配套提供所需设施及安装辅材。</w:t>
      </w:r>
      <w:r>
        <w:rPr>
          <w:rFonts w:hint="eastAsia" w:ascii="宋体" w:hAnsi="宋体" w:eastAsia="宋体" w:cs="宋体"/>
          <w:b w:val="0"/>
          <w:bCs w:val="0"/>
          <w:highlight w:val="none"/>
          <w:lang w:val="en-US"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主要设备技术参数：400万1/1.8" CMOS全彩半球型网络摄像机；支持人员在离岗检测；支持语音播报功能，3米处声压约为65dB；射频电磁场辐射抗扰度限值应符合 GB/T 17626.3-2006中试验等</w:t>
      </w:r>
      <w:r>
        <w:rPr>
          <w:rFonts w:hint="eastAsia" w:ascii="宋体" w:hAnsi="宋体" w:eastAsia="宋体" w:cs="宋体"/>
          <w:b w:val="0"/>
          <w:bCs w:val="0"/>
          <w:highlight w:val="none"/>
          <w:lang w:val="en-US" w:eastAsia="zh-CN" w:bidi="ar"/>
        </w:rPr>
        <w:t xml:space="preserve">级</w:t>
      </w:r>
      <w:r>
        <w:rPr>
          <w:rFonts w:hint="eastAsia" w:ascii="宋体" w:hAnsi="宋体" w:eastAsia="宋体" w:cs="宋体"/>
          <w:b w:val="0"/>
          <w:bCs w:val="0"/>
          <w:highlight w:val="none"/>
          <w:lang w:eastAsia="zh-CN" w:bidi="ar"/>
        </w:rPr>
        <w:t xml:space="preserve">3的规定。传导、</w:t>
      </w:r>
      <w:r>
        <w:rPr>
          <w:rFonts w:hint="eastAsia" w:ascii="宋体" w:hAnsi="宋体" w:eastAsia="宋体" w:cs="宋体"/>
          <w:b w:val="0"/>
          <w:bCs w:val="0"/>
          <w:highlight w:val="none"/>
          <w:lang w:val="en-US" w:eastAsia="zh-CN" w:bidi="ar"/>
        </w:rPr>
        <w:t xml:space="preserve">辐射</w:t>
      </w:r>
      <w:r>
        <w:rPr>
          <w:rFonts w:hint="eastAsia" w:ascii="宋体" w:hAnsi="宋体" w:eastAsia="宋体" w:cs="宋体"/>
          <w:b w:val="0"/>
          <w:bCs w:val="0"/>
          <w:highlight w:val="none"/>
          <w:lang w:eastAsia="zh-CN" w:bidi="ar"/>
        </w:rPr>
        <w:t xml:space="preserve">骚扰限值符合GB/T 9254-2008 中 等级 A 的规定。</w:t>
      </w:r>
      <w:r>
        <w:rPr>
          <w:rFonts w:hint="eastAsia" w:ascii="宋体" w:hAnsi="宋体" w:eastAsia="宋体" w:cs="宋体"/>
          <w:b w:val="0"/>
          <w:bCs w:val="0"/>
          <w:highlight w:val="none"/>
          <w:lang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val="en-US" w:eastAsia="zh-CN" w:bidi="ar"/>
        </w:rPr>
        <w:t xml:space="preserve">智能报警防护</w:t>
      </w:r>
      <w:r>
        <w:rPr>
          <w:rFonts w:hint="eastAsia" w:ascii="宋体" w:hAnsi="宋体" w:eastAsia="宋体" w:cs="宋体"/>
          <w:b w:val="0"/>
          <w:bCs w:val="0"/>
          <w:highlight w:val="none"/>
          <w:lang w:eastAsia="zh-CN" w:bidi="ar"/>
        </w:rPr>
        <w:t xml:space="preserve">：支持镜头正前方(夹角小于 30°) 50cm 内，有较大物体遮挡检测；</w:t>
      </w:r>
      <w:r>
        <w:rPr>
          <w:rFonts w:hint="eastAsia" w:ascii="宋体" w:hAnsi="宋体" w:eastAsia="宋体" w:cs="宋体"/>
          <w:b w:val="0"/>
          <w:bCs w:val="0"/>
          <w:highlight w:val="none"/>
          <w:lang w:eastAsia="zh-CN" w:bidi="ar"/>
        </w:rPr>
      </w:r>
      <w:r/>
    </w:p>
    <w:p>
      <w:pPr>
        <w:pStyle w:val="1290"/>
        <w:numPr>
          <w:ilvl w:val="0"/>
          <w:numId w:val="0"/>
        </w:numPr>
        <w:ind w:left="0" w:firstLine="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当设备带电拆卸、被改变探测视场方向、被移动时需要产生报警。</w:t>
      </w:r>
      <w:r>
        <w:rPr>
          <w:rFonts w:hint="eastAsia" w:ascii="宋体" w:hAnsi="宋体" w:eastAsia="宋体" w:cs="宋体"/>
          <w:b w:val="0"/>
          <w:bCs w:val="0"/>
          <w:highlight w:val="none"/>
          <w:lang w:eastAsia="zh-CN" w:bidi="ar"/>
        </w:rPr>
      </w:r>
      <w:r/>
    </w:p>
    <w:p>
      <w:pPr>
        <w:pStyle w:val="1290"/>
        <w:numPr>
          <w:ilvl w:val="0"/>
          <w:numId w:val="0"/>
        </w:numPr>
        <w:ind w:left="0" w:firstLine="480"/>
        <w:jc w:val="left"/>
        <w:spacing w:line="440" w:lineRule="exact"/>
        <w:rPr>
          <w:rFonts w:hint="eastAsia" w:ascii="宋体" w:hAnsi="宋体" w:eastAsia="宋体" w:cs="宋体"/>
          <w:b w:val="0"/>
          <w:bCs w:val="0"/>
          <w:highlight w:val="none"/>
          <w:lang w:val="en-US" w:eastAsia="zh-CN" w:bidi="ar"/>
        </w:rPr>
        <w:outlineLvl w:val="9"/>
      </w:pPr>
      <w:r>
        <w:rPr>
          <w:rFonts w:hint="eastAsia" w:ascii="宋体" w:hAnsi="宋体" w:eastAsia="宋体" w:cs="宋体"/>
          <w:sz w:val="24"/>
          <w:szCs w:val="24"/>
          <w:highlight w:val="none"/>
          <w:lang w:bidi="ar"/>
        </w:rPr>
        <w:t xml:space="preserve">▲</w:t>
      </w:r>
      <w:r>
        <w:rPr>
          <w:rFonts w:hint="eastAsia" w:ascii="宋体" w:hAnsi="宋体" w:eastAsia="宋体" w:cs="宋体"/>
          <w:b w:val="0"/>
          <w:bCs w:val="0"/>
          <w:highlight w:val="none"/>
          <w:lang w:eastAsia="zh-CN" w:bidi="ar"/>
        </w:rPr>
        <w:t xml:space="preserve">硬盘录像机提供的存储容量不低于16T，</w:t>
      </w:r>
      <w:r>
        <w:rPr>
          <w:rFonts w:hint="eastAsia" w:ascii="宋体" w:hAnsi="宋体" w:eastAsia="宋体" w:cs="宋体"/>
          <w:b w:val="0"/>
          <w:bCs w:val="0"/>
          <w:highlight w:val="none"/>
          <w:lang w:val="en-US" w:eastAsia="zh-CN" w:bidi="ar"/>
        </w:rPr>
        <w:t xml:space="preserve">保障视频长期存储、回放与溯源</w:t>
      </w:r>
      <w:r>
        <w:rPr>
          <w:rFonts w:hint="eastAsia" w:ascii="宋体" w:hAnsi="宋体" w:eastAsia="宋体" w:cs="宋体"/>
          <w:b w:val="0"/>
          <w:bCs w:val="0"/>
          <w:highlight w:val="none"/>
          <w:lang w:eastAsia="zh-CN" w:bidi="ar"/>
        </w:rPr>
        <w:t xml:space="preserve">。</w:t>
      </w:r>
      <w:r>
        <w:rPr>
          <w:rFonts w:hint="eastAsia" w:ascii="宋体" w:hAnsi="宋体" w:eastAsia="宋体" w:cs="宋体"/>
          <w:b w:val="0"/>
          <w:bCs w:val="0"/>
          <w:highlight w:val="none"/>
          <w:lang w:val="en-US" w:eastAsia="zh-CN" w:bidi="ar"/>
        </w:rPr>
      </w:r>
      <w:r/>
    </w:p>
    <w:p>
      <w:pPr>
        <w:pStyle w:val="1290"/>
        <w:numPr>
          <w:ilvl w:val="0"/>
          <w:numId w:val="0"/>
        </w:numPr>
        <w:ind w:left="480" w:firstLine="0"/>
        <w:spacing w:line="440" w:lineRule="exact"/>
        <w:rPr>
          <w:rFonts w:hint="eastAsia" w:eastAsia="宋体" w:cs="宋体"/>
          <w:b/>
          <w:bCs/>
          <w:highlight w:val="none"/>
          <w:lang w:eastAsia="zh-CN" w:bidi="ar"/>
        </w:rPr>
        <w:outlineLvl w:val="9"/>
      </w:pPr>
      <w:r>
        <w:rPr>
          <w:rFonts w:hint="eastAsia" w:eastAsia="宋体" w:cs="宋体"/>
          <w:b/>
          <w:bCs/>
          <w:highlight w:val="none"/>
          <w:lang w:eastAsia="zh-CN" w:bidi="ar"/>
        </w:rPr>
        <w:t xml:space="preserve">（</w:t>
      </w:r>
      <w:r>
        <w:rPr>
          <w:rFonts w:hint="eastAsia" w:eastAsia="宋体" w:cs="宋体"/>
          <w:b/>
          <w:bCs/>
          <w:highlight w:val="none"/>
          <w:lang w:val="en-US" w:eastAsia="zh-CN" w:bidi="ar"/>
        </w:rPr>
        <w:t xml:space="preserve">4</w:t>
      </w:r>
      <w:r>
        <w:rPr>
          <w:rFonts w:hint="eastAsia" w:eastAsia="宋体" w:cs="宋体"/>
          <w:b/>
          <w:bCs/>
          <w:highlight w:val="none"/>
          <w:lang w:eastAsia="zh-CN" w:bidi="ar"/>
        </w:rPr>
        <w:t xml:space="preserve">）集控中心整体办公环境维保</w:t>
      </w:r>
      <w:r>
        <w:rPr>
          <w:rFonts w:hint="eastAsia" w:eastAsia="宋体" w:cs="宋体"/>
          <w:b/>
          <w:bCs/>
          <w:highlight w:val="none"/>
          <w:lang w:eastAsia="zh-CN" w:bidi="ar"/>
        </w:rPr>
      </w:r>
      <w:r/>
    </w:p>
    <w:p>
      <w:pPr>
        <w:pStyle w:val="1290"/>
        <w:numPr>
          <w:ilvl w:val="0"/>
          <w:numId w:val="0"/>
        </w:numPr>
        <w:ind w:left="0" w:firstLine="480"/>
        <w:spacing w:line="440" w:lineRule="exact"/>
        <w:rPr>
          <w:rFonts w:hint="eastAsia" w:eastAsia="宋体" w:cs="宋体"/>
          <w:b w:val="0"/>
          <w:bCs w:val="0"/>
          <w:highlight w:val="none"/>
          <w:lang w:val="en-US" w:eastAsia="zh-CN" w:bidi="ar"/>
        </w:rPr>
        <w:outlineLvl w:val="9"/>
      </w:pPr>
      <w:r>
        <w:rPr>
          <w:rFonts w:hint="eastAsia" w:eastAsia="宋体" w:cs="宋体"/>
          <w:b w:val="0"/>
          <w:bCs w:val="0"/>
          <w:highlight w:val="none"/>
          <w:lang w:val="en-US" w:eastAsia="zh-CN" w:bidi="ar"/>
        </w:rPr>
        <w:t xml:space="preserve">机房综合布局调整、布线改造，主要包含打印机迁移、机柜及内置设备位置调整等；静电地板、墙面、灯具、电视背景墙、背景标识、隔断玻璃、门锁、操作台桌椅、沙发套组等所有设施设备的基础维修、养护及故障处理，保障整体环境完好、整洁、正常使用。</w:t>
      </w:r>
      <w:r>
        <w:rPr>
          <w:rFonts w:hint="eastAsia" w:eastAsia="宋体" w:cs="宋体"/>
          <w:b w:val="0"/>
          <w:bCs w:val="0"/>
          <w:highlight w:val="none"/>
          <w:lang w:val="en-US" w:eastAsia="zh-CN" w:bidi="ar"/>
        </w:rPr>
      </w:r>
      <w:r/>
    </w:p>
    <w:p>
      <w:pPr>
        <w:pStyle w:val="1290"/>
        <w:numPr>
          <w:ilvl w:val="0"/>
          <w:numId w:val="0"/>
        </w:numPr>
        <w:ind w:left="0" w:firstLine="482"/>
        <w:spacing w:line="440" w:lineRule="exact"/>
        <w:rPr>
          <w:rFonts w:cs="宋体"/>
          <w:b/>
          <w:bCs/>
          <w:highlight w:val="none"/>
          <w:lang w:val="en-US" w:eastAsia="zh-CN" w:bidi="ar"/>
        </w:rPr>
        <w:outlineLvl w:val="3"/>
      </w:pPr>
      <w:r>
        <w:rPr>
          <w:rFonts w:hint="eastAsia" w:cs="宋体"/>
          <w:b/>
          <w:bCs/>
          <w:highlight w:val="none"/>
          <w:lang w:val="en-US" w:eastAsia="zh-CN" w:bidi="ar"/>
        </w:rPr>
        <w:t xml:space="preserve">3.弱电控制节点端维保</w:t>
      </w:r>
      <w:r>
        <w:rPr>
          <w:rFonts w:cs="宋体"/>
          <w:b/>
          <w:bCs/>
          <w:highlight w:val="none"/>
          <w:lang w:val="en-US" w:eastAsia="zh-CN" w:bidi="ar"/>
        </w:rPr>
      </w:r>
      <w:r/>
    </w:p>
    <w:p>
      <w:pPr>
        <w:pStyle w:val="1290"/>
        <w:numPr>
          <w:ilvl w:val="0"/>
          <w:numId w:val="0"/>
        </w:numPr>
        <w:ind w:left="0" w:firstLine="482"/>
        <w:spacing w:line="440" w:lineRule="exact"/>
        <w:rPr>
          <w:rFonts w:hint="eastAsia" w:cs="宋体"/>
          <w:b/>
          <w:bCs/>
          <w:highlight w:val="none"/>
          <w:lang w:bidi="ar"/>
        </w:rPr>
        <w:outlineLvl w:val="3"/>
      </w:pPr>
      <w:r>
        <w:rPr>
          <w:rFonts w:hint="eastAsia" w:cs="宋体"/>
          <w:b/>
          <w:bCs/>
          <w:highlight w:val="none"/>
          <w:lang w:eastAsia="zh-CN" w:bidi="ar"/>
        </w:rPr>
        <w:t xml:space="preserve">（</w:t>
      </w:r>
      <w:r>
        <w:rPr>
          <w:rFonts w:hint="eastAsia" w:cs="宋体"/>
          <w:b/>
          <w:bCs/>
          <w:highlight w:val="none"/>
          <w:lang w:val="en-US" w:eastAsia="zh-CN" w:bidi="ar"/>
        </w:rPr>
        <w:t xml:space="preserve">1</w:t>
      </w:r>
      <w:r>
        <w:rPr>
          <w:rFonts w:hint="eastAsia" w:cs="宋体"/>
          <w:b/>
          <w:bCs/>
          <w:highlight w:val="none"/>
          <w:lang w:eastAsia="zh-CN" w:bidi="ar"/>
        </w:rPr>
        <w:t xml:space="preserve">）</w:t>
      </w:r>
      <w:r>
        <w:rPr>
          <w:rFonts w:hint="eastAsia" w:cs="宋体"/>
          <w:b/>
          <w:bCs/>
          <w:highlight w:val="none"/>
          <w:lang w:bidi="ar"/>
        </w:rPr>
        <w:t xml:space="preserve">媒体屏楼宇节点端维保</w:t>
      </w:r>
      <w:r>
        <w:rPr>
          <w:rFonts w:hint="eastAsia" w:cs="宋体"/>
          <w:b/>
          <w:bCs/>
          <w:highlight w:val="none"/>
          <w:lang w:bidi="ar"/>
        </w:rPr>
      </w:r>
      <w:r/>
    </w:p>
    <w:p>
      <w:pPr>
        <w:pStyle w:val="1290"/>
        <w:ind w:firstLine="480"/>
        <w:spacing w:line="440" w:lineRule="exact"/>
        <w:rPr>
          <w:rFonts w:hint="eastAsia" w:cs="宋体"/>
          <w:highlight w:val="none"/>
          <w:lang w:val="en-US" w:eastAsia="zh-CN" w:bidi="ar"/>
        </w:rPr>
      </w:pPr>
      <w:r>
        <w:rPr>
          <w:rFonts w:hint="eastAsia" w:cs="宋体"/>
          <w:highlight w:val="none"/>
          <w:lang w:bidi="ar"/>
        </w:rPr>
        <w:t xml:space="preserve">媒体屏楼宇2</w:t>
      </w:r>
      <w:r>
        <w:rPr>
          <w:rFonts w:hint="eastAsia" w:cs="宋体"/>
          <w:highlight w:val="none"/>
          <w:lang w:eastAsia="zh-CN" w:bidi="ar"/>
        </w:rPr>
        <w:t xml:space="preserve">9</w:t>
      </w:r>
      <w:r>
        <w:rPr>
          <w:rFonts w:hint="eastAsia" w:cs="宋体"/>
          <w:highlight w:val="none"/>
          <w:lang w:bidi="ar"/>
        </w:rPr>
        <w:t xml:space="preserve">幢，涉及工控机2</w:t>
      </w:r>
      <w:r>
        <w:rPr>
          <w:rFonts w:hint="eastAsia" w:cs="宋体"/>
          <w:highlight w:val="none"/>
          <w:lang w:eastAsia="zh-CN" w:bidi="ar"/>
        </w:rPr>
        <w:t xml:space="preserve">3</w:t>
      </w:r>
      <w:r>
        <w:rPr>
          <w:rFonts w:hint="eastAsia" w:cs="宋体"/>
          <w:highlight w:val="none"/>
          <w:lang w:bidi="ar"/>
        </w:rPr>
        <w:t xml:space="preserve">台、显示器2</w:t>
      </w:r>
      <w:r>
        <w:rPr>
          <w:rFonts w:hint="eastAsia" w:cs="宋体"/>
          <w:highlight w:val="none"/>
          <w:lang w:eastAsia="zh-CN" w:bidi="ar"/>
        </w:rPr>
        <w:t xml:space="preserve">3</w:t>
      </w:r>
      <w:r>
        <w:rPr>
          <w:rFonts w:hint="eastAsia" w:cs="宋体"/>
          <w:highlight w:val="none"/>
          <w:lang w:bidi="ar"/>
        </w:rPr>
        <w:t xml:space="preserve">台、操作系统2</w:t>
      </w:r>
      <w:r>
        <w:rPr>
          <w:rFonts w:hint="eastAsia" w:cs="宋体"/>
          <w:highlight w:val="none"/>
          <w:lang w:eastAsia="zh-CN" w:bidi="ar"/>
        </w:rPr>
        <w:t xml:space="preserve">3</w:t>
      </w:r>
      <w:r>
        <w:rPr>
          <w:rFonts w:hint="eastAsia" w:cs="宋体"/>
          <w:highlight w:val="none"/>
          <w:lang w:bidi="ar"/>
        </w:rPr>
        <w:t xml:space="preserve">套、播放软件2</w:t>
      </w:r>
      <w:r>
        <w:rPr>
          <w:rFonts w:hint="eastAsia" w:cs="宋体"/>
          <w:highlight w:val="none"/>
          <w:lang w:eastAsia="zh-CN" w:bidi="ar"/>
        </w:rPr>
        <w:t xml:space="preserve">3</w:t>
      </w:r>
      <w:r>
        <w:rPr>
          <w:rFonts w:hint="eastAsia" w:cs="宋体"/>
          <w:highlight w:val="none"/>
          <w:lang w:bidi="ar"/>
        </w:rPr>
        <w:t xml:space="preserve">套、授时器21台、4G无线路由器2</w:t>
      </w:r>
      <w:r>
        <w:rPr>
          <w:rFonts w:hint="eastAsia" w:cs="宋体"/>
          <w:highlight w:val="none"/>
          <w:lang w:val="en-US" w:eastAsia="zh-CN" w:bidi="ar"/>
        </w:rPr>
        <w:t xml:space="preserve">1</w:t>
      </w:r>
      <w:r>
        <w:rPr>
          <w:rFonts w:hint="eastAsia" w:cs="宋体"/>
          <w:highlight w:val="none"/>
          <w:lang w:bidi="ar"/>
        </w:rPr>
        <w:t xml:space="preserve">台、恒温箱2</w:t>
      </w:r>
      <w:r>
        <w:rPr>
          <w:rFonts w:hint="eastAsia" w:cs="宋体"/>
          <w:highlight w:val="none"/>
          <w:lang w:eastAsia="zh-CN" w:bidi="ar"/>
        </w:rPr>
        <w:t xml:space="preserve">3</w:t>
      </w:r>
      <w:r>
        <w:rPr>
          <w:rFonts w:hint="eastAsia" w:cs="宋体"/>
          <w:highlight w:val="none"/>
          <w:lang w:bidi="ar"/>
        </w:rPr>
        <w:t xml:space="preserve">个、交换机2</w:t>
      </w:r>
      <w:r>
        <w:rPr>
          <w:rFonts w:hint="eastAsia" w:cs="宋体"/>
          <w:highlight w:val="none"/>
          <w:lang w:val="en-US" w:eastAsia="zh-CN" w:bidi="ar"/>
        </w:rPr>
        <w:t xml:space="preserve">1</w:t>
      </w:r>
      <w:r>
        <w:rPr>
          <w:rFonts w:hint="eastAsia" w:cs="宋体"/>
          <w:highlight w:val="none"/>
          <w:lang w:bidi="ar"/>
        </w:rPr>
        <w:t xml:space="preserve">台、写码器2台、分控制器</w:t>
      </w:r>
      <w:r>
        <w:rPr>
          <w:rFonts w:hint="eastAsia" w:cs="宋体"/>
          <w:color w:val="000000"/>
          <w:highlight w:val="none"/>
          <w:lang w:val="en-US" w:eastAsia="zh-CN" w:bidi="ar"/>
        </w:rPr>
        <w:t xml:space="preserve">389</w:t>
      </w:r>
      <w:r>
        <w:rPr>
          <w:rFonts w:hint="eastAsia" w:cs="宋体"/>
          <w:highlight w:val="none"/>
          <w:lang w:bidi="ar"/>
        </w:rPr>
        <w:t xml:space="preserve">台、信号连接器3</w:t>
      </w:r>
      <w:r>
        <w:rPr>
          <w:rFonts w:hint="eastAsia" w:cs="宋体"/>
          <w:highlight w:val="none"/>
          <w:lang w:val="en-US" w:eastAsia="zh-CN" w:bidi="ar"/>
        </w:rPr>
        <w:t xml:space="preserve">608</w:t>
      </w:r>
      <w:r>
        <w:rPr>
          <w:rFonts w:hint="eastAsia" w:cs="宋体"/>
          <w:highlight w:val="none"/>
          <w:lang w:bidi="ar"/>
        </w:rPr>
        <w:t xml:space="preserve">台及其他相关配套。投标人自行查勘现场，须保证节点端软硬件正常稳定运行。</w:t>
      </w:r>
      <w:r>
        <w:rPr>
          <w:rFonts w:hint="eastAsia" w:cs="宋体"/>
          <w:highlight w:val="none"/>
          <w:lang w:val="en-US" w:eastAsia="zh-CN" w:bidi="ar"/>
        </w:rPr>
        <w:t xml:space="preserve">部分稳定性差、故障频繁的弱电控制设备更换。</w:t>
      </w:r>
      <w:r>
        <w:rPr>
          <w:rFonts w:hint="eastAsia" w:cs="宋体"/>
          <w:b/>
          <w:bCs/>
          <w:highlight w:val="none"/>
          <w:lang w:bidi="ar"/>
        </w:rPr>
        <w:t xml:space="preserve">媒体屏显示宣传标语和动画效果的制作、更新与维护工作。</w:t>
      </w:r>
      <w:r>
        <w:rPr>
          <w:rFonts w:hint="eastAsia" w:cs="宋体"/>
          <w:highlight w:val="none"/>
          <w:lang w:val="en-US" w:eastAsia="zh-CN" w:bidi="ar"/>
        </w:rPr>
        <w:t xml:space="preserve">如采购人综合认定需更换故障设备，应无条件进行整改。</w:t>
      </w:r>
      <w:r>
        <w:rPr>
          <w:rFonts w:hint="eastAsia" w:cs="宋体"/>
          <w:highlight w:val="none"/>
          <w:lang w:val="en-US" w:eastAsia="zh-CN" w:bidi="ar"/>
        </w:rPr>
      </w:r>
      <w:r/>
    </w:p>
    <w:p>
      <w:pPr>
        <w:pStyle w:val="1290"/>
        <w:spacing w:line="440" w:lineRule="exact"/>
        <w:rPr>
          <w:rFonts w:hint="eastAsia" w:cs="宋体"/>
          <w:color w:val="000000"/>
          <w:highlight w:val="none"/>
          <w:lang w:bidi="ar"/>
        </w:rPr>
      </w:pPr>
      <w:r>
        <w:rPr>
          <w:rFonts w:hint="eastAsia" w:cs="宋体"/>
          <w:color w:val="000000"/>
          <w:highlight w:val="none"/>
          <w:lang w:bidi="ar"/>
        </w:rPr>
        <w:t xml:space="preserve">详细点位如下：</w:t>
      </w:r>
      <w:r>
        <w:rPr>
          <w:rFonts w:hint="eastAsia" w:cs="宋体"/>
          <w:color w:val="000000"/>
          <w:highlight w:val="none"/>
          <w:lang w:bidi="ar"/>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739"/>
        <w:gridCol w:w="2335"/>
        <w:gridCol w:w="763"/>
        <w:gridCol w:w="3318"/>
        <w:gridCol w:w="1012"/>
        <w:gridCol w:w="995"/>
      </w:tblGrid>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楼宇名称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地理位置</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val="en-US" w:eastAsia="zh-CN" w:bidi="ar"/>
              </w:rPr>
              <w:t xml:space="preserve">主控</w:t>
            </w:r>
            <w:r>
              <w:rPr>
                <w:rFonts w:hint="eastAsia" w:ascii="宋体" w:hAnsi="宋体" w:eastAsia="宋体" w:cs="宋体"/>
                <w:b/>
                <w:bCs/>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分控</w:t>
            </w:r>
            <w:r>
              <w:rPr>
                <w:rFonts w:hint="eastAsia" w:ascii="宋体" w:hAnsi="宋体" w:cs="宋体"/>
                <w:b/>
                <w:bCs/>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盐阜大众报办公楼</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盐都区新都路16号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五洲国际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亭湖区迎宾南路28号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w:t>
            </w:r>
            <w:r>
              <w:rPr>
                <w:rFonts w:hint="eastAsia" w:ascii="宋体" w:hAnsi="宋体" w:cs="宋体"/>
                <w:sz w:val="20"/>
                <w:szCs w:val="20"/>
                <w:highlight w:val="none"/>
              </w:rPr>
            </w:r>
            <w:r/>
          </w:p>
        </w:tc>
      </w:tr>
      <w:tr>
        <w:trPr>
          <w:trHeight w:val="852"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锐轩财富广场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亭湖区青年东路59号(青年东路与黄山路交汇处)</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在水一方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亭湖区建军东路与天山路交叉口</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电信大厦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亭湖区解放中路2号703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宝龙城市广场商住楼</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亭湖区人民中路9号宝龙城市广场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宝龙高层住宅楼</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亭湖区人民中路9号宝龙城市广场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中南世纪城综合体</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盐都区解放南路288号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71</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盐城国际软件园</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亭湖区希望大道5号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瑞都国际财富大厦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亭湖区盐都汽车客运站东南角</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飞驰大厦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亭湖区建军中路与迎宾北路交汇处东南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明华大厦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盐都区大庆西路43号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盐西大厦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盐都区东进西路22号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香槟公馆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盐都区西环路与新都路交汇处</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神龙大厦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盐都区环园西路与盐盘路交汇处东南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汇金大厦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亭湖区文峰街道建军中路177号金鹰汇金大厦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国家电网营销培训中心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亭湖区新园路29号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1208"/>
              <w:jc w:val="center"/>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18</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208"/>
              <w:jc w:val="left"/>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东亭国际A.B楼</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2</w:t>
            </w:r>
            <w:r>
              <w:rPr>
                <w:rFonts w:hint="eastAsia"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left"/>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青年路辅路与长亭路交叉口西140米</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2</w:t>
            </w:r>
            <w:r>
              <w:rPr>
                <w:rFonts w:hint="eastAsia"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21</w:t>
            </w:r>
            <w:r>
              <w:rPr>
                <w:rFonts w:ascii="宋体" w:hAnsi="宋体" w:eastAsia="宋体" w:cs="宋体"/>
                <w:sz w:val="20"/>
                <w:szCs w:val="20"/>
                <w:highlight w:val="none"/>
                <w:lang w:val="en-US" w:eastAsia="zh-CN" w:bidi="ar"/>
              </w:rPr>
            </w:r>
            <w:r/>
          </w:p>
        </w:tc>
      </w:tr>
      <w:tr>
        <w:trPr>
          <w:trHeight w:val="397" w:hRule="exact"/>
        </w:trPr>
        <w:tc>
          <w:tcPr>
            <w:gridSpan w:val="2"/>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合    计</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1208"/>
              <w:jc w:val="center"/>
              <w:spacing w:line="440" w:lineRule="exact"/>
              <w:widowControl/>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bidi="ar"/>
              </w:rPr>
              <w:t xml:space="preserve">2</w:t>
            </w:r>
            <w:r>
              <w:rPr>
                <w:rFonts w:hint="eastAsia" w:ascii="宋体" w:hAnsi="宋体" w:cs="宋体"/>
                <w:b/>
                <w:bCs/>
                <w:sz w:val="20"/>
                <w:szCs w:val="20"/>
                <w:highlight w:val="none"/>
                <w:lang w:val="en-US" w:eastAsia="zh-CN" w:bidi="ar"/>
              </w:rPr>
              <w:t xml:space="preserve">9</w:t>
            </w:r>
            <w:r>
              <w:rPr>
                <w:rFonts w:hint="eastAsia" w:ascii="宋体" w:hAnsi="宋体" w:eastAsia="宋体" w:cs="宋体"/>
                <w:b/>
                <w:bCs/>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1208"/>
              <w:jc w:val="center"/>
              <w:spacing w:line="440" w:lineRule="exact"/>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1208"/>
              <w:jc w:val="center"/>
              <w:spacing w:line="440" w:lineRule="exact"/>
              <w:widowControl/>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bidi="ar"/>
              </w:rPr>
              <w:t xml:space="preserve">2</w:t>
            </w:r>
            <w:r>
              <w:rPr>
                <w:rFonts w:hint="eastAsia" w:ascii="宋体" w:hAnsi="宋体" w:cs="宋体"/>
                <w:b/>
                <w:bCs/>
                <w:sz w:val="20"/>
                <w:szCs w:val="20"/>
                <w:highlight w:val="none"/>
                <w:lang w:val="en-US" w:eastAsia="zh-CN" w:bidi="ar"/>
              </w:rPr>
              <w:t xml:space="preserve">3</w:t>
            </w:r>
            <w:r>
              <w:rPr>
                <w:rFonts w:hint="eastAsia" w:ascii="宋体" w:hAnsi="宋体" w:eastAsia="宋体" w:cs="宋体"/>
                <w:b/>
                <w:bCs/>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1208"/>
              <w:jc w:val="center"/>
              <w:spacing w:line="440" w:lineRule="exact"/>
              <w:widowControl/>
              <w:rPr>
                <w:rFonts w:ascii="宋体" w:hAnsi="宋体" w:eastAsia="宋体" w:cs="宋体"/>
                <w:b/>
                <w:bCs/>
                <w:sz w:val="20"/>
                <w:szCs w:val="20"/>
                <w:highlight w:val="none"/>
                <w:lang w:val="en-US" w:eastAsia="zh-CN"/>
              </w:rPr>
            </w:pPr>
            <w:r>
              <w:rPr>
                <w:rFonts w:hint="eastAsia" w:ascii="宋体" w:hAnsi="宋体" w:cs="宋体"/>
                <w:b/>
                <w:bCs/>
                <w:sz w:val="20"/>
                <w:szCs w:val="20"/>
                <w:highlight w:val="none"/>
                <w:lang w:bidi="ar"/>
              </w:rPr>
              <w:t xml:space="preserve">3</w:t>
            </w:r>
            <w:r>
              <w:rPr>
                <w:rFonts w:hint="eastAsia" w:ascii="宋体" w:hAnsi="宋体" w:cs="宋体"/>
                <w:b/>
                <w:bCs/>
                <w:sz w:val="20"/>
                <w:szCs w:val="20"/>
                <w:highlight w:val="none"/>
                <w:lang w:val="en-US" w:eastAsia="zh-CN" w:bidi="ar"/>
              </w:rPr>
              <w:t xml:space="preserve">89</w:t>
            </w:r>
            <w:r>
              <w:rPr>
                <w:rFonts w:ascii="宋体" w:hAnsi="宋体" w:eastAsia="宋体" w:cs="宋体"/>
                <w:b/>
                <w:bCs/>
                <w:sz w:val="20"/>
                <w:szCs w:val="20"/>
                <w:highlight w:val="none"/>
                <w:lang w:val="en-US" w:eastAsia="zh-CN"/>
              </w:rPr>
            </w:r>
            <w:r/>
          </w:p>
        </w:tc>
      </w:tr>
    </w:tbl>
    <w:p>
      <w:pPr>
        <w:pStyle w:val="1290"/>
        <w:ind w:firstLine="0"/>
        <w:spacing w:line="440" w:lineRule="exact"/>
        <w:rPr>
          <w:rFonts w:hint="eastAsia" w:cs="宋体"/>
          <w:highlight w:val="none"/>
          <w:lang w:bidi="ar"/>
        </w:rPr>
      </w:pPr>
      <w:r>
        <w:rPr>
          <w:rFonts w:hint="eastAsia" w:cs="宋体"/>
          <w:highlight w:val="none"/>
          <w:lang w:bidi="ar"/>
        </w:rPr>
        <w:t xml:space="preserve">详细内容如下：</w:t>
      </w:r>
      <w:r>
        <w:rPr>
          <w:rFonts w:hint="eastAsia" w:cs="宋体"/>
          <w:highlight w:val="none"/>
          <w:lang w:bidi="ar"/>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38"/>
        <w:gridCol w:w="1380"/>
        <w:gridCol w:w="1058"/>
        <w:gridCol w:w="5170"/>
        <w:gridCol w:w="500"/>
        <w:gridCol w:w="617"/>
      </w:tblGrid>
      <w:tr>
        <w:trPr>
          <w:trHeight w:val="72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参数说明</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 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节点端主控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工控机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城市集群灯光演绎控制系统--节点端主控制器，英特尔四核处理器CPU Intel I5 CPU/DDR3-4G 内存 ，128G固态硬盘/2GB独立显卡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pStyle w:val="1208"/>
              <w:jc w:val="left"/>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显示器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19寸液晶显示器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节点端操作系统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微软操作系统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微软WIN7 32位简体中文专业版操作系统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播放软件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播放软件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城市集群灯光控制系统--节点端播放软件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授时器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BTS授时器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城市集群灯光控制系统--BTS授时器，采用标准网络通信，实现精确授时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4G无线路由器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4G无线路由器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4G无线路由器，节点控制使用，高性能工业级，温度范围-40-+80℃，支持远程管理。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恒温箱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恒温箱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尺寸</w:t>
            </w:r>
            <w:r>
              <w:rPr>
                <w:rFonts w:hint="eastAsia" w:ascii="宋体" w:hAnsi="宋体" w:cs="宋体"/>
                <w:sz w:val="20"/>
                <w:szCs w:val="20"/>
                <w:highlight w:val="none"/>
                <w:lang w:val="en-US" w:eastAsia="zh-CN" w:bidi="ar"/>
              </w:rPr>
              <w:t xml:space="preserve">根据</w:t>
            </w:r>
            <w:r>
              <w:rPr>
                <w:rFonts w:hint="eastAsia" w:ascii="宋体" w:hAnsi="宋体" w:cs="宋体"/>
                <w:sz w:val="20"/>
                <w:szCs w:val="20"/>
                <w:highlight w:val="none"/>
                <w:lang w:bidi="ar"/>
              </w:rPr>
              <w:t xml:space="preserve">需要定制，材质:不锈钢304，可放置显示器、键盘</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8电口千兆交换机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 8口千兆交换机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TP-LINK TL-SG1008/传输速率1000Mbps/包转发率10Mbps:14800pps/背板带宽16Gbps</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写码器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DMX灯具写码器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DMX写码测试一体机，支持标准DMX512协议灯具写码</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8端口、差分、并联灯具、分控制器，IP54、标准配置，支持标准DMX512/1990通用协议和扩展DMX512协议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bidi="ar"/>
              </w:rPr>
              <w:t xml:space="preserve">3</w:t>
            </w:r>
            <w:r>
              <w:rPr>
                <w:rFonts w:hint="eastAsia" w:ascii="宋体" w:hAnsi="宋体" w:cs="宋体"/>
                <w:sz w:val="20"/>
                <w:szCs w:val="20"/>
                <w:highlight w:val="none"/>
                <w:lang w:val="en-US" w:eastAsia="zh-CN" w:bidi="ar"/>
              </w:rPr>
              <w:t xml:space="preserve">89</w:t>
            </w:r>
            <w:r>
              <w:rPr>
                <w:rFonts w:ascii="宋体" w:hAnsi="宋体" w:eastAsia="宋体" w:cs="宋体"/>
                <w:sz w:val="20"/>
                <w:szCs w:val="20"/>
                <w:highlight w:val="none"/>
                <w:lang w:val="en-US"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信号连接器，用于分控器到首灯之间的信号放大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bidi="ar"/>
              </w:rPr>
              <w:t xml:space="preserve">3</w:t>
            </w:r>
            <w:r>
              <w:rPr>
                <w:rFonts w:hint="eastAsia" w:ascii="宋体" w:hAnsi="宋体" w:cs="宋体"/>
                <w:sz w:val="20"/>
                <w:szCs w:val="20"/>
                <w:highlight w:val="none"/>
                <w:lang w:val="en-US" w:eastAsia="zh-CN" w:bidi="ar"/>
              </w:rPr>
              <w:t xml:space="preserve">608</w:t>
            </w:r>
            <w:r>
              <w:rPr>
                <w:rFonts w:ascii="宋体" w:hAnsi="宋体" w:eastAsia="宋体" w:cs="宋体"/>
                <w:sz w:val="20"/>
                <w:szCs w:val="20"/>
                <w:highlight w:val="none"/>
                <w:lang w:val="en-US"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光纤收发器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光纤收发器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光纤收发器，10/100M单模光纤收发器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1290"/>
        <w:numPr>
          <w:ilvl w:val="0"/>
          <w:numId w:val="0"/>
        </w:numPr>
        <w:ind w:left="0" w:firstLine="482"/>
        <w:spacing w:line="440" w:lineRule="exact"/>
        <w:rPr>
          <w:rFonts w:hint="eastAsia" w:cs="宋体"/>
          <w:b/>
          <w:bCs/>
          <w:highlight w:val="none"/>
          <w:lang w:bidi="ar"/>
        </w:rPr>
        <w:outlineLvl w:val="3"/>
      </w:pPr>
      <w:r>
        <w:rPr>
          <w:rFonts w:hint="eastAsia" w:cs="宋体"/>
          <w:b/>
          <w:bCs/>
          <w:highlight w:val="none"/>
          <w:lang w:val="en-US" w:eastAsia="zh-CN" w:bidi="ar"/>
        </w:rPr>
        <w:t xml:space="preserve">（2）</w:t>
      </w:r>
      <w:r>
        <w:rPr>
          <w:rFonts w:hint="eastAsia" w:cs="宋体"/>
          <w:b/>
          <w:bCs/>
          <w:highlight w:val="none"/>
          <w:lang w:bidi="ar"/>
        </w:rPr>
        <w:t xml:space="preserve">双色温控制楼宇节点端维保</w:t>
      </w:r>
      <w:r>
        <w:rPr>
          <w:rFonts w:hint="eastAsia" w:cs="宋体"/>
          <w:b/>
          <w:bCs/>
          <w:highlight w:val="none"/>
          <w:lang w:bidi="ar"/>
        </w:rPr>
      </w:r>
      <w:r/>
    </w:p>
    <w:p>
      <w:pPr>
        <w:pStyle w:val="1290"/>
        <w:spacing w:line="440" w:lineRule="exact"/>
        <w:rPr>
          <w:rFonts w:hint="eastAsia" w:cs="宋体"/>
          <w:highlight w:val="none"/>
          <w:lang w:bidi="ar"/>
        </w:rPr>
      </w:pPr>
      <w:r>
        <w:rPr>
          <w:rFonts w:hint="eastAsia" w:cs="宋体"/>
          <w:highlight w:val="none"/>
          <w:lang w:bidi="ar"/>
        </w:rPr>
        <w:t xml:space="preserve">双色温楼宇3</w:t>
      </w:r>
      <w:r>
        <w:rPr>
          <w:rFonts w:hint="eastAsia" w:cs="宋体"/>
          <w:highlight w:val="none"/>
          <w:lang w:val="en-US" w:eastAsia="zh-CN" w:bidi="ar"/>
        </w:rPr>
        <w:t xml:space="preserve">50</w:t>
      </w:r>
      <w:r>
        <w:rPr>
          <w:rFonts w:hint="eastAsia" w:cs="宋体"/>
          <w:highlight w:val="none"/>
          <w:lang w:bidi="ar"/>
        </w:rPr>
        <w:t xml:space="preserve">幢，涉及主控器</w:t>
      </w:r>
      <w:r>
        <w:rPr>
          <w:rFonts w:hint="eastAsia" w:cs="宋体"/>
          <w:highlight w:val="none"/>
          <w:lang w:eastAsia="zh-CN" w:bidi="ar"/>
        </w:rPr>
        <w:t xml:space="preserve">3</w:t>
      </w:r>
      <w:r>
        <w:rPr>
          <w:rFonts w:hint="eastAsia" w:cs="宋体"/>
          <w:highlight w:val="none"/>
          <w:lang w:val="en-US" w:eastAsia="zh-CN" w:bidi="ar"/>
        </w:rPr>
        <w:t xml:space="preserve">55</w:t>
      </w:r>
      <w:r>
        <w:rPr>
          <w:rFonts w:hint="eastAsia" w:cs="宋体"/>
          <w:highlight w:val="none"/>
          <w:lang w:bidi="ar"/>
        </w:rPr>
        <w:t xml:space="preserve">台、防雨箱</w:t>
      </w:r>
      <w:r>
        <w:rPr>
          <w:rFonts w:hint="eastAsia" w:cs="宋体"/>
          <w:highlight w:val="none"/>
          <w:lang w:eastAsia="zh-CN" w:bidi="ar"/>
        </w:rPr>
        <w:t xml:space="preserve">3</w:t>
      </w:r>
      <w:r>
        <w:rPr>
          <w:rFonts w:hint="eastAsia" w:cs="宋体"/>
          <w:highlight w:val="none"/>
          <w:lang w:val="en-US" w:eastAsia="zh-CN" w:bidi="ar"/>
        </w:rPr>
        <w:t xml:space="preserve">55</w:t>
      </w:r>
      <w:r>
        <w:rPr>
          <w:rFonts w:hint="eastAsia" w:cs="宋体"/>
          <w:highlight w:val="none"/>
          <w:lang w:bidi="ar"/>
        </w:rPr>
        <w:t xml:space="preserve">台、分控制器</w:t>
      </w:r>
      <w:r>
        <w:rPr>
          <w:rFonts w:hint="eastAsia" w:cs="宋体"/>
          <w:highlight w:val="none"/>
          <w:lang w:eastAsia="zh-CN" w:bidi="ar"/>
        </w:rPr>
        <w:t xml:space="preserve">6</w:t>
      </w:r>
      <w:r>
        <w:rPr>
          <w:rFonts w:hint="eastAsia" w:cs="宋体"/>
          <w:highlight w:val="none"/>
          <w:lang w:val="en-US" w:eastAsia="zh-CN" w:bidi="ar"/>
        </w:rPr>
        <w:t xml:space="preserve">97</w:t>
      </w:r>
      <w:r>
        <w:rPr>
          <w:rFonts w:hint="eastAsia" w:cs="宋体"/>
          <w:highlight w:val="none"/>
          <w:lang w:bidi="ar"/>
        </w:rPr>
        <w:t xml:space="preserve">台、信号连接器6</w:t>
      </w:r>
      <w:r>
        <w:rPr>
          <w:rFonts w:hint="eastAsia" w:cs="宋体"/>
          <w:highlight w:val="none"/>
          <w:lang w:val="en-US" w:eastAsia="zh-CN" w:bidi="ar"/>
        </w:rPr>
        <w:t xml:space="preserve">2</w:t>
      </w:r>
      <w:r>
        <w:rPr>
          <w:rFonts w:hint="eastAsia" w:cs="宋体"/>
          <w:highlight w:val="none"/>
          <w:lang w:bidi="ar"/>
        </w:rPr>
        <w:t xml:space="preserve">80台及其他相关配套。投标人自行查勘现场，须保证节点端软硬件正常稳定运行。</w:t>
      </w:r>
      <w:r>
        <w:rPr>
          <w:rFonts w:hint="eastAsia" w:cs="宋体"/>
          <w:highlight w:val="none"/>
          <w:lang w:val="en-US" w:eastAsia="zh-CN" w:bidi="ar"/>
        </w:rPr>
        <w:t xml:space="preserve">部分稳定性差、故障频繁的弱电控制设备更换。如采购人综合认定需更换故障设备，应无条件进行整改。</w:t>
      </w:r>
      <w:r>
        <w:rPr>
          <w:rFonts w:hint="eastAsia" w:cs="宋体"/>
          <w:highlight w:val="none"/>
          <w:lang w:bidi="ar"/>
        </w:rPr>
      </w:r>
      <w:r/>
    </w:p>
    <w:p>
      <w:pPr>
        <w:pStyle w:val="1290"/>
        <w:spacing w:line="440" w:lineRule="exact"/>
        <w:rPr>
          <w:rFonts w:hint="eastAsia" w:cs="宋体"/>
          <w:highlight w:val="none"/>
          <w:lang w:bidi="ar"/>
        </w:rPr>
      </w:pPr>
      <w:r>
        <w:rPr>
          <w:rFonts w:hint="eastAsia" w:cs="宋体"/>
          <w:highlight w:val="none"/>
          <w:lang w:bidi="ar"/>
        </w:rPr>
        <w:t xml:space="preserve">详细点位如下：</w:t>
      </w:r>
      <w:r>
        <w:rPr>
          <w:rFonts w:hint="eastAsia" w:cs="宋体"/>
          <w:highlight w:val="none"/>
          <w:lang w:bidi="ar"/>
        </w:rPr>
      </w:r>
      <w:r/>
    </w:p>
    <w:tbl>
      <w:tblPr>
        <w:tblW w:w="975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619"/>
        <w:gridCol w:w="3000"/>
        <w:gridCol w:w="900"/>
        <w:gridCol w:w="940"/>
        <w:gridCol w:w="870"/>
      </w:tblGrid>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619"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楼宇名称</w:t>
            </w:r>
            <w:r>
              <w:rPr>
                <w:rFonts w:hint="eastAsia" w:ascii="宋体" w:hAnsi="宋体" w:eastAsia="宋体" w:cs="宋体"/>
                <w:b/>
                <w:bCs/>
                <w:i w:val="0"/>
                <w:iCs w:val="0"/>
                <w:color w:val="000000"/>
                <w:sz w:val="20"/>
                <w:szCs w:val="20"/>
                <w:highlight w:val="none"/>
                <w:u w:val="none"/>
              </w:rPr>
            </w:r>
            <w:r/>
          </w:p>
        </w:tc>
        <w:tc>
          <w:tcPr>
            <w:tcW w:w="300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地理位置</w:t>
            </w:r>
            <w:r>
              <w:rPr>
                <w:rFonts w:hint="eastAsia" w:ascii="宋体" w:hAnsi="宋体" w:eastAsia="宋体" w:cs="宋体"/>
                <w:b/>
                <w:bCs/>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楼宇数量（幢）</w:t>
            </w:r>
            <w:r>
              <w:rPr>
                <w:rFonts w:hint="eastAsia" w:ascii="宋体" w:hAnsi="宋体" w:eastAsia="宋体" w:cs="宋体"/>
                <w:b/>
                <w:bCs/>
                <w:i w:val="0"/>
                <w:iCs w:val="0"/>
                <w:color w:val="000000"/>
                <w:sz w:val="20"/>
                <w:szCs w:val="20"/>
                <w:highlight w:val="none"/>
                <w:u w:val="none"/>
              </w:rPr>
            </w:r>
            <w:r/>
          </w:p>
        </w:tc>
        <w:tc>
          <w:tcPr>
            <w:tcW w:w="94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主控数量（台）</w:t>
            </w:r>
            <w:r>
              <w:rPr>
                <w:rFonts w:hint="eastAsia" w:ascii="宋体" w:hAnsi="宋体" w:eastAsia="宋体" w:cs="宋体"/>
                <w:b/>
                <w:bCs/>
                <w:i w:val="0"/>
                <w:iCs w:val="0"/>
                <w:color w:val="000000"/>
                <w:sz w:val="20"/>
                <w:szCs w:val="20"/>
                <w:highlight w:val="none"/>
                <w:u w:val="none"/>
              </w:rPr>
            </w:r>
            <w:r/>
          </w:p>
        </w:tc>
        <w:tc>
          <w:tcPr>
            <w:tcW w:w="87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分控数量（台）</w:t>
            </w:r>
            <w:r>
              <w:rPr>
                <w:rFonts w:hint="eastAsia" w:ascii="宋体" w:hAnsi="宋体" w:eastAsia="宋体" w:cs="宋体"/>
                <w:b/>
                <w:bCs/>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盐城幼儿师范高等专科学校教学楼（南校区）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盐都区新都街道(城南新区)高职园区学海路28号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盐城幼儿师范高等专科学校教学楼（北校区）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盐都区新都街道(城南新区)高职园区海洋路28号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盐城机电高等职业学校教学楼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盐城体育运动学校教学楼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亭湖区新都街道(城南新区)盐南东路6号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盐城交通技师学校教学楼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盐城市中心血站办公楼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盐都区西环中路68号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盐城市交通局办公楼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盐城公交回车场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盐都区学海路中海万锦公馆北侧约130米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幸福花苑小区高层住宅楼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亭湖区毓龙西路88号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盐城市质监局办公楼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黄海街道盐马路246号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原市房产局办公楼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亭湖区迎宾南路33号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盐城工业职业技术学校</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盐都区解放南路285号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盐城华源送变电工程公司办公楼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盐城联通公司及楼顶塔</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亭湖区南城河路5号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盐城市人寿保险公司办公楼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亭湖区盐马路208号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濠璟半岛高层住宅楼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盐都区青年西路36号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盐城农商银行办公楼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盐都区大庆西路99号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东进华都高层住宅楼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盐都区东进路与204国道交汇处东南角</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西城逸品高层住宅楼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盐都区青年西路27号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盛世华城高层住宅楼（临西环路）</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盐都区潘黄街道青年西路30号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港湾大厦（皇家名流综合楼）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盐都区大庆西路58号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香槟公馆高层住宅楼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盐都区新区西环路293号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金域华府高层住宅楼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盐都区新创路2号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燕铭华庄高层住宅楼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盐都区神州路152号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东方玄武大酒店（龙城峰景公寓）</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盐都区西环路295号(麦德龙超市南侧)</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天澜湾高层住宅楼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盐都区盐渎大道660号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蝶湖湾高层住宅楼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盐都区海洋路202号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中远世纪广场高层</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盐都区世纪大道88号(红星美凯龙旁)</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盐城市第一中学校区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盐都区公安局楼顶铁塔</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盐都区新都路630号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朗达壹号院高层住宅楼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盐都区青年西路118号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沿海灯饰城</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亭湖区范公路与新风路交叉路口往东南约140米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永康商业广场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亭湖区开放大道357号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华兴大厦</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亭湖区文峰街道盐马路168号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东辰大厦商住楼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国园壹城高层住宅楼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亭湖区范公路6号西南方向200米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常熟农商银行综合楼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九洲大厦</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亭湖区人民中路36号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青年大厦商住楼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亭湖区青年路与人民中路交叉路口往西约70米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尚城国际大酒店综合楼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青年路商住楼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亭湖区青年路青年组团南侧</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熙和居</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亭湖区迎宾南路108号附近</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嘉园广场高层商住楼（站前不夜城）</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亭湖区范公路与范公路高架出口交叉口南100米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阳光汽配苑</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亭湖区大庆东路11-1号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圣华名都苑高层商住楼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亭湖区解放路与青年路交叉路口往西北约100米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福美来酒店综合楼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亭湖区青年路盛世华城南门向东300米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水岸名都高层商住楼（领香餐厅）</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亭湖区青年西路9号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新阜名邸高层住宅楼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亭湖区青年路30号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金座广场b</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亭湖区范公中路99号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南门华府高层住宅楼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亭湖区解放南路15号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海华云顶</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亭湖区建军中路59号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金鹰商场及南侧附属楼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亭湖区建军中路169号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杰仕豪庭高层住宅楼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亭湖区新西门路与沿河路交叉路口往西南约170米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盐城东方红医药连锁商办楼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亭湖区解放中路49号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悦达起亚技术中心工业用房</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亭湖区南环路辅道与希望大道交叉路口</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悦达起亚三厂厂房</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亭湖区南环路辅道与希望大道交叉路口</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福汇纺织厂区（第一排2幢，第二排最西侧1幢）</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亭湖区黄山路与南环路辅道交叉路口往西北约210米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启新纺织厂区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亭湖区希望大道南环东路68号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江苏九洲轨道设备有限公司办公楼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亭湖区柳江路22号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楠沁花园</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盐都区科技路</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瑞景花园住宅楼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亭湖区解放南路128-1号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亭湖区太平路169号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八菱华庄</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盐都区西环路与青年路交汇处</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学林雅苑</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盐都区西环路第一中学东南</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宝龙城市广场高层住宅楼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亭湖区人民中路9号宝龙城市广场</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中江嘉城高层住宅楼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亭湖区开放大道13号(青年路与开放大道交汇处)</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悦珑湾住宅楼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亭湖区开放大道中路6号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中南城住宅楼1b</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盐都区海阔路与民富路交叉路口往南约110米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金大洋小区高层住宅楼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金庭苑南苑</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盐都区东进西路21号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荣悦华府住宅楼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盐都区康居路22号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中江外滩城住宅楼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盐都区蓝海路与民富路交叉路口北侧</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462"/>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钱江财富广场商办楼</w:t>
            </w:r>
            <w:r>
              <w:rPr>
                <w:rFonts w:hint="eastAsia" w:ascii="宋体" w:hAnsi="宋体" w:eastAsia="宋体" w:cs="宋体"/>
                <w:i w:val="0"/>
                <w:iCs w:val="0"/>
                <w:color w:val="000000"/>
                <w:sz w:val="20"/>
                <w:szCs w:val="20"/>
                <w:highlight w:val="none"/>
                <w:u w:val="none"/>
              </w:rPr>
            </w:r>
            <w:r/>
          </w:p>
        </w:tc>
        <w:tc>
          <w:tcPr>
            <w:tcW w:w="3000" w:type="dxa"/>
            <w:vAlign w:val="center"/>
            <w:vMerge w:val="restart"/>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亭湖区青年中路59号</w:t>
            </w:r>
            <w:r>
              <w:rPr>
                <w:rFonts w:hint="eastAsia" w:ascii="宋体" w:hAnsi="宋体" w:eastAsia="宋体" w:cs="宋体"/>
                <w:i w:val="0"/>
                <w:iCs w:val="0"/>
                <w:color w:val="000000"/>
                <w:sz w:val="20"/>
                <w:szCs w:val="20"/>
                <w:highlight w:val="none"/>
                <w:u w:val="none"/>
              </w:rPr>
            </w:r>
            <w:r/>
          </w:p>
        </w:tc>
        <w:tc>
          <w:tcPr>
            <w:tcW w:w="900"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75</w:t>
            </w:r>
            <w:r>
              <w:rPr>
                <w:rFonts w:ascii="宋体" w:hAnsi="宋体" w:eastAsia="宋体" w:cs="宋体"/>
                <w:i w:val="0"/>
                <w:iCs w:val="0"/>
                <w:color w:val="000000"/>
                <w:sz w:val="20"/>
                <w:szCs w:val="20"/>
                <w:highlight w:val="none"/>
                <w:u w:val="none"/>
                <w:lang w:val="en-US" w:eastAsia="zh-CN"/>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钱江方舟住宅楼</w:t>
            </w:r>
            <w:r>
              <w:rPr>
                <w:rFonts w:hint="eastAsia" w:ascii="宋体" w:hAnsi="宋体" w:eastAsia="宋体" w:cs="宋体"/>
                <w:i w:val="0"/>
                <w:iCs w:val="0"/>
                <w:color w:val="000000"/>
                <w:sz w:val="20"/>
                <w:szCs w:val="20"/>
                <w:highlight w:val="none"/>
                <w:u w:val="none"/>
              </w:rPr>
            </w:r>
            <w:r/>
          </w:p>
        </w:tc>
        <w:tc>
          <w:tcPr>
            <w:tcW w:w="3000" w:type="dxa"/>
            <w:vAlign w:val="center"/>
            <w:vMerge w:val="continue"/>
            <w:textDirection w:val="lrTb"/>
            <w:noWrap w:val="false"/>
          </w:tcPr>
          <w:p>
            <w:pPr>
              <w:pStyle w:val="120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00" w:type="dxa"/>
            <w:vAlign w:val="center"/>
            <w:vMerge w:val="continue"/>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40" w:type="dxa"/>
            <w:vAlign w:val="center"/>
            <w:vMerge w:val="continue"/>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70" w:type="dxa"/>
            <w:vAlign w:val="center"/>
            <w:vMerge w:val="continue"/>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高成金水湾住宅楼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亭湖区文港路101号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金色蓝庭住宅楼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盐都区盐渎路与日月路交汇处日月路21号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中海世纪公馆高层住宅楼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盐都区日月路8号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中海凯旋门住宅楼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亭湖区开放大道南路1号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国飞尚城A区13幢</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亭湖区迎宾南路89-1号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金大洋花园高层住宅2#、4#、7#、12#、15#楼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盐城机电高职学校宿舍楼6#、7#、8#、9#、10#楼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站前商贸城</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亭湖区跃进路59号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奥博燃气综合楼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亭湖区跃进路59号站前商贸城西幢5层</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9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豪德广场商业裙楼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五星街道办事处办公楼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亭湖区跃进东路58号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亭湖区实验幼儿园</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亭湖区文港中路76号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妇保院、儿童福利院</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电信公司办公楼及铁塔</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盐都区青年路与解放路交叉口西北角</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南苑宾馆</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亭湖区青年路圣华名都大厦西南侧约50米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市美术馆广场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盐都区新都路与府东路及府西路交叉口北侧地块</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1208"/>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rPr>
                <w:rFonts w:hint="eastAsia" w:ascii="宋体" w:hAnsi="宋体" w:eastAsia="宋体" w:cs="宋体"/>
                <w:b/>
                <w:bCs/>
                <w:i w:val="0"/>
                <w:iCs w:val="0"/>
                <w:color w:val="000000"/>
                <w:sz w:val="22"/>
                <w:szCs w:val="22"/>
                <w:highlight w:val="none"/>
                <w:u w:val="none"/>
              </w:rPr>
            </w:r>
            <w:r/>
          </w:p>
        </w:tc>
        <w:tc>
          <w:tcPr>
            <w:tcW w:w="2619" w:type="dxa"/>
            <w:vAlign w:val="center"/>
            <w:textDirection w:val="lrTb"/>
            <w:noWrap w:val="false"/>
          </w:tcPr>
          <w:p>
            <w:pPr>
              <w:pStyle w:val="120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000" w:type="dxa"/>
            <w:vAlign w:val="center"/>
            <w:textDirection w:val="lrTb"/>
            <w:noWrap w:val="false"/>
          </w:tcPr>
          <w:p>
            <w:pPr>
              <w:pStyle w:val="1208"/>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0" w:type="dxa"/>
            <w:vAlign w:val="center"/>
            <w:textDirection w:val="lrTb"/>
            <w:noWrap/>
          </w:tcPr>
          <w:p>
            <w:pPr>
              <w:pStyle w:val="12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350</w:t>
            </w:r>
            <w:r>
              <w:rPr>
                <w:rFonts w:hint="eastAsia" w:ascii="宋体" w:hAnsi="宋体" w:eastAsia="宋体" w:cs="宋体"/>
                <w:b/>
                <w:bCs/>
                <w:i w:val="0"/>
                <w:iCs w:val="0"/>
                <w:color w:val="000000"/>
                <w:sz w:val="22"/>
                <w:szCs w:val="22"/>
                <w:highlight w:val="none"/>
                <w:u w:val="none"/>
              </w:rPr>
            </w:r>
            <w:r/>
          </w:p>
        </w:tc>
        <w:tc>
          <w:tcPr>
            <w:tcW w:w="940" w:type="dxa"/>
            <w:vAlign w:val="center"/>
            <w:textDirection w:val="lrTb"/>
            <w:noWrap/>
          </w:tcPr>
          <w:p>
            <w:pPr>
              <w:pStyle w:val="12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355</w:t>
            </w:r>
            <w:r>
              <w:rPr>
                <w:rFonts w:hint="eastAsia" w:ascii="宋体" w:hAnsi="宋体" w:eastAsia="宋体" w:cs="宋体"/>
                <w:b/>
                <w:bCs/>
                <w:i w:val="0"/>
                <w:iCs w:val="0"/>
                <w:color w:val="000000"/>
                <w:sz w:val="22"/>
                <w:szCs w:val="22"/>
                <w:highlight w:val="none"/>
                <w:u w:val="none"/>
              </w:rPr>
            </w:r>
            <w:r/>
          </w:p>
        </w:tc>
        <w:tc>
          <w:tcPr>
            <w:tcW w:w="870" w:type="dxa"/>
            <w:vAlign w:val="center"/>
            <w:textDirection w:val="lrTb"/>
            <w:noWrap/>
          </w:tcPr>
          <w:p>
            <w:pPr>
              <w:pStyle w:val="120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697</w:t>
            </w:r>
            <w:r>
              <w:rPr>
                <w:rFonts w:hint="eastAsia" w:ascii="宋体" w:hAnsi="宋体" w:eastAsia="宋体" w:cs="宋体"/>
                <w:b/>
                <w:bCs/>
                <w:i w:val="0"/>
                <w:iCs w:val="0"/>
                <w:color w:val="000000"/>
                <w:sz w:val="22"/>
                <w:szCs w:val="22"/>
                <w:highlight w:val="none"/>
                <w:u w:val="none"/>
              </w:rPr>
            </w:r>
            <w:r/>
          </w:p>
        </w:tc>
      </w:tr>
    </w:tbl>
    <w:p>
      <w:pPr>
        <w:pStyle w:val="1290"/>
        <w:spacing w:line="440" w:lineRule="exact"/>
        <w:rPr>
          <w:rFonts w:hint="eastAsia" w:cs="宋体"/>
          <w:highlight w:val="none"/>
          <w:lang w:bidi="ar"/>
        </w:rPr>
      </w:pPr>
      <w:r>
        <w:rPr>
          <w:rFonts w:hint="eastAsia" w:cs="宋体"/>
          <w:highlight w:val="none"/>
          <w:lang w:bidi="ar"/>
        </w:rPr>
      </w:r>
      <w:r/>
    </w:p>
    <w:p>
      <w:pPr>
        <w:pStyle w:val="1290"/>
        <w:spacing w:line="440" w:lineRule="exact"/>
        <w:rPr>
          <w:rFonts w:hint="eastAsia" w:cs="宋体"/>
          <w:highlight w:val="none"/>
          <w:lang w:bidi="ar"/>
        </w:rPr>
      </w:pPr>
      <w:r>
        <w:rPr>
          <w:rFonts w:hint="eastAsia" w:cs="宋体"/>
          <w:highlight w:val="none"/>
          <w:lang w:bidi="ar"/>
        </w:rPr>
        <w:t xml:space="preserve">详细设备内容如下：</w:t>
      </w:r>
      <w:r>
        <w:rPr>
          <w:rFonts w:hint="eastAsia" w:cs="宋体"/>
          <w:highlight w:val="none"/>
          <w:lang w:bidi="ar"/>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71"/>
        <w:gridCol w:w="1144"/>
        <w:gridCol w:w="1060"/>
        <w:gridCol w:w="4767"/>
        <w:gridCol w:w="682"/>
        <w:gridCol w:w="838"/>
      </w:tblGrid>
      <w:tr>
        <w:trPr>
          <w:trHeight w:val="72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参数说明</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主控器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主控器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无线同步脱机主控器，控制帧频可达60帧/秒，SD卡存储，最大可支持32G，最多可预设99个节目文件，支持标准DMX512/1990通用协议和扩展DMX512协议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355</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8端口、差分、并联灯具、分控制器，IP54、标准配置，支持标准DMX512/1990通用协议和扩展DMX512协议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697</w:t>
            </w:r>
            <w:r>
              <w:rPr>
                <w:rFonts w:hint="eastAsia" w:ascii="宋体" w:hAnsi="宋体" w:cs="宋体"/>
                <w:sz w:val="20"/>
                <w:szCs w:val="20"/>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1208"/>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信号连接器，用于分控器到首灯之间的信号放大。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6280</w:t>
            </w:r>
            <w:r>
              <w:rPr>
                <w:rFonts w:hint="eastAsia" w:ascii="宋体" w:hAnsi="宋体" w:cs="宋体"/>
                <w:sz w:val="20"/>
                <w:szCs w:val="20"/>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08"/>
              <w:jc w:val="center"/>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208"/>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防雨箱</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防雨箱</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1208"/>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防雨箱</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1208"/>
              <w:jc w:val="center"/>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台</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08"/>
              <w:jc w:val="center"/>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355</w:t>
            </w:r>
            <w:r>
              <w:rPr>
                <w:rFonts w:hint="eastAsia" w:ascii="宋体" w:hAnsi="宋体" w:cs="宋体"/>
                <w:sz w:val="20"/>
                <w:szCs w:val="20"/>
                <w:highlight w:val="none"/>
                <w:lang w:bidi="ar"/>
              </w:rPr>
            </w:r>
            <w:r/>
          </w:p>
        </w:tc>
      </w:tr>
    </w:tbl>
    <w:p>
      <w:pPr>
        <w:pStyle w:val="1290"/>
        <w:ind w:left="0" w:firstLine="482"/>
        <w:spacing w:line="440" w:lineRule="exact"/>
        <w:rPr>
          <w:rFonts w:hint="eastAsia" w:cs="宋体"/>
          <w:b/>
          <w:bCs/>
          <w:highlight w:val="none"/>
          <w:lang w:bidi="ar"/>
        </w:rPr>
        <w:outlineLvl w:val="3"/>
      </w:pPr>
      <w:r>
        <w:rPr>
          <w:rFonts w:hint="eastAsia" w:cs="宋体"/>
          <w:b/>
          <w:bCs/>
          <w:highlight w:val="none"/>
          <w:lang w:val="en-US" w:eastAsia="zh-CN" w:bidi="ar"/>
        </w:rPr>
        <w:t xml:space="preserve">4.</w:t>
      </w:r>
      <w:r>
        <w:rPr>
          <w:rFonts w:hint="eastAsia" w:cs="宋体"/>
          <w:b/>
          <w:bCs/>
          <w:highlight w:val="none"/>
          <w:lang w:bidi="ar"/>
        </w:rPr>
        <w:t xml:space="preserve">强电控制节点端维保</w:t>
      </w:r>
      <w:r>
        <w:rPr>
          <w:rFonts w:hint="eastAsia" w:cs="宋体"/>
          <w:b/>
          <w:bCs/>
          <w:highlight w:val="none"/>
          <w:lang w:bidi="ar"/>
        </w:rPr>
      </w:r>
      <w:r/>
    </w:p>
    <w:p>
      <w:pPr>
        <w:pStyle w:val="1290"/>
        <w:ind w:firstLine="482"/>
        <w:spacing w:line="440" w:lineRule="exact"/>
        <w:rPr>
          <w:rFonts w:hint="eastAsia" w:cs="宋体"/>
          <w:highlight w:val="none"/>
          <w:lang w:bidi="ar"/>
        </w:rPr>
      </w:pPr>
      <w:r>
        <w:rPr>
          <w:rFonts w:hint="eastAsia" w:cs="宋体"/>
          <w:b/>
          <w:bCs/>
          <w:highlight w:val="none"/>
          <w:lang w:bidi="ar"/>
        </w:rPr>
        <w:t xml:space="preserve">楼宇强电控制节点端及配套设施维保</w:t>
      </w:r>
      <w:r>
        <w:rPr>
          <w:rFonts w:hint="eastAsia" w:cs="宋体"/>
          <w:b/>
          <w:bCs/>
          <w:highlight w:val="none"/>
          <w:lang w:val="en-US" w:eastAsia="zh-CN" w:bidi="ar"/>
        </w:rPr>
        <w:t xml:space="preserve">。</w:t>
      </w:r>
      <w:r>
        <w:rPr>
          <w:rFonts w:hint="eastAsia" w:cs="宋体"/>
          <w:highlight w:val="none"/>
          <w:lang w:bidi="ar"/>
        </w:rPr>
        <w:t xml:space="preserve">涉及强电控制节点端、机柜、配电箱等相关设备及配套设施。投标人自行查勘现场，须保证设备的正常运行，满足日常运行要求，达到控制效果，如</w:t>
      </w:r>
      <w:r>
        <w:rPr>
          <w:rFonts w:hint="eastAsia" w:cs="宋体"/>
          <w:bCs/>
          <w:highlight w:val="none"/>
        </w:rPr>
        <w:t xml:space="preserve">采购人</w:t>
      </w:r>
      <w:r>
        <w:rPr>
          <w:rFonts w:hint="eastAsia" w:cs="宋体"/>
          <w:highlight w:val="none"/>
          <w:lang w:bidi="ar"/>
        </w:rPr>
        <w:t xml:space="preserve">巡查发现未能达到控制要求须无条件进行整改。中标人须提供维保仓库用于老旧设备存放。</w:t>
      </w:r>
      <w:r>
        <w:rPr>
          <w:rFonts w:hint="eastAsia" w:cs="宋体"/>
          <w:highlight w:val="none"/>
          <w:lang w:bidi="ar"/>
        </w:rPr>
      </w:r>
      <w:r/>
    </w:p>
    <w:p>
      <w:pPr>
        <w:pStyle w:val="1290"/>
        <w:ind w:firstLine="420"/>
        <w:spacing w:line="440" w:lineRule="exact"/>
        <w:rPr>
          <w:rFonts w:hint="eastAsia" w:eastAsia="宋体" w:cs="宋体"/>
          <w:color w:val="000000"/>
          <w:highlight w:val="none"/>
          <w:lang w:val="en-US" w:eastAsia="zh-CN" w:bidi="ar"/>
        </w:rPr>
      </w:pPr>
      <w:r>
        <w:rPr>
          <w:rFonts w:hint="eastAsia" w:ascii="宋体" w:hAnsi="宋体" w:cs="宋体"/>
          <w:color w:val="000000"/>
          <w:sz w:val="21"/>
          <w:szCs w:val="21"/>
          <w:highlight w:val="none"/>
        </w:rPr>
        <w:t xml:space="preserve">▲</w:t>
      </w:r>
      <w:r>
        <w:rPr>
          <w:rFonts w:hint="eastAsia" w:cs="宋体"/>
          <w:color w:val="000000"/>
          <w:highlight w:val="none"/>
          <w:lang w:val="en-US" w:eastAsia="zh-CN" w:bidi="ar"/>
        </w:rPr>
        <w:t xml:space="preserve">本项目在合同签订后2个月内，对所有强电控制节点端设备接入回路进行检查，</w:t>
      </w:r>
      <w:r>
        <w:rPr>
          <w:rFonts w:ascii="宋体" w:hAnsi="宋体" w:eastAsia="宋体" w:cs="宋体"/>
          <w:sz w:val="24"/>
          <w:szCs w:val="24"/>
          <w:highlight w:val="none"/>
        </w:rPr>
        <w:t xml:space="preserve">建筑顶部、立面亮化已划分独立回路的，须分开接入</w:t>
      </w:r>
      <w:r>
        <w:rPr>
          <w:rFonts w:hint="eastAsia" w:cs="宋体"/>
          <w:color w:val="000000"/>
          <w:highlight w:val="none"/>
          <w:lang w:val="en-US" w:eastAsia="zh-CN" w:bidi="ar"/>
        </w:rPr>
        <w:t xml:space="preserve">，</w:t>
      </w:r>
      <w:r>
        <w:rPr>
          <w:rFonts w:hint="eastAsia" w:cs="宋体"/>
          <w:color w:val="000000"/>
          <w:highlight w:val="none"/>
          <w:lang w:bidi="ar"/>
        </w:rPr>
        <w:t xml:space="preserve">以便实现楼宇亮化分模式（</w:t>
      </w:r>
      <w:r>
        <w:rPr>
          <w:rFonts w:hint="eastAsia" w:cs="宋体"/>
          <w:color w:val="000000"/>
          <w:highlight w:val="none"/>
          <w:lang w:bidi="ar"/>
        </w:rPr>
        <w:t xml:space="preserve">节日模式、</w:t>
      </w:r>
      <w:r>
        <w:rPr>
          <w:rFonts w:hint="eastAsia" w:cs="宋体"/>
          <w:color w:val="000000"/>
          <w:highlight w:val="none"/>
          <w:lang w:bidi="ar"/>
        </w:rPr>
        <w:t xml:space="preserve">平时模式、深夜模式）控制</w:t>
      </w:r>
      <w:r>
        <w:rPr>
          <w:rFonts w:hint="eastAsia" w:cs="宋体"/>
          <w:color w:val="000000"/>
          <w:highlight w:val="none"/>
          <w:lang w:eastAsia="zh-CN" w:bidi="ar"/>
        </w:rPr>
        <w:t xml:space="preserve">。</w:t>
      </w:r>
      <w:r>
        <w:rPr>
          <w:rFonts w:hint="eastAsia" w:eastAsia="宋体" w:cs="宋体"/>
          <w:color w:val="000000"/>
          <w:highlight w:val="none"/>
          <w:lang w:val="en-US" w:eastAsia="zh-CN" w:bidi="ar"/>
        </w:rPr>
      </w:r>
      <w:r/>
    </w:p>
    <w:p>
      <w:pPr>
        <w:pStyle w:val="1290"/>
        <w:ind w:firstLine="480"/>
        <w:spacing w:line="440" w:lineRule="exact"/>
        <w:rPr>
          <w:rFonts w:hint="eastAsia" w:cs="宋体"/>
          <w:highlight w:val="none"/>
          <w:lang w:bidi="ar"/>
        </w:rPr>
      </w:pPr>
      <w:r>
        <w:rPr>
          <w:rFonts w:hint="eastAsia" w:cs="宋体"/>
          <w:highlight w:val="none"/>
          <w:lang w:bidi="ar"/>
        </w:rPr>
        <w:t xml:space="preserve">本项目更换强电控制节点端设备时，须满足原设计方案控制要求，以便实现楼宇亮化分模式</w:t>
      </w:r>
      <w:r>
        <w:rPr>
          <w:rFonts w:hint="eastAsia" w:cs="宋体"/>
          <w:color w:val="000000"/>
          <w:highlight w:val="none"/>
          <w:lang w:bidi="ar"/>
        </w:rPr>
        <w:t xml:space="preserve">（节日模式、平时模式、深夜模式）</w:t>
      </w:r>
      <w:r>
        <w:rPr>
          <w:rFonts w:hint="eastAsia" w:cs="宋体"/>
          <w:highlight w:val="none"/>
          <w:lang w:bidi="ar"/>
        </w:rPr>
        <w:t xml:space="preserve">控制</w:t>
      </w:r>
      <w:r>
        <w:rPr>
          <w:rFonts w:hint="eastAsia" w:cs="宋体"/>
          <w:highlight w:val="none"/>
          <w:lang w:eastAsia="zh-CN" w:bidi="ar"/>
        </w:rPr>
        <w:t xml:space="preserve">。</w:t>
      </w:r>
      <w:r>
        <w:rPr>
          <w:rFonts w:hint="eastAsia" w:cs="宋体"/>
          <w:highlight w:val="none"/>
          <w:lang w:bidi="ar"/>
        </w:rPr>
      </w:r>
      <w:r/>
    </w:p>
    <w:p>
      <w:pPr>
        <w:pStyle w:val="1290"/>
        <w:spacing w:line="440" w:lineRule="exact"/>
        <w:rPr>
          <w:rFonts w:hint="eastAsia" w:cs="宋体"/>
          <w:highlight w:val="none"/>
          <w:lang w:bidi="ar"/>
        </w:rPr>
      </w:pPr>
      <w:r>
        <w:rPr>
          <w:rFonts w:hint="eastAsia" w:cs="宋体"/>
          <w:highlight w:val="none"/>
          <w:lang w:bidi="ar"/>
        </w:rPr>
        <w:t xml:space="preserve">详细点位如下：</w:t>
      </w:r>
      <w:r>
        <w:rPr>
          <w:rFonts w:hint="eastAsia" w:cs="宋体"/>
          <w:highlight w:val="none"/>
          <w:lang w:bidi="ar"/>
        </w:rPr>
      </w:r>
      <w:r/>
    </w:p>
    <w:tbl>
      <w:tblPr>
        <w:tblW w:w="4973"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2639"/>
        <w:gridCol w:w="3884"/>
        <w:gridCol w:w="900"/>
        <w:gridCol w:w="1080"/>
      </w:tblGrid>
      <w:tr>
        <w:trPr>
          <w:trHeight w:val="930"/>
        </w:trPr>
        <w:tc>
          <w:tcPr>
            <w:tcW w:w="337" w:type="dxa"/>
            <w:vAlign w:val="center"/>
            <w:textDirection w:val="lrTb"/>
            <w:noWrap/>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47"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楼宇名称</w:t>
            </w:r>
            <w:r>
              <w:rPr>
                <w:rFonts w:hint="eastAsia" w:ascii="宋体" w:hAnsi="宋体" w:eastAsia="宋体" w:cs="宋体"/>
                <w:b/>
                <w:bCs/>
                <w:i w:val="0"/>
                <w:iCs w:val="0"/>
                <w:color w:val="000000"/>
                <w:sz w:val="20"/>
                <w:szCs w:val="20"/>
                <w:highlight w:val="none"/>
                <w:u w:val="none"/>
              </w:rPr>
            </w:r>
            <w:r/>
          </w:p>
        </w:tc>
        <w:tc>
          <w:tcPr>
            <w:tcW w:w="2129"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地理位置</w:t>
            </w:r>
            <w:r>
              <w:rPr>
                <w:rFonts w:hint="eastAsia" w:ascii="宋体" w:hAnsi="宋体" w:eastAsia="宋体" w:cs="宋体"/>
                <w:b/>
                <w:bCs/>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楼宇数量</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（幢）</w:t>
            </w:r>
            <w:r>
              <w:rPr>
                <w:rFonts w:hint="eastAsia" w:ascii="宋体" w:hAnsi="宋体" w:eastAsia="宋体" w:cs="宋体"/>
                <w:b/>
                <w:bCs/>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强电控制节点端设备（台）</w:t>
            </w:r>
            <w:r>
              <w:rPr>
                <w:rFonts w:hint="eastAsia" w:ascii="宋体" w:hAnsi="宋体" w:eastAsia="宋体" w:cs="宋体"/>
                <w:b/>
                <w:bCs/>
                <w:i w:val="0"/>
                <w:iCs w:val="0"/>
                <w:color w:val="000000"/>
                <w:sz w:val="20"/>
                <w:szCs w:val="20"/>
                <w:highlight w:val="none"/>
                <w:u w:val="none"/>
              </w:rPr>
            </w:r>
            <w:r/>
          </w:p>
        </w:tc>
      </w:tr>
      <w:tr>
        <w:trPr>
          <w:trHeight w:val="30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盐阜大众报办公楼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盐都区新都路16号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盐城幼儿师范高等专科学校教学楼（南校区）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盐都区新都街道(城南新区)高职园区学海路28号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盐城幼儿师范高等专科学校教学楼（北校区）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盐都区新都街道(城南新区)高职园区海洋路28号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盐城机电高等职业学校教学楼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盐城体育运动学校教学楼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亭湖区新都街道(城南新区)盐南东路6号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盐城交通技师学校教学楼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盐城市中心血站办公楼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盐都区西环中路68号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盐城市交通局办公楼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城北公交回车场（原华建物流）</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亭湖区开放大道与439省道交叉口东北侧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盐城汽车客运北站</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市第一人民医院病房楼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亭湖区纳海路与人民南路交叉口北40米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原市房产局办公楼及楼顶塔</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亭湖区迎宾南路33号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盐城市质监局办公楼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亭湖区黄海街道盐马路246号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市委党校办公楼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亭湖区天山路2号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开发区交警治安卡口办公楼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亭湖区伏河路与新都路交叉口附近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城南医院病房楼、门诊楼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亭湖区纳海路与人民南路交叉口北40米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串场河防洪闸</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亭湖区迎春公园</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市消防支队城南大队办公楼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盐都区八营路通银天御东南侧约300米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盐城特殊教育中等专业学校</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盐都区润海路16号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盐城市供销社办公楼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亭湖区沿河中路13-7号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原市商务局办公楼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亭湖区迎宾南路33号五洲国际广场对面(五洲国际对面)</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幸福花苑小区高层住宅楼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亭湖区毓龙西路88号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盐城工业职业技术学校</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盐都区解放南路285号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国家电网营销培训中心大楼及裙楼、教学楼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亭湖区新园路29号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盐城华源送变电工程公司办公楼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江苏沿海高速公路管理公司办公楼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亭湖区南环路高架(盐城开发区收费站出口）</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中国移动盐城分公司东进路新办公楼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亭湖区解放路与东进路交叉口(荣盛公寓东侧约50米)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盐城邮政大厦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亭湖区解放中路8号(铜马广场,五星电器旁边)</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盐城电信行政楼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亭湖区文峰街道解放中路2号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盐城市人寿保险公司办公楼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亭湖区盐马路208号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大洋小区1#、6#、7#、8#楼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中心小区1#、2#、3#、4#楼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亭湖区榆河路173号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东方花园1#、2#、4#、6#、8#、10#、13#、17#、19#楼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亭湖区毓龙东路98号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虹鑫苑4#、5#、6#楼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亭湖区东郊新村(范公路西140米)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国飞尚城A区13幢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亭湖区迎宾南路89-1号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2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金水湾22#、23#、26#、27#、29#、31#、33#、34#、35#、37#、38#、39#楼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亭湖区文港路101号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金大洋花园高层住宅2#、4#、7#、12#、15#楼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原四季红综合楼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盐城机电高职学校宿舍楼6#、7#、8#、9#、10#楼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城南公交调度中心办公楼、修理工间建筑、检测线建筑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盐都区学海路中海万锦公馆北侧约130米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聚龙湖警务服务站办公楼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盐都区聚亨路8号鸿运大舞台向西30米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华邦国际东厦</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盐都区人民南路与世纪大道交界处往南200米路西</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华邦国际西厦</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盐都区宏都路市政府旁</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市美术馆广场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盐都区新都路与府东路及府西路交叉口北侧地块</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瑞景花园住宅楼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亭湖区解放南路128-1号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亭湖区盐马路与青年路交汇处(中国人寿保险公司西侧)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学林雅苑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盐都区西环路第一中学东南</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八菱华庄</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盐都区西环路与青年路交汇处</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宝龙城市广场商住楼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亭湖区人民中路9号宝龙城市广场</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中江嘉城高层住宅楼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亭湖区开放大道13号(青年路与开放大道交汇处)</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宝龙城市广场高层住宅楼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亭湖区人民中路9号宝龙城市广场</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公园道一号高层住宅楼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盐南高新区东进中路19号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宏图伟厦住宅楼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盐都区西环中路46号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伟厦花苑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盐都区鹤翔路36号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中南城综合体</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金大洋小区高层住宅楼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金庭苑南苑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盐都区东进西路21号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荣悦华府住宅楼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盐都区康居路22号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悦珑湾住宅楼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亭湖区开放大道中路6号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光明东苑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盐都区铁军路15号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新河家园住宅楼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亭湖区新园路13号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金色果缘住宅楼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盐都区解放南路281号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日月星城</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盐都区盐渎路与日月路交界处</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金庭苑北苑</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盐都区东进西路22号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金辉城一期住宅楼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盐都区康居路99号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中南世纪城住宅楼1b</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盐都区海阔路与民富路交叉路口往南约110米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中江外滩城住宅楼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盐都区蓝海路与民富路交叉路口北侧</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橡树湾高层住宅楼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盐都区人民南路36号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锦盛豪庭住宅楼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盐都区锦盛豪庭·北苑(海阔路北)</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钱江财富广场商办楼及钱江方舟住宅楼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高成金水湾住宅楼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亭湖区文港路101号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金色蓝庭住宅楼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盐都区盐渎路与日月路交汇处日月路21号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钱江财富广场商办楼及钱江方舟住宅楼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海德公园住宅楼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盐都区解放南路272号(盐渎路站台向南约200米)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学海路初级中学教学楼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中海世纪公馆高层住宅楼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盐都区日月路8号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中海凯旋门住宅楼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亭湖区开放大道南路1号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瑞尔国际商住楼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盐都区聚亨路108号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奥体玫瑰园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盐都区蓝海路与民富路交叉路口北侧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锦城丽景住宅</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盐都区盐渎路与职教园景观大道交汇处</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光明西苑</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铁军路西100米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锦绣天第小区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新园路21号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濠璟半岛高层住宅楼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盐都区青年西路36号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青年华都高层住宅楼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盐都区青年西路46号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潘黄大厦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盐都区大庆西路与西环路交汇处西南侧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东进华都高层住宅楼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盐都区东进路与204国道交汇处东南角</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宝华花园高层住宅楼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盐都区宝华花园(鹿鸣路北150米)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苏豪名邸高层住宅楼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亭湖区大庆西路与奋进路交叉路口往北约170米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西城中央高层住宅</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盐都区西城中央西区(大庆西路北90米)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盐城农商银行办公楼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盐都区大庆西路99号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明华大厦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盐都区大庆西路43号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杨坝花园</w:t>
            </w:r>
            <w:r>
              <w:rPr>
                <w:rStyle w:val="1329"/>
                <w:highlight w:val="none"/>
                <w:lang w:val="en-US" w:eastAsia="zh-CN" w:bidi="ar"/>
              </w:rPr>
              <w:t xml:space="preserve">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盐都区大庆西路111号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西城逸品高层住宅楼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盐都区青年西路27号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盛世华城高层住宅楼（临西环路）</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盐都区潘黄街道青年西路30号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港湾大厦（皇家名流综合楼）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盐都区大庆西路58号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盐西大厦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盐都区聚龙路与文明路交叉路口往南约140米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兆泉商务中心大楼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盐都区奋进路与聚龙路交叉路口往东北约150米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万豪国际综合楼（雅家乐）</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亭湖区黄海东路55号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新日月翠洲嘉园高层住宅楼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盐都区西环路83号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新景建设集团商办楼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盐都区西环路119号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兴诚家园高层住宅楼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盐都区世纪大道与神州路交叉路口往东约110米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海润尊品小区高层住宅楼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盐都盐都区神州路1号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香槟公馆高层住宅楼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盐都区新区西环路293号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香槟公馆高层住宅楼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盐都区新区西环路293号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恒大明都高层住宅楼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盐都区神州路与新都路交汇处(盐都区政府、南一中西侧)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金域华府高层住宅楼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盐都区新创路2号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燕铭华庄高层住宅楼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盐都区神州路152号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东方玄武大酒店（龙城峰景公寓）</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盐都区西环路295号(麦德龙超市南侧)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天澜湾高层住宅楼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盐都区盐渎大道660号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蝶湖湾高层住宅楼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盐都区海洋路202号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御景湾高层住宅楼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盐都区盐塘南路御景湾</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盛世名都高层住宅楼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盐都区神州路49号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中远世纪广场高层</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盐都区世纪大道88号(红星美凯龙旁)</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盐城电站阀门总厂办公楼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盐都区西环路285号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盐城市第一中学校区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如意花园高层住宅楼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盐都区大庆路和奋进路交界处往北100米(桃源居斜对面)</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盐都气象监测预警中心办公楼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亭湖区新洋路东润华庭南侧约150米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神龙大厦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盐都区盐盘路与争进路交叉路口往东南约70米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半岛花园</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盐都区青年西路33号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朗达壹号院高层住宅楼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盐都区青年西路118号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沿海灯饰城</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亭湖区范公路与新风路交叉路口往东南约140米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中运物流办公楼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亭湖区新洋经济区新龙路9号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中铁四局集团办公楼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亭湖区开放大道沿海灯饰城向南500米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永康商业广场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明珠商贸城商业楼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申鑫名城高层住宅楼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五金机电城商业楼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亭湖区开放大道200号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苏东翡翠园（北园）住宅楼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苏东翡翠园（南园）住宅楼（最高2幢）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亭湖区新富路8号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奥莱福邸高层住宅楼（在建）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亭湖区开放大道158号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华兴大厦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亭湖区文峰街道盐马路168号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瑞都国际财富大厦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亭湖区华兴路与盐马路交叉口西180米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万泰时代城高层住宅楼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亭湖区黄海东路55号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范公大厦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亭湖区范公路109号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文港小学校区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亭湖区毓龙东路69号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东辰大厦商住楼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国园壹城高层住宅楼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亭湖区范公路6号西南方向200米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文峰派出所办公楼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亭湖区西环中路188号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万方名城馨心园高层住宅楼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亭湖区双元西路33号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万方名城悦心园高层住宅楼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亭湖区长达北路与双元路交叉路口往西约100米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金色华庭高层住宅楼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亭湖区长坝路16号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汉庭酒店商住楼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亭湖区西环中路198号(近双元路,西环路高架出口)</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常熟农商银行综合楼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博园香郡高层住宅楼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九洲大厦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亭湖区人民中路36号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青年大厦商住楼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亭湖区青年路与人民中路交叉路口往西约70米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尚城国际大酒店综合楼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亭湖区青年中路16号(青年路与迎宾路交接处)</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青年路商住楼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亭湖区青年路青年组团南侧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熙和居</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亭湖区迎宾南路108号附近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博奥东苑高层住宅楼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亭湖区盐南东路4号(盐南新村对面)</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在水一方高层住宅楼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亭湖区建军东路201号(东工学院西侧)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金座广场商办楼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亭湖区范公中路99号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嘉园广场高层商住楼（站前不夜城）</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亭湖区范公路与范公路高架出口交叉口南100米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阳光汽配苑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亭湖区大庆东路11-1号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华城小区住宅楼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亭湖区大庆东路7号(洪祥大酒店南侧)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圣华名都苑高层商住楼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亭湖区解放路与青年路交叉路口往西北约100米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新阜名邸高层住宅楼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亭湖区青年路30号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福美来酒店综合楼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亭湖区青年路盛世华城南门向东300米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水岸名都高层商住楼（领香餐厅）</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南门华府高层住宅楼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海华云顶</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亭湖区建军中路59号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五洲国际二期高层商住楼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五星街道迎宾路28号五洲国际负一楼</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飞驰大厦南立面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亭湖区人民中路188号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国贸大厦南立面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亭湖区建军中路21号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怡景花园住宅楼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亭湖区双元东路9号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金鹰商场及南侧附属楼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亭湖区建军中路169号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汇金大厦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亭湖区建军中路177号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杰仕豪庭高层住宅楼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亭湖区新西门路与沿河路交叉路口往西南约170米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盐城东方红医药连锁商办楼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亭湖区解放中路49号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白马物流中心综合楼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亭湖区开放大道361号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远航家居仓储中心</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亭湖区公路港</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明珠商贸城商业楼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亭湖区开放大道288号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金鼎装饰城</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亭湖区开放大道268号(盐城装饰装潢材料市场)</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奥莱福邸高层住宅楼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亭湖区开放大道158号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奥华家居广场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亭湖区开放大道148号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苏东翡翠园（北园）住宅楼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北城馨园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亭湖区新富路15号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城北污水处理厂综合楼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亭湖区文港北路50号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万泰时代城高层住宅楼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亭湖区黄海东路55号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虹彩苑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亭湖区毓龙东路67号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梅苑新村</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亭湖区建军东路108号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景盛花园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亭湖区大庆东路79号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奥博燃气综合楼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亭湖区跃进路59号站前商贸城西幢5层</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豪德广场商业裙楼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五星街道办事处办公楼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亭湖区跃进东路58号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亭湖区实验幼儿园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亭湖区文港中路76号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悦达新村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亭湖区文港南路78号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盐都驾校</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亭湖区青年路悦达新村附近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阆苑公寓</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青年组团住宅楼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亭湖区康乐路10号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妇保院、儿童福利院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电信公司办公楼及铁塔</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盐都区青年路与解放路交叉口西北角</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南苑宾馆</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亭湖区青年路圣华名都大厦西南侧约50米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南苑宾馆东侧住宅楼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亭湖区青年路圣华名都大厦西南侧约50米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金品花园住宅楼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亭湖区西环中路200号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公安消防特勤中队综合楼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亭湖区西环路10号公安消防支队</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锐轩财富广场商务楼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亭湖区青年东路59号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先锋银座</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亭湖区黄海西路3号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东亭商务楼A、B座</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亭湖区青年路辅路与长亭路交叉口西140米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亭湖文化中心</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亭湖区青年东路32号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盐城市公安局亭湖分局</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亭湖区青年东路59号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新奥燃气有限公司</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亭湖区青年东路49号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悦达起亚技术中心工业用房</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亭湖区南环路辅道与希望大道交叉路口</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台玻-太阳能镜板厂房</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开发区南环东路78号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台玻-汽车玻璃厂区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开发区南环东路78号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福汇纺织厂区（第一排2幢，第二排最西侧1幢）</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亭湖区黄山路与南环路辅道交叉路口往西北约210米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盐城国际软件园</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亭湖区希望大道5号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启新纺织厂区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亭湖区希望大道南环东路68号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江苏九洲轨道设备有限公司办公楼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亭湖区柳江路22号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康欣花园高层住宅楼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亭湖区赣江路24号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开发区人民法院办公楼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亭湖区赣江路22号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元隆智冷产业园</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盐城经开区新能源汽</w:t>
            </w:r>
            <w:r>
              <w:rPr>
                <w:rFonts w:hint="eastAsia" w:ascii="宋体" w:hAnsi="宋体" w:eastAsia="宋体" w:cs="宋体"/>
                <w:i w:val="0"/>
                <w:iCs w:val="0"/>
                <w:color w:val="000000"/>
                <w:sz w:val="18"/>
                <w:szCs w:val="18"/>
                <w:highlight w:val="none"/>
                <w:u w:val="none"/>
                <w:lang w:val="en-US" w:eastAsia="zh-CN" w:bidi="ar"/>
              </w:rPr>
              <w:t xml:space="preserve">车产业园区</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120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120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w:t>
            </w:r>
            <w:r>
              <w:rPr>
                <w:rFonts w:hint="eastAsia" w:ascii="宋体" w:hAnsi="宋体" w:eastAsia="宋体" w:cs="宋体"/>
                <w:i w:val="0"/>
                <w:iCs w:val="0"/>
                <w:color w:val="000000"/>
                <w:sz w:val="20"/>
                <w:szCs w:val="20"/>
                <w:highlight w:val="none"/>
                <w:u w:val="none"/>
              </w:rPr>
            </w:r>
            <w:r/>
          </w:p>
        </w:tc>
      </w:tr>
    </w:tbl>
    <w:p>
      <w:pPr>
        <w:pStyle w:val="1290"/>
        <w:spacing w:line="440" w:lineRule="exact"/>
        <w:rPr>
          <w:rFonts w:hint="eastAsia" w:cs="宋体"/>
          <w:highlight w:val="none"/>
          <w:lang w:bidi="ar"/>
        </w:rPr>
      </w:pPr>
      <w:r>
        <w:rPr>
          <w:rFonts w:hint="eastAsia" w:cs="宋体"/>
          <w:highlight w:val="none"/>
          <w:lang w:bidi="ar"/>
        </w:rPr>
        <w:t xml:space="preserve">设备内容如下：</w:t>
      </w:r>
      <w:r>
        <w:rPr>
          <w:rFonts w:hint="eastAsia" w:cs="宋体"/>
          <w:highlight w:val="none"/>
          <w:lang w:bidi="ar"/>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17"/>
        <w:gridCol w:w="1091"/>
        <w:gridCol w:w="1325"/>
        <w:gridCol w:w="4715"/>
        <w:gridCol w:w="629"/>
        <w:gridCol w:w="785"/>
      </w:tblGrid>
      <w:tr>
        <w:trPr>
          <w:trHeight w:val="72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参数说明</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08"/>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1208"/>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val="en-US" w:eastAsia="zh-CN" w:bidi="ar"/>
              </w:rPr>
              <w:t xml:space="preserve">强电控制节点端设备</w:t>
            </w:r>
            <w:r>
              <w:rPr>
                <w:rFonts w:ascii="宋体" w:hAnsi="宋体" w:eastAsia="宋体" w:cs="宋体"/>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b w:val="0"/>
                <w:bCs w:val="0"/>
                <w:sz w:val="21"/>
                <w:szCs w:val="21"/>
                <w:highlight w:val="none"/>
                <w:vertAlign w:val="baseline"/>
                <w:lang w:val="en-US" w:eastAsia="zh-CN"/>
              </w:rPr>
              <w:t xml:space="preserve">爱克EXC-G280A</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1208"/>
              <w:jc w:val="left"/>
              <w:spacing w:line="240" w:lineRule="auto"/>
              <w:widowControl/>
              <w:rPr>
                <w:rFonts w:hint="eastAsia" w:ascii="宋体" w:hAnsi="宋体" w:eastAsia="宋体" w:cs="宋体"/>
                <w:sz w:val="20"/>
                <w:szCs w:val="20"/>
                <w:highlight w:val="none"/>
                <w:lang w:eastAsia="zh-CN"/>
              </w:rPr>
            </w:pPr>
            <w:r>
              <w:rPr>
                <w:rFonts w:hint="eastAsia"/>
                <w:b w:val="0"/>
                <w:bCs w:val="0"/>
                <w:sz w:val="21"/>
                <w:szCs w:val="21"/>
                <w:highlight w:val="none"/>
                <w:vertAlign w:val="baseline"/>
                <w:lang w:val="en-US" w:eastAsia="zh-CN"/>
              </w:rPr>
              <w:t xml:space="preserve">CPU规格ARM7处理器，操作系统基于Linux4.4，支持三路MODBUS协议485接口，工作电源</w:t>
            </w:r>
            <w:r>
              <w:rPr>
                <w:rFonts w:hint="eastAsia"/>
                <w:szCs w:val="21"/>
                <w:highlight w:val="none"/>
              </w:rPr>
              <w:t xml:space="preserve">85-380VAC</w:t>
            </w:r>
            <w:r>
              <w:rPr>
                <w:rFonts w:hint="eastAsia"/>
                <w:szCs w:val="21"/>
                <w:highlight w:val="none"/>
                <w:lang w:eastAsia="zh-CN"/>
              </w:rPr>
              <w:t xml:space="preserve">、</w:t>
            </w:r>
            <w:r>
              <w:rPr>
                <w:rFonts w:hint="eastAsia"/>
                <w:szCs w:val="21"/>
                <w:highlight w:val="none"/>
              </w:rPr>
              <w:t xml:space="preserve">50/60Hz</w:t>
            </w:r>
            <w:r>
              <w:rPr>
                <w:rFonts w:hint="eastAsia"/>
                <w:szCs w:val="21"/>
                <w:highlight w:val="none"/>
                <w:lang w:eastAsia="zh-CN"/>
              </w:rPr>
              <w:t xml:space="preserve">，</w:t>
            </w:r>
            <w:r>
              <w:rPr>
                <w:rFonts w:hint="eastAsia"/>
                <w:szCs w:val="21"/>
                <w:highlight w:val="none"/>
              </w:rPr>
              <w:t xml:space="preserve">短路、过流、过载保护</w:t>
            </w:r>
            <w:r>
              <w:rPr>
                <w:rFonts w:hint="eastAsia"/>
                <w:szCs w:val="21"/>
                <w:highlight w:val="none"/>
                <w:lang w:eastAsia="zh-CN"/>
              </w:rPr>
              <w:t xml:space="preserve">，</w:t>
            </w:r>
            <w:r>
              <w:rPr>
                <w:rFonts w:hint="eastAsia"/>
                <w:b w:val="0"/>
                <w:bCs w:val="0"/>
                <w:sz w:val="21"/>
                <w:szCs w:val="21"/>
                <w:highlight w:val="none"/>
                <w:vertAlign w:val="baseline"/>
                <w:lang w:val="en-US" w:eastAsia="zh-CN"/>
              </w:rPr>
              <w:t xml:space="preserve">IP防护等级IP43</w:t>
            </w:r>
            <w:r>
              <w:rPr>
                <w:rFonts w:hint="eastAsia" w:ascii="宋体" w:hAnsi="宋体" w:eastAsia="宋体" w:cs="宋体"/>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1208"/>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08"/>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val="en-US" w:eastAsia="zh-CN" w:bidi="ar"/>
              </w:rPr>
              <w:t xml:space="preserve">920</w:t>
            </w:r>
            <w:r>
              <w:rPr>
                <w:rFonts w:ascii="宋体" w:hAnsi="宋体" w:eastAsia="宋体" w:cs="宋体"/>
                <w:sz w:val="20"/>
                <w:szCs w:val="20"/>
                <w:highlight w:val="none"/>
                <w:lang w:val="en-US" w:eastAsia="zh-CN"/>
              </w:rPr>
            </w:r>
            <w:r/>
          </w:p>
        </w:tc>
      </w:tr>
    </w:tbl>
    <w:p>
      <w:pPr>
        <w:pStyle w:val="1290"/>
        <w:ind w:left="0" w:firstLine="482"/>
        <w:spacing w:line="440" w:lineRule="exact"/>
        <w:rPr>
          <w:rFonts w:hint="eastAsia" w:cs="宋体"/>
          <w:b/>
          <w:bCs/>
          <w:highlight w:val="none"/>
          <w:lang w:val="en-US" w:eastAsia="zh-CN" w:bidi="ar"/>
        </w:rPr>
        <w:outlineLvl w:val="3"/>
      </w:pPr>
      <w:r>
        <w:rPr>
          <w:rFonts w:hint="eastAsia" w:cs="宋体"/>
          <w:b/>
          <w:bCs/>
          <w:highlight w:val="none"/>
          <w:lang w:val="en-US" w:eastAsia="zh-CN" w:bidi="ar"/>
        </w:rPr>
      </w:r>
      <w:r/>
    </w:p>
    <w:p>
      <w:pPr>
        <w:pStyle w:val="1290"/>
        <w:ind w:left="0" w:firstLine="482"/>
        <w:spacing w:line="440" w:lineRule="exact"/>
        <w:rPr>
          <w:rFonts w:hint="eastAsia" w:cs="宋体"/>
          <w:b/>
          <w:bCs/>
          <w:highlight w:val="none"/>
          <w:lang w:bidi="ar"/>
        </w:rPr>
        <w:outlineLvl w:val="3"/>
      </w:pPr>
      <w:r>
        <w:rPr>
          <w:rFonts w:hint="eastAsia" w:cs="宋体"/>
          <w:b/>
          <w:bCs/>
          <w:highlight w:val="none"/>
          <w:lang w:val="en-US" w:eastAsia="zh-CN" w:bidi="ar"/>
        </w:rPr>
        <w:t xml:space="preserve">5</w:t>
      </w:r>
      <w:r>
        <w:rPr>
          <w:rFonts w:hint="eastAsia" w:cs="宋体"/>
          <w:b/>
          <w:bCs/>
          <w:highlight w:val="none"/>
          <w:lang w:bidi="ar"/>
        </w:rPr>
        <w:t xml:space="preserve">.亮化设施维保</w:t>
      </w:r>
      <w:r>
        <w:rPr>
          <w:rFonts w:hint="eastAsia" w:cs="宋体"/>
          <w:b/>
          <w:bCs/>
          <w:highlight w:val="none"/>
          <w:lang w:bidi="ar"/>
        </w:rPr>
      </w:r>
      <w:r/>
    </w:p>
    <w:p>
      <w:pPr>
        <w:pStyle w:val="1290"/>
        <w:spacing w:line="440" w:lineRule="exact"/>
        <w:rPr>
          <w:rFonts w:hint="eastAsia" w:cs="宋体"/>
          <w:highlight w:val="none"/>
          <w:lang w:bidi="ar"/>
        </w:rPr>
      </w:pPr>
      <w:r>
        <w:rPr>
          <w:rFonts w:hint="eastAsia" w:cs="宋体"/>
          <w:highlight w:val="none"/>
          <w:lang w:bidi="ar"/>
        </w:rPr>
        <w:t xml:space="preserve">涉及市直管109幢楼宇亮化设施维保，涉及1</w:t>
      </w:r>
      <w:r>
        <w:rPr>
          <w:rFonts w:hint="eastAsia" w:cs="宋体"/>
          <w:highlight w:val="none"/>
          <w:lang w:val="en-US" w:eastAsia="zh-CN" w:bidi="ar"/>
        </w:rPr>
        <w:t xml:space="preserve">3764</w:t>
      </w:r>
      <w:r>
        <w:rPr>
          <w:rFonts w:hint="eastAsia" w:cs="宋体"/>
          <w:highlight w:val="none"/>
          <w:lang w:bidi="ar"/>
        </w:rPr>
        <w:t xml:space="preserve">套LED洗墙灯、83</w:t>
      </w:r>
      <w:r>
        <w:rPr>
          <w:rFonts w:hint="eastAsia" w:cs="宋体"/>
          <w:highlight w:val="none"/>
          <w:lang w:val="en-US" w:eastAsia="zh-CN" w:bidi="ar"/>
        </w:rPr>
        <w:t xml:space="preserve">92</w:t>
      </w:r>
      <w:r>
        <w:rPr>
          <w:rFonts w:hint="eastAsia" w:cs="宋体"/>
          <w:highlight w:val="none"/>
          <w:lang w:bidi="ar"/>
        </w:rPr>
        <w:t xml:space="preserve">套LED点光源、1</w:t>
      </w:r>
      <w:r>
        <w:rPr>
          <w:rFonts w:hint="eastAsia" w:cs="宋体"/>
          <w:highlight w:val="none"/>
          <w:lang w:val="en-US" w:eastAsia="zh-CN" w:bidi="ar"/>
        </w:rPr>
        <w:t xml:space="preserve">498</w:t>
      </w:r>
      <w:r>
        <w:rPr>
          <w:rFonts w:hint="eastAsia" w:cs="宋体"/>
          <w:highlight w:val="none"/>
          <w:lang w:bidi="ar"/>
        </w:rPr>
        <w:t xml:space="preserve">套LED投光灯、1</w:t>
      </w:r>
      <w:r>
        <w:rPr>
          <w:rFonts w:hint="eastAsia" w:cs="宋体"/>
          <w:highlight w:val="none"/>
          <w:lang w:val="en-US" w:eastAsia="zh-CN" w:bidi="ar"/>
        </w:rPr>
        <w:t xml:space="preserve">4911</w:t>
      </w:r>
      <w:r>
        <w:rPr>
          <w:rFonts w:hint="eastAsia" w:cs="宋体"/>
          <w:highlight w:val="none"/>
          <w:lang w:bidi="ar"/>
        </w:rPr>
        <w:t xml:space="preserve">套LED线条灯、12套LED双向壁灯、172套LED四向壁灯</w:t>
      </w:r>
      <w:r>
        <w:rPr>
          <w:rFonts w:hint="eastAsia" w:cs="宋体"/>
          <w:highlight w:val="none"/>
          <w:lang w:eastAsia="zh-CN" w:bidi="ar"/>
        </w:rPr>
        <w:t xml:space="preserve">、480套LED射灯、75套LED草坪灯、99套景观灯</w:t>
      </w:r>
      <w:r>
        <w:rPr>
          <w:rFonts w:hint="eastAsia" w:cs="宋体"/>
          <w:highlight w:val="none"/>
          <w:lang w:bidi="ar"/>
        </w:rPr>
        <w:t xml:space="preserve">等亮化灯具及配套设施。</w:t>
      </w:r>
      <w:r>
        <w:rPr>
          <w:rFonts w:hint="eastAsia" w:cs="宋体"/>
          <w:highlight w:val="none"/>
          <w:lang w:bidi="ar"/>
        </w:rPr>
      </w:r>
      <w:r/>
    </w:p>
    <w:p>
      <w:pPr>
        <w:pStyle w:val="1290"/>
        <w:spacing w:line="440" w:lineRule="exact"/>
        <w:rPr>
          <w:rFonts w:hint="eastAsia" w:cs="宋体"/>
          <w:sz w:val="28"/>
          <w:szCs w:val="28"/>
          <w:highlight w:val="none"/>
          <w:lang w:bidi="ar"/>
        </w:rPr>
      </w:pPr>
      <w:r>
        <w:rPr>
          <w:rFonts w:hint="eastAsia" w:cs="宋体"/>
          <w:highlight w:val="none"/>
          <w:lang w:bidi="ar"/>
        </w:rPr>
        <w:t xml:space="preserve">▲投标人自行查勘现场，须保证亮化设施按原规格（含技术参数、状态能力、与强电控制节点端兼容受控等）进行维保，保证整体亮化效果良好，如</w:t>
      </w:r>
      <w:r>
        <w:rPr>
          <w:rFonts w:hint="eastAsia" w:cs="宋体"/>
          <w:bCs/>
          <w:highlight w:val="none"/>
        </w:rPr>
        <w:t xml:space="preserve">采购人</w:t>
      </w:r>
      <w:r>
        <w:rPr>
          <w:rFonts w:hint="eastAsia" w:cs="宋体"/>
          <w:highlight w:val="none"/>
          <w:lang w:bidi="ar"/>
        </w:rPr>
        <w:t xml:space="preserve">巡查发现未能达到亮灯要求须无条件进行整改。</w:t>
      </w:r>
      <w:r>
        <w:rPr>
          <w:rFonts w:hint="eastAsia" w:cs="宋体"/>
          <w:sz w:val="28"/>
          <w:szCs w:val="28"/>
          <w:highlight w:val="none"/>
          <w:lang w:bidi="ar"/>
        </w:rPr>
      </w:r>
      <w:r/>
    </w:p>
    <w:p>
      <w:pPr>
        <w:pStyle w:val="1290"/>
        <w:ind w:firstLine="480"/>
        <w:spacing w:line="440" w:lineRule="exact"/>
        <w:rPr>
          <w:rFonts w:hint="eastAsia" w:cs="宋体"/>
          <w:highlight w:val="none"/>
          <w:lang w:bidi="ar"/>
        </w:rPr>
      </w:pPr>
      <w:r>
        <w:rPr>
          <w:rFonts w:hint="eastAsia" w:cs="宋体"/>
          <w:highlight w:val="none"/>
          <w:lang w:bidi="ar"/>
        </w:rPr>
        <w:t xml:space="preserve">详细点位及数量如下：</w:t>
      </w:r>
      <w:r>
        <w:rPr>
          <w:rFonts w:hint="eastAsia" w:cs="宋体"/>
          <w:highlight w:val="none"/>
          <w:lang w:bidi="ar"/>
        </w:rPr>
      </w:r>
      <w:r/>
    </w:p>
    <w:tbl>
      <w:tblPr>
        <w:tblW w:w="889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800"/>
        <w:gridCol w:w="751"/>
        <w:gridCol w:w="1496"/>
        <w:gridCol w:w="1260"/>
        <w:gridCol w:w="2415"/>
        <w:gridCol w:w="660"/>
        <w:gridCol w:w="803"/>
      </w:tblGrid>
      <w:tr>
        <w:trPr>
          <w:trHeight w:val="322"/>
        </w:trPr>
        <w:tc>
          <w:tcPr>
            <w:tcW w:w="712"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楼宇名称</w:t>
            </w:r>
            <w:r>
              <w:rPr>
                <w:rFonts w:hint="eastAsia" w:ascii="宋体" w:hAnsi="宋体" w:eastAsia="宋体" w:cs="宋体"/>
                <w:b/>
                <w:bCs/>
                <w:i w:val="0"/>
                <w:iCs w:val="0"/>
                <w:color w:val="000000"/>
                <w:sz w:val="20"/>
                <w:szCs w:val="20"/>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楼宇数量</w:t>
            </w:r>
            <w:r>
              <w:rPr>
                <w:rFonts w:hint="eastAsia" w:ascii="宋体" w:hAnsi="宋体" w:eastAsia="宋体" w:cs="宋体"/>
                <w:b/>
                <w:bCs/>
                <w:i w:val="0"/>
                <w:iCs w:val="0"/>
                <w:color w:val="000000"/>
                <w:sz w:val="20"/>
                <w:szCs w:val="20"/>
                <w:highlight w:val="none"/>
                <w:u w:val="none"/>
              </w:rPr>
            </w:r>
            <w:r/>
          </w:p>
        </w:tc>
        <w:tc>
          <w:tcPr>
            <w:tcW w:w="1496"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地理位置</w:t>
            </w:r>
            <w:r>
              <w:rPr>
                <w:rFonts w:hint="eastAsia" w:ascii="宋体" w:hAnsi="宋体" w:eastAsia="宋体" w:cs="宋体"/>
                <w:b/>
                <w:bCs/>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灯具名称</w:t>
            </w:r>
            <w:r>
              <w:rPr>
                <w:rFonts w:hint="eastAsia" w:ascii="宋体" w:hAnsi="宋体" w:eastAsia="宋体" w:cs="宋体"/>
                <w:b/>
                <w:bCs/>
                <w:i w:val="0"/>
                <w:iCs w:val="0"/>
                <w:color w:val="000000"/>
                <w:sz w:val="20"/>
                <w:szCs w:val="20"/>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w:t>
            </w:r>
            <w:r>
              <w:rPr>
                <w:rFonts w:hint="eastAsia" w:ascii="宋体" w:hAnsi="宋体" w:eastAsia="宋体" w:cs="宋体"/>
                <w:b/>
                <w:bCs/>
                <w:i w:val="0"/>
                <w:iCs w:val="0"/>
                <w:color w:val="000000"/>
                <w:sz w:val="20"/>
                <w:szCs w:val="20"/>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盐城市中心血站办公楼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盐都区西环中路68号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 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盐城市交通局办公楼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亭湖区青年中路8号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0.5米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城北公交回车场（原华建物流）</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亭湖区开放大道与439省道交叉口东北侧</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334</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2200+5700K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盐城汽车客运北站</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亭湖区开放大道359号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盐城市质监局办公楼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亭湖区黄海街道盐马路246号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 3000K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 3000K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盐城幼儿师范高等专科学校（原阜高师）</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盐都区新都街道(城南新区)高职园区学海路28号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844</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盐城幼儿师范高等专科学校（原盐高师）</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盐都区新都街道(城南新区)高职园区海洋路28号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LED双向壁灯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LED四向壁灯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盐城体育运动学校教学楼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亭湖区新都街道(城南新区)盐南东路6号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658</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449</w:t>
            </w:r>
            <w:r>
              <w:rPr>
                <w:rFonts w:hint="eastAsia" w:ascii="宋体" w:hAnsi="宋体" w:eastAsia="宋体" w:cs="宋体"/>
                <w:i w:val="0"/>
                <w:iCs w:val="0"/>
                <w:color w:val="000000"/>
                <w:sz w:val="18"/>
                <w:szCs w:val="18"/>
                <w:highlight w:val="none"/>
                <w:u w:val="none"/>
              </w:rPr>
            </w:r>
            <w:r/>
          </w:p>
        </w:tc>
      </w:tr>
      <w:tr>
        <w:trPr>
          <w:trHeight w:val="667"/>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盐城交通技师学校教学楼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盐都区海洋路29号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1597</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2200K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LED四向壁灯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盐城机电高等职业学校教学楼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872</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 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盐城特殊教育中等专业学校</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盐都区润海路16号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串场河防洪闸</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亭湖区迎春公园</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市消防支队城南大队办公楼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盐都区八营路通银天御东南侧约300米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 3000K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城南医院病房楼，门诊部</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亭湖区纳海路与人民南路交叉口北40米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盐阜大众报办公楼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盐都区新都路16号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4827</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市第一人民医院病房楼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亭湖区毓龙西路166号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盐城市供销社办公楼</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亭湖区沿河中路13-7号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原市房产局办公楼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亭湖区迎宾南路33号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 3000K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RGB+W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开发区交警治安卡口办公楼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亭湖区伏河路与新都路交叉口附近</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原市商务局办公楼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亭湖区迎宾南路33号五洲国际广场对面</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市委党校办公楼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亭湖区天山路2号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大洋小区6号楼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亭湖区榆河路十巷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大洋小区7号楼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大洋小区8号楼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大洋小区9号楼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tcPr>
          <w:p>
            <w:pPr>
              <w:pStyle w:val="120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中心小区1#楼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亭湖区榆河路173号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中心小区2#楼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亭湖区榆河路173号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亭湖区榆河路173号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中心小区4#楼</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亭湖区榆河路173号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东方花园小区2#楼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东方花园小区4#楼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东方花园小区6#楼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东方花园小区8#楼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东方花园小区10#楼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虹鑫苑4号楼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亭湖区东郊新村(范公路西140米)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虹鑫苑5号楼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亭湖区东郊新村(范公路西140米)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虹鑫苑6号楼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亭湖区东郊新村(范公路西140米)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国飞商城</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亭湖区迎宾南路89-1号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金水湾22#楼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金水湾26#楼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金水湾31#楼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金水湾34#楼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金水湾35#楼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金水湾38#楼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金大洋2号楼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金大洋4号楼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金大洋7号楼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金大洋12号楼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金大洋15号楼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原四季红综合楼</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盐都区西环路55号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盐城机电高职宿舍楼10#楼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盐城机电高职宿舍楼8#楼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盐城机电高职宿舍楼6#楼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城南公交调度中心办公楼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城南公交调度中心修理工间建筑</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盐都区学海路盐城公共交通总公司</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城南公交调度中心检测线建筑</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120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盐都区学海路中海万锦公馆北侧约130米</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聚龙湖警务服务站</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盐都区聚亨路8号鸿运大舞台向西30米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6w/2200k 0.5m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华邦国际东厦</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盐都区人民南路世纪大道交汇处南</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华邦国际西厦</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盐都区新都街道宏都路市政府旁</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市美术馆广场</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1208"/>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盐都区新都路与府东路及府西路交叉口北侧地块</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LED草坪灯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LED景观灯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1208"/>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1208"/>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LED射灯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w:t>
            </w:r>
            <w:r>
              <w:rPr>
                <w:rFonts w:hint="eastAsia" w:ascii="宋体" w:hAnsi="宋体" w:eastAsia="宋体" w:cs="宋体"/>
                <w:i w:val="0"/>
                <w:iCs w:val="0"/>
                <w:color w:val="000000"/>
                <w:sz w:val="18"/>
                <w:szCs w:val="18"/>
                <w:highlight w:val="none"/>
                <w:u w:val="none"/>
              </w:rPr>
            </w:r>
            <w:r/>
          </w:p>
        </w:tc>
      </w:tr>
      <w:tr>
        <w:trPr>
          <w:trHeight w:val="427"/>
        </w:trPr>
        <w:tc>
          <w:tcPr>
            <w:gridSpan w:val="2"/>
            <w:tcW w:w="1512" w:type="dxa"/>
            <w:vAlign w:val="center"/>
            <w:textDirection w:val="lrTb"/>
            <w:noWrap/>
          </w:tcPr>
          <w:p>
            <w:pPr>
              <w:pStyle w:val="120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  计</w:t>
            </w:r>
            <w:r>
              <w:rPr>
                <w:rFonts w:hint="eastAsia" w:ascii="宋体" w:hAnsi="宋体" w:eastAsia="宋体" w:cs="宋体"/>
                <w:b/>
                <w:bCs/>
                <w:i w:val="0"/>
                <w:iCs w:val="0"/>
                <w:color w:val="000000"/>
                <w:sz w:val="18"/>
                <w:szCs w:val="18"/>
                <w:highlight w:val="none"/>
                <w:u w:val="none"/>
              </w:rPr>
            </w:r>
            <w:r/>
          </w:p>
        </w:tc>
        <w:tc>
          <w:tcPr>
            <w:tcW w:w="751" w:type="dxa"/>
            <w:vAlign w:val="center"/>
            <w:textDirection w:val="lrTb"/>
            <w:noWrap/>
          </w:tcPr>
          <w:p>
            <w:pPr>
              <w:pStyle w:val="120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109</w:t>
            </w:r>
            <w:r>
              <w:rPr>
                <w:rFonts w:hint="eastAsia" w:ascii="宋体" w:hAnsi="宋体" w:eastAsia="宋体" w:cs="宋体"/>
                <w:b/>
                <w:bCs/>
                <w:i w:val="0"/>
                <w:iCs w:val="0"/>
                <w:color w:val="000000"/>
                <w:sz w:val="18"/>
                <w:szCs w:val="18"/>
                <w:highlight w:val="none"/>
                <w:u w:val="none"/>
              </w:rPr>
            </w:r>
            <w:r/>
          </w:p>
        </w:tc>
        <w:tc>
          <w:tcPr>
            <w:tcW w:w="1496" w:type="dxa"/>
            <w:vAlign w:val="center"/>
            <w:textDirection w:val="lrTb"/>
            <w:noWrap/>
          </w:tcPr>
          <w:p>
            <w:pPr>
              <w:pStyle w:val="1208"/>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1260" w:type="dxa"/>
            <w:vAlign w:val="center"/>
            <w:textDirection w:val="lrTb"/>
            <w:noWrap/>
          </w:tcPr>
          <w:p>
            <w:pPr>
              <w:pStyle w:val="1208"/>
              <w:jc w:val="both"/>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2415" w:type="dxa"/>
            <w:vAlign w:val="center"/>
            <w:textDirection w:val="lrTb"/>
            <w:noWrap/>
          </w:tcPr>
          <w:p>
            <w:pPr>
              <w:pStyle w:val="1208"/>
              <w:jc w:val="both"/>
              <w:rPr>
                <w:rFonts w:hint="eastAsia" w:ascii="楷体_GB2312" w:hAnsi="宋体" w:eastAsia="楷体_GB2312" w:cs="楷体_GB2312"/>
                <w:b/>
                <w:bCs/>
                <w:i w:val="0"/>
                <w:iCs w:val="0"/>
                <w:color w:val="000000"/>
                <w:sz w:val="32"/>
                <w:szCs w:val="32"/>
                <w:highlight w:val="none"/>
                <w:u w:val="none"/>
              </w:rPr>
            </w:pPr>
            <w:r>
              <w:rPr>
                <w:rFonts w:hint="eastAsia" w:ascii="楷体_GB2312" w:hAnsi="宋体" w:eastAsia="楷体_GB2312" w:cs="楷体_GB2312"/>
                <w:b/>
                <w:bCs/>
                <w:i w:val="0"/>
                <w:iCs w:val="0"/>
                <w:color w:val="000000"/>
                <w:sz w:val="32"/>
                <w:szCs w:val="32"/>
                <w:highlight w:val="none"/>
                <w:u w:val="none"/>
              </w:rPr>
            </w:r>
            <w:r/>
          </w:p>
        </w:tc>
        <w:tc>
          <w:tcPr>
            <w:tcW w:w="660" w:type="dxa"/>
            <w:vAlign w:val="center"/>
            <w:textDirection w:val="lrTb"/>
            <w:noWrap w:val="false"/>
          </w:tcPr>
          <w:p>
            <w:pPr>
              <w:pStyle w:val="1208"/>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803" w:type="dxa"/>
            <w:vAlign w:val="center"/>
            <w:textDirection w:val="lrTb"/>
            <w:noWrap w:val="false"/>
          </w:tcPr>
          <w:p>
            <w:pPr>
              <w:pStyle w:val="120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39403</w:t>
            </w:r>
            <w:r>
              <w:rPr>
                <w:rFonts w:hint="eastAsia" w:ascii="宋体" w:hAnsi="宋体" w:eastAsia="宋体" w:cs="宋体"/>
                <w:b/>
                <w:bCs/>
                <w:i w:val="0"/>
                <w:iCs w:val="0"/>
                <w:color w:val="000000"/>
                <w:sz w:val="18"/>
                <w:szCs w:val="18"/>
                <w:highlight w:val="none"/>
                <w:u w:val="none"/>
              </w:rPr>
            </w:r>
            <w:r/>
          </w:p>
        </w:tc>
      </w:tr>
    </w:tbl>
    <w:p>
      <w:pPr>
        <w:pStyle w:val="1290"/>
        <w:ind w:firstLine="482"/>
        <w:spacing w:line="440" w:lineRule="exact"/>
        <w:rPr>
          <w:rFonts w:hint="eastAsia" w:cs="宋体"/>
          <w:b/>
          <w:bCs/>
          <w:highlight w:val="none"/>
        </w:rPr>
      </w:pPr>
      <w:r>
        <w:rPr>
          <w:rFonts w:hint="eastAsia" w:cs="宋体"/>
          <w:b/>
          <w:bCs/>
          <w:highlight w:val="none"/>
        </w:rPr>
        <w:t xml:space="preserve">特别注意：</w:t>
      </w:r>
      <w:r>
        <w:rPr>
          <w:rFonts w:hint="eastAsia" w:cs="宋体"/>
          <w:b/>
          <w:bCs/>
          <w:highlight w:val="none"/>
        </w:rPr>
      </w:r>
      <w:r/>
    </w:p>
    <w:p>
      <w:pPr>
        <w:pStyle w:val="1290"/>
        <w:numPr>
          <w:ilvl w:val="0"/>
          <w:numId w:val="10"/>
        </w:numPr>
        <w:spacing w:line="440" w:lineRule="exact"/>
        <w:rPr>
          <w:rFonts w:hint="eastAsia" w:cs="宋体"/>
          <w:highlight w:val="none"/>
        </w:rPr>
      </w:pPr>
      <w:r>
        <w:rPr>
          <w:rFonts w:hint="eastAsia" w:cs="宋体"/>
          <w:highlight w:val="none"/>
        </w:rPr>
        <w:t xml:space="preserve">技术及服务要求不得虚假响应，如经查实，将提交监管部门处理，并承担相应的法律责任。</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2）投标人自行查勘说明：</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由于本项目涉及大量设备维护及更新改造，请投标人充分查勘现场，现场查勘时间段为自招标公示之日起15日内（工作时间段为8：30-11：30、14：30-17：30），亮灯效果查勘时间段为自招标公示之日起15日内（亮灯时间段为1</w:t>
      </w:r>
      <w:r>
        <w:rPr>
          <w:rFonts w:hint="eastAsia" w:cs="宋体"/>
          <w:highlight w:val="none"/>
          <w:lang w:val="en-US" w:eastAsia="zh-CN"/>
        </w:rPr>
        <w:t xml:space="preserve">9</w:t>
      </w:r>
      <w:r>
        <w:rPr>
          <w:rFonts w:hint="eastAsia" w:cs="宋体"/>
          <w:highlight w:val="none"/>
        </w:rPr>
        <w:t xml:space="preserve">：</w:t>
      </w:r>
      <w:r>
        <w:rPr>
          <w:rFonts w:hint="eastAsia" w:cs="宋体"/>
          <w:highlight w:val="none"/>
          <w:lang w:val="en-US" w:eastAsia="zh-CN"/>
        </w:rPr>
        <w:t xml:space="preserve">3</w:t>
      </w:r>
      <w:r>
        <w:rPr>
          <w:rFonts w:hint="eastAsia" w:cs="宋体"/>
          <w:highlight w:val="none"/>
        </w:rPr>
        <w:t xml:space="preserve">0-2</w:t>
      </w:r>
      <w:r>
        <w:rPr>
          <w:rFonts w:hint="eastAsia" w:cs="宋体"/>
          <w:highlight w:val="none"/>
          <w:lang w:val="en-US" w:eastAsia="zh-CN"/>
        </w:rPr>
        <w:t xml:space="preserve">1</w:t>
      </w:r>
      <w:r>
        <w:rPr>
          <w:rFonts w:hint="eastAsia" w:cs="宋体"/>
          <w:highlight w:val="none"/>
        </w:rPr>
        <w:t xml:space="preserve">：00），由于投标人未能充分查勘现场所导致的理解有误或评估不足，造成损失的由投标人自行承担。</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本项目集控中心位于亭湖区大庆中路33号5楼盐城市城市亮化与户外广告管理中心，投标人可自行前往，如有疑问，工作日内可与项目联系人联系。</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弱电媒体屏典型场景为宝龙城市广场商住楼、飞驰大厦，投标人可自行查勘，如有疑问，工作日内可与项目联系人联系。</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弱电双色温典型场景为宝龙高层住宅5-6号楼、香槟公馆7-8号楼，投标人可自行查勘，如有疑问，工作日内可与项目联系人联系。</w:t>
      </w:r>
      <w:r>
        <w:rPr>
          <w:rFonts w:hint="eastAsia" w:cs="宋体"/>
          <w:highlight w:val="none"/>
        </w:rPr>
      </w:r>
      <w:r/>
    </w:p>
    <w:p>
      <w:pPr>
        <w:pStyle w:val="1290"/>
        <w:spacing w:line="440" w:lineRule="exact"/>
        <w:rPr>
          <w:rFonts w:hint="eastAsia" w:cs="宋体"/>
          <w:highlight w:val="none"/>
        </w:rPr>
      </w:pPr>
      <w:r>
        <w:rPr>
          <w:rFonts w:hint="eastAsia" w:cs="宋体"/>
          <w:highlight w:val="none"/>
        </w:rPr>
        <w:t xml:space="preserve">强电控制典型场景为公园道一号22-23号楼、钱江方舟北区17-18号楼，投标人可自行查勘，如有疑问，工作日内可与项目联系人联系。</w:t>
      </w:r>
      <w:r>
        <w:rPr>
          <w:rFonts w:hint="eastAsia" w:cs="宋体"/>
          <w:highlight w:val="none"/>
        </w:rPr>
      </w:r>
      <w:r/>
    </w:p>
    <w:p>
      <w:pPr>
        <w:pStyle w:val="1290"/>
        <w:spacing w:line="440" w:lineRule="exact"/>
        <w:rPr>
          <w:rFonts w:hint="eastAsia" w:cs="宋体"/>
          <w:b/>
          <w:bCs/>
          <w:highlight w:val="none"/>
        </w:rPr>
        <w:outlineLvl w:val="2"/>
      </w:pPr>
      <w:r>
        <w:rPr>
          <w:rFonts w:hint="eastAsia" w:cs="宋体"/>
          <w:highlight w:val="none"/>
        </w:rPr>
        <w:t xml:space="preserve">（二）</w:t>
      </w:r>
      <w:r>
        <w:rPr>
          <w:rFonts w:hint="eastAsia" w:cs="宋体"/>
          <w:b/>
          <w:bCs/>
          <w:highlight w:val="none"/>
        </w:rPr>
        <w:t xml:space="preserve">详细服务要求表</w:t>
      </w:r>
      <w:r>
        <w:rPr>
          <w:rFonts w:hint="eastAsia" w:cs="宋体"/>
          <w:b/>
          <w:bCs/>
          <w:highlight w:val="none"/>
        </w:rPr>
      </w:r>
      <w:r/>
    </w:p>
    <w:tbl>
      <w:tblPr>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8078"/>
      </w:tblGrid>
      <w:tr>
        <w:trPr>
          <w:trHeight w:val="270"/>
        </w:trPr>
        <w:tc>
          <w:tcPr>
            <w:tcW w:w="1554" w:type="dxa"/>
            <w:vAlign w:val="center"/>
            <w:textDirection w:val="lrTb"/>
            <w:noWrap w:val="false"/>
          </w:tcPr>
          <w:p>
            <w:pPr>
              <w:pStyle w:val="1208"/>
              <w:jc w:val="center"/>
              <w:spacing w:line="440" w:lineRule="exact"/>
              <w:widowControl/>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项目</w:t>
            </w:r>
            <w:r>
              <w:rPr>
                <w:rFonts w:hint="eastAsia" w:ascii="宋体" w:hAnsi="宋体" w:cs="宋体"/>
                <w:b/>
                <w:bCs w:val="0"/>
                <w:sz w:val="24"/>
                <w:szCs w:val="24"/>
                <w:highlight w:val="none"/>
              </w:rPr>
            </w:r>
            <w:r/>
          </w:p>
        </w:tc>
        <w:tc>
          <w:tcPr>
            <w:tcW w:w="8078" w:type="dxa"/>
            <w:vAlign w:val="center"/>
            <w:textDirection w:val="lrTb"/>
            <w:noWrap w:val="false"/>
          </w:tcPr>
          <w:p>
            <w:pPr>
              <w:pStyle w:val="1208"/>
              <w:jc w:val="center"/>
              <w:spacing w:line="440" w:lineRule="exact"/>
              <w:widowControl/>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服务要求</w:t>
            </w:r>
            <w:r>
              <w:rPr>
                <w:rFonts w:hint="eastAsia" w:ascii="宋体" w:hAnsi="宋体" w:cs="宋体"/>
                <w:b/>
                <w:bCs w:val="0"/>
                <w:sz w:val="24"/>
                <w:szCs w:val="24"/>
                <w:highlight w:val="none"/>
              </w:rPr>
            </w:r>
            <w:r/>
          </w:p>
        </w:tc>
      </w:tr>
      <w:tr>
        <w:trPr>
          <w:trHeight w:val="480"/>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服务周期</w:t>
            </w:r>
            <w:r>
              <w:rPr>
                <w:rFonts w:hint="eastAsia" w:ascii="宋体" w:hAnsi="宋体" w:cs="宋体"/>
                <w:bCs/>
                <w:sz w:val="24"/>
                <w:szCs w:val="24"/>
                <w:highlight w:val="none"/>
              </w:rPr>
            </w:r>
            <w:r/>
          </w:p>
        </w:tc>
        <w:tc>
          <w:tcPr>
            <w:tcW w:w="8078" w:type="dxa"/>
            <w:vAlign w:val="center"/>
            <w:textDirection w:val="lrTb"/>
            <w:noWrap w:val="false"/>
          </w:tcPr>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一、项目维保</w:t>
            </w:r>
            <w:r>
              <w:rPr>
                <w:rFonts w:hint="eastAsia" w:ascii="宋体" w:hAnsi="宋体" w:eastAsia="宋体" w:cs="宋体"/>
                <w:bCs/>
                <w:sz w:val="24"/>
                <w:szCs w:val="24"/>
                <w:highlight w:val="none"/>
              </w:rPr>
              <w:t xml:space="preserve">服务期3年，自合同签订之日起</w:t>
            </w:r>
            <w:r>
              <w:rPr>
                <w:rFonts w:hint="eastAsia" w:ascii="宋体" w:hAnsi="宋体" w:eastAsia="宋体" w:cs="宋体"/>
                <w:bCs/>
                <w:sz w:val="24"/>
                <w:szCs w:val="24"/>
                <w:highlight w:val="none"/>
                <w:lang w:val="en-US" w:eastAsia="zh-CN"/>
              </w:rPr>
              <w:t xml:space="preserve">算</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二、项目集控中心软件升级及硬件更新自合同签订之日起30日内完成。</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项目所有软硬件、设施设备均以现状移交，</w:t>
            </w:r>
            <w:r>
              <w:rPr>
                <w:rFonts w:hint="eastAsia" w:ascii="宋体" w:hAnsi="宋体" w:eastAsia="宋体" w:cs="宋体"/>
                <w:bCs/>
                <w:sz w:val="24"/>
                <w:szCs w:val="24"/>
                <w:highlight w:val="none"/>
              </w:rPr>
              <w:t xml:space="preserve">新维保单位（中标人）须做好与原维保单位交接工作。</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cs="宋体"/>
                <w:highlight w:val="none"/>
              </w:rPr>
            </w:pPr>
            <w:r>
              <w:rPr>
                <w:rFonts w:hint="eastAsia" w:ascii="宋体" w:hAnsi="宋体" w:eastAsia="宋体" w:cs="宋体"/>
                <w:b w:val="0"/>
                <w:bCs/>
                <w:sz w:val="24"/>
                <w:szCs w:val="24"/>
                <w:highlight w:val="none"/>
                <w:lang w:val="en-US" w:eastAsia="zh-CN"/>
              </w:rPr>
              <w:t xml:space="preserve">四</w:t>
            </w:r>
            <w:r>
              <w:rPr>
                <w:rFonts w:hint="eastAsia" w:ascii="宋体" w:hAnsi="宋体" w:eastAsia="宋体" w:cs="宋体"/>
                <w:b w:val="0"/>
                <w:bCs/>
                <w:sz w:val="24"/>
                <w:szCs w:val="24"/>
                <w:highlight w:val="none"/>
              </w:rPr>
              <w:t xml:space="preserve">、为更好的完成亮化控制系统及亮化设施的</w:t>
            </w:r>
            <w:r>
              <w:rPr>
                <w:rFonts w:hint="eastAsia" w:ascii="宋体" w:hAnsi="宋体" w:eastAsia="宋体" w:cs="宋体"/>
                <w:b w:val="0"/>
                <w:bCs/>
                <w:sz w:val="24"/>
                <w:szCs w:val="24"/>
                <w:highlight w:val="none"/>
                <w:lang w:val="en-US" w:eastAsia="zh-CN"/>
              </w:rPr>
              <w:t xml:space="preserve">维保工作，</w:t>
            </w:r>
            <w:r>
              <w:rPr>
                <w:rFonts w:hint="eastAsia" w:ascii="宋体" w:hAnsi="宋体" w:eastAsia="宋体" w:cs="宋体"/>
                <w:b w:val="0"/>
                <w:bCs/>
                <w:sz w:val="24"/>
                <w:szCs w:val="24"/>
                <w:highlight w:val="none"/>
              </w:rPr>
              <w:t xml:space="preserve">中标人须制定详细可行的</w:t>
            </w:r>
            <w:r>
              <w:rPr>
                <w:rFonts w:hint="eastAsia" w:ascii="宋体" w:hAnsi="宋体" w:eastAsia="宋体" w:cs="宋体"/>
                <w:b w:val="0"/>
                <w:bCs/>
                <w:sz w:val="24"/>
                <w:szCs w:val="24"/>
                <w:highlight w:val="none"/>
                <w:lang w:val="en-US" w:eastAsia="zh-CN"/>
              </w:rPr>
              <w:t xml:space="preserve">维保</w:t>
            </w:r>
            <w:r>
              <w:rPr>
                <w:rFonts w:hint="eastAsia" w:ascii="宋体" w:hAnsi="宋体" w:eastAsia="宋体" w:cs="宋体"/>
                <w:b w:val="0"/>
                <w:bCs/>
                <w:sz w:val="24"/>
                <w:szCs w:val="24"/>
                <w:highlight w:val="none"/>
              </w:rPr>
              <w:t xml:space="preserve">计划和应急措施，报采购人审核同意后开始实施。</w:t>
            </w:r>
            <w:r>
              <w:rPr>
                <w:rFonts w:hint="eastAsia" w:ascii="宋体" w:hAnsi="宋体" w:cs="宋体"/>
                <w:highlight w:val="none"/>
              </w:rPr>
            </w:r>
            <w:r/>
          </w:p>
        </w:tc>
      </w:tr>
      <w:tr>
        <w:trPr>
          <w:trHeight w:val="90"/>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服务内容</w:t>
            </w:r>
            <w:r>
              <w:rPr>
                <w:rFonts w:hint="eastAsia" w:ascii="宋体" w:hAnsi="宋体" w:cs="宋体"/>
                <w:bCs/>
                <w:sz w:val="24"/>
                <w:szCs w:val="24"/>
                <w:highlight w:val="none"/>
              </w:rPr>
            </w:r>
            <w:r/>
          </w:p>
        </w:tc>
        <w:tc>
          <w:tcPr>
            <w:tcW w:w="8078" w:type="dxa"/>
            <w:vAlign w:val="center"/>
            <w:textDirection w:val="lrTb"/>
            <w:noWrap w:val="false"/>
          </w:tcPr>
          <w:p>
            <w:pPr>
              <w:pStyle w:val="1208"/>
              <w:numPr>
                <w:ilvl w:val="0"/>
                <w:numId w:val="11"/>
              </w:numPr>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成立项目小组，设置办公区、值班区、车辆停放区、器材堆放区、备件及替换件仓库、拆除件存放仓库等区域。</w:t>
            </w:r>
            <w:r>
              <w:rPr>
                <w:rFonts w:hint="eastAsia" w:ascii="宋体" w:hAnsi="宋体" w:cs="宋体"/>
                <w:bCs/>
                <w:sz w:val="24"/>
                <w:szCs w:val="24"/>
                <w:highlight w:val="none"/>
              </w:rPr>
            </w:r>
            <w:r/>
          </w:p>
          <w:p>
            <w:pPr>
              <w:pStyle w:val="1208"/>
              <w:numPr>
                <w:ilvl w:val="0"/>
                <w:numId w:val="11"/>
              </w:numPr>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制定日常维护计划，并经采购人确认后实施。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1.按月编制月度维护作业计划，包含巡查计划、安全专项检查、各类数据检测等专项计划；</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2.建立巡查、巡修、抢修机制，做到查、修分离，提高故障发现及处理效率</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3.按照巡查结果及时处理各类故障，并将修复结果上报（含偷盗设施恢复）。</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三、制定重要节日、重大活动保障措施，并经采购人确认后实施。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1.人员及车辆保障措施；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2.安全措施；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3.重点保障期间巡查、巡修措施。（保障期间，除对突发情况的响应修复外，不得擅自对亮化设施进行改造施工）；</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4.综合信息上报措施等。</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四、制定并落实应急抢修方案，并经采购人确认后实施。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1.启动应急预案后，相关人员到岗并实行24小时值班制，根据突发事故提供相应实施方案；</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2.灾害性天气影响控制设施正常运行时的措施方案；</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3.各类突发事件的处置措施；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4.应急终止后的善后、恢复重建等的措施方案；</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5.日常应急演练措施方案。</w:t>
            </w:r>
            <w:r>
              <w:rPr>
                <w:rFonts w:hint="eastAsia" w:ascii="宋体" w:hAnsi="宋体" w:cs="宋体"/>
                <w:bCs/>
                <w:sz w:val="24"/>
                <w:szCs w:val="24"/>
                <w:highlight w:val="none"/>
              </w:rPr>
            </w:r>
            <w:r/>
          </w:p>
          <w:p>
            <w:pPr>
              <w:pStyle w:val="1208"/>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五、落实安全文明生产保障措施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1.现场施工或维护时，必要的预防性安全措施；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2.重大隐患部位巡查计划措施；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3.安全规章制度；</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4.维护人员安全教育</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培训的</w:t>
            </w:r>
            <w:r>
              <w:rPr>
                <w:rFonts w:hint="eastAsia" w:ascii="宋体" w:hAnsi="宋体" w:cs="宋体"/>
                <w:bCs/>
                <w:sz w:val="24"/>
                <w:szCs w:val="24"/>
                <w:highlight w:val="none"/>
                <w:lang w:val="en-US" w:eastAsia="zh-CN"/>
              </w:rPr>
              <w:t xml:space="preserve">记录</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5.机械安全、现场安全、交通安全等自检台账；</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安全工作台账，维护单位开展安全检查、教育、考核等的月度台账，年度安全工作总结等</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一切安全责任事故，均由中标单位全部承担</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08"/>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六、落实质量保障措施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1.巡修制度保障措施；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2.作业车辆保障措施；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3.维修工具保障措施；</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4.作业人员保障措施。</w:t>
            </w:r>
            <w:r>
              <w:rPr>
                <w:rFonts w:hint="eastAsia" w:ascii="宋体" w:hAnsi="宋体" w:cs="宋体"/>
                <w:bCs/>
                <w:sz w:val="24"/>
                <w:szCs w:val="24"/>
                <w:highlight w:val="none"/>
              </w:rPr>
            </w:r>
            <w:r/>
          </w:p>
          <w:p>
            <w:pPr>
              <w:pStyle w:val="1208"/>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七、制定并落实维护技术资料管理方案</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1.基础资料定期更新、归档方案；</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2.维护资料编制、归档方案；</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3.其他内部档案管理方案。</w:t>
            </w:r>
            <w:r>
              <w:rPr>
                <w:rFonts w:hint="eastAsia" w:ascii="宋体" w:hAnsi="宋体" w:cs="宋体"/>
                <w:bCs/>
                <w:sz w:val="24"/>
                <w:szCs w:val="24"/>
                <w:highlight w:val="none"/>
              </w:rPr>
            </w:r>
            <w:r/>
          </w:p>
        </w:tc>
      </w:tr>
      <w:tr>
        <w:trPr>
          <w:trHeight w:val="480"/>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质量要求</w:t>
            </w:r>
            <w:r>
              <w:rPr>
                <w:rFonts w:hint="eastAsia" w:ascii="宋体" w:hAnsi="宋体" w:cs="宋体"/>
                <w:bCs/>
                <w:sz w:val="24"/>
                <w:szCs w:val="24"/>
                <w:highlight w:val="none"/>
              </w:rPr>
            </w:r>
            <w:r/>
          </w:p>
        </w:tc>
        <w:tc>
          <w:tcPr>
            <w:tcW w:w="8078" w:type="dxa"/>
            <w:vAlign w:val="center"/>
            <w:textDirection w:val="lrTb"/>
            <w:noWrap w:val="false"/>
          </w:tcPr>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项目团队人员相对稳定，满足维保服务需求，</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w:t>
            </w:r>
            <w:r>
              <w:rPr>
                <w:rFonts w:hint="eastAsia" w:ascii="宋体" w:hAnsi="宋体" w:cs="宋体"/>
                <w:bCs/>
                <w:sz w:val="24"/>
                <w:szCs w:val="24"/>
                <w:highlight w:val="none"/>
                <w:lang w:val="en-US" w:eastAsia="zh-CN"/>
              </w:rPr>
              <w:t xml:space="preserve">采购人要求，</w:t>
            </w:r>
            <w:r>
              <w:rPr>
                <w:rFonts w:hint="eastAsia" w:ascii="宋体" w:hAnsi="宋体" w:cs="宋体"/>
                <w:bCs/>
                <w:sz w:val="24"/>
                <w:szCs w:val="24"/>
                <w:highlight w:val="none"/>
              </w:rPr>
              <w:t xml:space="preserve">每周</w:t>
            </w:r>
            <w:r>
              <w:rPr>
                <w:rFonts w:hint="eastAsia" w:ascii="宋体" w:hAnsi="宋体" w:cs="宋体"/>
                <w:bCs/>
                <w:sz w:val="24"/>
                <w:szCs w:val="24"/>
                <w:highlight w:val="none"/>
                <w:lang w:val="en-US" w:eastAsia="zh-CN"/>
              </w:rPr>
              <w:t xml:space="preserve">向采购人</w:t>
            </w:r>
            <w:r>
              <w:rPr>
                <w:rFonts w:hint="eastAsia" w:ascii="宋体" w:hAnsi="宋体" w:cs="宋体"/>
                <w:bCs/>
                <w:sz w:val="24"/>
                <w:szCs w:val="24"/>
                <w:highlight w:val="none"/>
              </w:rPr>
              <w:t xml:space="preserve">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w:t>
            </w:r>
            <w:r>
              <w:rPr>
                <w:rFonts w:hint="eastAsia" w:ascii="宋体" w:hAnsi="宋体" w:cs="宋体"/>
                <w:bCs/>
                <w:sz w:val="24"/>
                <w:szCs w:val="24"/>
                <w:highlight w:val="none"/>
              </w:rPr>
              <w:t xml:space="preserve">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2.本项目中使用的材料及设备均由中标单位负责采购并更新，质量须达到现行国家相关规范及采购人要求，更换损坏亮化灯具及配套设施应与原件规格相同。</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3.维护施工要求应符合现行国家相关规范及采购人要求，因不规范操作所导致的后果由中标单位负责。</w:t>
            </w:r>
            <w:r>
              <w:rPr>
                <w:rFonts w:hint="eastAsia" w:ascii="宋体" w:hAnsi="宋体" w:cs="宋体"/>
                <w:bCs/>
                <w:sz w:val="24"/>
                <w:szCs w:val="24"/>
                <w:highlight w:val="none"/>
              </w:rPr>
            </w:r>
            <w:r/>
          </w:p>
        </w:tc>
      </w:tr>
      <w:tr>
        <w:trPr>
          <w:trHeight w:val="480"/>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服务响应</w:t>
            </w:r>
            <w:r>
              <w:rPr>
                <w:rFonts w:hint="eastAsia" w:ascii="宋体" w:hAnsi="宋体" w:cs="宋体"/>
                <w:bCs/>
                <w:sz w:val="24"/>
                <w:szCs w:val="24"/>
                <w:highlight w:val="none"/>
              </w:rPr>
            </w:r>
            <w:r/>
          </w:p>
        </w:tc>
        <w:tc>
          <w:tcPr>
            <w:tcW w:w="8078" w:type="dxa"/>
            <w:vAlign w:val="center"/>
            <w:textDirection w:val="lrTb"/>
            <w:noWrap w:val="false"/>
          </w:tcPr>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1小时内响应，24小时内修复。</w:t>
            </w:r>
            <w:r>
              <w:rPr>
                <w:rFonts w:hint="eastAsia" w:ascii="宋体" w:hAnsi="宋体" w:cs="宋体"/>
                <w:bCs/>
                <w:sz w:val="24"/>
                <w:szCs w:val="24"/>
                <w:highlight w:val="none"/>
              </w:rPr>
            </w:r>
            <w:r/>
          </w:p>
        </w:tc>
      </w:tr>
      <w:tr>
        <w:trPr>
          <w:trHeight w:val="404"/>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服务目标</w:t>
            </w:r>
            <w:r>
              <w:rPr>
                <w:rFonts w:hint="eastAsia" w:ascii="宋体" w:hAnsi="宋体" w:cs="宋体"/>
                <w:bCs/>
                <w:sz w:val="24"/>
                <w:szCs w:val="24"/>
                <w:highlight w:val="none"/>
              </w:rPr>
            </w:r>
            <w:r/>
          </w:p>
        </w:tc>
        <w:tc>
          <w:tcPr>
            <w:tcW w:w="8078" w:type="dxa"/>
            <w:vAlign w:val="center"/>
            <w:textDirection w:val="lrTb"/>
            <w:noWrap w:val="false"/>
          </w:tcPr>
          <w:p>
            <w:pPr>
              <w:pStyle w:val="1208"/>
              <w:spacing w:line="440" w:lineRule="exact"/>
              <w:rPr>
                <w:rFonts w:hint="eastAsia" w:ascii="宋体" w:hAnsi="宋体" w:cs="宋体"/>
                <w:highlight w:val="none"/>
              </w:rPr>
            </w:pPr>
            <w:r>
              <w:rPr>
                <w:rFonts w:hint="eastAsia" w:ascii="宋体" w:hAnsi="宋体" w:cs="宋体"/>
                <w:bCs/>
                <w:sz w:val="24"/>
                <w:szCs w:val="24"/>
                <w:highlight w:val="none"/>
              </w:rPr>
              <w:t xml:space="preserve">设施完好率≥95%；亮灯率≥9</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%；控制系统功能正常、运行良好；故障修复响应及时率100%；安全文明作业制度健全，措施落实，安全文明施工，无事故、无投诉；维保台账资料健全。</w:t>
            </w:r>
            <w:r>
              <w:rPr>
                <w:rFonts w:hint="eastAsia" w:ascii="宋体" w:hAnsi="宋体" w:cs="宋体"/>
                <w:highlight w:val="none"/>
              </w:rPr>
            </w:r>
            <w:r/>
          </w:p>
        </w:tc>
      </w:tr>
      <w:tr>
        <w:trPr>
          <w:trHeight w:val="931"/>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日常考核</w:t>
            </w:r>
            <w:r>
              <w:rPr>
                <w:rFonts w:hint="eastAsia" w:ascii="宋体" w:hAnsi="宋体" w:cs="宋体"/>
                <w:bCs/>
                <w:sz w:val="24"/>
                <w:szCs w:val="24"/>
                <w:highlight w:val="none"/>
              </w:rPr>
            </w:r>
            <w:r/>
          </w:p>
        </w:tc>
        <w:tc>
          <w:tcPr>
            <w:tcW w:w="8078" w:type="dxa"/>
            <w:vAlign w:val="center"/>
            <w:textDirection w:val="lrTb"/>
            <w:noWrap w:val="false"/>
          </w:tcPr>
          <w:p>
            <w:pPr>
              <w:pStyle w:val="1208"/>
              <w:spacing w:line="440" w:lineRule="exact"/>
              <w:rPr>
                <w:rFonts w:hint="eastAsia" w:ascii="宋体" w:hAnsi="宋体" w:cs="宋体"/>
                <w:highlight w:val="none"/>
              </w:rPr>
            </w:pP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highlight w:val="none"/>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兼容性要求</w:t>
            </w:r>
            <w:r>
              <w:rPr>
                <w:rFonts w:hint="eastAsia" w:ascii="宋体" w:hAnsi="宋体" w:cs="宋体"/>
                <w:bCs/>
                <w:sz w:val="24"/>
                <w:szCs w:val="24"/>
                <w:highlight w:val="none"/>
              </w:rPr>
            </w:r>
            <w:r/>
          </w:p>
        </w:tc>
        <w:tc>
          <w:tcPr>
            <w:tcW w:w="8078" w:type="dxa"/>
            <w:vAlign w:val="center"/>
            <w:textDirection w:val="lrTb"/>
            <w:noWrap w:val="false"/>
          </w:tcPr>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投标人须承诺本项目所有软硬件满足兼容性要求，维修替换件使用原规格，控制设备兼容DMX512协议并受控，不存在互联互通障碍，软件及平台对接正常并免费对接。</w:t>
            </w:r>
            <w:r>
              <w:rPr>
                <w:rFonts w:hint="eastAsia" w:ascii="宋体" w:hAnsi="宋体" w:cs="宋体"/>
                <w:bCs/>
                <w:sz w:val="24"/>
                <w:szCs w:val="24"/>
                <w:highlight w:val="none"/>
              </w:rPr>
            </w:r>
            <w:r/>
          </w:p>
        </w:tc>
      </w:tr>
      <w:tr>
        <w:trPr>
          <w:trHeight w:val="761"/>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知识产权要求</w:t>
            </w:r>
            <w:r>
              <w:rPr>
                <w:rFonts w:hint="eastAsia" w:ascii="宋体" w:hAnsi="宋体" w:cs="宋体"/>
                <w:bCs/>
                <w:sz w:val="24"/>
                <w:szCs w:val="24"/>
                <w:highlight w:val="none"/>
              </w:rPr>
            </w:r>
            <w:r/>
          </w:p>
        </w:tc>
        <w:tc>
          <w:tcPr>
            <w:tcW w:w="8078" w:type="dxa"/>
            <w:vAlign w:val="center"/>
            <w:textDirection w:val="lrTb"/>
            <w:noWrap w:val="false"/>
          </w:tcPr>
          <w:p>
            <w:pPr>
              <w:pStyle w:val="1208"/>
              <w:jc w:val="left"/>
              <w:spacing w:line="440" w:lineRule="exact"/>
              <w:rPr>
                <w:rFonts w:hint="eastAsia" w:ascii="宋体" w:hAnsi="宋体" w:cs="宋体"/>
                <w:highlight w:val="none"/>
              </w:rPr>
            </w:pPr>
            <w:r>
              <w:rPr>
                <w:rFonts w:hint="eastAsia" w:ascii="宋体" w:hAnsi="宋体" w:cs="宋体"/>
                <w:sz w:val="24"/>
                <w:highlight w:val="none"/>
                <w:lang w:bidi="ar"/>
              </w:rPr>
              <w:t xml:space="preserve">1.中标后提供设备及软件的原厂服务承诺函加盖原厂公章，</w:t>
            </w:r>
            <w:r>
              <w:rPr>
                <w:rFonts w:hint="eastAsia" w:ascii="宋体" w:hAnsi="宋体" w:cs="宋体"/>
                <w:sz w:val="24"/>
                <w:highlight w:val="none"/>
              </w:rPr>
              <w:t xml:space="preserve">承诺函内容主要包括所有设备及软件的永久使用权归采购人所有不受任何限制，维保服务期内外无条件配合采购人对设备及软件进行维保、对接、升级和改造</w:t>
            </w:r>
            <w:r>
              <w:rPr>
                <w:rFonts w:hint="eastAsia" w:ascii="宋体" w:hAnsi="宋体" w:cs="宋体"/>
                <w:sz w:val="24"/>
                <w:highlight w:val="none"/>
                <w:lang w:bidi="ar"/>
              </w:rPr>
              <w:t xml:space="preserve">，维保客户名称为</w:t>
            </w:r>
            <w:r>
              <w:rPr>
                <w:rFonts w:hint="eastAsia" w:ascii="宋体" w:hAnsi="宋体" w:cs="宋体"/>
                <w:bCs/>
                <w:sz w:val="24"/>
                <w:szCs w:val="24"/>
                <w:highlight w:val="none"/>
              </w:rPr>
              <w:t xml:space="preserve">采购人</w:t>
            </w:r>
            <w:r>
              <w:rPr>
                <w:rFonts w:hint="eastAsia" w:ascii="宋体" w:hAnsi="宋体" w:cs="宋体"/>
                <w:sz w:val="24"/>
                <w:highlight w:val="none"/>
                <w:lang w:bidi="ar"/>
              </w:rPr>
              <w:t xml:space="preserve">。</w:t>
            </w:r>
            <w:r>
              <w:rPr>
                <w:rFonts w:hint="eastAsia" w:ascii="宋体" w:hAnsi="宋体" w:cs="宋体"/>
                <w:highlight w:val="none"/>
              </w:rPr>
            </w:r>
            <w:r/>
          </w:p>
          <w:p>
            <w:pPr>
              <w:pStyle w:val="1208"/>
              <w:jc w:val="left"/>
              <w:spacing w:line="440" w:lineRule="exact"/>
              <w:rPr>
                <w:rFonts w:hint="eastAsia" w:ascii="宋体" w:hAnsi="宋体" w:cs="宋体"/>
                <w:bCs/>
                <w:sz w:val="24"/>
                <w:szCs w:val="24"/>
                <w:highlight w:val="none"/>
              </w:rPr>
            </w:pPr>
            <w:r>
              <w:rPr>
                <w:rFonts w:hint="eastAsia" w:ascii="宋体" w:hAnsi="宋体" w:cs="宋体"/>
                <w:sz w:val="24"/>
                <w:highlight w:val="none"/>
                <w:lang w:bidi="ar"/>
              </w:rPr>
              <w:t xml:space="preserve">2.本项目相关的维护资料、系统数据等为采购人所有，不得向第三方透露本项目所有相关内容。</w:t>
            </w:r>
            <w:r>
              <w:rPr>
                <w:rFonts w:hint="eastAsia" w:ascii="宋体" w:hAnsi="宋体" w:cs="宋体"/>
                <w:bCs/>
                <w:sz w:val="24"/>
                <w:szCs w:val="24"/>
                <w:highlight w:val="none"/>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系统访问</w:t>
            </w:r>
            <w:r>
              <w:rPr>
                <w:rFonts w:hint="eastAsia" w:ascii="宋体" w:hAnsi="宋体" w:cs="宋体"/>
                <w:bCs/>
                <w:sz w:val="24"/>
                <w:szCs w:val="24"/>
                <w:highlight w:val="none"/>
              </w:rPr>
            </w:r>
            <w:r/>
          </w:p>
          <w:p>
            <w:pPr>
              <w:pStyle w:val="1208"/>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安全性要求</w:t>
            </w:r>
            <w:r>
              <w:rPr>
                <w:rFonts w:hint="eastAsia" w:ascii="宋体" w:hAnsi="宋体" w:cs="宋体"/>
                <w:bCs/>
                <w:sz w:val="24"/>
                <w:szCs w:val="24"/>
                <w:highlight w:val="none"/>
              </w:rPr>
            </w:r>
            <w:r/>
          </w:p>
        </w:tc>
        <w:tc>
          <w:tcPr>
            <w:tcW w:w="8078" w:type="dxa"/>
            <w:vAlign w:val="center"/>
            <w:textDirection w:val="lrTb"/>
            <w:noWrap w:val="false"/>
          </w:tcPr>
          <w:p>
            <w:pPr>
              <w:pStyle w:val="1208"/>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投标人须承诺不得对本项目软硬件及系统进行破坏或未经授权使用，维保服务期内及维保服务期外不得针对本项目进行信息渗透、人为破坏及其他影响系统正常运行的行为。</w:t>
            </w:r>
            <w:r>
              <w:rPr>
                <w:rFonts w:hint="eastAsia" w:ascii="宋体" w:hAnsi="宋体" w:eastAsia="宋体" w:cs="宋体"/>
                <w:bCs/>
                <w:sz w:val="24"/>
                <w:szCs w:val="24"/>
                <w:highlight w:val="none"/>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维保实施</w:t>
            </w:r>
            <w:r>
              <w:rPr>
                <w:rFonts w:hint="eastAsia" w:ascii="宋体" w:hAnsi="宋体" w:eastAsia="宋体" w:cs="宋体"/>
                <w:b/>
                <w:bCs w:val="0"/>
                <w:sz w:val="24"/>
                <w:szCs w:val="24"/>
                <w:highlight w:val="none"/>
              </w:rPr>
              <w:t xml:space="preserve">要求</w:t>
            </w:r>
            <w:r>
              <w:rPr>
                <w:rFonts w:hint="eastAsia" w:ascii="宋体" w:hAnsi="宋体" w:eastAsia="宋体" w:cs="宋体"/>
                <w:bCs/>
                <w:sz w:val="24"/>
                <w:szCs w:val="24"/>
                <w:highlight w:val="none"/>
                <w:lang w:val="en-US" w:eastAsia="zh-CN"/>
              </w:rPr>
            </w:r>
            <w:r/>
          </w:p>
        </w:tc>
        <w:tc>
          <w:tcPr>
            <w:tcW w:w="8078" w:type="dxa"/>
            <w:vAlign w:val="center"/>
            <w:textDirection w:val="lrTb"/>
            <w:noWrap w:val="false"/>
          </w:tcPr>
          <w:p>
            <w:pPr>
              <w:pStyle w:val="1208"/>
              <w:spacing w:line="440" w:lineRule="exact"/>
              <w:rPr>
                <w:rFonts w:ascii="宋体" w:hAnsi="宋体" w:eastAsia="宋体" w:cs="宋体"/>
                <w:b w:val="0"/>
                <w:bCs/>
                <w:sz w:val="24"/>
                <w:szCs w:val="24"/>
                <w:highlight w:val="none"/>
                <w:lang w:val="en-US" w:bidi="ar"/>
              </w:rPr>
            </w:pPr>
            <w:r>
              <w:rPr>
                <w:rFonts w:hint="eastAsia" w:ascii="宋体" w:hAnsi="宋体" w:eastAsia="宋体" w:cs="宋体"/>
                <w:b/>
                <w:bCs w:val="0"/>
                <w:sz w:val="24"/>
                <w:szCs w:val="24"/>
                <w:highlight w:val="none"/>
                <w:lang w:val="en-US" w:eastAsia="zh-CN"/>
              </w:rPr>
              <w:t xml:space="preserve">1.强电控制系统及节点端设备维保方案，至少包含：</w:t>
            </w:r>
            <w:r>
              <w:rPr>
                <w:rFonts w:ascii="宋体" w:hAnsi="宋体" w:eastAsia="宋体" w:cs="宋体"/>
                <w:b w:val="0"/>
                <w:bCs/>
                <w:sz w:val="24"/>
                <w:szCs w:val="24"/>
                <w:highlight w:val="none"/>
                <w:lang w:val="en-US" w:bidi="ar"/>
              </w:rPr>
            </w:r>
            <w:r/>
          </w:p>
          <w:p>
            <w:pPr>
              <w:pStyle w:val="1290"/>
              <w:ind w:firstLine="0"/>
              <w:spacing w:line="440" w:lineRule="exact"/>
              <w:rPr>
                <w:rFonts w:hint="eastAsia" w:ascii="宋体" w:hAnsi="宋体" w:eastAsia="宋体" w:cs="宋体"/>
                <w:b w:val="0"/>
                <w:bCs/>
                <w:sz w:val="24"/>
                <w:szCs w:val="24"/>
                <w:highlight w:val="none"/>
                <w:lang w:val="en-US" w:eastAsia="zh-CN" w:bidi="ar"/>
              </w:rPr>
            </w:pPr>
            <w:r>
              <w:rPr>
                <w:rFonts w:hint="eastAsia" w:cs="宋体"/>
                <w:highlight w:val="none"/>
                <w:lang w:eastAsia="zh-CN" w:bidi="ar"/>
              </w:rPr>
              <w:t xml:space="preserve">（</w:t>
            </w:r>
            <w:r>
              <w:rPr>
                <w:rFonts w:hint="eastAsia" w:cs="宋体"/>
                <w:highlight w:val="none"/>
                <w:lang w:val="en-US" w:eastAsia="zh-CN" w:bidi="ar"/>
              </w:rPr>
              <w:t xml:space="preserve">1</w:t>
            </w:r>
            <w:r>
              <w:rPr>
                <w:rFonts w:hint="eastAsia" w:cs="宋体"/>
                <w:highlight w:val="none"/>
                <w:lang w:eastAsia="zh-CN" w:bidi="ar"/>
              </w:rPr>
              <w:t xml:space="preserve">）</w:t>
            </w:r>
            <w:r>
              <w:rPr>
                <w:rFonts w:hint="eastAsia" w:cs="宋体"/>
                <w:highlight w:val="none"/>
                <w:lang w:val="en-US" w:eastAsia="zh-CN" w:bidi="ar"/>
              </w:rPr>
              <w:t xml:space="preserve">强电控制系统</w:t>
            </w:r>
            <w:r>
              <w:rPr>
                <w:rFonts w:hint="eastAsia" w:cs="宋体"/>
                <w:highlight w:val="none"/>
                <w:lang w:bidi="ar"/>
              </w:rPr>
              <w:t xml:space="preserve">软硬件</w:t>
            </w:r>
            <w:r>
              <w:rPr>
                <w:rFonts w:hint="eastAsia" w:cs="宋体"/>
                <w:highlight w:val="none"/>
                <w:lang w:val="en-US" w:eastAsia="zh-CN" w:bidi="ar"/>
              </w:rPr>
              <w:t xml:space="preserve">的</w:t>
            </w:r>
            <w:r>
              <w:rPr>
                <w:rFonts w:hint="eastAsia" w:cs="宋体"/>
                <w:highlight w:val="none"/>
                <w:lang w:bidi="ar"/>
              </w:rPr>
              <w:t xml:space="preserve">正常稳定运行</w:t>
            </w:r>
            <w:r>
              <w:rPr>
                <w:rFonts w:hint="eastAsia" w:cs="宋体"/>
                <w:highlight w:val="none"/>
                <w:lang w:val="en-US" w:eastAsia="zh-CN" w:bidi="ar"/>
              </w:rPr>
              <w:t xml:space="preserve">和</w:t>
            </w:r>
            <w:r>
              <w:rPr>
                <w:rFonts w:hint="eastAsia" w:ascii="宋体" w:hAnsi="宋体" w:eastAsia="宋体" w:cs="宋体"/>
                <w:b w:val="0"/>
                <w:bCs/>
                <w:sz w:val="24"/>
                <w:szCs w:val="24"/>
                <w:highlight w:val="none"/>
                <w:lang w:bidi="ar"/>
              </w:rPr>
              <w:t xml:space="preserve">强电控制节点端及配套设施维保</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r>
            <w:r/>
          </w:p>
          <w:p>
            <w:pPr>
              <w:pStyle w:val="1208"/>
              <w:spacing w:line="44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①894幢楼宇，</w:t>
            </w:r>
            <w:r>
              <w:rPr>
                <w:rFonts w:hint="eastAsia" w:ascii="宋体" w:hAnsi="宋体" w:eastAsia="宋体" w:cs="宋体"/>
                <w:bCs/>
                <w:sz w:val="24"/>
                <w:szCs w:val="24"/>
                <w:highlight w:val="none"/>
                <w:lang w:bidi="ar"/>
              </w:rPr>
              <w:t xml:space="preserve">涉及</w:t>
            </w:r>
            <w:r>
              <w:rPr>
                <w:rFonts w:hint="eastAsia" w:ascii="宋体" w:hAnsi="宋体" w:eastAsia="宋体" w:cs="宋体"/>
                <w:bCs/>
                <w:sz w:val="24"/>
                <w:szCs w:val="24"/>
                <w:highlight w:val="none"/>
                <w:lang w:val="en-US" w:eastAsia="zh-CN" w:bidi="ar"/>
              </w:rPr>
              <w:t xml:space="preserve">920套</w:t>
            </w:r>
            <w:r>
              <w:rPr>
                <w:rFonts w:hint="eastAsia" w:ascii="宋体" w:hAnsi="宋体" w:eastAsia="宋体" w:cs="宋体"/>
                <w:bCs/>
                <w:sz w:val="24"/>
                <w:szCs w:val="24"/>
                <w:highlight w:val="none"/>
                <w:lang w:bidi="ar"/>
              </w:rPr>
              <w:t xml:space="preserve">强电控制节点端</w:t>
            </w:r>
            <w:r>
              <w:rPr>
                <w:rFonts w:hint="eastAsia" w:ascii="宋体" w:hAnsi="宋体" w:eastAsia="宋体" w:cs="宋体"/>
                <w:bCs/>
                <w:sz w:val="24"/>
                <w:szCs w:val="24"/>
                <w:highlight w:val="none"/>
                <w:lang w:val="en-US" w:eastAsia="zh-CN" w:bidi="ar"/>
              </w:rPr>
              <w:t xml:space="preserve">设备</w:t>
            </w:r>
            <w:r>
              <w:rPr>
                <w:rFonts w:hint="eastAsia" w:ascii="宋体" w:hAnsi="宋体" w:eastAsia="宋体" w:cs="宋体"/>
                <w:bCs/>
                <w:sz w:val="24"/>
                <w:szCs w:val="24"/>
                <w:highlight w:val="none"/>
                <w:lang w:bidi="ar"/>
              </w:rPr>
              <w:t xml:space="preserve">、机柜、配电箱等相关设备及配套设施。投标人自行查勘现场，</w:t>
            </w:r>
            <w:r>
              <w:rPr>
                <w:rFonts w:hint="eastAsia" w:ascii="宋体" w:hAnsi="宋体" w:eastAsia="宋体" w:cs="宋体"/>
                <w:bCs/>
                <w:sz w:val="24"/>
                <w:szCs w:val="24"/>
                <w:highlight w:val="none"/>
                <w:lang w:val="en-US" w:eastAsia="zh-CN" w:bidi="ar"/>
              </w:rPr>
              <w:t xml:space="preserve">须</w:t>
            </w:r>
            <w:r>
              <w:rPr>
                <w:rFonts w:hint="eastAsia" w:ascii="宋体" w:hAnsi="宋体" w:eastAsia="宋体" w:cs="宋体"/>
                <w:bCs/>
                <w:sz w:val="24"/>
                <w:szCs w:val="24"/>
                <w:highlight w:val="none"/>
                <w:lang w:bidi="ar"/>
              </w:rPr>
              <w:t xml:space="preserve">保证设备的正常运行，满足</w:t>
            </w:r>
            <w:r>
              <w:rPr>
                <w:rFonts w:hint="eastAsia" w:ascii="宋体" w:hAnsi="宋体" w:eastAsia="宋体" w:cs="宋体"/>
                <w:bCs/>
                <w:sz w:val="24"/>
                <w:szCs w:val="24"/>
                <w:highlight w:val="none"/>
                <w:lang w:val="en-US" w:eastAsia="zh-CN" w:bidi="ar"/>
              </w:rPr>
              <w:t xml:space="preserve">日常亮化启闭、故障告警等运行</w:t>
            </w:r>
            <w:r>
              <w:rPr>
                <w:rFonts w:hint="eastAsia" w:ascii="宋体" w:hAnsi="宋体" w:eastAsia="宋体" w:cs="宋体"/>
                <w:bCs/>
                <w:sz w:val="24"/>
                <w:szCs w:val="24"/>
                <w:highlight w:val="none"/>
                <w:lang w:bidi="ar"/>
              </w:rPr>
              <w:t xml:space="preserve">要求，</w:t>
            </w:r>
            <w:r>
              <w:rPr>
                <w:rFonts w:hint="eastAsia" w:ascii="宋体" w:hAnsi="宋体" w:eastAsia="宋体" w:cs="宋体"/>
                <w:bCs/>
                <w:sz w:val="24"/>
                <w:szCs w:val="24"/>
                <w:highlight w:val="none"/>
                <w:lang w:val="en-US" w:eastAsia="zh-CN" w:bidi="ar"/>
              </w:rPr>
              <w:t xml:space="preserve">强电控制系统在线率≥95%，</w:t>
            </w:r>
            <w:r>
              <w:rPr>
                <w:rFonts w:hint="eastAsia" w:ascii="宋体" w:hAnsi="宋体" w:eastAsia="宋体" w:cs="宋体"/>
                <w:bCs/>
                <w:sz w:val="24"/>
                <w:szCs w:val="24"/>
                <w:highlight w:val="none"/>
                <w:lang w:bidi="ar"/>
              </w:rPr>
              <w:t xml:space="preserve">如</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bidi="ar"/>
              </w:rPr>
              <w:t xml:space="preserve">发现未能达到</w:t>
            </w:r>
            <w:r>
              <w:rPr>
                <w:rFonts w:hint="eastAsia" w:ascii="宋体" w:hAnsi="宋体" w:eastAsia="宋体" w:cs="宋体"/>
                <w:bCs/>
                <w:sz w:val="24"/>
                <w:szCs w:val="24"/>
                <w:highlight w:val="none"/>
                <w:lang w:val="en-US" w:eastAsia="zh-CN" w:bidi="ar"/>
              </w:rPr>
              <w:t xml:space="preserve">亮化</w:t>
            </w:r>
            <w:r>
              <w:rPr>
                <w:rFonts w:hint="eastAsia" w:ascii="宋体" w:hAnsi="宋体" w:eastAsia="宋体" w:cs="宋体"/>
                <w:bCs/>
                <w:sz w:val="24"/>
                <w:szCs w:val="24"/>
                <w:highlight w:val="none"/>
                <w:lang w:bidi="ar"/>
              </w:rPr>
              <w:t xml:space="preserve">控制要求</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bidi="ar"/>
              </w:rPr>
              <w:t xml:space="preserve">须无条件进行整改。</w:t>
            </w:r>
            <w:r>
              <w:rPr>
                <w:rFonts w:hint="eastAsia" w:ascii="宋体" w:hAnsi="宋体" w:eastAsia="宋体" w:cs="宋体"/>
                <w:bCs/>
                <w:sz w:val="24"/>
                <w:szCs w:val="24"/>
                <w:highlight w:val="none"/>
                <w:lang w:bidi="ar"/>
              </w:rPr>
            </w:r>
            <w:r/>
          </w:p>
          <w:p>
            <w:pPr>
              <w:pStyle w:val="1208"/>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②合同签订后2个月内，对920套强电控制节点端设备接入回路进行检查，</w:t>
            </w:r>
            <w:r>
              <w:rPr>
                <w:rFonts w:hint="eastAsia" w:ascii="宋体" w:hAnsi="宋体" w:eastAsia="宋体" w:cs="宋体"/>
                <w:bCs/>
                <w:sz w:val="24"/>
                <w:szCs w:val="24"/>
                <w:highlight w:val="none"/>
              </w:rPr>
              <w:t xml:space="preserve">建筑顶部、立面亮化已划分独立回路的，须分开接入</w:t>
            </w:r>
            <w:r>
              <w:rPr>
                <w:rFonts w:hint="eastAsia" w:ascii="宋体" w:hAnsi="宋体" w:eastAsia="宋体" w:cs="宋体"/>
                <w:bCs/>
                <w:sz w:val="24"/>
                <w:szCs w:val="24"/>
                <w:highlight w:val="none"/>
                <w:lang w:val="en-US" w:eastAsia="zh-CN" w:bidi="ar"/>
              </w:rPr>
              <w:t xml:space="preserve">，</w:t>
            </w:r>
            <w:r>
              <w:rPr>
                <w:rFonts w:hint="eastAsia" w:ascii="宋体" w:hAnsi="宋体" w:eastAsia="宋体" w:cs="宋体"/>
                <w:bCs/>
                <w:sz w:val="24"/>
                <w:szCs w:val="24"/>
                <w:highlight w:val="none"/>
                <w:lang w:bidi="ar"/>
              </w:rPr>
              <w:t xml:space="preserve">以便实现楼宇亮化分模式（节日模式、平时模式、深夜模式）控制</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val="en-US" w:eastAsia="zh-CN" w:bidi="ar"/>
              </w:rPr>
            </w:r>
            <w:r/>
          </w:p>
          <w:p>
            <w:pPr>
              <w:pStyle w:val="1208"/>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
              </w:rPr>
              <w:t xml:space="preserve">③</w:t>
            </w:r>
            <w:r>
              <w:rPr>
                <w:rFonts w:hint="eastAsia" w:ascii="宋体" w:hAnsi="宋体" w:eastAsia="宋体" w:cs="宋体"/>
                <w:bCs/>
                <w:sz w:val="24"/>
                <w:szCs w:val="24"/>
                <w:highlight w:val="none"/>
                <w:lang w:bidi="ar"/>
              </w:rPr>
              <w:t xml:space="preserve">本项目更换强电控制节点端设备时，须满足原设计方案控制要求，以便实现楼宇亮化分模式（节日模式、平时模式、深夜模式）控制</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val="en-US" w:eastAsia="zh-CN"/>
              </w:rPr>
            </w:r>
            <w:r/>
          </w:p>
          <w:p>
            <w:pPr>
              <w:pStyle w:val="1208"/>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软硬件满足兼容性要求与做法。</w:t>
            </w:r>
            <w:r>
              <w:rPr>
                <w:rFonts w:hint="eastAsia" w:ascii="宋体" w:hAnsi="宋体" w:eastAsia="宋体" w:cs="宋体"/>
                <w:bCs/>
                <w:sz w:val="24"/>
                <w:szCs w:val="24"/>
                <w:highlight w:val="none"/>
                <w:lang w:val="en-US" w:eastAsia="zh-CN"/>
              </w:rPr>
            </w:r>
            <w:r/>
          </w:p>
          <w:p>
            <w:pPr>
              <w:pStyle w:val="1208"/>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所有软硬件满足兼容性要求，维修替换件使用原规格，控制设备兼容DMX512协议并受控，不存在互联互通障碍，软件及平台对接正常并免费对接</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rPr>
              <w:t xml:space="preserve">日常维保</w:t>
            </w:r>
            <w:r>
              <w:rPr>
                <w:rFonts w:hint="eastAsia" w:ascii="宋体" w:hAnsi="宋体" w:eastAsia="宋体" w:cs="宋体"/>
                <w:bCs/>
                <w:sz w:val="24"/>
                <w:szCs w:val="24"/>
                <w:highlight w:val="none"/>
                <w:lang w:eastAsia="zh-CN"/>
              </w:rPr>
              <w:t xml:space="preserve">工作</w:t>
            </w:r>
            <w:r>
              <w:rPr>
                <w:rFonts w:hint="eastAsia" w:ascii="宋体" w:hAnsi="宋体" w:eastAsia="宋体" w:cs="宋体"/>
                <w:bCs/>
                <w:sz w:val="24"/>
                <w:szCs w:val="24"/>
                <w:highlight w:val="none"/>
                <w:lang w:val="en-US" w:eastAsia="zh-CN"/>
              </w:rPr>
              <w:t xml:space="preserve">计划（含团队人员安排、巡检周期等）和</w:t>
            </w:r>
            <w:r>
              <w:rPr>
                <w:rFonts w:hint="eastAsia" w:ascii="宋体" w:hAnsi="宋体" w:eastAsia="宋体" w:cs="宋体"/>
                <w:bCs/>
                <w:sz w:val="24"/>
                <w:szCs w:val="24"/>
                <w:highlight w:val="none"/>
                <w:lang w:eastAsia="zh-CN"/>
              </w:rPr>
              <w:t xml:space="preserve">流程。</w:t>
            </w:r>
            <w:r>
              <w:rPr>
                <w:rFonts w:hint="eastAsia" w:ascii="宋体" w:hAnsi="宋体" w:eastAsia="宋体" w:cs="宋体"/>
                <w:bCs/>
                <w:sz w:val="24"/>
                <w:szCs w:val="24"/>
                <w:highlight w:val="none"/>
                <w:lang w:eastAsia="zh-CN"/>
              </w:rPr>
            </w:r>
            <w:r/>
          </w:p>
          <w:p>
            <w:pPr>
              <w:pStyle w:val="1208"/>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根据采购人要求，</w:t>
            </w:r>
            <w:r>
              <w:rPr>
                <w:rFonts w:hint="eastAsia" w:ascii="宋体" w:hAnsi="宋体" w:cs="宋体"/>
                <w:bCs/>
                <w:sz w:val="24"/>
                <w:szCs w:val="24"/>
                <w:highlight w:val="none"/>
              </w:rPr>
              <w:t xml:space="preserve">每周汇报一次维保情况，具体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bCs/>
                <w:sz w:val="24"/>
                <w:szCs w:val="24"/>
                <w:highlight w:val="none"/>
              </w:rPr>
            </w:r>
            <w:r/>
          </w:p>
          <w:p>
            <w:pPr>
              <w:pStyle w:val="1208"/>
              <w:ind w:firstLine="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③制定详细的日常维保操作流程。</w:t>
            </w:r>
            <w:r>
              <w:rPr>
                <w:rFonts w:hint="eastAsia" w:ascii="宋体" w:hAnsi="宋体" w:eastAsia="宋体" w:cs="宋体"/>
                <w:bCs/>
                <w:sz w:val="24"/>
                <w:szCs w:val="24"/>
                <w:highlight w:val="none"/>
                <w:lang w:eastAsia="zh-CN"/>
              </w:rPr>
            </w:r>
            <w:r/>
          </w:p>
          <w:p>
            <w:pPr>
              <w:pStyle w:val="1208"/>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rPr>
              <w:t xml:space="preserve">日常维保质量、安全、人员管理等相关制度。</w:t>
            </w:r>
            <w:r>
              <w:rPr>
                <w:rFonts w:hint="eastAsia" w:ascii="宋体" w:hAnsi="宋体" w:eastAsia="宋体" w:cs="宋体"/>
                <w:bCs/>
                <w:sz w:val="24"/>
                <w:szCs w:val="24"/>
                <w:highlight w:val="none"/>
                <w:lang w:val="en-US" w:eastAsia="zh-CN"/>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建立设备材料管理和材料设备的供应制度。准备充足的维修材料以应对日常维修及突发事件的需要，采购的材料及设备必须符合国家质量标准，并不得低于原有标准。</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建立安全生产主体责任制度。安全生产管理制度包括：安全生产责任制、安全生产检查制度、安全操作规程、安全行车规定、安全生产教育培训制度、事故隐患内部报告和奖励制度等。</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rPr>
              <w:t xml:space="preserve">仓库及备品备件。</w:t>
            </w:r>
            <w:r>
              <w:rPr>
                <w:rFonts w:hint="eastAsia" w:ascii="宋体" w:hAnsi="宋体" w:eastAsia="宋体" w:cs="宋体"/>
                <w:bCs/>
                <w:sz w:val="24"/>
                <w:szCs w:val="24"/>
                <w:highlight w:val="none"/>
                <w:lang w:val="en-US" w:eastAsia="zh-CN"/>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成立项目小组，</w:t>
            </w:r>
            <w:r>
              <w:rPr>
                <w:rFonts w:hint="eastAsia" w:ascii="宋体" w:hAnsi="宋体" w:eastAsia="宋体" w:cs="宋体"/>
                <w:bCs/>
                <w:sz w:val="24"/>
                <w:szCs w:val="24"/>
                <w:highlight w:val="none"/>
                <w:lang w:val="en-US" w:eastAsia="zh-CN"/>
              </w:rPr>
              <w:t xml:space="preserve">统筹本项目运维管理工作。</w:t>
            </w:r>
            <w:r>
              <w:rPr>
                <w:rFonts w:hint="eastAsia" w:ascii="宋体" w:hAnsi="宋体" w:eastAsia="宋体" w:cs="宋体"/>
                <w:bCs/>
                <w:sz w:val="24"/>
                <w:szCs w:val="24"/>
                <w:highlight w:val="none"/>
              </w:rPr>
              <w:t xml:space="preserve">设置办公区、值班区、车辆停放区、器材堆放区、备件及替换件仓库、拆除件存放仓库等区域。</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办公区：配置满足项目管理人员日常办公所需办公桌椅、文件档案柜、通讯设备；</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值班区：设置不少于2个固定值班工位，具备休息、应急联络条件，满足全天候应急值守需求；</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车辆停放区：预留可容纳不少于3台运维作业车辆的专属停放场地，场地平整、进出通行顺畅；</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器材堆放区：分区收纳检修工具、线缆、辅材、安全防护用具，做到分类摆放、台账清晰；</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⑤备件及替换件</w:t>
            </w:r>
            <w:r>
              <w:rPr>
                <w:rFonts w:hint="eastAsia" w:ascii="宋体" w:hAnsi="宋体" w:eastAsia="宋体" w:cs="宋体"/>
                <w:bCs/>
                <w:sz w:val="24"/>
                <w:szCs w:val="24"/>
                <w:highlight w:val="none"/>
              </w:rPr>
              <w:t xml:space="preserve">仓库：设立备件仓储空间，根据项目亮化控制系统、配电箱、控制器、灯具等设备型号储备足量常用备品备件，建立出入库管理制度，备件库存可满足日常抢修替换需求；</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⑥</w:t>
            </w:r>
            <w:r>
              <w:rPr>
                <w:rFonts w:hint="eastAsia" w:ascii="宋体" w:hAnsi="宋体" w:eastAsia="宋体" w:cs="宋体"/>
                <w:bCs/>
                <w:sz w:val="24"/>
                <w:szCs w:val="24"/>
                <w:highlight w:val="none"/>
              </w:rPr>
              <w:t xml:space="preserve">拆除件存放仓库：对工程拆除、更换下来的老旧设备、报废件分区集中存放，做到分类归集，按采购人要求统一处置。</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所有功能区域布局合理，落实防火、防雨、防尘、防盗措施，建立区域管理制度。</w:t>
            </w:r>
            <w:r>
              <w:rPr>
                <w:rFonts w:hint="eastAsia"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突发事件应急预案。</w:t>
            </w:r>
            <w:r>
              <w:rPr>
                <w:rFonts w:hint="eastAsia"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制定极端天气、各类突发事件的应急预案，包含应急响应机制、处置</w:t>
            </w:r>
            <w:r>
              <w:rPr>
                <w:rFonts w:hint="eastAsia" w:ascii="宋体" w:hAnsi="宋体" w:cs="宋体"/>
                <w:bCs/>
                <w:sz w:val="24"/>
                <w:szCs w:val="24"/>
                <w:highlight w:val="none"/>
              </w:rPr>
              <w:t xml:space="preserve">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spacing w:line="440" w:lineRule="exact"/>
              <w:rPr>
                <w:rFonts w:ascii="宋体" w:hAnsi="宋体" w:cs="宋体"/>
                <w:bCs/>
                <w:sz w:val="24"/>
                <w:szCs w:val="24"/>
                <w:highlight w:val="none"/>
                <w:lang w:val="en-US"/>
              </w:rPr>
            </w:pPr>
            <w:r>
              <w:rPr>
                <w:rFonts w:hint="eastAsia" w:ascii="宋体" w:hAnsi="宋体" w:cs="宋体"/>
                <w:bCs/>
                <w:sz w:val="24"/>
                <w:szCs w:val="24"/>
                <w:highlight w:val="none"/>
              </w:rPr>
              <w:t xml:space="preserve">应急终止后的善后、恢复重建等的措施方案</w:t>
            </w:r>
            <w:r>
              <w:rPr>
                <w:rFonts w:hint="eastAsia" w:ascii="宋体" w:hAnsi="宋体" w:cs="宋体"/>
                <w:bCs/>
                <w:sz w:val="24"/>
                <w:szCs w:val="24"/>
                <w:highlight w:val="none"/>
                <w:lang w:val="en-US" w:eastAsia="zh-CN"/>
              </w:rPr>
              <w:t xml:space="preserve">等。</w:t>
            </w:r>
            <w:r>
              <w:rPr>
                <w:rFonts w:ascii="宋体" w:hAnsi="宋体" w:cs="宋体"/>
                <w:bCs/>
                <w:sz w:val="24"/>
                <w:szCs w:val="24"/>
                <w:highlight w:val="none"/>
                <w:lang w:val="en-US"/>
              </w:rPr>
            </w:r>
            <w:r/>
          </w:p>
          <w:p>
            <w:pPr>
              <w:pStyle w:val="1208"/>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弱电控制系统</w:t>
            </w:r>
            <w:r>
              <w:rPr>
                <w:rFonts w:hint="eastAsia" w:ascii="宋体" w:hAnsi="宋体" w:eastAsia="宋体" w:cs="宋体"/>
                <w:b/>
                <w:bCs w:val="0"/>
                <w:sz w:val="24"/>
                <w:szCs w:val="24"/>
                <w:highlight w:val="none"/>
                <w:lang w:val="en-US" w:eastAsia="zh-CN"/>
              </w:rPr>
              <w:t xml:space="preserve">及节点端</w:t>
            </w:r>
            <w:r>
              <w:rPr>
                <w:rFonts w:hint="eastAsia" w:ascii="宋体" w:hAnsi="宋体" w:eastAsia="宋体" w:cs="宋体"/>
                <w:b/>
                <w:bCs w:val="0"/>
                <w:sz w:val="24"/>
                <w:szCs w:val="24"/>
                <w:highlight w:val="none"/>
              </w:rPr>
              <w:t xml:space="preserve">维保</w:t>
            </w:r>
            <w:r>
              <w:rPr>
                <w:rFonts w:hint="eastAsia" w:ascii="宋体" w:hAnsi="宋体" w:eastAsia="宋体" w:cs="宋体"/>
                <w:b/>
                <w:bCs w:val="0"/>
                <w:sz w:val="24"/>
                <w:szCs w:val="24"/>
                <w:highlight w:val="none"/>
                <w:lang w:val="en-US" w:eastAsia="zh-CN"/>
              </w:rPr>
              <w:t xml:space="preserve">方案，至少包含：</w:t>
            </w:r>
            <w:r>
              <w:rPr>
                <w:rFonts w:hint="eastAsia" w:ascii="宋体" w:hAnsi="宋体" w:eastAsia="宋体" w:cs="宋体"/>
                <w:b w:val="0"/>
                <w:bCs/>
                <w:sz w:val="24"/>
                <w:szCs w:val="24"/>
                <w:highlight w:val="none"/>
                <w:lang w:val="en-US" w:eastAsia="zh-CN"/>
              </w:rPr>
            </w:r>
            <w:r/>
          </w:p>
          <w:p>
            <w:pPr>
              <w:pStyle w:val="1290"/>
              <w:ind w:firstLine="0"/>
              <w:spacing w:line="440" w:lineRule="exact"/>
              <w:rPr>
                <w:rFonts w:hint="eastAsia" w:ascii="宋体" w:hAnsi="宋体" w:eastAsia="宋体" w:cs="宋体"/>
                <w:b w:val="0"/>
                <w:bCs/>
                <w:sz w:val="24"/>
                <w:szCs w:val="24"/>
                <w:highlight w:val="none"/>
                <w:lang w:val="en-US" w:eastAsia="zh-CN" w:bidi="ar"/>
              </w:rPr>
            </w:pPr>
            <w:r>
              <w:rPr>
                <w:rFonts w:hint="eastAsia" w:cs="宋体"/>
                <w:highlight w:val="none"/>
                <w:lang w:val="en-US" w:eastAsia="zh-CN" w:bidi="ar"/>
              </w:rPr>
              <w:t xml:space="preserve">（1）弱电控制系统</w:t>
            </w:r>
            <w:r>
              <w:rPr>
                <w:rFonts w:hint="eastAsia" w:cs="宋体"/>
                <w:highlight w:val="none"/>
                <w:lang w:bidi="ar"/>
              </w:rPr>
              <w:t xml:space="preserve">软硬件</w:t>
            </w:r>
            <w:r>
              <w:rPr>
                <w:rFonts w:hint="eastAsia" w:cs="宋体"/>
                <w:highlight w:val="none"/>
                <w:lang w:val="en-US" w:eastAsia="zh-CN" w:bidi="ar"/>
              </w:rPr>
              <w:t xml:space="preserve">的</w:t>
            </w:r>
            <w:r>
              <w:rPr>
                <w:rFonts w:hint="eastAsia" w:cs="宋体"/>
                <w:highlight w:val="none"/>
                <w:lang w:bidi="ar"/>
              </w:rPr>
              <w:t xml:space="preserve">正常稳定运行</w:t>
            </w:r>
            <w:r>
              <w:rPr>
                <w:rFonts w:hint="eastAsia" w:cs="宋体"/>
                <w:highlight w:val="none"/>
                <w:lang w:val="en-US" w:eastAsia="zh-CN" w:bidi="ar"/>
              </w:rPr>
              <w:t xml:space="preserve">和弱</w:t>
            </w:r>
            <w:r>
              <w:rPr>
                <w:rFonts w:hint="eastAsia" w:ascii="宋体" w:hAnsi="宋体" w:eastAsia="宋体" w:cs="宋体"/>
                <w:b w:val="0"/>
                <w:bCs/>
                <w:sz w:val="24"/>
                <w:szCs w:val="24"/>
                <w:highlight w:val="none"/>
                <w:lang w:bidi="ar"/>
              </w:rPr>
              <w:t xml:space="preserve">电控制节点端及配套设施维保</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r>
            <w:r/>
          </w:p>
          <w:p>
            <w:pPr>
              <w:pStyle w:val="1208"/>
              <w:spacing w:line="440" w:lineRule="exact"/>
              <w:rPr>
                <w:rFonts w:hint="eastAsia" w:ascii="宋体" w:hAnsi="宋体" w:eastAsia="宋体" w:cs="宋体"/>
                <w:b w:val="0"/>
                <w:bCs/>
                <w:sz w:val="24"/>
                <w:szCs w:val="24"/>
                <w:highlight w:val="none"/>
                <w:lang w:bidi="ar"/>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 w:val="0"/>
                <w:bCs/>
                <w:sz w:val="24"/>
                <w:szCs w:val="24"/>
                <w:highlight w:val="none"/>
                <w:lang w:bidi="ar"/>
              </w:rPr>
              <w:t xml:space="preserve">媒体屏楼宇节点端维保</w:t>
            </w:r>
            <w:r>
              <w:rPr>
                <w:rFonts w:hint="eastAsia" w:ascii="宋体" w:hAnsi="宋体" w:eastAsia="宋体" w:cs="宋体"/>
                <w:b w:val="0"/>
                <w:bCs/>
                <w:sz w:val="24"/>
                <w:szCs w:val="24"/>
                <w:highlight w:val="none"/>
                <w:lang w:bidi="ar"/>
              </w:rPr>
            </w:r>
            <w:r/>
          </w:p>
          <w:p>
            <w:pPr>
              <w:pStyle w:val="1208"/>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bidi="ar"/>
              </w:rPr>
              <w:t xml:space="preserve">媒体屏楼宇2</w:t>
            </w:r>
            <w:r>
              <w:rPr>
                <w:rFonts w:hint="eastAsia" w:ascii="宋体" w:hAnsi="宋体" w:eastAsia="宋体" w:cs="宋体"/>
                <w:bCs/>
                <w:sz w:val="24"/>
                <w:szCs w:val="24"/>
                <w:highlight w:val="none"/>
                <w:lang w:eastAsia="zh-CN" w:bidi="ar"/>
              </w:rPr>
              <w:t xml:space="preserve">9</w:t>
            </w:r>
            <w:r>
              <w:rPr>
                <w:rFonts w:hint="eastAsia" w:ascii="宋体" w:hAnsi="宋体" w:eastAsia="宋体" w:cs="宋体"/>
                <w:bCs/>
                <w:sz w:val="24"/>
                <w:szCs w:val="24"/>
                <w:highlight w:val="none"/>
                <w:lang w:bidi="ar"/>
              </w:rPr>
              <w:t xml:space="preserve">幢，涉及工控机2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台、显示器2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台、操作系统2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套、播放软件2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套、授时器21台、4G无线路由器2</w:t>
            </w:r>
            <w:r>
              <w:rPr>
                <w:rFonts w:hint="eastAsia" w:ascii="宋体" w:hAnsi="宋体" w:eastAsia="宋体" w:cs="宋体"/>
                <w:bCs/>
                <w:sz w:val="24"/>
                <w:szCs w:val="24"/>
                <w:highlight w:val="none"/>
                <w:lang w:val="en-US" w:eastAsia="zh-CN" w:bidi="ar"/>
              </w:rPr>
              <w:t xml:space="preserve">1</w:t>
            </w:r>
            <w:r>
              <w:rPr>
                <w:rFonts w:hint="eastAsia" w:ascii="宋体" w:hAnsi="宋体" w:eastAsia="宋体" w:cs="宋体"/>
                <w:bCs/>
                <w:sz w:val="24"/>
                <w:szCs w:val="24"/>
                <w:highlight w:val="none"/>
                <w:lang w:bidi="ar"/>
              </w:rPr>
              <w:t xml:space="preserve">台、恒温箱2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个、交换机2</w:t>
            </w:r>
            <w:r>
              <w:rPr>
                <w:rFonts w:hint="eastAsia" w:ascii="宋体" w:hAnsi="宋体" w:eastAsia="宋体" w:cs="宋体"/>
                <w:bCs/>
                <w:sz w:val="24"/>
                <w:szCs w:val="24"/>
                <w:highlight w:val="none"/>
                <w:lang w:val="en-US" w:eastAsia="zh-CN" w:bidi="ar"/>
              </w:rPr>
              <w:t xml:space="preserve">1</w:t>
            </w:r>
            <w:r>
              <w:rPr>
                <w:rFonts w:hint="eastAsia" w:ascii="宋体" w:hAnsi="宋体" w:eastAsia="宋体" w:cs="宋体"/>
                <w:bCs/>
                <w:sz w:val="24"/>
                <w:szCs w:val="24"/>
                <w:highlight w:val="none"/>
                <w:lang w:bidi="ar"/>
              </w:rPr>
              <w:t xml:space="preserve">台、写码器2台、分控制器</w:t>
            </w:r>
            <w:r>
              <w:rPr>
                <w:rFonts w:hint="eastAsia" w:ascii="宋体" w:hAnsi="宋体" w:eastAsia="宋体" w:cs="宋体"/>
                <w:bCs/>
                <w:sz w:val="24"/>
                <w:szCs w:val="24"/>
                <w:highlight w:val="none"/>
                <w:lang w:val="en-US" w:eastAsia="zh-CN" w:bidi="ar"/>
              </w:rPr>
              <w:t xml:space="preserve">389</w:t>
            </w:r>
            <w:r>
              <w:rPr>
                <w:rFonts w:hint="eastAsia" w:ascii="宋体" w:hAnsi="宋体" w:eastAsia="宋体" w:cs="宋体"/>
                <w:bCs/>
                <w:sz w:val="24"/>
                <w:szCs w:val="24"/>
                <w:highlight w:val="none"/>
                <w:lang w:bidi="ar"/>
              </w:rPr>
              <w:t xml:space="preserve">台、信号连接器3</w:t>
            </w:r>
            <w:r>
              <w:rPr>
                <w:rFonts w:hint="eastAsia" w:ascii="宋体" w:hAnsi="宋体" w:eastAsia="宋体" w:cs="宋体"/>
                <w:bCs/>
                <w:sz w:val="24"/>
                <w:szCs w:val="24"/>
                <w:highlight w:val="none"/>
                <w:lang w:val="en-US" w:eastAsia="zh-CN" w:bidi="ar"/>
              </w:rPr>
              <w:t xml:space="preserve">608</w:t>
            </w:r>
            <w:r>
              <w:rPr>
                <w:rFonts w:hint="eastAsia" w:ascii="宋体" w:hAnsi="宋体" w:eastAsia="宋体" w:cs="宋体"/>
                <w:bCs/>
                <w:sz w:val="24"/>
                <w:szCs w:val="24"/>
                <w:highlight w:val="none"/>
                <w:lang w:bidi="ar"/>
              </w:rPr>
              <w:t xml:space="preserve">台及其他相关配套。投标人自行查勘现场，须保证节点端软硬件正常稳定运行</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val="en-US" w:eastAsia="zh-CN" w:bidi="ar"/>
              </w:rPr>
              <w:t xml:space="preserve">媒体屏楼宇在线率100%</w:t>
            </w:r>
            <w:r>
              <w:rPr>
                <w:rFonts w:hint="eastAsia" w:ascii="宋体" w:hAnsi="宋体" w:eastAsia="宋体" w:cs="宋体"/>
                <w:bCs/>
                <w:sz w:val="24"/>
                <w:szCs w:val="24"/>
                <w:highlight w:val="none"/>
                <w:lang w:bidi="ar"/>
              </w:rPr>
              <w:t xml:space="preserve">。</w:t>
            </w:r>
            <w:r>
              <w:rPr>
                <w:rFonts w:hint="eastAsia" w:ascii="宋体" w:hAnsi="宋体" w:eastAsia="宋体" w:cs="宋体"/>
                <w:bCs/>
                <w:sz w:val="24"/>
                <w:szCs w:val="24"/>
                <w:highlight w:val="none"/>
                <w:lang w:val="en-US" w:eastAsia="zh-CN" w:bidi="ar"/>
              </w:rPr>
              <w:t xml:space="preserve">部分稳定性差、故障频繁的弱电控制设备更换。</w:t>
            </w:r>
            <w:r>
              <w:rPr>
                <w:rFonts w:hint="eastAsia" w:ascii="宋体" w:hAnsi="宋体" w:eastAsia="宋体" w:cs="宋体"/>
                <w:b w:val="0"/>
                <w:bCs/>
                <w:sz w:val="24"/>
                <w:szCs w:val="24"/>
                <w:highlight w:val="none"/>
                <w:lang w:bidi="ar"/>
              </w:rPr>
              <w:t xml:space="preserve">媒体屏显示宣传标语和动画效果的制作、更新与维护工作。</w:t>
            </w:r>
            <w:r>
              <w:rPr>
                <w:rFonts w:hint="eastAsia" w:ascii="宋体" w:hAnsi="宋体" w:eastAsia="宋体" w:cs="宋体"/>
                <w:bCs/>
                <w:sz w:val="24"/>
                <w:szCs w:val="24"/>
                <w:highlight w:val="none"/>
                <w:lang w:val="en-US" w:eastAsia="zh-CN" w:bidi="ar"/>
              </w:rPr>
              <w:t xml:space="preserve">如采购人综合认定需更换故障设备，应无条件进行整改。</w:t>
            </w:r>
            <w:r>
              <w:rPr>
                <w:rFonts w:hint="eastAsia" w:ascii="宋体" w:hAnsi="宋体" w:eastAsia="宋体" w:cs="宋体"/>
                <w:bCs/>
                <w:sz w:val="24"/>
                <w:szCs w:val="24"/>
                <w:highlight w:val="none"/>
                <w:lang w:val="en-US" w:eastAsia="zh-CN" w:bidi="ar"/>
              </w:rPr>
            </w:r>
            <w:r/>
          </w:p>
          <w:p>
            <w:pPr>
              <w:pStyle w:val="1208"/>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②双色温控制楼宇节点端维保</w:t>
            </w:r>
            <w:r>
              <w:rPr>
                <w:rFonts w:hint="eastAsia" w:ascii="宋体" w:hAnsi="宋体" w:eastAsia="宋体" w:cs="宋体"/>
                <w:bCs/>
                <w:sz w:val="24"/>
                <w:szCs w:val="24"/>
                <w:highlight w:val="none"/>
                <w:lang w:val="en-US" w:eastAsia="zh-CN" w:bidi="ar"/>
              </w:rPr>
            </w:r>
            <w:r/>
          </w:p>
          <w:p>
            <w:pPr>
              <w:pStyle w:val="1208"/>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双色温楼宇350幢，涉及主控器355台、防雨箱355台、分控制器697台、信号连接器6280台及其他相关配套。投标人自行查勘现场，须保证节点端软硬件正常稳定运行，双色温楼宇在线率≥95%。部分稳定性差、故障频繁的弱电控制设备更换。如采购人综合认定需更换故障设备，应无条件进行整改。</w:t>
            </w:r>
            <w:r>
              <w:rPr>
                <w:rFonts w:hint="eastAsia" w:ascii="宋体" w:hAnsi="宋体" w:eastAsia="宋体" w:cs="宋体"/>
                <w:bCs/>
                <w:sz w:val="24"/>
                <w:szCs w:val="24"/>
                <w:highlight w:val="none"/>
                <w:lang w:val="en-US" w:eastAsia="zh-CN" w:bidi="ar"/>
              </w:rPr>
            </w:r>
            <w:r/>
          </w:p>
          <w:p>
            <w:pPr>
              <w:pStyle w:val="1208"/>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软硬件满足兼容性要求与做法：</w:t>
            </w:r>
            <w:r>
              <w:rPr>
                <w:rFonts w:hint="eastAsia" w:ascii="宋体" w:hAnsi="宋体" w:eastAsia="宋体" w:cs="宋体"/>
                <w:bCs/>
                <w:sz w:val="24"/>
                <w:szCs w:val="24"/>
                <w:highlight w:val="none"/>
                <w:lang w:val="en-US" w:eastAsia="zh-CN"/>
              </w:rPr>
            </w:r>
            <w:r/>
          </w:p>
          <w:p>
            <w:pPr>
              <w:pStyle w:val="1208"/>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所有软硬件满足兼容性要求，维修替换件使用原规格，控制设备兼容DMX512协议并受控，不存在互联互通障碍，软件及平台对接正常并免费对接</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rPr>
              <w:t xml:space="preserve">日常维保</w:t>
            </w:r>
            <w:r>
              <w:rPr>
                <w:rFonts w:hint="eastAsia" w:ascii="宋体" w:hAnsi="宋体" w:eastAsia="宋体" w:cs="宋体"/>
                <w:bCs/>
                <w:sz w:val="24"/>
                <w:szCs w:val="24"/>
                <w:highlight w:val="none"/>
                <w:lang w:eastAsia="zh-CN"/>
              </w:rPr>
              <w:t xml:space="preserve">工作</w:t>
            </w:r>
            <w:r>
              <w:rPr>
                <w:rFonts w:hint="eastAsia" w:ascii="宋体" w:hAnsi="宋体" w:eastAsia="宋体" w:cs="宋体"/>
                <w:bCs/>
                <w:sz w:val="24"/>
                <w:szCs w:val="24"/>
                <w:highlight w:val="none"/>
                <w:lang w:val="en-US" w:eastAsia="zh-CN"/>
              </w:rPr>
              <w:t xml:space="preserve">计划（含团队人员安排、巡检周期等）和</w:t>
            </w:r>
            <w:r>
              <w:rPr>
                <w:rFonts w:hint="eastAsia" w:ascii="宋体" w:hAnsi="宋体" w:eastAsia="宋体" w:cs="宋体"/>
                <w:bCs/>
                <w:sz w:val="24"/>
                <w:szCs w:val="24"/>
                <w:highlight w:val="none"/>
                <w:lang w:eastAsia="zh-CN"/>
              </w:rPr>
              <w:t xml:space="preserve">流程。</w:t>
            </w:r>
            <w:r>
              <w:rPr>
                <w:rFonts w:hint="eastAsia" w:ascii="宋体" w:hAnsi="宋体" w:eastAsia="宋体" w:cs="宋体"/>
                <w:bCs/>
                <w:sz w:val="24"/>
                <w:szCs w:val="24"/>
                <w:highlight w:val="none"/>
                <w:lang w:eastAsia="zh-CN"/>
              </w:rPr>
            </w:r>
            <w:r/>
          </w:p>
          <w:p>
            <w:pPr>
              <w:pStyle w:val="1208"/>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根据采购人要求，</w:t>
            </w:r>
            <w:r>
              <w:rPr>
                <w:rFonts w:hint="eastAsia" w:ascii="宋体" w:hAnsi="宋体" w:cs="宋体"/>
                <w:bCs/>
                <w:sz w:val="24"/>
                <w:szCs w:val="24"/>
                <w:highlight w:val="none"/>
              </w:rPr>
              <w:t xml:space="preserve">每周汇报一次维保情况，具体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bCs/>
                <w:sz w:val="24"/>
                <w:szCs w:val="24"/>
                <w:highlight w:val="none"/>
              </w:rPr>
            </w:r>
            <w:r/>
          </w:p>
          <w:p>
            <w:pPr>
              <w:pStyle w:val="1208"/>
              <w:ind w:firstLine="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③制定详细的日常维保操作流程。</w:t>
            </w:r>
            <w:r>
              <w:rPr>
                <w:rFonts w:hint="eastAsia" w:ascii="宋体" w:hAnsi="宋体" w:eastAsia="宋体" w:cs="宋体"/>
                <w:bCs/>
                <w:sz w:val="24"/>
                <w:szCs w:val="24"/>
                <w:highlight w:val="none"/>
                <w:lang w:eastAsia="zh-CN"/>
              </w:rPr>
            </w:r>
            <w:r/>
          </w:p>
          <w:p>
            <w:pPr>
              <w:pStyle w:val="1208"/>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rPr>
              <w:t xml:space="preserve">日常维保质量、安全、人员管理等相关制度。</w:t>
            </w:r>
            <w:r>
              <w:rPr>
                <w:rFonts w:hint="eastAsia" w:ascii="宋体" w:hAnsi="宋体" w:eastAsia="宋体" w:cs="宋体"/>
                <w:bCs/>
                <w:sz w:val="24"/>
                <w:szCs w:val="24"/>
                <w:highlight w:val="none"/>
                <w:lang w:val="en-US" w:eastAsia="zh-CN"/>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建立设备材料管理和材料设备的供应制度。准备充足的维修材料以应对日常维修及突发事件的需要，采购的材料及设备必须符合国家质量标准，并不得低于原有标准。</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建立安全生产主体责任制度。安全生产管理制度包括：安全生产责任制、安全生产检查制度、安全操作规程、安全行车规定、安全生产教育培训制度、事故隐患内部报告和奖励制度等。</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rPr>
              <w:t xml:space="preserve">仓库及备品备件。</w:t>
            </w:r>
            <w:r>
              <w:rPr>
                <w:rFonts w:hint="eastAsia" w:ascii="宋体" w:hAnsi="宋体" w:eastAsia="宋体" w:cs="宋体"/>
                <w:bCs/>
                <w:sz w:val="24"/>
                <w:szCs w:val="24"/>
                <w:highlight w:val="none"/>
                <w:lang w:val="en-US" w:eastAsia="zh-CN"/>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成立项目小组，</w:t>
            </w:r>
            <w:r>
              <w:rPr>
                <w:rFonts w:hint="eastAsia" w:ascii="宋体" w:hAnsi="宋体" w:eastAsia="宋体" w:cs="宋体"/>
                <w:bCs/>
                <w:sz w:val="24"/>
                <w:szCs w:val="24"/>
                <w:highlight w:val="none"/>
                <w:lang w:val="en-US" w:eastAsia="zh-CN"/>
              </w:rPr>
              <w:t xml:space="preserve">统筹本项目运维管理工作。</w:t>
            </w:r>
            <w:r>
              <w:rPr>
                <w:rFonts w:hint="eastAsia" w:ascii="宋体" w:hAnsi="宋体" w:eastAsia="宋体" w:cs="宋体"/>
                <w:bCs/>
                <w:sz w:val="24"/>
                <w:szCs w:val="24"/>
                <w:highlight w:val="none"/>
              </w:rPr>
              <w:t xml:space="preserve">设置办公区、值班区、车辆停放区、器材堆放区、备件及替换件仓库、拆除件存放仓库等区域。</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办公区：配置满足项目管理人员日常办公所需办公桌椅、文件档案柜、通讯设备；</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值班区：设置不少于2个固定值班工位，具备休息、应急联络条件，满足全天候应急值守需求；</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车辆停放区：预留可容纳不少于3台运维作业车辆的专属停放场地，场地平整、进出通行顺畅；</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器材堆放区：分区收纳检修工具、线缆、辅材、安全防护用具，做到分类摆放、台账清晰；</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⑤备件及替换件</w:t>
            </w:r>
            <w:r>
              <w:rPr>
                <w:rFonts w:hint="eastAsia" w:ascii="宋体" w:hAnsi="宋体" w:eastAsia="宋体" w:cs="宋体"/>
                <w:bCs/>
                <w:sz w:val="24"/>
                <w:szCs w:val="24"/>
                <w:highlight w:val="none"/>
              </w:rPr>
              <w:t xml:space="preserve">仓库：设立备件仓储空间，根据项目亮化控制系统、配电箱、控制器、灯具等设备型号储备足量常用备品备件，建立出入库管理制度，备件库存可满足日常抢修替换需求；</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⑥</w:t>
            </w:r>
            <w:r>
              <w:rPr>
                <w:rFonts w:hint="eastAsia" w:ascii="宋体" w:hAnsi="宋体" w:eastAsia="宋体" w:cs="宋体"/>
                <w:bCs/>
                <w:sz w:val="24"/>
                <w:szCs w:val="24"/>
                <w:highlight w:val="none"/>
              </w:rPr>
              <w:t xml:space="preserve">拆除件存放仓库：对工程拆除、更换下来的老旧设备、报废件分区集中存放，做到分类归集，按采购人要求统一处置。</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所有功能区域布局合理，落实防火、防雨、防尘、防盗措施，建立区域管理制度。</w:t>
            </w:r>
            <w:r>
              <w:rPr>
                <w:rFonts w:hint="eastAsia"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突发事件应急预案。</w:t>
            </w:r>
            <w:r>
              <w:rPr>
                <w:rFonts w:hint="eastAsia"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制定极端天气、各类突发事件的应急预案，包含应急响应机制、处置</w:t>
            </w:r>
            <w:r>
              <w:rPr>
                <w:rFonts w:hint="eastAsia" w:ascii="宋体" w:hAnsi="宋体" w:cs="宋体"/>
                <w:bCs/>
                <w:sz w:val="24"/>
                <w:szCs w:val="24"/>
                <w:highlight w:val="none"/>
              </w:rPr>
              <w:t xml:space="preserve">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spacing w:line="440" w:lineRule="exact"/>
              <w:rPr>
                <w:rFonts w:ascii="宋体" w:hAnsi="宋体" w:cs="宋体"/>
                <w:bCs/>
                <w:sz w:val="24"/>
                <w:szCs w:val="24"/>
                <w:highlight w:val="none"/>
                <w:lang w:val="en-US"/>
              </w:rPr>
            </w:pPr>
            <w:r>
              <w:rPr>
                <w:rFonts w:hint="eastAsia" w:ascii="宋体" w:hAnsi="宋体" w:cs="宋体"/>
                <w:bCs/>
                <w:sz w:val="24"/>
                <w:szCs w:val="24"/>
                <w:highlight w:val="none"/>
              </w:rPr>
              <w:t xml:space="preserve">应急终止后的善后、恢复重建等的措施方案</w:t>
            </w:r>
            <w:r>
              <w:rPr>
                <w:rFonts w:hint="eastAsia" w:ascii="宋体" w:hAnsi="宋体" w:cs="宋体"/>
                <w:bCs/>
                <w:sz w:val="24"/>
                <w:szCs w:val="24"/>
                <w:highlight w:val="none"/>
                <w:lang w:val="en-US" w:eastAsia="zh-CN"/>
              </w:rPr>
              <w:t xml:space="preserve">等。</w:t>
            </w:r>
            <w:r>
              <w:rPr>
                <w:rFonts w:ascii="宋体" w:hAnsi="宋体" w:cs="宋体"/>
                <w:bCs/>
                <w:sz w:val="24"/>
                <w:szCs w:val="24"/>
                <w:highlight w:val="none"/>
                <w:lang w:val="en-US"/>
              </w:rPr>
            </w:r>
            <w:r/>
          </w:p>
          <w:p>
            <w:pPr>
              <w:pStyle w:val="1208"/>
              <w:spacing w:line="440" w:lineRule="exact"/>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eastAsia="zh-CN"/>
              </w:rPr>
            </w:pP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亮化设施维保实施</w:t>
            </w:r>
            <w:r>
              <w:rPr>
                <w:rFonts w:hint="eastAsia" w:ascii="宋体" w:hAnsi="宋体" w:eastAsia="宋体" w:cs="宋体"/>
                <w:b/>
                <w:bCs w:val="0"/>
                <w:sz w:val="24"/>
                <w:szCs w:val="24"/>
                <w:highlight w:val="none"/>
                <w:lang w:val="en-US" w:eastAsia="zh-CN"/>
              </w:rPr>
              <w:t xml:space="preserve">方案，至少包含：</w:t>
            </w:r>
            <w:r>
              <w:rPr>
                <w:rFonts w:hint="eastAsia" w:ascii="宋体" w:hAnsi="宋体" w:eastAsia="宋体" w:cs="宋体"/>
                <w:bCs/>
                <w:sz w:val="24"/>
                <w:szCs w:val="24"/>
                <w:highlight w:val="none"/>
                <w:lang w:eastAsia="zh-CN"/>
              </w:rPr>
            </w:r>
            <w:r/>
          </w:p>
          <w:p>
            <w:pPr>
              <w:pStyle w:val="1208"/>
              <w:spacing w:line="440" w:lineRule="exac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（1）亮化设施维保内容。</w:t>
            </w:r>
            <w:r>
              <w:rPr>
                <w:rFonts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涉及市直管109幢楼宇亮化设施维保，涉及1</w:t>
            </w:r>
            <w:r>
              <w:rPr>
                <w:rFonts w:hint="eastAsia" w:ascii="宋体" w:hAnsi="宋体" w:eastAsia="宋体" w:cs="宋体"/>
                <w:bCs/>
                <w:sz w:val="24"/>
                <w:szCs w:val="24"/>
                <w:highlight w:val="none"/>
                <w:lang w:val="en-US" w:eastAsia="zh-CN" w:bidi="ar"/>
              </w:rPr>
              <w:t xml:space="preserve">3764</w:t>
            </w:r>
            <w:r>
              <w:rPr>
                <w:rFonts w:hint="eastAsia" w:ascii="宋体" w:hAnsi="宋体" w:eastAsia="宋体" w:cs="宋体"/>
                <w:bCs/>
                <w:sz w:val="24"/>
                <w:szCs w:val="24"/>
                <w:highlight w:val="none"/>
                <w:lang w:bidi="ar"/>
              </w:rPr>
              <w:t xml:space="preserve">套LED洗墙灯、83</w:t>
            </w:r>
            <w:r>
              <w:rPr>
                <w:rFonts w:hint="eastAsia" w:ascii="宋体" w:hAnsi="宋体" w:eastAsia="宋体" w:cs="宋体"/>
                <w:bCs/>
                <w:sz w:val="24"/>
                <w:szCs w:val="24"/>
                <w:highlight w:val="none"/>
                <w:lang w:val="en-US" w:eastAsia="zh-CN" w:bidi="ar"/>
              </w:rPr>
              <w:t xml:space="preserve">92</w:t>
            </w:r>
            <w:r>
              <w:rPr>
                <w:rFonts w:hint="eastAsia" w:ascii="宋体" w:hAnsi="宋体" w:eastAsia="宋体" w:cs="宋体"/>
                <w:bCs/>
                <w:sz w:val="24"/>
                <w:szCs w:val="24"/>
                <w:highlight w:val="none"/>
                <w:lang w:bidi="ar"/>
              </w:rPr>
              <w:t xml:space="preserve">套LED点光源、1</w:t>
            </w:r>
            <w:r>
              <w:rPr>
                <w:rFonts w:hint="eastAsia" w:ascii="宋体" w:hAnsi="宋体" w:eastAsia="宋体" w:cs="宋体"/>
                <w:bCs/>
                <w:sz w:val="24"/>
                <w:szCs w:val="24"/>
                <w:highlight w:val="none"/>
                <w:lang w:val="en-US" w:eastAsia="zh-CN" w:bidi="ar"/>
              </w:rPr>
              <w:t xml:space="preserve">498</w:t>
            </w:r>
            <w:r>
              <w:rPr>
                <w:rFonts w:hint="eastAsia" w:ascii="宋体" w:hAnsi="宋体" w:eastAsia="宋体" w:cs="宋体"/>
                <w:bCs/>
                <w:sz w:val="24"/>
                <w:szCs w:val="24"/>
                <w:highlight w:val="none"/>
                <w:lang w:bidi="ar"/>
              </w:rPr>
              <w:t xml:space="preserve">套LED投光灯、1</w:t>
            </w:r>
            <w:r>
              <w:rPr>
                <w:rFonts w:hint="eastAsia" w:ascii="宋体" w:hAnsi="宋体" w:eastAsia="宋体" w:cs="宋体"/>
                <w:bCs/>
                <w:sz w:val="24"/>
                <w:szCs w:val="24"/>
                <w:highlight w:val="none"/>
                <w:lang w:val="en-US" w:eastAsia="zh-CN" w:bidi="ar"/>
              </w:rPr>
              <w:t xml:space="preserve">4911</w:t>
            </w:r>
            <w:r>
              <w:rPr>
                <w:rFonts w:hint="eastAsia" w:ascii="宋体" w:hAnsi="宋体" w:eastAsia="宋体" w:cs="宋体"/>
                <w:bCs/>
                <w:sz w:val="24"/>
                <w:szCs w:val="24"/>
                <w:highlight w:val="none"/>
                <w:lang w:bidi="ar"/>
              </w:rPr>
              <w:t xml:space="preserve">套LED线条灯、12套LED双向壁灯、172套LED四向壁灯</w:t>
            </w:r>
            <w:r>
              <w:rPr>
                <w:rFonts w:hint="eastAsia" w:ascii="宋体" w:hAnsi="宋体" w:eastAsia="宋体" w:cs="宋体"/>
                <w:bCs/>
                <w:sz w:val="24"/>
                <w:szCs w:val="24"/>
                <w:highlight w:val="none"/>
                <w:lang w:eastAsia="zh-CN" w:bidi="ar"/>
              </w:rPr>
              <w:t xml:space="preserve">、480套LED射灯、75套LED草坪灯、99套景观灯</w:t>
            </w:r>
            <w:r>
              <w:rPr>
                <w:rFonts w:hint="eastAsia" w:ascii="宋体" w:hAnsi="宋体" w:eastAsia="宋体" w:cs="宋体"/>
                <w:bCs/>
                <w:sz w:val="24"/>
                <w:szCs w:val="24"/>
                <w:highlight w:val="none"/>
                <w:lang w:bidi="ar"/>
              </w:rPr>
              <w:t xml:space="preserve">等亮化灯具及配套设施。</w:t>
            </w:r>
            <w:r>
              <w:rPr>
                <w:rFonts w:hint="eastAsia" w:ascii="宋体" w:hAnsi="宋体" w:eastAsia="宋体" w:cs="宋体"/>
                <w:bCs/>
                <w:sz w:val="24"/>
                <w:szCs w:val="24"/>
                <w:highlight w:val="none"/>
                <w:lang w:bidi="ar"/>
              </w:rPr>
            </w:r>
            <w:r/>
          </w:p>
          <w:p>
            <w:pPr>
              <w:pStyle w:val="1208"/>
              <w:spacing w:line="440" w:lineRule="exact"/>
              <w:rPr>
                <w:rFonts w:hint="eastAsia" w:ascii="宋体" w:hAnsi="宋体" w:eastAsia="宋体" w:cs="宋体"/>
                <w:bCs/>
                <w:sz w:val="24"/>
                <w:szCs w:val="24"/>
                <w:highlight w:val="none"/>
                <w:lang w:eastAsia="zh-CN" w:bidi="ar"/>
              </w:rPr>
            </w:pPr>
            <w:r>
              <w:rPr>
                <w:rFonts w:hint="eastAsia" w:ascii="宋体" w:hAnsi="宋体" w:eastAsia="宋体" w:cs="宋体"/>
                <w:bCs/>
                <w:sz w:val="24"/>
                <w:szCs w:val="24"/>
                <w:highlight w:val="none"/>
                <w:lang w:bidi="ar"/>
              </w:rPr>
              <w:t xml:space="preserve">投标人自行查勘现场，须保证亮化设施按原规格（含技术参数、状态能力、与强电控制节点端兼容受控等）进行维保，保证整体亮化效果良好，如</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bidi="ar"/>
              </w:rPr>
              <w:t xml:space="preserve">巡查发现未能达到亮灯要求须无条件进行整改。</w:t>
            </w:r>
            <w:r>
              <w:rPr>
                <w:rFonts w:hint="eastAsia" w:ascii="宋体" w:hAnsi="宋体" w:eastAsia="宋体" w:cs="宋体"/>
                <w:bCs/>
                <w:sz w:val="24"/>
                <w:szCs w:val="24"/>
                <w:highlight w:val="none"/>
                <w:lang w:eastAsia="zh-CN" w:bidi="ar"/>
              </w:rPr>
            </w:r>
            <w:r/>
          </w:p>
          <w:p>
            <w:pPr>
              <w:pStyle w:val="1208"/>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日常维保</w:t>
            </w:r>
            <w:r>
              <w:rPr>
                <w:rFonts w:hint="eastAsia" w:ascii="宋体" w:hAnsi="宋体" w:eastAsia="宋体" w:cs="宋体"/>
                <w:bCs/>
                <w:sz w:val="24"/>
                <w:szCs w:val="24"/>
                <w:highlight w:val="none"/>
                <w:lang w:eastAsia="zh-CN"/>
              </w:rPr>
              <w:t xml:space="preserve">工作</w:t>
            </w:r>
            <w:r>
              <w:rPr>
                <w:rFonts w:hint="eastAsia" w:ascii="宋体" w:hAnsi="宋体" w:eastAsia="宋体" w:cs="宋体"/>
                <w:bCs/>
                <w:sz w:val="24"/>
                <w:szCs w:val="24"/>
                <w:highlight w:val="none"/>
                <w:lang w:val="en-US" w:eastAsia="zh-CN"/>
              </w:rPr>
              <w:t xml:space="preserve">计划（含团队人员安排、巡检周期等）和</w:t>
            </w:r>
            <w:r>
              <w:rPr>
                <w:rFonts w:hint="eastAsia" w:ascii="宋体" w:hAnsi="宋体" w:eastAsia="宋体" w:cs="宋体"/>
                <w:bCs/>
                <w:sz w:val="24"/>
                <w:szCs w:val="24"/>
                <w:highlight w:val="none"/>
                <w:lang w:eastAsia="zh-CN"/>
              </w:rPr>
              <w:t xml:space="preserve">流程。</w:t>
            </w:r>
            <w:r>
              <w:rPr>
                <w:rFonts w:hint="eastAsia" w:ascii="宋体" w:hAnsi="宋体" w:eastAsia="宋体" w:cs="宋体"/>
                <w:bCs/>
                <w:sz w:val="24"/>
                <w:szCs w:val="24"/>
                <w:highlight w:val="none"/>
                <w:lang w:eastAsia="zh-CN"/>
              </w:rPr>
            </w:r>
            <w:r/>
          </w:p>
          <w:p>
            <w:pPr>
              <w:pStyle w:val="1208"/>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根据采购人要求，</w:t>
            </w:r>
            <w:r>
              <w:rPr>
                <w:rFonts w:hint="eastAsia" w:ascii="宋体" w:hAnsi="宋体" w:cs="宋体"/>
                <w:bCs/>
                <w:sz w:val="24"/>
                <w:szCs w:val="24"/>
                <w:highlight w:val="none"/>
              </w:rPr>
              <w:t xml:space="preserve">每周汇报一次维保情况，具体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1208"/>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bCs/>
                <w:sz w:val="24"/>
                <w:szCs w:val="24"/>
                <w:highlight w:val="none"/>
              </w:rPr>
            </w:r>
            <w:r/>
          </w:p>
          <w:p>
            <w:pPr>
              <w:pStyle w:val="1208"/>
              <w:ind w:firstLine="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③制定详细的日常维保操作流程。</w:t>
            </w:r>
            <w:r>
              <w:rPr>
                <w:rFonts w:hint="eastAsia" w:ascii="宋体" w:hAnsi="宋体" w:eastAsia="宋体" w:cs="宋体"/>
                <w:bCs/>
                <w:sz w:val="24"/>
                <w:szCs w:val="24"/>
                <w:highlight w:val="none"/>
                <w:lang w:eastAsia="zh-CN"/>
              </w:rPr>
            </w:r>
            <w:r/>
          </w:p>
          <w:p>
            <w:pPr>
              <w:pStyle w:val="1208"/>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rPr>
              <w:t xml:space="preserve">日常维保质量、安全、人员管理等相关制度。</w:t>
            </w:r>
            <w:r>
              <w:rPr>
                <w:rFonts w:hint="eastAsia" w:ascii="宋体" w:hAnsi="宋体" w:eastAsia="宋体" w:cs="宋体"/>
                <w:bCs/>
                <w:sz w:val="24"/>
                <w:szCs w:val="24"/>
                <w:highlight w:val="none"/>
                <w:lang w:val="en-US" w:eastAsia="zh-CN"/>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建立设备材料管理和材料设备的供应制度。准备充足的维修材料以应对日常维修及突发事件的需要，采购的材料及设备必须符合国家质量标准，并不得低于原有标准。</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建立安全生产主体责任制度。安全生产管理制度包括：安全生产责任制、安全生产检查制度、安全操作规程、安全行车规定、安全生产教育培训制度、事故隐患内部报告和奖励制度等。</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rPr>
              <w:t xml:space="preserve">仓库及备品备件。</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成立项目小组，统筹本项目运维管理工作。设置办公区、值班区、车辆停放区、器材堆放区、备件及替换件仓库、拆除件存放仓库等区域。</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①办公区：配置满足项目管理人员日常办公所需办公桌椅、文件档案柜、通讯设备；</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②值班区：设置不少于2个固定值班工位，具备休息、应急联络条件，满足全天候应急值守需求；</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③车辆停放区：预留可容纳不少于3台运维作业车辆的专属停放场地，场地平整、进出通行顺畅；</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④器材堆放区：分区收纳检修工具、线缆、辅材、安全防护用具，做到分类摆放、台账清晰；</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⑤备件及替换件仓库：设立备件仓储空间，根据项目亮化控制系统、配电箱、控制器、灯具等设备型号储备足量常用备品备件，建立出入库管理制度，备件库存可满足日常抢修替换需求；</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⑥拆除件存放仓库：对工程拆除、更换下来的老旧设备、报废件分区集中存放，做到分类归集，按采购人要求统一处置。</w:t>
            </w:r>
            <w:r>
              <w:rPr>
                <w:rFonts w:hint="eastAsia" w:ascii="宋体" w:hAnsi="宋体" w:eastAsia="宋体" w:cs="宋体"/>
                <w:bCs/>
                <w:sz w:val="24"/>
                <w:szCs w:val="24"/>
                <w:highlight w:val="none"/>
              </w:rPr>
            </w:r>
            <w:r/>
          </w:p>
          <w:p>
            <w:pPr>
              <w:pStyle w:val="1208"/>
              <w:numPr>
                <w:ilvl w:val="0"/>
                <w:numId w:val="0"/>
              </w:numPr>
              <w:jc w:val="left"/>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所有功能区域布局合理，落实防火、防雨、防尘、防盗措施，建立区域管理制度。</w:t>
            </w:r>
            <w:r>
              <w:rPr>
                <w:rFonts w:hint="eastAsia"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突发事件应急预案。</w:t>
            </w:r>
            <w:r>
              <w:rPr>
                <w:rFonts w:hint="eastAsia" w:ascii="宋体" w:hAnsi="宋体" w:eastAsia="宋体" w:cs="宋体"/>
                <w:bCs/>
                <w:sz w:val="24"/>
                <w:szCs w:val="24"/>
                <w:highlight w:val="none"/>
                <w:lang w:val="en-US" w:eastAsia="zh-CN"/>
              </w:rPr>
            </w:r>
            <w:r/>
          </w:p>
          <w:p>
            <w:pPr>
              <w:pStyle w:val="1208"/>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制定极端天气、各类突发事件的应急预案，包含应急响应机制、处置</w:t>
            </w:r>
            <w:r>
              <w:rPr>
                <w:rFonts w:hint="eastAsia" w:ascii="宋体" w:hAnsi="宋体" w:cs="宋体"/>
                <w:bCs/>
                <w:sz w:val="24"/>
                <w:szCs w:val="24"/>
                <w:highlight w:val="none"/>
              </w:rPr>
              <w:t xml:space="preserve">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spacing w:line="440" w:lineRule="exact"/>
              <w:rPr>
                <w:rFonts w:ascii="宋体" w:hAnsi="宋体" w:cs="宋体"/>
                <w:bCs/>
                <w:sz w:val="24"/>
                <w:szCs w:val="24"/>
                <w:highlight w:val="none"/>
                <w:lang w:val="en-US"/>
              </w:rPr>
            </w:pPr>
            <w:r>
              <w:rPr>
                <w:rFonts w:hint="eastAsia" w:ascii="宋体" w:hAnsi="宋体" w:cs="宋体"/>
                <w:bCs/>
                <w:sz w:val="24"/>
                <w:szCs w:val="24"/>
                <w:highlight w:val="none"/>
              </w:rPr>
              <w:t xml:space="preserve">应急终止后的善后、恢复重建等的措施方案</w:t>
            </w:r>
            <w:r>
              <w:rPr>
                <w:rFonts w:hint="eastAsia" w:ascii="宋体" w:hAnsi="宋体" w:cs="宋体"/>
                <w:bCs/>
                <w:sz w:val="24"/>
                <w:szCs w:val="24"/>
                <w:highlight w:val="none"/>
                <w:lang w:val="en-US" w:eastAsia="zh-CN"/>
              </w:rPr>
              <w:t xml:space="preserve">等。</w:t>
            </w:r>
            <w:r>
              <w:rPr>
                <w:rFonts w:ascii="宋体" w:hAnsi="宋体" w:cs="宋体"/>
                <w:bCs/>
                <w:sz w:val="24"/>
                <w:szCs w:val="24"/>
                <w:highlight w:val="none"/>
                <w:lang w:val="en-US"/>
              </w:rPr>
            </w:r>
            <w:r/>
          </w:p>
          <w:p>
            <w:pPr>
              <w:pStyle w:val="1208"/>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（6）维保亮化效果。</w:t>
            </w:r>
            <w:r>
              <w:rPr>
                <w:rFonts w:hint="eastAsia" w:ascii="宋体" w:hAnsi="宋体" w:eastAsia="宋体" w:cs="宋体"/>
                <w:bCs/>
                <w:sz w:val="24"/>
                <w:szCs w:val="24"/>
                <w:highlight w:val="none"/>
                <w:lang w:eastAsia="zh-CN"/>
              </w:rPr>
            </w:r>
            <w:r/>
          </w:p>
          <w:p>
            <w:pPr>
              <w:pStyle w:val="1208"/>
              <w:spacing w:line="440" w:lineRule="exact"/>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维保亮化效果需达到</w:t>
            </w:r>
            <w:r>
              <w:rPr>
                <w:rFonts w:hint="eastAsia" w:ascii="宋体" w:hAnsi="宋体" w:cs="宋体"/>
                <w:bCs/>
                <w:sz w:val="24"/>
                <w:szCs w:val="24"/>
                <w:highlight w:val="none"/>
              </w:rPr>
              <w:t xml:space="preserve">《盐城市市区亮化设施维护考核细则》</w:t>
            </w:r>
            <w:r>
              <w:rPr>
                <w:rFonts w:hint="eastAsia" w:ascii="宋体" w:hAnsi="宋体" w:cs="宋体"/>
                <w:bCs/>
                <w:sz w:val="24"/>
                <w:szCs w:val="24"/>
                <w:highlight w:val="none"/>
                <w:lang w:val="en-US" w:eastAsia="zh-CN"/>
              </w:rPr>
              <w:t xml:space="preserve">要求，</w:t>
            </w:r>
            <w:r>
              <w:rPr>
                <w:rFonts w:hint="eastAsia" w:ascii="宋体" w:hAnsi="宋体" w:cs="宋体"/>
                <w:bCs/>
                <w:sz w:val="24"/>
                <w:szCs w:val="24"/>
                <w:highlight w:val="none"/>
              </w:rPr>
              <w:t xml:space="preserve">设施完好率≥95%</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亮灯率≥9</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eastAsia="宋体" w:cs="宋体"/>
                <w:bCs/>
                <w:sz w:val="24"/>
                <w:szCs w:val="24"/>
                <w:highlight w:val="none"/>
                <w:lang w:eastAsia="zh-CN"/>
              </w:rPr>
            </w:pPr>
            <w:r>
              <w:rPr>
                <w:rFonts w:hint="eastAsia" w:ascii="宋体" w:hAnsi="宋体" w:eastAsia="宋体" w:cs="宋体"/>
                <w:b/>
                <w:bCs w:val="0"/>
                <w:sz w:val="24"/>
                <w:szCs w:val="24"/>
                <w:highlight w:val="none"/>
              </w:rPr>
              <w:t xml:space="preserve">强电控制系统升级</w:t>
            </w:r>
            <w:r>
              <w:rPr>
                <w:rFonts w:hint="eastAsia" w:ascii="宋体" w:hAnsi="宋体" w:eastAsia="宋体" w:cs="宋体"/>
                <w:b/>
                <w:bCs w:val="0"/>
                <w:sz w:val="24"/>
                <w:szCs w:val="24"/>
                <w:highlight w:val="none"/>
                <w:lang w:val="en-US" w:eastAsia="zh-CN"/>
              </w:rPr>
              <w:t xml:space="preserve">方案</w:t>
            </w:r>
            <w:r>
              <w:rPr>
                <w:rFonts w:hint="eastAsia" w:ascii="宋体" w:hAnsi="宋体" w:eastAsia="宋体" w:cs="宋体"/>
                <w:bCs/>
                <w:sz w:val="24"/>
                <w:szCs w:val="24"/>
                <w:highlight w:val="none"/>
                <w:lang w:eastAsia="zh-CN"/>
              </w:rPr>
            </w:r>
            <w:r/>
          </w:p>
        </w:tc>
        <w:tc>
          <w:tcPr>
            <w:tcW w:w="8078" w:type="dxa"/>
            <w:vAlign w:val="center"/>
            <w:textDirection w:val="lrTb"/>
            <w:noWrap w:val="false"/>
          </w:tcPr>
          <w:p>
            <w:pPr>
              <w:pStyle w:val="1290"/>
              <w:numPr>
                <w:ilvl w:val="0"/>
                <w:numId w:val="0"/>
              </w:numPr>
              <w:ind w:left="0" w:firstLine="0"/>
              <w:jc w:val="left"/>
              <w:spacing w:line="440" w:lineRule="exact"/>
              <w:rPr>
                <w:rFonts w:ascii="宋体" w:hAnsi="宋体" w:eastAsia="宋体" w:cs="宋体"/>
                <w:b/>
                <w:bCs w:val="0"/>
                <w:sz w:val="24"/>
                <w:szCs w:val="24"/>
                <w:highlight w:val="none"/>
                <w:lang w:val="en-US" w:eastAsia="zh-CN"/>
              </w:rPr>
              <w:outlineLvl w:val="9"/>
            </w:pPr>
            <w:r>
              <w:rPr>
                <w:rFonts w:hint="eastAsia" w:ascii="宋体" w:hAnsi="宋体" w:eastAsia="宋体" w:cs="宋体"/>
                <w:b/>
                <w:bCs w:val="0"/>
                <w:sz w:val="24"/>
                <w:szCs w:val="24"/>
                <w:highlight w:val="none"/>
                <w:lang w:val="en-US" w:eastAsia="zh-CN"/>
              </w:rPr>
              <w:t xml:space="preserve">强电控制系统升级方案，至少包含：</w:t>
            </w:r>
            <w:r>
              <w:rPr>
                <w:rFonts w:ascii="宋体" w:hAnsi="宋体" w:eastAsia="宋体" w:cs="宋体"/>
                <w:b/>
                <w:bCs w:val="0"/>
                <w:sz w:val="24"/>
                <w:szCs w:val="24"/>
                <w:highlight w:val="none"/>
                <w:lang w:val="en-US" w:eastAsia="zh-CN"/>
              </w:rPr>
            </w:r>
            <w:r/>
          </w:p>
          <w:p>
            <w:pPr>
              <w:pStyle w:val="1290"/>
              <w:numPr>
                <w:ilvl w:val="0"/>
                <w:numId w:val="0"/>
              </w:numPr>
              <w:ind w:left="0" w:firstLine="0"/>
              <w:jc w:val="left"/>
              <w:spacing w:line="440" w:lineRule="exact"/>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强电控制系统根据亮度自动化控制的理解和具体实施方案阐述。</w:t>
            </w:r>
            <w:r>
              <w:rPr>
                <w:rFonts w:hint="eastAsia" w:ascii="宋体" w:hAnsi="宋体" w:eastAsia="宋体" w:cs="宋体"/>
                <w:bCs/>
                <w:sz w:val="24"/>
                <w:szCs w:val="24"/>
                <w:highlight w:val="none"/>
                <w:lang w:val="en-US" w:eastAsia="zh-CN"/>
              </w:rPr>
            </w:r>
            <w:r/>
          </w:p>
          <w:p>
            <w:pPr>
              <w:pStyle w:val="1290"/>
              <w:numPr>
                <w:ilvl w:val="0"/>
                <w:numId w:val="0"/>
              </w:numPr>
              <w:ind w:left="0" w:firstLine="0"/>
              <w:jc w:val="left"/>
              <w:spacing w:line="440" w:lineRule="exact"/>
              <w:rPr>
                <w:rFonts w:hint="eastAsia" w:ascii="宋体" w:hAnsi="宋体" w:eastAsia="宋体" w:cs="宋体"/>
                <w:b w:val="0"/>
                <w:bCs/>
                <w:highlight w:val="none"/>
                <w:lang w:bidi="ar-SA"/>
              </w:rPr>
              <w:outlineLvl w:val="9"/>
            </w:pPr>
            <w:r>
              <w:rPr>
                <w:rFonts w:hint="eastAsia" w:ascii="宋体" w:hAnsi="宋体" w:eastAsia="宋体" w:cs="宋体"/>
                <w:b w:val="0"/>
                <w:bCs/>
                <w:highlight w:val="none"/>
                <w:lang w:bidi="ar-SA"/>
              </w:rPr>
              <w:t xml:space="preserve">增加光感应监测设备，</w:t>
            </w:r>
            <w:r>
              <w:rPr>
                <w:rFonts w:hint="eastAsia" w:ascii="宋体" w:hAnsi="宋体" w:eastAsia="宋体" w:cs="宋体"/>
                <w:bCs/>
                <w:sz w:val="24"/>
                <w:szCs w:val="24"/>
                <w:highlight w:val="none"/>
                <w:lang w:val="en-US" w:eastAsia="zh-CN" w:bidi="ar-SA"/>
              </w:rPr>
              <w:t xml:space="preserve">接入强电控制系统，</w:t>
            </w:r>
            <w:r>
              <w:rPr>
                <w:rFonts w:hint="eastAsia" w:ascii="宋体" w:hAnsi="宋体" w:eastAsia="宋体" w:cs="宋体"/>
                <w:b w:val="0"/>
                <w:bCs/>
                <w:highlight w:val="none"/>
                <w:lang w:bidi="ar-SA"/>
              </w:rPr>
              <w:t xml:space="preserve">引入自动化控制机制，</w:t>
            </w:r>
            <w:r>
              <w:rPr>
                <w:rFonts w:hint="eastAsia" w:ascii="宋体" w:hAnsi="宋体" w:eastAsia="宋体" w:cs="宋体"/>
                <w:bCs/>
                <w:sz w:val="24"/>
                <w:szCs w:val="24"/>
                <w:highlight w:val="none"/>
                <w:lang w:val="en-US" w:eastAsia="zh-CN" w:bidi="ar-SA"/>
              </w:rPr>
              <w:t xml:space="preserve">实现根据亮度值自动控制亮化设施开启等。</w:t>
            </w:r>
            <w:r>
              <w:rPr>
                <w:rFonts w:hint="eastAsia" w:ascii="宋体" w:hAnsi="宋体" w:eastAsia="宋体" w:cs="宋体"/>
                <w:b w:val="0"/>
                <w:bCs/>
                <w:highlight w:val="none"/>
                <w:lang w:bidi="ar-SA"/>
              </w:rPr>
            </w:r>
            <w:r/>
          </w:p>
          <w:p>
            <w:pPr>
              <w:pStyle w:val="1290"/>
              <w:numPr>
                <w:ilvl w:val="0"/>
                <w:numId w:val="0"/>
              </w:numPr>
              <w:jc w:val="left"/>
              <w:spacing w:line="440" w:lineRule="exact"/>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（2）强电控制系统数据统计功能的理解和具体实施方案阐述。</w:t>
            </w:r>
            <w:r>
              <w:rPr>
                <w:rFonts w:hint="eastAsia" w:ascii="宋体" w:hAnsi="宋体" w:eastAsia="宋体" w:cs="宋体"/>
                <w:bCs/>
                <w:sz w:val="24"/>
                <w:szCs w:val="24"/>
                <w:highlight w:val="none"/>
                <w:lang w:val="en-US" w:eastAsia="zh-CN"/>
              </w:rPr>
            </w:r>
            <w:r/>
          </w:p>
          <w:p>
            <w:pPr>
              <w:pStyle w:val="1290"/>
              <w:numPr>
                <w:ilvl w:val="0"/>
                <w:numId w:val="0"/>
              </w:numPr>
              <w:ind w:firstLine="0"/>
              <w:jc w:val="left"/>
              <w:spacing w:line="440" w:lineRule="exact"/>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 w:val="0"/>
                <w:bCs/>
                <w:highlight w:val="none"/>
                <w:lang w:bidi="ar-SA"/>
              </w:rPr>
              <w:t xml:space="preserve">系统增加在线率的周、月和年度统计功能</w:t>
            </w:r>
            <w:r>
              <w:rPr>
                <w:rFonts w:hint="eastAsia" w:ascii="宋体" w:hAnsi="宋体" w:eastAsia="宋体" w:cs="宋体"/>
                <w:b w:val="0"/>
                <w:bCs/>
                <w:highlight w:val="none"/>
                <w:lang w:eastAsia="zh-CN" w:bidi="ar-SA"/>
              </w:rPr>
              <w:t xml:space="preserve">。</w:t>
            </w:r>
            <w:r>
              <w:rPr>
                <w:rFonts w:hint="eastAsia" w:ascii="宋体" w:hAnsi="宋体" w:eastAsia="宋体" w:cs="宋体"/>
                <w:bCs/>
                <w:sz w:val="24"/>
                <w:szCs w:val="24"/>
                <w:highlight w:val="none"/>
                <w:lang w:val="en-US" w:eastAsia="zh-CN" w:bidi="ar-SA"/>
              </w:rPr>
              <w:t xml:space="preserve">在现有强电控制系统平台软件基础上，进行功能升级，增加根据亮度值自动控制强电设施开启功能和平台数据统计功能（如周、月在线率统计等）。项目集控中心软件升级及硬件更新自合同签订之日起30日内完成。</w:t>
            </w:r>
            <w:r>
              <w:rPr>
                <w:rFonts w:hint="eastAsia" w:ascii="宋体" w:hAnsi="宋体" w:eastAsia="宋体" w:cs="宋体"/>
                <w:bCs/>
                <w:sz w:val="24"/>
                <w:szCs w:val="24"/>
                <w:highlight w:val="none"/>
                <w:lang w:val="en-US" w:eastAsia="zh-CN" w:bidi="ar-SA"/>
              </w:rPr>
            </w:r>
            <w:r/>
          </w:p>
          <w:p>
            <w:pPr>
              <w:pStyle w:val="1290"/>
              <w:numPr>
                <w:ilvl w:val="0"/>
                <w:numId w:val="0"/>
              </w:numPr>
              <w:jc w:val="left"/>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bidi="ar-SA"/>
              </w:rPr>
              <w:t xml:space="preserve">（3）强电控制系统的可扩展性和第三方接入能力。</w:t>
            </w:r>
            <w:r>
              <w:rPr>
                <w:rFonts w:hint="eastAsia" w:ascii="宋体" w:hAnsi="宋体" w:eastAsia="宋体" w:cs="宋体"/>
                <w:bCs/>
                <w:highlight w:val="none"/>
                <w:lang w:bidi="ar-SA"/>
              </w:rPr>
              <w:t xml:space="preserve">考虑到本项目实施特点及可扩展性需要，集控中心软硬件系统须预留余量且具有不低于2000幢楼宇的强电控制节点端接入能力（包含或不限于带宽、硬件规格、软件平台、软件接口等）及第三方设备接入能力（包含或不限于光感应监测设备</w:t>
            </w:r>
            <w:r>
              <w:rPr>
                <w:rFonts w:hint="eastAsia" w:ascii="宋体" w:hAnsi="宋体" w:eastAsia="宋体" w:cs="宋体"/>
                <w:bCs/>
                <w:highlight w:val="none"/>
                <w:lang w:eastAsia="zh-CN" w:bidi="ar-SA"/>
              </w:rPr>
              <w:t xml:space="preserve">、</w:t>
            </w:r>
            <w:r>
              <w:rPr>
                <w:rFonts w:hint="eastAsia" w:ascii="宋体" w:hAnsi="宋体" w:eastAsia="宋体" w:cs="宋体"/>
                <w:bCs/>
                <w:highlight w:val="none"/>
                <w:lang w:bidi="ar-SA"/>
              </w:rPr>
              <w:t xml:space="preserve">温湿度传感器、水浸传感器等）</w:t>
            </w:r>
            <w:r>
              <w:rPr>
                <w:rFonts w:hint="eastAsia" w:ascii="宋体" w:hAnsi="宋体" w:eastAsia="宋体" w:cs="宋体"/>
                <w:bCs/>
                <w:highlight w:val="none"/>
                <w:lang w:eastAsia="zh-CN" w:bidi="ar-SA"/>
              </w:rPr>
              <w:t xml:space="preserve">。</w:t>
            </w:r>
            <w:r>
              <w:rPr>
                <w:rFonts w:hint="eastAsia" w:ascii="宋体" w:hAnsi="宋体" w:eastAsia="宋体" w:cs="宋体"/>
                <w:bCs/>
                <w:sz w:val="24"/>
                <w:szCs w:val="24"/>
                <w:highlight w:val="none"/>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rPr>
              <w:t xml:space="preserve">组网及网络安全</w:t>
            </w:r>
            <w:r>
              <w:rPr>
                <w:rFonts w:hint="eastAsia" w:ascii="宋体" w:hAnsi="宋体" w:eastAsia="宋体" w:cs="宋体"/>
                <w:b/>
                <w:bCs w:val="0"/>
                <w:sz w:val="24"/>
                <w:szCs w:val="24"/>
                <w:highlight w:val="none"/>
                <w:lang w:val="en-US" w:eastAsia="zh-CN"/>
              </w:rPr>
              <w:t xml:space="preserve">方案</w:t>
            </w:r>
            <w:r>
              <w:rPr>
                <w:rFonts w:hint="eastAsia" w:ascii="宋体" w:hAnsi="宋体" w:eastAsia="宋体" w:cs="宋体"/>
                <w:bCs/>
                <w:sz w:val="24"/>
                <w:szCs w:val="24"/>
                <w:highlight w:val="none"/>
                <w:lang w:val="en-US" w:eastAsia="zh-CN"/>
              </w:rPr>
            </w:r>
            <w:r/>
          </w:p>
        </w:tc>
        <w:tc>
          <w:tcPr>
            <w:tcW w:w="8078" w:type="dxa"/>
            <w:vAlign w:val="center"/>
            <w:textDirection w:val="lrTb"/>
            <w:noWrap w:val="false"/>
          </w:tcPr>
          <w:p>
            <w:pPr>
              <w:pStyle w:val="1208"/>
              <w:numPr>
                <w:ilvl w:val="0"/>
                <w:numId w:val="0"/>
              </w:numPr>
              <w:ind w:firstLine="0"/>
              <w:spacing w:line="440" w:lineRule="exact"/>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组网及网络安全方案，至少包含：</w:t>
            </w:r>
            <w:r>
              <w:rPr>
                <w:rFonts w:ascii="宋体" w:hAnsi="宋体" w:eastAsia="宋体" w:cs="宋体"/>
                <w:b/>
                <w:bCs w:val="0"/>
                <w:sz w:val="24"/>
                <w:szCs w:val="24"/>
                <w:highlight w:val="none"/>
                <w:lang w:val="en-US" w:eastAsia="zh-CN"/>
              </w:rPr>
            </w:r>
            <w:r/>
          </w:p>
          <w:p>
            <w:pPr>
              <w:pStyle w:val="1208"/>
              <w:numPr>
                <w:ilvl w:val="0"/>
                <w:numId w:val="0"/>
              </w:numPr>
              <w:ind w:firstLine="0"/>
              <w:spacing w:line="44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（1）强、弱电设备分别组建内部网络</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r>
            <w:r/>
          </w:p>
          <w:p>
            <w:pPr>
              <w:pStyle w:val="1208"/>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强</w:t>
            </w:r>
            <w:r>
              <w:rPr>
                <w:rFonts w:hint="eastAsia" w:ascii="宋体" w:hAnsi="宋体" w:eastAsia="宋体" w:cs="宋体"/>
                <w:bCs/>
                <w:sz w:val="24"/>
                <w:szCs w:val="24"/>
                <w:highlight w:val="none"/>
                <w:lang w:bidi="ar-SA"/>
              </w:rPr>
              <w:t xml:space="preserve">弱电控制系统</w:t>
            </w:r>
            <w:r>
              <w:rPr>
                <w:rFonts w:hint="eastAsia" w:ascii="宋体" w:hAnsi="宋体" w:eastAsia="宋体" w:cs="宋体"/>
                <w:bCs/>
                <w:sz w:val="24"/>
                <w:szCs w:val="24"/>
                <w:highlight w:val="none"/>
                <w:lang w:val="en-US" w:eastAsia="zh-CN" w:bidi="ar-SA"/>
              </w:rPr>
              <w:t xml:space="preserve">分别</w:t>
            </w:r>
            <w:r>
              <w:rPr>
                <w:rFonts w:hint="eastAsia" w:ascii="宋体" w:hAnsi="宋体" w:eastAsia="宋体" w:cs="宋体"/>
                <w:bCs/>
                <w:sz w:val="24"/>
                <w:szCs w:val="24"/>
                <w:highlight w:val="none"/>
                <w:lang w:bidi="ar-SA"/>
              </w:rPr>
              <w:t xml:space="preserve">独立组网，组建</w:t>
            </w:r>
            <w:r>
              <w:rPr>
                <w:rFonts w:hint="eastAsia" w:ascii="宋体" w:hAnsi="宋体" w:eastAsia="宋体" w:cs="宋体"/>
                <w:bCs/>
                <w:sz w:val="24"/>
                <w:szCs w:val="24"/>
                <w:highlight w:val="none"/>
                <w:lang w:val="en-US" w:eastAsia="zh-CN" w:bidi="ar-SA"/>
              </w:rPr>
              <w:t xml:space="preserve">强</w:t>
            </w:r>
            <w:r>
              <w:rPr>
                <w:rFonts w:hint="eastAsia" w:ascii="宋体" w:hAnsi="宋体" w:eastAsia="宋体" w:cs="宋体"/>
                <w:bCs/>
                <w:sz w:val="24"/>
                <w:szCs w:val="24"/>
                <w:highlight w:val="none"/>
                <w:lang w:bidi="ar-SA"/>
              </w:rPr>
              <w:t xml:space="preserve">弱电控制内部网，不得接入其他网络</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针对网络安全要求，配置合理安全策略，针对网络安全防护能力提升落实风险点排查与整改。</w:t>
            </w:r>
            <w:r>
              <w:rPr>
                <w:rFonts w:hint="eastAsia" w:ascii="宋体" w:hAnsi="宋体" w:eastAsia="宋体" w:cs="宋体"/>
                <w:bCs/>
                <w:sz w:val="24"/>
                <w:szCs w:val="24"/>
                <w:highlight w:val="none"/>
                <w:lang w:val="en-US" w:eastAsia="zh-CN"/>
              </w:rPr>
            </w:r>
            <w:r/>
          </w:p>
          <w:p>
            <w:pPr>
              <w:pStyle w:val="1208"/>
              <w:numPr>
                <w:ilvl w:val="0"/>
                <w:numId w:val="0"/>
              </w:numPr>
              <w:ind w:firstLine="0"/>
              <w:spacing w:line="440" w:lineRule="exact"/>
              <w:rPr>
                <w:rFonts w:hint="eastAsia" w:ascii="宋体" w:hAnsi="宋体" w:eastAsia="宋体" w:cs="宋体"/>
                <w:bCs/>
                <w:sz w:val="24"/>
                <w:szCs w:val="24"/>
                <w:highlight w:val="none"/>
                <w:lang w:bidi="ar-SA"/>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互联网专线和强、弱电节点段设备物联网卡的选取与维护。</w:t>
            </w:r>
            <w:r>
              <w:rPr>
                <w:rFonts w:hint="eastAsia" w:ascii="宋体" w:hAnsi="宋体" w:eastAsia="宋体" w:cs="宋体"/>
                <w:bCs/>
                <w:sz w:val="24"/>
                <w:szCs w:val="24"/>
                <w:highlight w:val="none"/>
                <w:lang w:bidi="ar-SA"/>
              </w:rPr>
              <w:t xml:space="preserve">投标人自行查勘现场并进行测算专线数量及带宽（不低于100M带宽），须保证互联网专线满足系统正常运行，在服务期内免费提供满足系统运行的所需带宽及专线数量，如</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bidi="ar-SA"/>
              </w:rPr>
              <w:t xml:space="preserve">巡查发现未能达到正常运行要求须无条件进行整改。租赁时间为3年，费用由中标单位自行承担。投标人自行查勘现场并进行测算数量及流量，须保证物联网卡满足系统正常运行，保证组建内部网，在服务期内免费提供满足系统运行的所需流量及网卡数量，如采购人巡查发现未能达到正常运行要求须无条件进行整改。服务时间为3年，费用由中标单位自行承担。</w:t>
            </w:r>
            <w:r>
              <w:rPr>
                <w:rFonts w:hint="eastAsia" w:ascii="宋体" w:hAnsi="宋体" w:eastAsia="宋体" w:cs="宋体"/>
                <w:bCs/>
                <w:sz w:val="24"/>
                <w:szCs w:val="24"/>
                <w:highlight w:val="none"/>
                <w:lang w:bidi="ar-SA"/>
              </w:rPr>
            </w:r>
            <w:r/>
          </w:p>
          <w:p>
            <w:pPr>
              <w:pStyle w:val="1208"/>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（3）网络安全硬件及软件的维保方案。</w:t>
            </w:r>
            <w:r>
              <w:rPr>
                <w:rFonts w:hint="eastAsia" w:ascii="宋体" w:hAnsi="宋体" w:eastAsia="宋体" w:cs="宋体"/>
                <w:bCs/>
                <w:sz w:val="24"/>
                <w:szCs w:val="24"/>
                <w:highlight w:val="none"/>
                <w:lang w:val="en-US" w:eastAsia="zh-CN"/>
              </w:rPr>
            </w:r>
            <w:r/>
          </w:p>
          <w:p>
            <w:pPr>
              <w:pStyle w:val="1208"/>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为保证集控系统安全，数据备份一体机、下一代防火墙、日志审计系统等涉及网络安全的软硬件提供三年原厂质保和升级服务。</w:t>
            </w:r>
            <w:r>
              <w:rPr>
                <w:rFonts w:hint="eastAsia" w:ascii="宋体" w:hAnsi="宋体" w:eastAsia="宋体" w:cs="宋体"/>
                <w:bCs/>
                <w:sz w:val="24"/>
                <w:szCs w:val="24"/>
                <w:highlight w:val="none"/>
                <w:lang w:val="en-US" w:eastAsia="zh-CN"/>
              </w:rPr>
            </w:r>
            <w:r/>
          </w:p>
          <w:p>
            <w:pPr>
              <w:pStyle w:val="1208"/>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（4）突发网络安全事件应急预案。</w:t>
            </w:r>
            <w:r>
              <w:rPr>
                <w:rFonts w:hint="eastAsia" w:ascii="宋体" w:hAnsi="宋体" w:eastAsia="宋体" w:cs="宋体"/>
                <w:bCs/>
                <w:sz w:val="24"/>
                <w:szCs w:val="24"/>
                <w:highlight w:val="none"/>
                <w:lang w:val="en-US" w:eastAsia="zh-CN"/>
              </w:rPr>
            </w:r>
            <w:r/>
          </w:p>
          <w:p>
            <w:pPr>
              <w:pStyle w:val="1208"/>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制定突发网络安全事件的应急预案，包含应急响应机制、处置</w:t>
            </w:r>
            <w:r>
              <w:rPr>
                <w:rFonts w:hint="eastAsia" w:ascii="宋体" w:hAnsi="宋体" w:eastAsia="宋体" w:cs="宋体"/>
                <w:bCs/>
                <w:sz w:val="24"/>
                <w:szCs w:val="24"/>
                <w:highlight w:val="none"/>
              </w:rPr>
              <w:t xml:space="preserve">措施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08"/>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应急终止后的善后、恢复等的措施方案</w:t>
            </w:r>
            <w:r>
              <w:rPr>
                <w:rFonts w:hint="eastAsia" w:ascii="宋体" w:hAnsi="宋体" w:eastAsia="宋体" w:cs="宋体"/>
                <w:bCs/>
                <w:sz w:val="24"/>
                <w:szCs w:val="24"/>
                <w:highlight w:val="none"/>
                <w:lang w:val="en-US" w:eastAsia="zh-CN"/>
              </w:rPr>
              <w:t xml:space="preserve">等。</w:t>
            </w:r>
            <w:r>
              <w:rPr>
                <w:rFonts w:hint="eastAsia" w:ascii="宋体" w:hAnsi="宋体" w:eastAsia="宋体" w:cs="宋体"/>
                <w:bCs/>
                <w:sz w:val="24"/>
                <w:szCs w:val="24"/>
                <w:highlight w:val="none"/>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eastAsia="宋体" w:cs="宋体"/>
                <w:bCs/>
                <w:sz w:val="24"/>
                <w:szCs w:val="24"/>
                <w:highlight w:val="none"/>
                <w:lang w:val="en-US" w:eastAsia="zh-CN" w:bidi="ar-SA"/>
              </w:rPr>
            </w:pPr>
            <w:r>
              <w:rPr>
                <w:rFonts w:hint="eastAsia" w:ascii="宋体" w:hAnsi="宋体" w:eastAsia="宋体" w:cs="宋体"/>
                <w:b/>
                <w:bCs w:val="0"/>
                <w:sz w:val="24"/>
                <w:szCs w:val="24"/>
                <w:highlight w:val="none"/>
                <w:lang w:val="en-US" w:eastAsia="zh-CN"/>
              </w:rPr>
              <w:t xml:space="preserve">合理化建议</w:t>
            </w:r>
            <w:r>
              <w:rPr>
                <w:rFonts w:hint="eastAsia" w:ascii="宋体" w:hAnsi="宋体" w:eastAsia="宋体" w:cs="宋体"/>
                <w:bCs/>
                <w:sz w:val="24"/>
                <w:szCs w:val="24"/>
                <w:highlight w:val="none"/>
                <w:lang w:val="en-US" w:eastAsia="zh-CN" w:bidi="ar-SA"/>
              </w:rPr>
            </w:r>
            <w:r/>
          </w:p>
        </w:tc>
        <w:tc>
          <w:tcPr>
            <w:tcW w:w="8078" w:type="dxa"/>
            <w:vAlign w:val="center"/>
            <w:textDirection w:val="lrTb"/>
            <w:noWrap w:val="false"/>
          </w:tcPr>
          <w:p>
            <w:pPr>
              <w:pStyle w:val="1208"/>
              <w:spacing w:line="44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结合项目实际情况及</w:t>
            </w:r>
            <w:r>
              <w:rPr>
                <w:rFonts w:hint="eastAsia" w:ascii="宋体" w:hAnsi="宋体" w:eastAsia="宋体" w:cs="宋体"/>
                <w:bCs/>
                <w:sz w:val="24"/>
                <w:szCs w:val="24"/>
                <w:highlight w:val="none"/>
                <w:lang w:eastAsia="zh-CN"/>
              </w:rPr>
              <w:t xml:space="preserve">采购需求</w:t>
            </w:r>
            <w:r>
              <w:rPr>
                <w:rFonts w:hint="eastAsia" w:ascii="宋体" w:hAnsi="宋体" w:eastAsia="宋体" w:cs="宋体"/>
                <w:bCs/>
                <w:sz w:val="24"/>
                <w:szCs w:val="24"/>
                <w:highlight w:val="none"/>
              </w:rPr>
              <w:t xml:space="preserve">，合理利用现有设备及资源，提出合理化建议，提前消除潜在隐患与风险点，提升维保质量及效果。</w:t>
            </w:r>
            <w:r>
              <w:rPr>
                <w:rFonts w:hint="eastAsia" w:ascii="宋体" w:hAnsi="宋体" w:eastAsia="宋体" w:cs="宋体"/>
                <w:bCs/>
                <w:sz w:val="24"/>
                <w:szCs w:val="24"/>
                <w:highlight w:val="none"/>
                <w:lang w:val="en-US" w:eastAsia="zh-CN" w:bidi="ar-SA"/>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业绩</w:t>
            </w:r>
            <w:r>
              <w:rPr>
                <w:rFonts w:hint="eastAsia" w:ascii="宋体" w:hAnsi="宋体" w:eastAsia="宋体" w:cs="宋体"/>
                <w:b/>
                <w:bCs w:val="0"/>
                <w:sz w:val="24"/>
                <w:szCs w:val="24"/>
                <w:highlight w:val="none"/>
                <w:lang w:val="en-US" w:eastAsia="zh-CN"/>
              </w:rPr>
            </w:r>
            <w:r/>
          </w:p>
        </w:tc>
        <w:tc>
          <w:tcPr>
            <w:tcW w:w="8078" w:type="dxa"/>
            <w:vAlign w:val="center"/>
            <w:textDirection w:val="lrTb"/>
            <w:noWrap w:val="false"/>
          </w:tcPr>
          <w:p>
            <w:pPr>
              <w:pStyle w:val="1208"/>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投标人自20</w:t>
            </w:r>
            <w:r>
              <w:rPr>
                <w:rFonts w:hint="eastAsia" w:ascii="宋体" w:hAnsi="宋体" w:eastAsia="宋体" w:cs="宋体"/>
                <w:bCs/>
                <w:sz w:val="24"/>
                <w:szCs w:val="24"/>
                <w:highlight w:val="none"/>
                <w:lang w:val="en-US" w:eastAsia="zh-CN"/>
              </w:rPr>
              <w:t xml:space="preserve">23</w:t>
            </w:r>
            <w:r>
              <w:rPr>
                <w:rFonts w:hint="eastAsia" w:ascii="宋体" w:hAnsi="宋体" w:eastAsia="宋体" w:cs="宋体"/>
                <w:bCs/>
                <w:sz w:val="24"/>
                <w:szCs w:val="24"/>
                <w:highlight w:val="none"/>
              </w:rPr>
              <w:t xml:space="preserve">年1月1日以来（时间以合同签订时间为准）具有亮化</w:t>
            </w:r>
            <w:r>
              <w:rPr>
                <w:rFonts w:hint="eastAsia" w:ascii="宋体" w:hAnsi="宋体" w:eastAsia="宋体" w:cs="宋体"/>
                <w:bCs/>
                <w:sz w:val="24"/>
                <w:szCs w:val="24"/>
                <w:highlight w:val="none"/>
                <w:lang w:eastAsia="zh-CN"/>
              </w:rPr>
              <w:t xml:space="preserve">建设、</w:t>
            </w:r>
            <w:r>
              <w:rPr>
                <w:rFonts w:hint="eastAsia" w:ascii="宋体" w:hAnsi="宋体" w:eastAsia="宋体" w:cs="宋体"/>
                <w:bCs/>
                <w:sz w:val="24"/>
                <w:szCs w:val="24"/>
                <w:highlight w:val="none"/>
                <w:lang w:val="en-US" w:eastAsia="zh-CN"/>
              </w:rPr>
              <w:t xml:space="preserve">亮化</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、远程管控、</w:t>
            </w:r>
            <w:r>
              <w:rPr>
                <w:rFonts w:hint="eastAsia" w:ascii="宋体" w:hAnsi="宋体" w:eastAsia="宋体" w:cs="宋体"/>
                <w:bCs/>
                <w:sz w:val="24"/>
                <w:szCs w:val="24"/>
                <w:highlight w:val="none"/>
                <w:lang w:val="en-US" w:eastAsia="zh-CN"/>
              </w:rPr>
              <w:t xml:space="preserve">智慧照明、</w:t>
            </w:r>
            <w:r>
              <w:rPr>
                <w:rFonts w:hint="eastAsia" w:ascii="宋体" w:hAnsi="宋体" w:eastAsia="宋体" w:cs="宋体"/>
                <w:bCs/>
                <w:sz w:val="24"/>
                <w:szCs w:val="24"/>
                <w:highlight w:val="none"/>
              </w:rPr>
              <w:t xml:space="preserve">能耗管理等</w:t>
            </w:r>
            <w:r>
              <w:rPr>
                <w:rFonts w:hint="eastAsia" w:ascii="宋体" w:hAnsi="宋体" w:eastAsia="宋体" w:cs="宋体"/>
                <w:bCs/>
                <w:sz w:val="24"/>
                <w:szCs w:val="24"/>
                <w:highlight w:val="none"/>
                <w:lang w:val="en-US" w:eastAsia="zh-CN"/>
              </w:rPr>
              <w:t xml:space="preserve">类似</w:t>
            </w:r>
            <w:r>
              <w:rPr>
                <w:rFonts w:hint="eastAsia" w:ascii="宋体" w:hAnsi="宋体" w:eastAsia="宋体" w:cs="宋体"/>
                <w:bCs/>
                <w:sz w:val="24"/>
                <w:szCs w:val="24"/>
                <w:highlight w:val="none"/>
              </w:rPr>
              <w:t xml:space="preserve">项目业绩</w:t>
            </w:r>
            <w:r>
              <w:rPr>
                <w:rFonts w:hint="eastAsia" w:ascii="宋体" w:hAnsi="宋体" w:eastAsia="宋体" w:cs="宋体"/>
                <w:bCs/>
                <w:sz w:val="24"/>
                <w:szCs w:val="24"/>
                <w:highlight w:val="none"/>
                <w:lang w:val="en-US" w:eastAsia="zh-CN"/>
              </w:rPr>
              <w:t xml:space="preserve">的优先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r>
      <w:tr>
        <w:trPr>
          <w:trHeight w:val="464"/>
        </w:trPr>
        <w:tc>
          <w:tcPr>
            <w:tcW w:w="1554" w:type="dxa"/>
            <w:vAlign w:val="center"/>
            <w:textDirection w:val="lrTb"/>
            <w:noWrap w:val="false"/>
          </w:tcPr>
          <w:p>
            <w:pPr>
              <w:pStyle w:val="1208"/>
              <w:jc w:val="center"/>
              <w:spacing w:line="440" w:lineRule="exact"/>
              <w:widowControl/>
              <w:rPr>
                <w:rFonts w:hint="eastAsia" w:ascii="宋体" w:hAnsi="宋体" w:eastAsia="宋体" w:cs="宋体"/>
                <w:b/>
                <w:bCs w:val="0"/>
                <w:sz w:val="24"/>
                <w:szCs w:val="24"/>
                <w:highlight w:val="none"/>
                <w:lang w:val="en-US" w:eastAsia="zh-CN"/>
              </w:rPr>
            </w:pPr>
            <w:r>
              <w:rPr>
                <w:rFonts w:hint="eastAsia" w:ascii="宋体" w:hAnsi="宋体" w:eastAsia="宋体" w:cs="宋体"/>
                <w:b/>
                <w:color w:val="000000"/>
                <w:sz w:val="24"/>
                <w:szCs w:val="24"/>
                <w:highlight w:val="none"/>
              </w:rPr>
              <w:t xml:space="preserve">人员配备</w:t>
            </w:r>
            <w:r>
              <w:rPr>
                <w:rFonts w:hint="eastAsia" w:ascii="宋体" w:hAnsi="宋体" w:eastAsia="宋体" w:cs="宋体"/>
                <w:b/>
                <w:bCs w:val="0"/>
                <w:sz w:val="24"/>
                <w:szCs w:val="24"/>
                <w:highlight w:val="none"/>
                <w:lang w:val="en-US" w:eastAsia="zh-CN"/>
              </w:rPr>
            </w:r>
            <w:r/>
          </w:p>
        </w:tc>
        <w:tc>
          <w:tcPr>
            <w:tcW w:w="8078" w:type="dxa"/>
            <w:vAlign w:val="center"/>
            <w:textDirection w:val="lrTb"/>
            <w:noWrap w:val="false"/>
          </w:tcPr>
          <w:p>
            <w:pPr>
              <w:pStyle w:val="1208"/>
              <w:numPr>
                <w:ilvl w:val="0"/>
                <w:numId w:val="0"/>
              </w:numPr>
              <w:jc w:val="left"/>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1.投标人拟派项目负责人具有项目所需电气类或计算机类</w:t>
            </w:r>
            <w:r>
              <w:rPr>
                <w:rFonts w:hint="eastAsia" w:ascii="宋体" w:hAnsi="宋体" w:eastAsia="宋体" w:cs="宋体"/>
                <w:bCs/>
                <w:sz w:val="24"/>
                <w:szCs w:val="24"/>
                <w:highlight w:val="none"/>
                <w:lang w:val="en-US" w:eastAsia="zh-CN"/>
              </w:rPr>
              <w:t xml:space="preserve">中级及以上</w:t>
            </w:r>
            <w:r>
              <w:rPr>
                <w:rFonts w:hint="eastAsia" w:ascii="宋体" w:hAnsi="宋体" w:eastAsia="宋体" w:cs="宋体"/>
                <w:bCs/>
                <w:sz w:val="24"/>
                <w:szCs w:val="24"/>
                <w:highlight w:val="none"/>
              </w:rPr>
              <w:t xml:space="preserve">职称或证书</w:t>
            </w:r>
            <w:r>
              <w:rPr>
                <w:rFonts w:hint="eastAsia" w:ascii="宋体" w:hAnsi="宋体" w:eastAsia="宋体" w:cs="宋体"/>
                <w:bCs/>
                <w:sz w:val="24"/>
                <w:szCs w:val="24"/>
                <w:highlight w:val="none"/>
                <w:lang w:val="en-US" w:eastAsia="zh-CN"/>
              </w:rPr>
              <w:t xml:space="preserve">的优先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r>
            <w:r/>
          </w:p>
          <w:p>
            <w:pPr>
              <w:pStyle w:val="1208"/>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.投标人团队</w:t>
            </w:r>
            <w:r>
              <w:rPr>
                <w:rFonts w:hint="eastAsia" w:ascii="宋体" w:hAnsi="宋体" w:eastAsia="宋体" w:cs="宋体"/>
                <w:b w:val="0"/>
                <w:bCs/>
                <w:sz w:val="24"/>
                <w:szCs w:val="24"/>
                <w:highlight w:val="none"/>
                <w:lang w:val="en-US" w:eastAsia="zh-CN"/>
              </w:rPr>
              <w:t xml:space="preserve">服务</w:t>
            </w:r>
            <w:r>
              <w:rPr>
                <w:rFonts w:hint="eastAsia" w:ascii="宋体" w:hAnsi="宋体" w:eastAsia="宋体" w:cs="宋体"/>
                <w:b w:val="0"/>
                <w:bCs/>
                <w:sz w:val="24"/>
                <w:szCs w:val="24"/>
                <w:highlight w:val="none"/>
              </w:rPr>
              <w:t xml:space="preserve">人员</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拟派现场服务人员不少于4人，具有</w:t>
            </w:r>
            <w:r>
              <w:rPr>
                <w:rFonts w:hint="eastAsia" w:ascii="宋体" w:hAnsi="宋体" w:eastAsia="宋体" w:cs="宋体"/>
                <w:bCs/>
                <w:sz w:val="24"/>
                <w:szCs w:val="24"/>
                <w:highlight w:val="none"/>
                <w:lang w:val="en-US" w:eastAsia="zh-CN"/>
              </w:rPr>
              <w:t xml:space="preserve">计算机类中级及以上职称或证书、</w:t>
            </w:r>
            <w:r>
              <w:rPr>
                <w:rFonts w:hint="eastAsia" w:ascii="宋体" w:hAnsi="宋体" w:eastAsia="宋体" w:cs="宋体"/>
                <w:bCs/>
                <w:sz w:val="24"/>
                <w:szCs w:val="24"/>
                <w:highlight w:val="none"/>
              </w:rPr>
              <w:t xml:space="preserve">低压电工证</w:t>
            </w:r>
            <w:r>
              <w:rPr>
                <w:rFonts w:hint="eastAsia" w:ascii="宋体" w:hAnsi="宋体" w:eastAsia="宋体" w:cs="宋体"/>
                <w:bCs/>
                <w:sz w:val="24"/>
                <w:szCs w:val="24"/>
                <w:highlight w:val="none"/>
                <w:lang w:eastAsia="zh-CN"/>
              </w:rPr>
              <w:t xml:space="preserve">和</w:t>
            </w:r>
            <w:r>
              <w:rPr>
                <w:rFonts w:hint="eastAsia" w:ascii="宋体" w:hAnsi="宋体" w:eastAsia="宋体" w:cs="宋体"/>
                <w:bCs/>
                <w:sz w:val="24"/>
                <w:szCs w:val="24"/>
                <w:highlight w:val="none"/>
                <w:lang w:val="en-US" w:eastAsia="zh-CN"/>
              </w:rPr>
              <w:t xml:space="preserve">高处作业证的优先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r>
    </w:tbl>
    <w:p>
      <w:pPr>
        <w:pStyle w:val="1208"/>
        <w:ind w:firstLine="0"/>
        <w:keepLines w:val="0"/>
        <w:keepNext w:val="0"/>
        <w:pageBreakBefore w:val="0"/>
        <w:spacing w:line="560" w:lineRule="exact"/>
        <w:widowControl/>
        <w:rPr>
          <w:rStyle w:val="1330"/>
          <w:rFonts w:hint="eastAsia" w:ascii="宋体" w:hAnsi="宋体" w:eastAsia="宋体" w:cs="宋体"/>
          <w:b/>
          <w:bCs w:val="0"/>
          <w:sz w:val="24"/>
          <w:szCs w:val="24"/>
          <w:highlight w:val="none"/>
          <w:u w:val="none"/>
          <w:lang w:val="en-US" w:eastAsia="zh-CN"/>
        </w:rPr>
      </w:pPr>
      <w:r>
        <w:rPr>
          <w:rStyle w:val="1330"/>
          <w:rFonts w:hint="eastAsia" w:ascii="宋体" w:hAnsi="宋体" w:eastAsia="宋体" w:cs="宋体"/>
          <w:b/>
          <w:bCs w:val="0"/>
          <w:sz w:val="24"/>
          <w:szCs w:val="24"/>
          <w:highlight w:val="none"/>
          <w:u w:val="none"/>
          <w:lang w:val="en-US" w:eastAsia="zh-CN"/>
        </w:rPr>
        <w:t xml:space="preserve">采购标的对应的中小企业划分标准所属行业一览表</w:t>
      </w:r>
      <w:r>
        <w:rPr>
          <w:rStyle w:val="1330"/>
          <w:rFonts w:hint="eastAsia" w:ascii="宋体" w:hAnsi="宋体" w:eastAsia="宋体" w:cs="宋体"/>
          <w:b/>
          <w:bCs w:val="0"/>
          <w:sz w:val="24"/>
          <w:szCs w:val="24"/>
          <w:highlight w:val="none"/>
          <w:u w:val="none"/>
          <w:lang w:val="en-US" w:eastAsia="zh-CN"/>
        </w:rPr>
      </w:r>
      <w:r/>
    </w:p>
    <w:tbl>
      <w:tblPr>
        <w:tblStyle w:val="12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254"/>
        <w:gridCol w:w="4260"/>
        <w:gridCol w:w="3655"/>
      </w:tblGrid>
      <w:tr>
        <w:trPr/>
        <w:tc>
          <w:tcPr>
            <w:tcW w:w="1254" w:type="dxa"/>
            <w:vAlign w:val="top"/>
            <w:textDirection w:val="lrTb"/>
            <w:noWrap w:val="false"/>
          </w:tcPr>
          <w:p>
            <w:pPr>
              <w:pStyle w:val="1208"/>
              <w:jc w:val="center"/>
              <w:keepLines w:val="0"/>
              <w:keepNext w:val="0"/>
              <w:pageBreakBefore w:val="0"/>
              <w:spacing w:line="560" w:lineRule="exact"/>
              <w:widowControl/>
              <w:rPr>
                <w:rStyle w:val="1330"/>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序号</w:t>
            </w:r>
            <w:r>
              <w:rPr>
                <w:rStyle w:val="1330"/>
                <w:rFonts w:hint="eastAsia" w:ascii="宋体" w:hAnsi="宋体" w:eastAsia="宋体" w:cs="宋体"/>
                <w:b/>
                <w:bCs w:val="0"/>
                <w:sz w:val="24"/>
                <w:szCs w:val="24"/>
                <w:highlight w:val="none"/>
                <w:u w:val="none"/>
                <w:vertAlign w:val="baseline"/>
                <w:lang w:val="en-US" w:eastAsia="zh-CN"/>
              </w:rPr>
            </w:r>
            <w:r/>
          </w:p>
        </w:tc>
        <w:tc>
          <w:tcPr>
            <w:tcW w:w="4260" w:type="dxa"/>
            <w:vAlign w:val="top"/>
            <w:textDirection w:val="lrTb"/>
            <w:noWrap w:val="false"/>
          </w:tcPr>
          <w:p>
            <w:pPr>
              <w:pStyle w:val="1208"/>
              <w:jc w:val="center"/>
              <w:keepLines w:val="0"/>
              <w:keepNext w:val="0"/>
              <w:pageBreakBefore w:val="0"/>
              <w:spacing w:line="560" w:lineRule="exact"/>
              <w:widowControl/>
              <w:rPr>
                <w:rStyle w:val="1330"/>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采购标的</w:t>
            </w:r>
            <w:r>
              <w:rPr>
                <w:rStyle w:val="1330"/>
                <w:rFonts w:hint="eastAsia" w:ascii="宋体" w:hAnsi="宋体" w:eastAsia="宋体" w:cs="宋体"/>
                <w:b/>
                <w:bCs w:val="0"/>
                <w:sz w:val="24"/>
                <w:szCs w:val="24"/>
                <w:highlight w:val="none"/>
                <w:u w:val="none"/>
                <w:vertAlign w:val="baseline"/>
                <w:lang w:val="en-US" w:eastAsia="zh-CN"/>
              </w:rPr>
            </w:r>
            <w:r/>
          </w:p>
        </w:tc>
        <w:tc>
          <w:tcPr>
            <w:tcW w:w="3655" w:type="dxa"/>
            <w:vAlign w:val="top"/>
            <w:textDirection w:val="lrTb"/>
            <w:noWrap w:val="false"/>
          </w:tcPr>
          <w:p>
            <w:pPr>
              <w:pStyle w:val="1208"/>
              <w:jc w:val="center"/>
              <w:keepLines w:val="0"/>
              <w:keepNext w:val="0"/>
              <w:pageBreakBefore w:val="0"/>
              <w:spacing w:line="560" w:lineRule="exact"/>
              <w:widowControl/>
              <w:rPr>
                <w:rStyle w:val="1330"/>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对应中小企业划分标准所属行业</w:t>
            </w:r>
            <w:r>
              <w:rPr>
                <w:rStyle w:val="1330"/>
                <w:rFonts w:hint="eastAsia" w:ascii="宋体" w:hAnsi="宋体" w:eastAsia="宋体" w:cs="宋体"/>
                <w:b/>
                <w:bCs w:val="0"/>
                <w:sz w:val="24"/>
                <w:szCs w:val="24"/>
                <w:highlight w:val="none"/>
                <w:u w:val="none"/>
                <w:vertAlign w:val="baseline"/>
                <w:lang w:val="en-US" w:eastAsia="zh-CN"/>
              </w:rPr>
            </w:r>
            <w:r/>
          </w:p>
        </w:tc>
      </w:tr>
      <w:tr>
        <w:trPr/>
        <w:tc>
          <w:tcPr>
            <w:tcW w:w="1254" w:type="dxa"/>
            <w:vAlign w:val="top"/>
            <w:textDirection w:val="lrTb"/>
            <w:noWrap w:val="false"/>
          </w:tcPr>
          <w:p>
            <w:pPr>
              <w:pStyle w:val="1208"/>
              <w:jc w:val="center"/>
              <w:keepLines w:val="0"/>
              <w:keepNext w:val="0"/>
              <w:pageBreakBefore w:val="0"/>
              <w:spacing w:line="560" w:lineRule="exact"/>
              <w:widowControl/>
              <w:rPr>
                <w:rStyle w:val="1330"/>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1</w:t>
            </w:r>
            <w:r>
              <w:rPr>
                <w:rStyle w:val="1330"/>
                <w:rFonts w:hint="eastAsia" w:ascii="宋体" w:hAnsi="宋体" w:eastAsia="宋体" w:cs="宋体"/>
                <w:b/>
                <w:bCs w:val="0"/>
                <w:sz w:val="24"/>
                <w:szCs w:val="24"/>
                <w:highlight w:val="none"/>
                <w:u w:val="none"/>
                <w:vertAlign w:val="baseline"/>
                <w:lang w:val="en-US" w:eastAsia="zh-CN"/>
              </w:rPr>
            </w:r>
            <w:r/>
          </w:p>
        </w:tc>
        <w:tc>
          <w:tcPr>
            <w:tcW w:w="4260" w:type="dxa"/>
            <w:vAlign w:val="top"/>
            <w:textDirection w:val="lrTb"/>
            <w:noWrap w:val="false"/>
          </w:tcPr>
          <w:p>
            <w:pPr>
              <w:pStyle w:val="1208"/>
              <w:jc w:val="center"/>
              <w:keepLines w:val="0"/>
              <w:keepNext w:val="0"/>
              <w:pageBreakBefore w:val="0"/>
              <w:spacing w:line="560" w:lineRule="exact"/>
              <w:widowControl/>
              <w:rPr>
                <w:rStyle w:val="1330"/>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市区楼宇亮化及集控系统更新维护项目</w:t>
            </w:r>
            <w:r>
              <w:rPr>
                <w:rStyle w:val="1330"/>
                <w:rFonts w:hint="eastAsia" w:ascii="宋体" w:hAnsi="宋体" w:eastAsia="宋体" w:cs="宋体"/>
                <w:b/>
                <w:bCs w:val="0"/>
                <w:sz w:val="24"/>
                <w:szCs w:val="24"/>
                <w:highlight w:val="none"/>
                <w:u w:val="none"/>
                <w:vertAlign w:val="baseline"/>
                <w:lang w:val="en-US" w:eastAsia="zh-CN"/>
              </w:rPr>
            </w:r>
            <w:r/>
          </w:p>
        </w:tc>
        <w:tc>
          <w:tcPr>
            <w:tcW w:w="3655" w:type="dxa"/>
            <w:vAlign w:val="top"/>
            <w:textDirection w:val="lrTb"/>
            <w:noWrap w:val="false"/>
          </w:tcPr>
          <w:p>
            <w:pPr>
              <w:pStyle w:val="1208"/>
              <w:jc w:val="center"/>
              <w:keepLines w:val="0"/>
              <w:keepNext w:val="0"/>
              <w:pageBreakBefore w:val="0"/>
              <w:spacing w:line="560" w:lineRule="exact"/>
              <w:widowControl/>
              <w:rPr>
                <w:rStyle w:val="1330"/>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其他未列明行业</w:t>
            </w:r>
            <w:r>
              <w:rPr>
                <w:rStyle w:val="1330"/>
                <w:rFonts w:hint="eastAsia" w:ascii="宋体" w:hAnsi="宋体" w:eastAsia="宋体" w:cs="宋体"/>
                <w:b/>
                <w:bCs w:val="0"/>
                <w:sz w:val="24"/>
                <w:szCs w:val="24"/>
                <w:highlight w:val="none"/>
                <w:u w:val="none"/>
                <w:vertAlign w:val="baseline"/>
                <w:lang w:val="en-US" w:eastAsia="zh-CN"/>
              </w:rPr>
            </w:r>
            <w:r/>
          </w:p>
        </w:tc>
      </w:tr>
    </w:tbl>
    <w:p>
      <w:pPr>
        <w:pStyle w:val="1208"/>
        <w:ind w:firstLine="0"/>
        <w:keepLines w:val="0"/>
        <w:keepNext w:val="0"/>
        <w:pageBreakBefore w:val="0"/>
        <w:spacing w:line="560" w:lineRule="exact"/>
        <w:widowControl/>
        <w:rPr>
          <w:rStyle w:val="1330"/>
          <w:rFonts w:hint="eastAsia" w:ascii="宋体" w:hAnsi="宋体" w:eastAsia="宋体" w:cs="宋体"/>
          <w:b/>
          <w:bCs w:val="0"/>
          <w:sz w:val="24"/>
          <w:szCs w:val="24"/>
          <w:highlight w:val="none"/>
          <w:u w:val="none"/>
          <w:lang w:val="en-US" w:eastAsia="zh-CN"/>
        </w:rPr>
      </w:pPr>
      <w:r>
        <w:rPr>
          <w:rStyle w:val="1330"/>
          <w:rFonts w:hint="eastAsia" w:ascii="宋体" w:hAnsi="宋体" w:eastAsia="宋体" w:cs="宋体"/>
          <w:b/>
          <w:bCs w:val="0"/>
          <w:sz w:val="24"/>
          <w:szCs w:val="24"/>
          <w:highlight w:val="none"/>
          <w:u w:val="none"/>
          <w:lang w:val="en-US" w:eastAsia="zh-CN"/>
        </w:rPr>
      </w:r>
      <w:r/>
    </w:p>
    <w:p>
      <w:pPr>
        <w:pStyle w:val="1290"/>
        <w:ind w:firstLine="0"/>
        <w:spacing w:line="440" w:lineRule="exact"/>
        <w:rPr>
          <w:rFonts w:hint="eastAsia" w:cs="宋体"/>
          <w:b/>
          <w:bCs/>
          <w:highlight w:val="none"/>
        </w:rPr>
        <w:outlineLvl w:val="2"/>
      </w:pPr>
      <w:r>
        <w:rPr>
          <w:rFonts w:hint="eastAsia" w:cs="宋体"/>
          <w:b/>
          <w:bCs/>
          <w:highlight w:val="none"/>
          <w:lang w:val="en-US" w:eastAsia="zh-CN"/>
        </w:rPr>
        <w:t xml:space="preserve">   </w:t>
      </w:r>
      <w:r>
        <w:rPr>
          <w:rFonts w:hint="eastAsia" w:cs="宋体"/>
          <w:b/>
          <w:bCs/>
          <w:highlight w:val="none"/>
        </w:rPr>
        <w:t xml:space="preserve">（三）盐城市市区亮化设施维护考核细则</w:t>
      </w:r>
      <w:r>
        <w:rPr>
          <w:rFonts w:hint="eastAsia" w:cs="宋体"/>
          <w:b/>
          <w:bCs/>
          <w:highlight w:val="none"/>
        </w:rPr>
      </w:r>
      <w:r/>
    </w:p>
    <w:p>
      <w:pPr>
        <w:pStyle w:val="1208"/>
        <w:jc w:val="center"/>
        <w:spacing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盐城市市区亮化设施维护考核细则</w:t>
      </w:r>
      <w:r>
        <w:rPr>
          <w:rFonts w:hint="eastAsia" w:ascii="宋体" w:hAnsi="宋体" w:cs="宋体"/>
          <w:b/>
          <w:bCs w:val="0"/>
          <w:sz w:val="24"/>
          <w:szCs w:val="24"/>
          <w:highlight w:val="none"/>
        </w:rPr>
      </w:r>
      <w:r/>
    </w:p>
    <w:p>
      <w:pPr>
        <w:pStyle w:val="1208"/>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为了加强亮化设施维护管理，确保盐城市市区夜间亮化形象，落实亮化设施维护责任，特制定本细则。</w:t>
      </w:r>
      <w:r>
        <w:rPr>
          <w:rFonts w:hint="eastAsia" w:ascii="宋体" w:hAnsi="宋体" w:cs="宋体"/>
          <w:sz w:val="24"/>
          <w:highlight w:val="none"/>
        </w:rPr>
      </w:r>
      <w:r/>
    </w:p>
    <w:p>
      <w:pPr>
        <w:pStyle w:val="1208"/>
        <w:ind w:firstLine="480"/>
        <w:jc w:val="left"/>
        <w:spacing w:line="440" w:lineRule="exact"/>
        <w:rPr>
          <w:rFonts w:hint="eastAsia" w:ascii="宋体" w:hAnsi="宋体" w:cs="宋体"/>
          <w:sz w:val="24"/>
          <w:highlight w:val="none"/>
        </w:rPr>
      </w:pPr>
      <w:r>
        <w:rPr>
          <w:rFonts w:hint="eastAsia" w:ascii="宋体" w:hAnsi="宋体" w:cs="宋体"/>
          <w:sz w:val="24"/>
          <w:szCs w:val="24"/>
          <w:highlight w:val="none"/>
        </w:rPr>
        <w:t xml:space="preserve">第一条  亮化设施维护范围包括</w:t>
      </w:r>
      <w:r>
        <w:rPr>
          <w:rFonts w:hint="eastAsia" w:ascii="宋体" w:hAnsi="宋体" w:cs="宋体"/>
          <w:sz w:val="24"/>
          <w:szCs w:val="24"/>
          <w:highlight w:val="none"/>
          <w:u w:val="single"/>
        </w:rPr>
        <w:t xml:space="preserve">集控中心软硬件、强弱电控制系统、强弱电控制节点端设备、灯具、管线及其他配套</w:t>
      </w:r>
      <w:r>
        <w:rPr>
          <w:rFonts w:hint="eastAsia" w:ascii="宋体" w:hAnsi="宋体" w:cs="宋体"/>
          <w:sz w:val="24"/>
          <w:szCs w:val="24"/>
          <w:highlight w:val="none"/>
        </w:rPr>
        <w:t xml:space="preserve">。</w:t>
      </w:r>
      <w:r>
        <w:rPr>
          <w:rFonts w:hint="eastAsia" w:ascii="宋体" w:hAnsi="宋体" w:cs="宋体"/>
          <w:sz w:val="24"/>
          <w:highlight w:val="none"/>
        </w:rPr>
      </w:r>
      <w:r/>
    </w:p>
    <w:p>
      <w:pPr>
        <w:pStyle w:val="1208"/>
        <w:ind w:firstLine="480"/>
        <w:spacing w:line="440" w:lineRule="exact"/>
        <w:tabs>
          <w:tab w:val="left" w:pos="0" w:leader="none"/>
        </w:tabs>
        <w:rPr>
          <w:rFonts w:hint="eastAsia" w:ascii="宋体" w:hAnsi="宋体" w:cs="宋体"/>
          <w:sz w:val="24"/>
          <w:highlight w:val="none"/>
        </w:rPr>
      </w:pPr>
      <w:r>
        <w:rPr>
          <w:rFonts w:hint="eastAsia" w:ascii="宋体" w:hAnsi="宋体" w:cs="宋体"/>
          <w:sz w:val="24"/>
          <w:highlight w:val="none"/>
        </w:rPr>
        <w:t xml:space="preserve">第二条  考核方式分为月度考核和年度考核。</w:t>
      </w:r>
      <w:r>
        <w:rPr>
          <w:rFonts w:hint="eastAsia" w:ascii="宋体" w:hAnsi="宋体" w:cs="宋体"/>
          <w:sz w:val="24"/>
          <w:highlight w:val="none"/>
        </w:rPr>
      </w:r>
      <w:r/>
    </w:p>
    <w:p>
      <w:pPr>
        <w:pStyle w:val="1208"/>
        <w:ind w:left="420"/>
        <w:spacing w:line="440" w:lineRule="exact"/>
        <w:tabs>
          <w:tab w:val="left" w:pos="1080" w:leader="none"/>
        </w:tabs>
        <w:rPr>
          <w:rFonts w:hint="eastAsia" w:ascii="宋体" w:hAnsi="宋体" w:cs="宋体"/>
          <w:sz w:val="24"/>
          <w:szCs w:val="24"/>
          <w:highlight w:val="none"/>
          <w:lang w:bidi="ar"/>
        </w:rPr>
      </w:pPr>
      <w:r>
        <w:rPr>
          <w:rFonts w:hint="eastAsia" w:ascii="宋体" w:hAnsi="宋体" w:cs="宋体"/>
          <w:sz w:val="24"/>
          <w:highlight w:val="none"/>
        </w:rPr>
        <w:t xml:space="preserve">第三条 月度考核细则：</w:t>
      </w:r>
      <w:r>
        <w:rPr>
          <w:rFonts w:hint="eastAsia" w:ascii="宋体" w:hAnsi="宋体" w:cs="宋体"/>
          <w:sz w:val="24"/>
          <w:szCs w:val="24"/>
          <w:highlight w:val="none"/>
          <w:lang w:bidi="ar"/>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441"/>
        <w:gridCol w:w="2097"/>
        <w:gridCol w:w="4936"/>
      </w:tblGrid>
      <w:tr>
        <w:trPr/>
        <w:tc>
          <w:tcPr>
            <w:tcW w:w="376" w:type="dxa"/>
            <w:vAlign w:val="top"/>
            <w:textDirection w:val="lrTb"/>
            <w:noWrap w:val="false"/>
          </w:tcPr>
          <w:p>
            <w:pPr>
              <w:pStyle w:val="1208"/>
              <w:jc w:val="center"/>
              <w:spacing w:line="440" w:lineRule="exact"/>
              <w:rPr>
                <w:rFonts w:hint="eastAsia" w:ascii="宋体" w:hAnsi="宋体" w:cs="宋体"/>
                <w:b/>
                <w:bCs/>
                <w:highlight w:val="none"/>
              </w:rPr>
            </w:pPr>
            <w:r>
              <w:rPr>
                <w:rFonts w:hint="eastAsia" w:ascii="宋体" w:hAnsi="宋体" w:cs="宋体"/>
                <w:b/>
                <w:bCs/>
                <w:highlight w:val="none"/>
              </w:rPr>
              <w:t xml:space="preserve">序号</w:t>
            </w:r>
            <w:r>
              <w:rPr>
                <w:rFonts w:hint="eastAsia" w:ascii="宋体" w:hAnsi="宋体" w:cs="宋体"/>
                <w:b/>
                <w:bCs/>
                <w:highlight w:val="none"/>
              </w:rPr>
            </w:r>
            <w:r/>
          </w:p>
        </w:tc>
        <w:tc>
          <w:tcPr>
            <w:tcW w:w="786" w:type="dxa"/>
            <w:vAlign w:val="top"/>
            <w:textDirection w:val="lrTb"/>
            <w:noWrap w:val="false"/>
          </w:tcPr>
          <w:p>
            <w:pPr>
              <w:pStyle w:val="1208"/>
              <w:jc w:val="center"/>
              <w:spacing w:line="440" w:lineRule="exact"/>
              <w:rPr>
                <w:rFonts w:hint="eastAsia" w:ascii="宋体" w:hAnsi="宋体" w:cs="宋体"/>
                <w:b/>
                <w:bCs/>
                <w:highlight w:val="none"/>
              </w:rPr>
            </w:pPr>
            <w:r>
              <w:rPr>
                <w:rFonts w:hint="eastAsia" w:ascii="宋体" w:hAnsi="宋体" w:cs="宋体"/>
                <w:b/>
                <w:bCs/>
                <w:highlight w:val="none"/>
              </w:rPr>
              <w:t xml:space="preserve">考核项目及分值</w:t>
            </w:r>
            <w:r>
              <w:rPr>
                <w:rFonts w:hint="eastAsia" w:ascii="宋体" w:hAnsi="宋体" w:cs="宋体"/>
                <w:b/>
                <w:bCs/>
                <w:highlight w:val="none"/>
              </w:rPr>
            </w:r>
            <w:r/>
          </w:p>
        </w:tc>
        <w:tc>
          <w:tcPr>
            <w:tcW w:w="1144" w:type="dxa"/>
            <w:vAlign w:val="top"/>
            <w:textDirection w:val="lrTb"/>
            <w:noWrap w:val="false"/>
          </w:tcPr>
          <w:p>
            <w:pPr>
              <w:pStyle w:val="1208"/>
              <w:jc w:val="center"/>
              <w:spacing w:line="440" w:lineRule="exact"/>
              <w:rPr>
                <w:rFonts w:hint="eastAsia" w:ascii="宋体" w:hAnsi="宋体" w:cs="宋体"/>
                <w:b/>
                <w:bCs/>
                <w:highlight w:val="none"/>
              </w:rPr>
            </w:pPr>
            <w:r>
              <w:rPr>
                <w:rFonts w:hint="eastAsia" w:ascii="宋体" w:hAnsi="宋体" w:cs="宋体"/>
                <w:b/>
                <w:bCs/>
                <w:highlight w:val="none"/>
              </w:rPr>
              <w:t xml:space="preserve">考核指标</w:t>
            </w:r>
            <w:r>
              <w:rPr>
                <w:rFonts w:hint="eastAsia" w:ascii="宋体" w:hAnsi="宋体" w:cs="宋体"/>
                <w:b/>
                <w:bCs/>
                <w:highlight w:val="none"/>
              </w:rPr>
            </w:r>
            <w:r/>
          </w:p>
        </w:tc>
        <w:tc>
          <w:tcPr>
            <w:tcW w:w="2693" w:type="dxa"/>
            <w:vAlign w:val="top"/>
            <w:textDirection w:val="lrTb"/>
            <w:noWrap w:val="false"/>
          </w:tcPr>
          <w:p>
            <w:pPr>
              <w:pStyle w:val="1208"/>
              <w:jc w:val="center"/>
              <w:spacing w:line="440" w:lineRule="exact"/>
              <w:rPr>
                <w:rFonts w:hint="eastAsia" w:ascii="宋体" w:hAnsi="宋体" w:cs="宋体"/>
                <w:b/>
                <w:bCs/>
                <w:highlight w:val="none"/>
              </w:rPr>
            </w:pPr>
            <w:r>
              <w:rPr>
                <w:rFonts w:hint="eastAsia" w:ascii="宋体" w:hAnsi="宋体" w:cs="宋体"/>
                <w:b/>
                <w:bCs/>
                <w:highlight w:val="none"/>
              </w:rPr>
              <w:t xml:space="preserve">评分方法</w:t>
            </w:r>
            <w:r>
              <w:rPr>
                <w:rFonts w:hint="eastAsia" w:ascii="宋体" w:hAnsi="宋体" w:cs="宋体"/>
                <w:b/>
                <w:bCs/>
                <w:highlight w:val="none"/>
              </w:rPr>
            </w:r>
            <w:r/>
          </w:p>
        </w:tc>
      </w:tr>
      <w:tr>
        <w:trPr/>
        <w:tc>
          <w:tcPr>
            <w:tcW w:w="376" w:type="dxa"/>
            <w:vAlign w:val="top"/>
            <w:textDirection w:val="lrTb"/>
            <w:noWrap w:val="false"/>
          </w:tcPr>
          <w:p>
            <w:pPr>
              <w:pStyle w:val="1208"/>
              <w:jc w:val="center"/>
              <w:spacing w:line="44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786"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亮化设施完好率（20分）</w:t>
            </w:r>
            <w:r>
              <w:rPr>
                <w:rFonts w:hint="eastAsia" w:ascii="宋体" w:hAnsi="宋体" w:cs="宋体"/>
                <w:highlight w:val="none"/>
              </w:rPr>
            </w:r>
            <w:r/>
          </w:p>
        </w:tc>
        <w:tc>
          <w:tcPr>
            <w:tcW w:w="1144"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≥95%</w:t>
            </w:r>
            <w:r>
              <w:rPr>
                <w:rFonts w:hint="eastAsia" w:ascii="宋体" w:hAnsi="宋体" w:cs="宋体"/>
                <w:highlight w:val="none"/>
              </w:rPr>
            </w:r>
            <w:r/>
          </w:p>
          <w:p>
            <w:pPr>
              <w:pStyle w:val="1265"/>
              <w:ind w:left="0"/>
              <w:spacing w:line="440" w:lineRule="exact"/>
              <w:rPr>
                <w:rFonts w:hint="eastAsia" w:ascii="宋体" w:hAnsi="宋体" w:cs="宋体"/>
                <w:highlight w:val="none"/>
                <w:lang w:eastAsia="zh-CN"/>
              </w:rPr>
            </w:pPr>
            <w:r>
              <w:rPr>
                <w:rFonts w:hint="eastAsia" w:ascii="宋体" w:hAnsi="宋体" w:cs="宋体"/>
                <w:highlight w:val="none"/>
                <w:lang w:eastAsia="zh-CN"/>
              </w:rPr>
            </w:r>
            <w:r/>
          </w:p>
        </w:tc>
        <w:tc>
          <w:tcPr>
            <w:tcW w:w="2693" w:type="dxa"/>
            <w:vAlign w:val="top"/>
            <w:textDirection w:val="lrTb"/>
            <w:noWrap w:val="false"/>
          </w:tcPr>
          <w:p>
            <w:pPr>
              <w:pStyle w:val="1208"/>
              <w:ind w:firstLine="0"/>
              <w:spacing w:line="440" w:lineRule="exact"/>
              <w:rPr>
                <w:rFonts w:hint="eastAsia" w:ascii="宋体" w:hAnsi="宋体" w:cs="宋体"/>
                <w:highlight w:val="none"/>
              </w:rPr>
            </w:pPr>
            <w:r>
              <w:rPr>
                <w:rFonts w:hint="eastAsia" w:ascii="宋体" w:hAnsi="宋体" w:cs="宋体"/>
                <w:highlight w:val="none"/>
              </w:rPr>
              <w:t xml:space="preserve">1.每月组织1次白天检查考核。由甲、乙双方共同在109幢市直管楼宇中随机抽10幢楼宇进行考核，以单幢楼宇作为计分单位计算亮化设施完好率，亮化设施完好率=抽查亮化设施完好楼宇数量/10*100%，亮化设施完好率＜95%，每少1%扣1分，扣完20分为止。注：抽查发现亮化灯具损坏、管线裸露、连接点松动、控制设备损坏、箱柜损坏等任意2处及以上情形的，视为该幢楼宇亮化设施不完好。</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highlight w:val="none"/>
              </w:rPr>
              <w:t xml:space="preserve">2.每月组织4次夜晚亮灯期间（节日模式）检查考核。对109幢市直管楼宇的亮灯情况进行全面检查，以单幢楼宇作为计分单位计算亮化设施完好率，亮化设施完好率=亮化设施完好楼宇数量/109*100%，每次考核，亮化设施完好率＜95%（四舍五入），每少1%扣0.25分，扣完20分为止。注：通过检查楼宇实际采用灯具完好情况判定楼宇亮化完好情况，楼宇亮化完好情况分为好、中、差三个等次，</w:t>
            </w:r>
            <w:r>
              <w:rPr>
                <w:rFonts w:hint="eastAsia" w:ascii="宋体" w:hAnsi="宋体" w:cs="宋体"/>
                <w:b/>
                <w:bCs/>
                <w:highlight w:val="none"/>
              </w:rPr>
              <w:t xml:space="preserve">好</w:t>
            </w:r>
            <w:r>
              <w:rPr>
                <w:rFonts w:hint="eastAsia" w:ascii="宋体" w:hAnsi="宋体" w:cs="宋体"/>
                <w:highlight w:val="none"/>
              </w:rPr>
              <w:t xml:space="preserve">是指洗墙灯、线条灯、投光灯、双向壁灯、四向壁灯各≤1盏不亮、跳闪、亮不全，点光源≤2%的数量不亮、跳闪；</w:t>
            </w:r>
            <w:r>
              <w:rPr>
                <w:rFonts w:hint="eastAsia" w:ascii="宋体" w:hAnsi="宋体" w:cs="宋体"/>
                <w:b/>
                <w:bCs/>
                <w:highlight w:val="none"/>
              </w:rPr>
              <w:t xml:space="preserve">中</w:t>
            </w:r>
            <w:r>
              <w:rPr>
                <w:rFonts w:hint="eastAsia" w:ascii="宋体" w:hAnsi="宋体" w:cs="宋体"/>
                <w:highlight w:val="none"/>
              </w:rPr>
              <w:t xml:space="preserve">是指洗墙灯、线条灯、投光灯、双向壁灯、四向壁灯中任意一种灯具＞1、≤2盏不亮、跳闪、亮不全或点光源＞2%、≤5%的数量不亮、跳闪；</w:t>
            </w:r>
            <w:r>
              <w:rPr>
                <w:rFonts w:hint="eastAsia" w:ascii="宋体" w:hAnsi="宋体" w:cs="宋体"/>
                <w:b/>
                <w:bCs/>
                <w:highlight w:val="none"/>
              </w:rPr>
              <w:t xml:space="preserve">差</w:t>
            </w:r>
            <w:r>
              <w:rPr>
                <w:rFonts w:hint="eastAsia" w:ascii="宋体" w:hAnsi="宋体" w:cs="宋体"/>
                <w:highlight w:val="none"/>
              </w:rPr>
              <w:t xml:space="preserve">是指洗墙灯、线条灯、投光灯、双向壁灯、四向壁灯中任意一种灯具＞2盏不亮、跳闪、亮不全或点光源＞5%的数量不亮、跳闪。楼宇亮化完好情况评为好等次的视为该幢楼宇亮化设施完好，中等次的视为0.5幢楼宇亮化设施完好，差等次的视为该幢楼宇亮化设施不完好。</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b/>
                <w:bCs/>
                <w:highlight w:val="none"/>
              </w:rPr>
              <w:t xml:space="preserve">以上考核累计计分，扣完20分为止。</w:t>
            </w:r>
            <w:r>
              <w:rPr>
                <w:rFonts w:hint="eastAsia" w:ascii="宋体" w:hAnsi="宋体" w:cs="宋体"/>
                <w:highlight w:val="none"/>
              </w:rPr>
            </w:r>
            <w:r/>
          </w:p>
        </w:tc>
      </w:tr>
      <w:tr>
        <w:trPr>
          <w:trHeight w:val="1663"/>
        </w:trPr>
        <w:tc>
          <w:tcPr>
            <w:tcW w:w="376" w:type="dxa"/>
            <w:vAlign w:val="top"/>
            <w:textDirection w:val="lrTb"/>
            <w:noWrap w:val="false"/>
          </w:tcPr>
          <w:p>
            <w:pPr>
              <w:pStyle w:val="1208"/>
              <w:jc w:val="center"/>
              <w:spacing w:line="44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786" w:type="dxa"/>
            <w:vAlign w:val="top"/>
            <w:textDirection w:val="lrTb"/>
            <w:noWrap w:val="false"/>
          </w:tcPr>
          <w:p>
            <w:pPr>
              <w:pStyle w:val="1208"/>
              <w:spacing w:line="440" w:lineRule="exact"/>
              <w:rPr>
                <w:rFonts w:hint="eastAsia" w:ascii="宋体" w:hAnsi="宋体" w:cs="宋体"/>
                <w:szCs w:val="24"/>
                <w:highlight w:val="none"/>
              </w:rPr>
            </w:pPr>
            <w:r>
              <w:rPr>
                <w:rFonts w:hint="eastAsia" w:ascii="宋体" w:hAnsi="宋体" w:cs="宋体"/>
                <w:szCs w:val="24"/>
                <w:highlight w:val="none"/>
              </w:rPr>
              <w:t xml:space="preserve">亮灯率</w:t>
            </w:r>
            <w:r>
              <w:rPr>
                <w:rFonts w:hint="eastAsia" w:ascii="宋体" w:hAnsi="宋体" w:cs="宋体"/>
                <w:highlight w:val="none"/>
              </w:rPr>
              <w:t xml:space="preserve">（20分）</w:t>
            </w:r>
            <w:r>
              <w:rPr>
                <w:rFonts w:hint="eastAsia" w:ascii="宋体" w:hAnsi="宋体" w:cs="宋体"/>
                <w:szCs w:val="24"/>
                <w:highlight w:val="none"/>
              </w:rPr>
            </w:r>
            <w:r/>
          </w:p>
        </w:tc>
        <w:tc>
          <w:tcPr>
            <w:tcW w:w="1144" w:type="dxa"/>
            <w:vAlign w:val="top"/>
            <w:textDirection w:val="lrTb"/>
            <w:noWrap w:val="false"/>
          </w:tcPr>
          <w:p>
            <w:pPr>
              <w:pStyle w:val="1208"/>
              <w:ind w:firstLine="210"/>
              <w:spacing w:line="440" w:lineRule="exact"/>
              <w:rPr>
                <w:rFonts w:hint="eastAsia" w:ascii="宋体" w:hAnsi="宋体" w:cs="宋体"/>
                <w:szCs w:val="24"/>
                <w:highlight w:val="none"/>
              </w:rPr>
            </w:pPr>
            <w:r>
              <w:rPr>
                <w:rFonts w:hint="eastAsia" w:ascii="宋体" w:hAnsi="宋体" w:cs="宋体"/>
                <w:bCs/>
                <w:highlight w:val="none"/>
              </w:rPr>
              <w:t xml:space="preserve">≥9</w:t>
            </w:r>
            <w:r>
              <w:rPr>
                <w:rFonts w:hint="eastAsia" w:ascii="宋体" w:hAnsi="宋体" w:cs="宋体"/>
                <w:bCs/>
                <w:highlight w:val="none"/>
                <w:lang w:val="en-US" w:eastAsia="zh-CN"/>
              </w:rPr>
              <w:t xml:space="preserve">5</w:t>
            </w:r>
            <w:r>
              <w:rPr>
                <w:rFonts w:hint="eastAsia" w:ascii="宋体" w:hAnsi="宋体" w:cs="宋体"/>
                <w:bCs/>
                <w:highlight w:val="none"/>
              </w:rPr>
              <w:t xml:space="preserve">%</w:t>
            </w:r>
            <w:r>
              <w:rPr>
                <w:rFonts w:hint="eastAsia" w:ascii="宋体" w:hAnsi="宋体" w:cs="宋体"/>
                <w:szCs w:val="24"/>
                <w:highlight w:val="none"/>
              </w:rPr>
            </w:r>
            <w:r/>
          </w:p>
        </w:tc>
        <w:tc>
          <w:tcPr>
            <w:tcW w:w="2693" w:type="dxa"/>
            <w:vAlign w:val="top"/>
            <w:textDirection w:val="lrTb"/>
            <w:noWrap w:val="false"/>
          </w:tcPr>
          <w:p>
            <w:pPr>
              <w:pStyle w:val="1208"/>
              <w:ind w:firstLine="0"/>
              <w:spacing w:line="440" w:lineRule="exact"/>
              <w:rPr>
                <w:rFonts w:hint="eastAsia" w:ascii="宋体" w:hAnsi="宋体" w:cs="宋体"/>
                <w:highlight w:val="none"/>
              </w:rPr>
            </w:pPr>
            <w:r>
              <w:rPr>
                <w:rFonts w:hint="eastAsia" w:ascii="宋体" w:hAnsi="宋体" w:cs="宋体"/>
                <w:highlight w:val="none"/>
              </w:rPr>
              <w:t xml:space="preserve">每月组织4次夜晚亮灯期间（节日模式）检查考核（与检查考核楼宇亮化设施完好情况同步进行）。对109幢市直管楼宇的亮灯情况进行全面检查，以单幢楼宇作为计分单位计算亮灯率，亮灯率=亮灯楼宇数量/109*100%，亮灯率＜9</w:t>
            </w:r>
            <w:r>
              <w:rPr>
                <w:rFonts w:hint="eastAsia" w:ascii="宋体" w:hAnsi="宋体" w:cs="宋体"/>
                <w:highlight w:val="none"/>
                <w:lang w:val="en-US" w:eastAsia="zh-CN"/>
              </w:rPr>
              <w:t xml:space="preserve">5</w:t>
            </w:r>
            <w:r>
              <w:rPr>
                <w:rFonts w:hint="eastAsia" w:ascii="宋体" w:hAnsi="宋体" w:cs="宋体"/>
                <w:highlight w:val="none"/>
              </w:rPr>
              <w:t xml:space="preserve">%（四舍五入），每少1%扣0.25分，扣完20分为止。 </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highlight w:val="none"/>
              </w:rPr>
              <w:t xml:space="preserve">1.因线路故障、集控系统故障等原因导致整幢楼宇亮化不能开启视为该幢楼宇不亮。</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highlight w:val="none"/>
              </w:rPr>
              <w:t xml:space="preserve">2.检查发现整幢楼宇不亮时，如乙方在1小时之内修复亮灯的，计入亮化设施完好率进行考核，1小时之内未能及时修复的，计入亮灯率考核。</w:t>
            </w:r>
            <w:r>
              <w:rPr>
                <w:rFonts w:hint="eastAsia" w:ascii="宋体" w:hAnsi="宋体" w:cs="宋体"/>
                <w:highlight w:val="none"/>
              </w:rPr>
            </w:r>
            <w:r/>
          </w:p>
          <w:p>
            <w:pPr>
              <w:pStyle w:val="1265"/>
              <w:ind w:left="0" w:firstLine="0"/>
              <w:spacing w:line="440" w:lineRule="exact"/>
              <w:rPr>
                <w:rFonts w:hint="eastAsia" w:ascii="宋体" w:hAnsi="宋体" w:cs="宋体"/>
                <w:highlight w:val="none"/>
                <w:lang w:eastAsia="zh-CN"/>
              </w:rPr>
            </w:pPr>
            <w:r>
              <w:rPr>
                <w:rFonts w:hint="eastAsia" w:ascii="宋体" w:hAnsi="宋体" w:cs="宋体"/>
                <w:sz w:val="21"/>
                <w:szCs w:val="21"/>
                <w:highlight w:val="none"/>
                <w:lang w:eastAsia="zh-CN"/>
              </w:rPr>
              <w:t xml:space="preserve">3.单次考核＞10幢楼宇不亮，扣20分。</w:t>
            </w:r>
            <w:r>
              <w:rPr>
                <w:rFonts w:hint="eastAsia" w:ascii="宋体" w:hAnsi="宋体" w:cs="宋体"/>
                <w:highlight w:val="none"/>
                <w:lang w:eastAsia="zh-CN"/>
              </w:rPr>
            </w:r>
            <w:r/>
          </w:p>
        </w:tc>
      </w:tr>
      <w:tr>
        <w:trPr>
          <w:trHeight w:val="90"/>
        </w:trPr>
        <w:tc>
          <w:tcPr>
            <w:tcW w:w="376" w:type="dxa"/>
            <w:vAlign w:val="top"/>
            <w:textDirection w:val="lrTb"/>
            <w:noWrap w:val="false"/>
          </w:tcPr>
          <w:p>
            <w:pPr>
              <w:pStyle w:val="1208"/>
              <w:jc w:val="center"/>
              <w:spacing w:line="44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786"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控制系统（20分）</w:t>
            </w:r>
            <w:r>
              <w:rPr>
                <w:rFonts w:hint="eastAsia" w:ascii="宋体" w:hAnsi="宋体" w:cs="宋体"/>
                <w:highlight w:val="none"/>
              </w:rPr>
            </w:r>
            <w:r/>
          </w:p>
        </w:tc>
        <w:tc>
          <w:tcPr>
            <w:tcW w:w="1144" w:type="dxa"/>
            <w:vAlign w:val="top"/>
            <w:textDirection w:val="lrTb"/>
            <w:noWrap w:val="false"/>
          </w:tcPr>
          <w:p>
            <w:pPr>
              <w:pStyle w:val="1208"/>
              <w:ind w:firstLine="210"/>
              <w:spacing w:line="440" w:lineRule="exact"/>
              <w:rPr>
                <w:rFonts w:hint="eastAsia" w:ascii="宋体" w:hAnsi="宋体" w:cs="宋体"/>
                <w:highlight w:val="none"/>
              </w:rPr>
            </w:pPr>
            <w:r>
              <w:rPr>
                <w:rFonts w:hint="eastAsia" w:ascii="宋体" w:hAnsi="宋体" w:cs="宋体"/>
                <w:highlight w:val="none"/>
              </w:rPr>
              <w:t xml:space="preserve">功能正常、运行良好</w:t>
            </w:r>
            <w:r>
              <w:rPr>
                <w:rFonts w:hint="eastAsia" w:ascii="宋体" w:hAnsi="宋体" w:cs="宋体"/>
                <w:highlight w:val="none"/>
              </w:rPr>
            </w:r>
            <w:r/>
          </w:p>
          <w:p>
            <w:pPr>
              <w:pStyle w:val="1265"/>
              <w:ind w:left="0"/>
              <w:spacing w:line="44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tc>
        <w:tc>
          <w:tcPr>
            <w:tcW w:w="2693" w:type="dxa"/>
            <w:vAlign w:val="top"/>
            <w:textDirection w:val="lrTb"/>
            <w:noWrap w:val="false"/>
          </w:tcPr>
          <w:p>
            <w:pPr>
              <w:pStyle w:val="1208"/>
              <w:ind w:firstLine="0"/>
              <w:spacing w:line="440" w:lineRule="exact"/>
              <w:rPr>
                <w:rFonts w:hint="eastAsia" w:ascii="宋体" w:hAnsi="宋体" w:cs="宋体"/>
                <w:highlight w:val="none"/>
              </w:rPr>
            </w:pPr>
            <w:r>
              <w:rPr>
                <w:rFonts w:hint="eastAsia" w:ascii="宋体" w:hAnsi="宋体" w:cs="宋体"/>
                <w:highlight w:val="none"/>
              </w:rPr>
              <w:t xml:space="preserve">1.通过市区景观亮化集中控制系统平台检查所有接入集控系统楼宇亮化在线情况。2</w:t>
            </w:r>
            <w:r>
              <w:rPr>
                <w:rFonts w:hint="eastAsia" w:ascii="宋体" w:hAnsi="宋体" w:cs="宋体"/>
                <w:highlight w:val="none"/>
                <w:lang w:val="en-US" w:eastAsia="zh-CN"/>
              </w:rPr>
              <w:t xml:space="preserve">9</w:t>
            </w:r>
            <w:r>
              <w:rPr>
                <w:rFonts w:hint="eastAsia" w:ascii="宋体" w:hAnsi="宋体" w:cs="宋体"/>
                <w:highlight w:val="none"/>
              </w:rPr>
              <w:t xml:space="preserve">幢媒体屏楼宇亮化弱电控制月平均在线率＜100%（四舍五入），每少1%，扣0.5分；350幢双色温楼宇亮化弱电控制月平均在线率＜95%（四舍五入），每少1%，扣0.5分；894幢楼宇亮化强电控制的月平均在线率＜95%（四舍五入），每少1%，扣0.5分；市区其他区域及新增楼宇亮化强电控制的月平均在线率＜80%（四舍五入），每少1%，扣0.5分，扣完20分为止。</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highlight w:val="none"/>
              </w:rPr>
              <w:t xml:space="preserve">2.通过上级交办、日常巡查、市民举报等各种渠道发现894幢楼宇亮化存在异常亮灯情形的，每处扣0.25分。注：异常亮灯情形为不按规定时间提前亮灯、延迟关灯15分钟以上，或者白天除经批准亮灯检修以外异常亮灯超过15分钟，无论是整幢楼或者局部灯具异常亮灯的，均视为1处予以扣分，扣完20分为止。</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b/>
                <w:bCs/>
                <w:highlight w:val="none"/>
              </w:rPr>
              <w:t xml:space="preserve">以上考核累计计分，扣完20分为止。</w:t>
            </w:r>
            <w:r>
              <w:rPr>
                <w:rFonts w:hint="eastAsia" w:ascii="宋体" w:hAnsi="宋体" w:cs="宋体"/>
                <w:highlight w:val="none"/>
              </w:rPr>
            </w:r>
            <w:r/>
          </w:p>
        </w:tc>
      </w:tr>
      <w:tr>
        <w:trPr/>
        <w:tc>
          <w:tcPr>
            <w:tcW w:w="376"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786"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故障修复响应及时率（20分）</w:t>
            </w:r>
            <w:r>
              <w:rPr>
                <w:rFonts w:hint="eastAsia" w:ascii="宋体" w:hAnsi="宋体" w:cs="宋体"/>
                <w:highlight w:val="none"/>
              </w:rPr>
            </w:r>
            <w:r/>
          </w:p>
        </w:tc>
        <w:tc>
          <w:tcPr>
            <w:tcW w:w="1144"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100%</w:t>
            </w:r>
            <w:r>
              <w:rPr>
                <w:rFonts w:hint="eastAsia" w:ascii="宋体" w:hAnsi="宋体" w:cs="宋体"/>
                <w:highlight w:val="none"/>
              </w:rPr>
            </w:r>
            <w:r/>
          </w:p>
        </w:tc>
        <w:tc>
          <w:tcPr>
            <w:tcW w:w="2693" w:type="dxa"/>
            <w:vAlign w:val="top"/>
            <w:textDirection w:val="lrTb"/>
            <w:noWrap w:val="false"/>
          </w:tcPr>
          <w:p>
            <w:pPr>
              <w:pStyle w:val="1208"/>
              <w:numPr>
                <w:ilvl w:val="0"/>
                <w:numId w:val="0"/>
              </w:numPr>
              <w:ind w:firstLine="0"/>
              <w:spacing w:line="4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乙方应根据甲方要求，积极参加维保服务工作，明确项目负责人1人，</w:t>
            </w:r>
            <w:r>
              <w:rPr>
                <w:rFonts w:hint="eastAsia" w:ascii="宋体" w:hAnsi="宋体" w:eastAsia="宋体" w:cs="宋体"/>
                <w:bCs w:val="0"/>
                <w:sz w:val="21"/>
                <w:szCs w:val="21"/>
                <w:highlight w:val="none"/>
              </w:rPr>
              <w:t xml:space="preserve">每周</w:t>
            </w:r>
            <w:r>
              <w:rPr>
                <w:rFonts w:hint="eastAsia" w:ascii="宋体" w:hAnsi="宋体" w:eastAsia="宋体" w:cs="宋体"/>
                <w:bCs w:val="0"/>
                <w:sz w:val="21"/>
                <w:szCs w:val="21"/>
                <w:highlight w:val="none"/>
                <w:lang w:val="en-US" w:eastAsia="zh-CN"/>
              </w:rPr>
              <w:t xml:space="preserve">向</w:t>
            </w:r>
            <w:r>
              <w:rPr>
                <w:rFonts w:hint="eastAsia" w:ascii="宋体" w:hAnsi="宋体" w:eastAsia="宋体" w:cs="宋体"/>
                <w:bCs w:val="0"/>
                <w:sz w:val="21"/>
                <w:szCs w:val="21"/>
                <w:highlight w:val="none"/>
              </w:rPr>
              <w:t xml:space="preserve">甲方汇报一次维保情况，具体</w:t>
            </w:r>
            <w:r>
              <w:rPr>
                <w:rFonts w:hint="eastAsia" w:ascii="宋体" w:hAnsi="宋体" w:eastAsia="宋体" w:cs="宋体"/>
                <w:bCs w:val="0"/>
                <w:sz w:val="21"/>
                <w:szCs w:val="21"/>
                <w:highlight w:val="none"/>
                <w:lang w:val="en-US" w:eastAsia="zh-CN"/>
              </w:rPr>
              <w:t xml:space="preserve">汇报</w:t>
            </w:r>
            <w:r>
              <w:rPr>
                <w:rFonts w:hint="eastAsia" w:ascii="宋体" w:hAnsi="宋体" w:eastAsia="宋体" w:cs="宋体"/>
                <w:bCs w:val="0"/>
                <w:sz w:val="21"/>
                <w:szCs w:val="21"/>
                <w:highlight w:val="none"/>
              </w:rPr>
              <w:t xml:space="preserve">时间</w:t>
            </w:r>
            <w:r>
              <w:rPr>
                <w:rFonts w:hint="eastAsia" w:ascii="宋体" w:hAnsi="宋体" w:eastAsia="宋体" w:cs="宋体"/>
                <w:bCs w:val="0"/>
                <w:sz w:val="21"/>
                <w:szCs w:val="21"/>
                <w:highlight w:val="none"/>
                <w:lang w:eastAsia="zh-CN"/>
              </w:rPr>
              <w:t xml:space="preserve">、</w:t>
            </w:r>
            <w:r>
              <w:rPr>
                <w:rFonts w:hint="eastAsia" w:ascii="宋体" w:hAnsi="宋体" w:eastAsia="宋体" w:cs="宋体"/>
                <w:bCs w:val="0"/>
                <w:sz w:val="21"/>
                <w:szCs w:val="21"/>
                <w:highlight w:val="none"/>
                <w:lang w:val="en-US" w:eastAsia="zh-CN"/>
              </w:rPr>
              <w:t xml:space="preserve">形式</w:t>
            </w:r>
            <w:r>
              <w:rPr>
                <w:rFonts w:hint="eastAsia" w:ascii="宋体" w:hAnsi="宋体" w:eastAsia="宋体" w:cs="宋体"/>
                <w:bCs w:val="0"/>
                <w:sz w:val="21"/>
                <w:szCs w:val="21"/>
                <w:highlight w:val="none"/>
              </w:rPr>
              <w:t xml:space="preserve">由甲方指定，</w:t>
            </w:r>
            <w:r>
              <w:rPr>
                <w:rFonts w:hint="eastAsia" w:ascii="宋体" w:hAnsi="宋体" w:eastAsia="宋体" w:cs="宋体"/>
                <w:highlight w:val="none"/>
              </w:rPr>
              <w:t xml:space="preserve">缺席一次扣0.5分，无故不参加甲方组织的工作会议，每次扣1分；现场维护人员应不少于4人，甲方每月抽查4次，发现不足4人，每次每少1人扣0.5分。</w:t>
            </w:r>
            <w:r>
              <w:rPr>
                <w:rFonts w:hint="eastAsia" w:ascii="宋体" w:hAnsi="宋体" w:eastAsia="宋体" w:cs="宋体"/>
                <w:highlight w:val="none"/>
              </w:rPr>
            </w:r>
            <w:r/>
          </w:p>
          <w:p>
            <w:pPr>
              <w:pStyle w:val="1208"/>
              <w:ind w:firstLine="0"/>
              <w:spacing w:line="440" w:lineRule="exact"/>
              <w:rPr>
                <w:rFonts w:hint="eastAsia" w:ascii="宋体" w:hAnsi="宋体" w:cs="宋体"/>
                <w:highlight w:val="none"/>
              </w:rPr>
            </w:pPr>
            <w:r>
              <w:rPr>
                <w:rFonts w:hint="eastAsia" w:ascii="宋体" w:hAnsi="宋体" w:eastAsia="宋体" w:cs="宋体"/>
                <w:highlight w:val="none"/>
              </w:rPr>
              <w:t xml:space="preserve">2.对甲方考核发现和临时交办的问题，维护人员应在1小时之内到达现场，24小时内修复。</w:t>
            </w:r>
            <w:r>
              <w:rPr>
                <w:rFonts w:hint="eastAsia" w:ascii="宋体" w:hAnsi="宋体" w:cs="宋体"/>
                <w:highlight w:val="none"/>
              </w:rPr>
              <w:t xml:space="preserve">未按时修复的，每延迟1小时扣0.2分。</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highlight w:val="none"/>
              </w:rPr>
              <w:t xml:space="preserve">3.复杂问题、特殊情况不能及时修复的，维护人员响应后应及时向甲方提出申请，由甲方根据实际情况适当延迟修复时间，但修复时间最长不超过48小时，未按时修复的，每延迟1小时扣0.1分。</w:t>
            </w:r>
            <w:r>
              <w:rPr>
                <w:rFonts w:hint="eastAsia" w:ascii="宋体" w:hAnsi="宋体" w:cs="宋体"/>
                <w:highlight w:val="none"/>
              </w:rPr>
            </w:r>
            <w:r/>
          </w:p>
          <w:p>
            <w:pPr>
              <w:pStyle w:val="1265"/>
              <w:ind w:left="0" w:firstLine="0"/>
              <w:spacing w:line="44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注：延迟时间不足1小时的按1小时计算。</w:t>
            </w:r>
            <w:r>
              <w:rPr>
                <w:rFonts w:hint="eastAsia" w:ascii="宋体" w:hAnsi="宋体" w:cs="宋体"/>
                <w:sz w:val="21"/>
                <w:szCs w:val="21"/>
                <w:highlight w:val="none"/>
                <w:lang w:eastAsia="zh-CN"/>
              </w:rPr>
            </w:r>
            <w:r/>
          </w:p>
          <w:p>
            <w:pPr>
              <w:pStyle w:val="1265"/>
              <w:ind w:left="0" w:firstLine="0"/>
              <w:spacing w:line="440" w:lineRule="exact"/>
              <w:rPr>
                <w:rFonts w:hint="eastAsia" w:ascii="宋体" w:hAnsi="宋体" w:cs="宋体"/>
                <w:sz w:val="21"/>
                <w:szCs w:val="21"/>
                <w:highlight w:val="none"/>
                <w:lang w:eastAsia="zh-CN"/>
              </w:rPr>
            </w:pPr>
            <w:r>
              <w:rPr>
                <w:rFonts w:hint="eastAsia" w:ascii="宋体" w:hAnsi="宋体" w:cs="宋体"/>
                <w:b/>
                <w:bCs/>
                <w:sz w:val="21"/>
                <w:szCs w:val="21"/>
                <w:highlight w:val="none"/>
                <w:lang w:eastAsia="zh-CN" w:bidi="ar-SA"/>
              </w:rPr>
              <w:t xml:space="preserve">以上考核累计计分，扣完20分为止。</w:t>
            </w:r>
            <w:r>
              <w:rPr>
                <w:rFonts w:hint="eastAsia" w:ascii="宋体" w:hAnsi="宋体" w:cs="宋体"/>
                <w:sz w:val="21"/>
                <w:szCs w:val="21"/>
                <w:highlight w:val="none"/>
                <w:lang w:eastAsia="zh-CN"/>
              </w:rPr>
            </w:r>
            <w:r/>
          </w:p>
        </w:tc>
      </w:tr>
      <w:tr>
        <w:trPr/>
        <w:tc>
          <w:tcPr>
            <w:tcW w:w="376" w:type="dxa"/>
            <w:vAlign w:val="top"/>
            <w:textDirection w:val="lrTb"/>
            <w:noWrap w:val="false"/>
          </w:tcPr>
          <w:p>
            <w:pPr>
              <w:pStyle w:val="1208"/>
              <w:jc w:val="center"/>
              <w:spacing w:line="44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786"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安全文明作业（15分）</w:t>
            </w:r>
            <w:r>
              <w:rPr>
                <w:rFonts w:hint="eastAsia" w:ascii="宋体" w:hAnsi="宋体" w:cs="宋体"/>
                <w:highlight w:val="none"/>
              </w:rPr>
            </w:r>
            <w:r/>
          </w:p>
        </w:tc>
        <w:tc>
          <w:tcPr>
            <w:tcW w:w="1144" w:type="dxa"/>
            <w:vAlign w:val="top"/>
            <w:textDirection w:val="lrTb"/>
            <w:noWrap w:val="false"/>
          </w:tcPr>
          <w:p>
            <w:pPr>
              <w:pStyle w:val="1208"/>
              <w:ind w:firstLine="210"/>
              <w:spacing w:line="440" w:lineRule="exact"/>
              <w:rPr>
                <w:rFonts w:hint="eastAsia" w:ascii="宋体" w:hAnsi="宋体" w:cs="宋体"/>
                <w:highlight w:val="none"/>
              </w:rPr>
            </w:pPr>
            <w:r>
              <w:rPr>
                <w:rFonts w:hint="eastAsia" w:ascii="宋体" w:hAnsi="宋体" w:cs="宋体"/>
                <w:highlight w:val="none"/>
              </w:rPr>
              <w:t xml:space="preserve">制度健全，措施落实，安全文明施工，无事故、无投诉</w:t>
            </w:r>
            <w:r>
              <w:rPr>
                <w:rFonts w:hint="eastAsia" w:ascii="宋体" w:hAnsi="宋体" w:cs="宋体"/>
                <w:highlight w:val="none"/>
              </w:rPr>
            </w:r>
            <w:r/>
          </w:p>
        </w:tc>
        <w:tc>
          <w:tcPr>
            <w:tcW w:w="2693" w:type="dxa"/>
            <w:vAlign w:val="top"/>
            <w:textDirection w:val="lrTb"/>
            <w:noWrap w:val="false"/>
          </w:tcPr>
          <w:p>
            <w:pPr>
              <w:pStyle w:val="1208"/>
              <w:ind w:firstLine="0"/>
              <w:spacing w:line="440" w:lineRule="exact"/>
              <w:rPr>
                <w:rFonts w:hint="eastAsia" w:ascii="宋体" w:hAnsi="宋体" w:cs="宋体"/>
                <w:highlight w:val="none"/>
              </w:rPr>
            </w:pPr>
            <w:r>
              <w:rPr>
                <w:rFonts w:hint="eastAsia" w:ascii="宋体" w:hAnsi="宋体" w:cs="宋体"/>
                <w:highlight w:val="none"/>
              </w:rPr>
              <w:t xml:space="preserve">1.乙方未建立规范、完整的维护管理方案，包括日常管理机制、维修设备和专业技术人员的配备、维护维修方案、日常巡查制度等扣5分,方案不全每缺少1项扣1分，</w:t>
            </w:r>
            <w:r>
              <w:rPr>
                <w:rFonts w:hint="eastAsia" w:ascii="宋体" w:hAnsi="宋体" w:cs="宋体"/>
                <w:b/>
                <w:bCs/>
                <w:highlight w:val="none"/>
              </w:rPr>
              <w:t xml:space="preserve">扣完5分为止</w:t>
            </w:r>
            <w:r>
              <w:rPr>
                <w:rFonts w:hint="eastAsia" w:ascii="宋体" w:hAnsi="宋体" w:cs="宋体"/>
                <w:highlight w:val="none"/>
              </w:rPr>
              <w:t xml:space="preserve">。</w:t>
            </w:r>
            <w:r>
              <w:rPr>
                <w:rFonts w:hint="eastAsia" w:ascii="宋体" w:hAnsi="宋体" w:cs="宋体"/>
                <w:highlight w:val="none"/>
              </w:rPr>
            </w:r>
            <w:r/>
          </w:p>
          <w:p>
            <w:pPr>
              <w:pStyle w:val="1208"/>
              <w:ind w:firstLine="0"/>
              <w:spacing w:line="440" w:lineRule="exact"/>
              <w:rPr>
                <w:rFonts w:hint="eastAsia" w:ascii="宋体" w:hAnsi="宋体" w:cs="宋体"/>
                <w:highlight w:val="none"/>
              </w:rPr>
            </w:pPr>
            <w:r>
              <w:rPr>
                <w:rFonts w:hint="eastAsia" w:ascii="宋体" w:hAnsi="宋体" w:cs="宋体"/>
                <w:highlight w:val="none"/>
              </w:rPr>
              <w:t xml:space="preserve">2.维护人员未按有关规程规范维护作业，每发现1例，扣1分，因不文明施工导致市民投诉的，每例扣1分，媒体曝光的，每例扣2分，</w:t>
            </w:r>
            <w:r>
              <w:rPr>
                <w:rFonts w:hint="eastAsia" w:ascii="宋体" w:hAnsi="宋体" w:cs="宋体"/>
                <w:b/>
                <w:bCs/>
                <w:highlight w:val="none"/>
              </w:rPr>
              <w:t xml:space="preserve">扣完10分为止</w:t>
            </w:r>
            <w:r>
              <w:rPr>
                <w:rFonts w:hint="eastAsia" w:ascii="宋体" w:hAnsi="宋体" w:cs="宋体"/>
                <w:highlight w:val="none"/>
              </w:rPr>
              <w:t xml:space="preserve">。</w:t>
            </w:r>
            <w:r>
              <w:rPr>
                <w:rFonts w:hint="eastAsia" w:ascii="宋体" w:hAnsi="宋体" w:cs="宋体"/>
                <w:highlight w:val="none"/>
              </w:rPr>
            </w:r>
            <w:r/>
          </w:p>
        </w:tc>
      </w:tr>
      <w:tr>
        <w:trPr/>
        <w:tc>
          <w:tcPr>
            <w:tcW w:w="376"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786"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维护台账（5分）</w:t>
            </w:r>
            <w:r>
              <w:rPr>
                <w:rFonts w:hint="eastAsia" w:ascii="宋体" w:hAnsi="宋体" w:cs="宋体"/>
                <w:highlight w:val="none"/>
              </w:rPr>
            </w:r>
            <w:r/>
          </w:p>
        </w:tc>
        <w:tc>
          <w:tcPr>
            <w:tcW w:w="1144" w:type="dxa"/>
            <w:vAlign w:val="top"/>
            <w:textDirection w:val="lrTb"/>
            <w:noWrap w:val="false"/>
          </w:tcPr>
          <w:p>
            <w:pPr>
              <w:pStyle w:val="1208"/>
              <w:spacing w:line="440" w:lineRule="exact"/>
              <w:rPr>
                <w:rFonts w:hint="eastAsia" w:ascii="宋体" w:hAnsi="宋体" w:cs="宋体"/>
                <w:highlight w:val="none"/>
              </w:rPr>
            </w:pPr>
            <w:r>
              <w:rPr>
                <w:rFonts w:hint="eastAsia" w:ascii="宋体" w:hAnsi="宋体" w:cs="宋体"/>
                <w:highlight w:val="none"/>
              </w:rPr>
              <w:t xml:space="preserve">维护台账资料健全、按时报送</w:t>
            </w:r>
            <w:r>
              <w:rPr>
                <w:rFonts w:hint="eastAsia" w:ascii="宋体" w:hAnsi="宋体" w:cs="宋体"/>
                <w:highlight w:val="none"/>
              </w:rPr>
            </w:r>
            <w:r/>
          </w:p>
        </w:tc>
        <w:tc>
          <w:tcPr>
            <w:tcW w:w="2693" w:type="dxa"/>
            <w:vAlign w:val="top"/>
            <w:textDirection w:val="lrTb"/>
            <w:noWrap w:val="false"/>
          </w:tcPr>
          <w:p>
            <w:pPr>
              <w:pStyle w:val="1208"/>
              <w:ind w:firstLine="0"/>
              <w:spacing w:line="440" w:lineRule="exact"/>
              <w:rPr>
                <w:rFonts w:hint="eastAsia" w:ascii="宋体" w:hAnsi="宋体" w:cs="宋体"/>
                <w:highlight w:val="none"/>
              </w:rPr>
            </w:pPr>
            <w:r>
              <w:rPr>
                <w:rFonts w:hint="eastAsia" w:ascii="宋体" w:hAnsi="宋体" w:cs="宋体"/>
                <w:highlight w:val="none"/>
              </w:rPr>
              <w:t xml:space="preserve">乙方需每日安排人员巡查亮化设施，并做好记录，每月向甲方报送台账资料。台账资料不全的，每少1天扣0.5分，不按时报送的，每次扣0.5分。</w:t>
            </w:r>
            <w:r>
              <w:rPr>
                <w:rFonts w:hint="eastAsia" w:ascii="宋体" w:hAnsi="宋体" w:cs="宋体"/>
                <w:highlight w:val="none"/>
              </w:rPr>
            </w:r>
            <w:r/>
          </w:p>
        </w:tc>
      </w:tr>
    </w:tbl>
    <w:p>
      <w:pPr>
        <w:pStyle w:val="1208"/>
        <w:numPr>
          <w:ilvl w:val="0"/>
          <w:numId w:val="12"/>
        </w:num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 检查考核亮化设施完好率、亮灯率，甲方通知乙方派员参加考核。</w:t>
      </w:r>
      <w:r>
        <w:rPr>
          <w:rFonts w:hint="eastAsia" w:ascii="宋体" w:hAnsi="宋体" w:cs="宋体"/>
          <w:sz w:val="24"/>
          <w:highlight w:val="none"/>
        </w:rPr>
      </w:r>
      <w:r/>
    </w:p>
    <w:p>
      <w:pPr>
        <w:pStyle w:val="1208"/>
        <w:numPr>
          <w:ilvl w:val="0"/>
          <w:numId w:val="12"/>
        </w:num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 月度考核与维保服务费用挂钩。</w:t>
      </w:r>
      <w:r>
        <w:rPr>
          <w:rFonts w:hint="eastAsia" w:ascii="宋体" w:hAnsi="宋体" w:cs="宋体"/>
          <w:sz w:val="24"/>
          <w:highlight w:val="none"/>
        </w:rPr>
      </w:r>
      <w:r/>
    </w:p>
    <w:p>
      <w:pPr>
        <w:pStyle w:val="1208"/>
        <w:ind w:firstLine="480"/>
        <w:spacing w:line="440" w:lineRule="exact"/>
        <w:rPr>
          <w:rFonts w:hint="eastAsia" w:ascii="宋体" w:hAnsi="宋体" w:cs="宋体"/>
          <w:sz w:val="24"/>
          <w:highlight w:val="none"/>
        </w:rPr>
      </w:pPr>
      <w:r>
        <w:rPr>
          <w:rFonts w:hint="eastAsia" w:ascii="宋体" w:hAnsi="宋体" w:cs="宋体"/>
          <w:sz w:val="24"/>
          <w:highlight w:val="none"/>
        </w:rPr>
        <w:t xml:space="preserve">第六条  一年内月度考核得分低于70分或者连续2个月低于80分的，甲方有权终止服务合同。</w:t>
      </w:r>
      <w:r>
        <w:rPr>
          <w:rFonts w:hint="eastAsia" w:ascii="宋体" w:hAnsi="宋体" w:cs="宋体"/>
          <w:sz w:val="24"/>
          <w:highlight w:val="none"/>
        </w:rPr>
      </w:r>
      <w:r/>
    </w:p>
    <w:p>
      <w:pPr>
        <w:pStyle w:val="1208"/>
        <w:ind w:firstLine="480"/>
        <w:spacing w:line="440" w:lineRule="exact"/>
        <w:rPr>
          <w:rFonts w:hint="eastAsia" w:ascii="宋体" w:hAnsi="宋体" w:cs="宋体"/>
          <w:bCs/>
          <w:sz w:val="44"/>
          <w:highlight w:val="none"/>
        </w:rPr>
      </w:pPr>
      <w:r>
        <w:rPr>
          <w:rFonts w:hint="eastAsia" w:ascii="宋体" w:hAnsi="宋体" w:cs="宋体"/>
          <w:sz w:val="24"/>
          <w:szCs w:val="24"/>
          <w:highlight w:val="none"/>
        </w:rPr>
        <w:t xml:space="preserve">第七条  月度考核为年度考核的依据，年度考核得分为考核年度中月度考核得分的平均值，年度考核得分低于85分的，甲方</w:t>
      </w:r>
      <w:r>
        <w:rPr>
          <w:rFonts w:hint="eastAsia" w:ascii="宋体" w:hAnsi="宋体" w:cs="宋体"/>
          <w:sz w:val="24"/>
          <w:szCs w:val="24"/>
          <w:highlight w:val="none"/>
          <w:lang w:val="en-US" w:eastAsia="zh-CN"/>
        </w:rPr>
        <w:t xml:space="preserve">将</w:t>
      </w:r>
      <w:r>
        <w:rPr>
          <w:rFonts w:hint="eastAsia" w:ascii="宋体" w:hAnsi="宋体" w:cs="宋体"/>
          <w:sz w:val="24"/>
          <w:szCs w:val="24"/>
          <w:highlight w:val="none"/>
        </w:rPr>
        <w:t xml:space="preserve">终止服务合同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不再续签</w:t>
      </w:r>
      <w:r>
        <w:rPr>
          <w:rFonts w:hint="eastAsia" w:ascii="宋体" w:hAnsi="宋体" w:cs="宋体"/>
          <w:sz w:val="24"/>
          <w:szCs w:val="24"/>
          <w:highlight w:val="none"/>
        </w:rPr>
        <w:t xml:space="preserve">。</w:t>
      </w:r>
      <w:bookmarkStart w:id="112" w:name="_Toc120614281"/>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1208"/>
        <w:ind w:firstLine="0"/>
        <w:jc w:val="center"/>
        <w:spacing w:line="440" w:lineRule="exact"/>
        <w:rPr>
          <w:rFonts w:hint="eastAsia" w:ascii="宋体" w:hAnsi="宋体" w:cs="宋体"/>
          <w:bCs/>
          <w:sz w:val="44"/>
          <w:highlight w:val="none"/>
        </w:rPr>
        <w:outlineLvl w:val="0"/>
      </w:pPr>
      <w:r>
        <w:rPr>
          <w:rFonts w:hint="eastAsia" w:ascii="宋体" w:hAnsi="宋体" w:cs="宋体"/>
          <w:bCs/>
          <w:sz w:val="44"/>
          <w:highlight w:val="none"/>
        </w:rPr>
        <w:t xml:space="preserve">第五章  定标原则与评标标准</w:t>
      </w:r>
      <w:r>
        <w:rPr>
          <w:rFonts w:hint="eastAsia" w:ascii="宋体" w:hAnsi="宋体" w:cs="宋体"/>
          <w:bCs/>
          <w:sz w:val="4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一、定标原则</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本项目采用</w:t>
      </w:r>
      <w:r>
        <w:rPr>
          <w:rFonts w:hint="eastAsia" w:ascii="宋体" w:hAnsi="宋体" w:cs="宋体"/>
          <w:b/>
          <w:bCs/>
          <w:sz w:val="24"/>
          <w:szCs w:val="24"/>
          <w:highlight w:val="none"/>
          <w:u w:val="single"/>
        </w:rPr>
        <w:t xml:space="preserve"> 综合评分 </w:t>
      </w:r>
      <w:r>
        <w:rPr>
          <w:rFonts w:hint="eastAsia" w:ascii="宋体" w:hAnsi="宋体" w:cs="宋体"/>
          <w:b/>
          <w:bCs/>
          <w:sz w:val="24"/>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政府采购政策功能落实</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w:t>
      </w:r>
      <w:r>
        <w:rPr>
          <w:rFonts w:hint="eastAsia" w:ascii="宋体" w:hAnsi="宋体" w:cs="宋体"/>
          <w:b/>
          <w:bCs/>
          <w:sz w:val="24"/>
          <w:szCs w:val="24"/>
          <w:highlight w:val="none"/>
        </w:rPr>
        <w:t xml:space="preserve">小微型企业价格扣除</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（1）本项目不专门面向中小企业采购，对符合规定的小型和微型企业报价给予20%的扣除价格，用扣除后的价格参与评审。</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（2）供应商需按照采购文件的要求提供相应的《企业声明函》。</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（3）企业标准请参照《关于印发中小企业划型标准规定的通知》（工信部联企业[2011]300号）文件规定自行填写。</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（4）在货物采购项目中，供应商提供的货物既有中小企业制造货物，也有大型企业制造货物的，不享受本办法规定的中小企业扶持政策。</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残疾人福利单位价格扣除</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（1）本项目对残疾人福利性单位视同小型、微型企业，给予</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0%的价格扣除，用扣除后的价格参与评审。</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（2）残疾人福利单位需按照采购文件的要求提供《残疾人福利性单位声明函》。</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（3）残疾人福利单位标准请参照《关于促进残疾人就业政府采购政策的通知》（财库〔2017〕141号）。</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3.</w:t>
      </w:r>
      <w:r>
        <w:rPr>
          <w:rFonts w:hint="eastAsia" w:ascii="宋体" w:hAnsi="宋体" w:cs="宋体"/>
          <w:b/>
          <w:bCs/>
          <w:sz w:val="24"/>
          <w:szCs w:val="24"/>
          <w:highlight w:val="none"/>
        </w:rPr>
        <w:t xml:space="preserve">监狱和戒毒企业价格扣除</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（1）本项目对监狱和戒毒企业（简称监狱企业）视同小型、微型企业，给予</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0%的价格扣除，用扣除后的价格参与评审。</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（3）监狱企业标准请参照《关于政府采购支持监狱企业发展有关问题的通知》（财库[2014]68号）。</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4.</w:t>
      </w:r>
      <w:r>
        <w:rPr>
          <w:rFonts w:hint="eastAsia" w:ascii="宋体" w:hAnsi="宋体" w:cs="宋体"/>
          <w:b/>
          <w:bCs/>
          <w:sz w:val="24"/>
          <w:szCs w:val="24"/>
          <w:highlight w:val="none"/>
        </w:rPr>
        <w:t xml:space="preserve">残疾人福利单位、监狱企业属于小型、微型企业的，不重复享受政策。</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6.联合体各方均为小型、微型企业（残疾人福利单位、监狱企业）的，联合体享受20%的价格扣除。</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7.采购本国产品的支持政策</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7.3 供应商需按照招标文件的要求提供《关于符合本国产品标准的声明函》（以下简称《声明函》），如不提供将不享受本国产品价格评审优惠。</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8.严格执行政府采购关于支持</w:t>
      </w:r>
      <w:r>
        <w:rPr>
          <w:rFonts w:hint="eastAsia" w:ascii="宋体" w:hAnsi="宋体" w:cs="宋体"/>
          <w:b/>
          <w:bCs/>
          <w:sz w:val="24"/>
          <w:szCs w:val="24"/>
          <w:highlight w:val="none"/>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bCs/>
          <w:sz w:val="24"/>
          <w:szCs w:val="24"/>
          <w:highlight w:val="none"/>
          <w:lang w:eastAsia="zh-CN"/>
        </w:rPr>
      </w:r>
      <w:r/>
    </w:p>
    <w:p>
      <w:pPr>
        <w:pStyle w:val="1208"/>
        <w:ind w:firstLine="480"/>
        <w:spacing w:line="440" w:lineRule="exact"/>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二、评标标准</w:t>
      </w:r>
      <w:r>
        <w:rPr>
          <w:rFonts w:hint="eastAsia" w:ascii="宋体" w:hAnsi="宋体" w:cs="宋体"/>
          <w:b/>
          <w:bCs/>
          <w:sz w:val="24"/>
          <w:szCs w:val="24"/>
          <w:highlight w:val="none"/>
        </w:rPr>
      </w:r>
      <w:r/>
    </w:p>
    <w:p>
      <w:pPr>
        <w:pStyle w:val="1208"/>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本项目评分总分值为100分。</w:t>
      </w:r>
      <w:r>
        <w:rPr>
          <w:rFonts w:hint="eastAsia" w:ascii="宋体" w:hAnsi="宋体" w:cs="宋体"/>
          <w:bCs/>
          <w:sz w:val="24"/>
          <w:szCs w:val="24"/>
          <w:highlight w:val="none"/>
        </w:rPr>
      </w:r>
      <w:r/>
    </w:p>
    <w:tbl>
      <w:tblPr>
        <w:tblW w:w="5117" w:type="pct"/>
        <w:jc w:val="center"/>
        <w:tblInd w:w="-215" w:type="dxa"/>
        <w:tblLayout w:type="autofit"/>
        <w:tblCellMar>
          <w:left w:w="108" w:type="dxa"/>
          <w:top w:w="0" w:type="dxa"/>
          <w:right w:w="108" w:type="dxa"/>
          <w:bottom w:w="0" w:type="dxa"/>
        </w:tblCellMar>
        <w:tblLook w:val="04A0" w:firstRow="1" w:lastRow="0" w:firstColumn="1" w:lastColumn="0" w:noHBand="0" w:noVBand="1"/>
      </w:tblPr>
      <w:tblGrid>
        <w:gridCol w:w="1164"/>
        <w:gridCol w:w="1087"/>
        <w:gridCol w:w="6420"/>
        <w:gridCol w:w="713"/>
      </w:tblGrid>
      <w:tr>
        <w:trPr>
          <w:trHeight w:val="9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208"/>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类别</w:t>
            </w:r>
            <w:r>
              <w:rPr>
                <w:rFonts w:hint="eastAsia" w:ascii="宋体" w:hAnsi="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pStyle w:val="1208"/>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评分因素</w:t>
            </w:r>
            <w:r>
              <w:rPr>
                <w:rFonts w:hint="eastAsia" w:ascii="宋体" w:hAnsi="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评分标准</w:t>
            </w:r>
            <w:r>
              <w:rPr>
                <w:rFonts w:hint="eastAsia" w:ascii="宋体" w:hAnsi="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分值</w:t>
            </w:r>
            <w:r>
              <w:rPr>
                <w:rFonts w:hint="eastAsia" w:ascii="宋体" w:hAnsi="宋体" w:cs="宋体"/>
                <w:b/>
                <w:bCs/>
                <w:sz w:val="21"/>
                <w:szCs w:val="21"/>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价格部分</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投标报价</w:t>
            </w:r>
            <w:r>
              <w:rPr>
                <w:rFonts w:hint="eastAsia" w:ascii="宋体" w:hAnsi="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419" w:type="dxa"/>
            <w:vAlign w:val="center"/>
            <w:textDirection w:val="lrTb"/>
            <w:noWrap w:val="false"/>
          </w:tcPr>
          <w:p>
            <w:pPr>
              <w:pStyle w:val="1208"/>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满足招标文件要求且最低的参与评审的价格为评标基准价，其价格分为</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0分。其他投标人的价格分统一按照下列公式计算：投标报价得分=(评标基准价／参与评审的价格)×</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0（该结果四舍五入，保留两位小数）。</w:t>
            </w:r>
            <w:r>
              <w:rPr>
                <w:rFonts w:hint="eastAsia" w:ascii="宋体" w:hAnsi="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276"/>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参数响应</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301"/>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满足招标文件技术要求程度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spacing w:line="440" w:lineRule="exact"/>
              <w:rPr>
                <w:rFonts w:ascii="宋体" w:hAnsi="宋体" w:eastAsia="宋体" w:cs="宋体"/>
                <w:sz w:val="21"/>
                <w:szCs w:val="21"/>
                <w:highlight w:val="none"/>
                <w:lang w:val="en-US" w:eastAsia="zh-CN"/>
              </w:rPr>
            </w:pPr>
            <w:r>
              <w:rPr>
                <w:rFonts w:hint="eastAsia" w:ascii="宋体" w:hAnsi="宋体" w:cs="宋体"/>
                <w:sz w:val="21"/>
                <w:szCs w:val="21"/>
                <w:highlight w:val="none"/>
              </w:rPr>
              <w:t xml:space="preserve">招标文件“技术及服务要求”中标注“▲”的</w:t>
            </w:r>
            <w:r>
              <w:rPr>
                <w:rFonts w:hint="eastAsia" w:ascii="宋体" w:hAnsi="宋体" w:cs="宋体"/>
                <w:sz w:val="21"/>
                <w:szCs w:val="21"/>
                <w:highlight w:val="none"/>
                <w:lang w:val="en-US" w:eastAsia="zh-CN"/>
              </w:rPr>
              <w:t xml:space="preserve">为重要响应参数（共10项）</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有一项</w:t>
            </w:r>
            <w:r>
              <w:rPr>
                <w:rFonts w:hint="eastAsia" w:ascii="宋体" w:hAnsi="宋体" w:cs="宋体"/>
                <w:sz w:val="21"/>
                <w:szCs w:val="21"/>
                <w:highlight w:val="none"/>
                <w:lang w:val="en-US" w:eastAsia="zh-CN"/>
              </w:rPr>
              <w:t xml:space="preserve">满足得3分，全部满足得30分。</w:t>
            </w:r>
            <w:r>
              <w:rPr>
                <w:rFonts w:ascii="宋体" w:hAnsi="宋体" w:eastAsia="宋体" w:cs="宋体"/>
                <w:sz w:val="21"/>
                <w:szCs w:val="21"/>
                <w:highlight w:val="none"/>
                <w:lang w:val="en-US" w:eastAsia="zh-CN"/>
              </w:rPr>
            </w:r>
            <w:r/>
          </w:p>
          <w:p>
            <w:pPr>
              <w:pStyle w:val="1208"/>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注：根据投标人提供的技术参</w:t>
            </w:r>
            <w:r>
              <w:rPr>
                <w:rFonts w:hint="eastAsia" w:ascii="宋体" w:hAnsi="宋体" w:cs="宋体"/>
                <w:sz w:val="21"/>
                <w:szCs w:val="21"/>
                <w:highlight w:val="none"/>
                <w:lang w:val="en-US" w:eastAsia="zh-CN"/>
              </w:rPr>
              <w:t xml:space="preserve">要求</w:t>
            </w:r>
            <w:r>
              <w:rPr>
                <w:rFonts w:hint="eastAsia" w:ascii="宋体" w:hAnsi="宋体" w:cs="宋体"/>
                <w:sz w:val="21"/>
                <w:szCs w:val="21"/>
                <w:highlight w:val="none"/>
              </w:rPr>
              <w:t xml:space="preserve">应及偏离表、相关证明材料进行评审</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634"/>
        </w:trPr>
        <w:tc>
          <w:tcPr>
            <w:tcBorders>
              <w:top w:val="none" w:color="000000" w:sz="0" w:space="0"/>
              <w:left w:val="single" w:color="000000" w:sz="4" w:space="0"/>
              <w:bottom w:val="none" w:color="000000" w:sz="0" w:space="0"/>
              <w:right w:val="single" w:color="000000" w:sz="4" w:space="0"/>
            </w:tcBorders>
            <w:tcW w:w="620" w:type="dxa"/>
            <w:vAlign w:val="center"/>
            <w:textDirection w:val="lrTb"/>
            <w:noWrap w:val="false"/>
          </w:tcPr>
          <w:p>
            <w:pPr>
              <w:pStyle w:val="1231"/>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技术部分（41分）</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08"/>
              <w:jc w:val="cente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rPr>
              <w:t xml:space="preserve">强电控制系统维保实施方案</w:t>
            </w: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 xml:space="preserve">投标人自行查勘</w:t>
            </w:r>
            <w:r>
              <w:rPr>
                <w:rFonts w:hint="eastAsia" w:ascii="宋体" w:hAnsi="宋体" w:cs="宋体"/>
                <w:sz w:val="21"/>
                <w:szCs w:val="21"/>
                <w:highlight w:val="none"/>
                <w:lang w:val="en-US" w:eastAsia="zh-CN"/>
              </w:rPr>
              <w:t xml:space="preserve">现场</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采购文件第四章采购需求三（二）详细服务要求表相应要求，编制详细</w:t>
            </w:r>
            <w:r>
              <w:rPr>
                <w:rFonts w:hint="eastAsia" w:ascii="宋体" w:hAnsi="宋体" w:cs="宋体"/>
                <w:sz w:val="21"/>
                <w:szCs w:val="21"/>
                <w:highlight w:val="none"/>
                <w:lang w:val="en-US" w:eastAsia="zh-CN"/>
              </w:rPr>
              <w:t xml:space="preserve">强电</w:t>
            </w:r>
            <w:r>
              <w:rPr>
                <w:rFonts w:hint="eastAsia" w:ascii="宋体" w:hAnsi="宋体" w:cs="宋体"/>
                <w:sz w:val="21"/>
                <w:szCs w:val="21"/>
                <w:highlight w:val="none"/>
              </w:rPr>
              <w:t xml:space="preserve">控制系统</w:t>
            </w:r>
            <w:r>
              <w:rPr>
                <w:rFonts w:hint="eastAsia" w:ascii="宋体" w:hAnsi="宋体" w:cs="宋体"/>
                <w:sz w:val="21"/>
                <w:szCs w:val="21"/>
                <w:highlight w:val="none"/>
                <w:lang w:val="en-US" w:eastAsia="zh-CN"/>
              </w:rPr>
              <w:t xml:space="preserve">及节点端设备</w:t>
            </w:r>
            <w:r>
              <w:rPr>
                <w:rFonts w:hint="eastAsia" w:ascii="宋体" w:hAnsi="宋体" w:cs="宋体"/>
                <w:sz w:val="21"/>
                <w:szCs w:val="21"/>
                <w:highlight w:val="none"/>
              </w:rPr>
              <w:t xml:space="preserve">的维保实施方案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1）强电控制系统及节点端设备维保</w:t>
            </w:r>
            <w:r>
              <w:rPr>
                <w:rFonts w:hint="eastAsia" w:ascii="宋体" w:hAnsi="宋体" w:cs="宋体"/>
                <w:color w:val="000000"/>
                <w:sz w:val="21"/>
                <w:highlight w:val="none"/>
                <w:lang w:eastAsia="zh-CN"/>
              </w:rPr>
              <w:t xml:space="preserve">内容阐述</w:t>
            </w:r>
            <w:r>
              <w:rPr>
                <w:rFonts w:hint="eastAsia" w:ascii="宋体" w:hAnsi="宋体" w:cs="宋体"/>
                <w:color w:val="000000"/>
                <w:sz w:val="21"/>
                <w:highlight w:val="none"/>
                <w:lang w:val="en-US" w:eastAsia="zh-CN"/>
              </w:rPr>
              <w:t xml:space="preserve"> ；</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软硬件满足兼容性要求与做法；</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w:t>
            </w:r>
            <w:r>
              <w:rPr>
                <w:rFonts w:hint="eastAsia" w:ascii="宋体" w:hAnsi="宋体" w:cs="宋体"/>
                <w:color w:val="000000"/>
                <w:sz w:val="21"/>
                <w:highlight w:val="none"/>
                <w:lang w:eastAsia="zh-CN"/>
              </w:rPr>
              <w:t xml:space="preserve">工作</w:t>
            </w:r>
            <w:r>
              <w:rPr>
                <w:rFonts w:hint="eastAsia" w:ascii="宋体" w:hAnsi="宋体" w:cs="宋体"/>
                <w:color w:val="000000"/>
                <w:sz w:val="21"/>
                <w:highlight w:val="none"/>
                <w:lang w:val="en-US" w:eastAsia="zh-CN"/>
              </w:rPr>
              <w:t xml:space="preserve">计划（含团队人员安排、巡检周期等）和</w:t>
            </w:r>
            <w:r>
              <w:rPr>
                <w:rFonts w:hint="eastAsia" w:ascii="宋体" w:hAnsi="宋体" w:cs="宋体"/>
                <w:color w:val="000000"/>
                <w:sz w:val="21"/>
                <w:highlight w:val="none"/>
                <w:lang w:eastAsia="zh-CN"/>
              </w:rPr>
              <w:t xml:space="preserve">流程；（</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日常维保质量、安全、人员管理等相关制度；</w:t>
            </w:r>
            <w:r>
              <w:rPr>
                <w:rFonts w:hint="eastAsia" w:ascii="宋体" w:hAnsi="宋体" w:cs="宋体"/>
                <w:sz w:val="21"/>
                <w:szCs w:val="21"/>
                <w:highlight w:val="none"/>
                <w:lang w:val="en-US" w:eastAsia="zh-CN"/>
              </w:rPr>
              <w:t xml:space="preserve">（5）仓库及备品备件；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突发事件应急预案。</w:t>
            </w:r>
            <w:r>
              <w:rPr>
                <w:rFonts w:ascii="宋体" w:hAnsi="宋体" w:cs="宋体"/>
                <w:color w:val="000000"/>
                <w:sz w:val="21"/>
                <w:highlight w:val="none"/>
                <w:lang w:val="en-US" w:eastAsia="zh-CN"/>
              </w:rPr>
            </w:r>
            <w:r/>
          </w:p>
          <w:p>
            <w:pPr>
              <w:pStyle w:val="1208"/>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10</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7</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1208"/>
              <w:ind w:firstLine="0"/>
              <w:spacing w:line="440" w:lineRule="exact"/>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10分</w:t>
            </w:r>
            <w:r>
              <w:rPr>
                <w:rFonts w:ascii="宋体" w:hAnsi="宋体" w:cs="宋体"/>
                <w:sz w:val="21"/>
                <w:szCs w:val="21"/>
                <w:highlight w:val="none"/>
                <w:lang w:val="en-US" w:eastAsia="zh-CN"/>
              </w:rPr>
            </w:r>
            <w:r/>
          </w:p>
        </w:tc>
      </w:tr>
      <w:tr>
        <w:trPr>
          <w:trHeight w:val="1388"/>
        </w:trPr>
        <w:tc>
          <w:tcPr>
            <w:tcBorders>
              <w:top w:val="none" w:color="000000" w:sz="0" w:space="0"/>
              <w:left w:val="single" w:color="000000" w:sz="4" w:space="0"/>
              <w:bottom w:val="none" w:color="000000" w:sz="0" w:space="0"/>
              <w:right w:val="single" w:color="000000" w:sz="4" w:space="0"/>
            </w:tcBorders>
            <w:tcW w:w="620" w:type="dxa"/>
            <w:vAlign w:val="center"/>
            <w:textDirection w:val="lrTb"/>
            <w:noWrap w:val="false"/>
          </w:tcPr>
          <w:p>
            <w:pPr>
              <w:pStyle w:val="12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08"/>
              <w:jc w:val="cente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弱电控制系统维保实施方案</w:t>
            </w: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 xml:space="preserve">投标人自行查勘</w:t>
            </w:r>
            <w:r>
              <w:rPr>
                <w:rFonts w:hint="eastAsia" w:ascii="宋体" w:hAnsi="宋体" w:cs="宋体"/>
                <w:sz w:val="21"/>
                <w:szCs w:val="21"/>
                <w:highlight w:val="none"/>
                <w:lang w:val="en-US" w:eastAsia="zh-CN"/>
              </w:rPr>
              <w:t xml:space="preserve">现场</w:t>
            </w:r>
            <w:r>
              <w:rPr>
                <w:rFonts w:hint="eastAsia" w:ascii="宋体" w:hAnsi="宋体" w:cs="宋体"/>
                <w:sz w:val="21"/>
                <w:szCs w:val="21"/>
                <w:highlight w:val="none"/>
              </w:rPr>
              <w:t xml:space="preserve">，</w:t>
            </w:r>
            <w:bookmarkStart w:id="113" w:name="OLE_LINK1"/>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w:t>
            </w:r>
            <w:bookmarkEnd w:id="113"/>
            <w:r>
              <w:rPr>
                <w:rFonts w:hint="eastAsia" w:ascii="宋体" w:hAnsi="宋体" w:cs="宋体"/>
                <w:color w:val="000000"/>
                <w:sz w:val="21"/>
                <w:highlight w:val="none"/>
                <w:lang w:val="en-US" w:eastAsia="zh-CN"/>
              </w:rPr>
              <w:t xml:space="preserve">，编制详细</w:t>
            </w:r>
            <w:r>
              <w:rPr>
                <w:rFonts w:hint="eastAsia" w:ascii="宋体" w:hAnsi="宋体" w:cs="宋体"/>
                <w:sz w:val="21"/>
                <w:szCs w:val="21"/>
                <w:highlight w:val="none"/>
                <w:lang w:val="en-US" w:eastAsia="zh-CN"/>
              </w:rPr>
              <w:t xml:space="preserve">弱电</w:t>
            </w:r>
            <w:r>
              <w:rPr>
                <w:rFonts w:hint="eastAsia" w:ascii="宋体" w:hAnsi="宋体" w:cs="宋体"/>
                <w:sz w:val="21"/>
                <w:szCs w:val="21"/>
                <w:highlight w:val="none"/>
              </w:rPr>
              <w:t xml:space="preserve">控制系统</w:t>
            </w:r>
            <w:r>
              <w:rPr>
                <w:rFonts w:hint="eastAsia" w:ascii="宋体" w:hAnsi="宋体" w:cs="宋体"/>
                <w:sz w:val="21"/>
                <w:szCs w:val="21"/>
                <w:highlight w:val="none"/>
                <w:lang w:val="en-US" w:eastAsia="zh-CN"/>
              </w:rPr>
              <w:t xml:space="preserve">及节点端设备</w:t>
            </w:r>
            <w:r>
              <w:rPr>
                <w:rFonts w:hint="eastAsia" w:ascii="宋体" w:hAnsi="宋体" w:cs="宋体"/>
                <w:sz w:val="21"/>
                <w:szCs w:val="21"/>
                <w:highlight w:val="none"/>
              </w:rPr>
              <w:t xml:space="preserve">的维保实施方案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1）弱电控制系统及节点端设备维保</w:t>
            </w:r>
            <w:r>
              <w:rPr>
                <w:rFonts w:hint="eastAsia" w:ascii="宋体" w:hAnsi="宋体" w:cs="宋体"/>
                <w:color w:val="000000"/>
                <w:sz w:val="21"/>
                <w:highlight w:val="none"/>
                <w:lang w:eastAsia="zh-CN"/>
              </w:rPr>
              <w:t xml:space="preserve">内容阐述</w:t>
            </w:r>
            <w:r>
              <w:rPr>
                <w:rFonts w:hint="eastAsia" w:ascii="宋体" w:hAnsi="宋体" w:cs="宋体"/>
                <w:color w:val="000000"/>
                <w:sz w:val="21"/>
                <w:highlight w:val="none"/>
                <w:lang w:val="en-US" w:eastAsia="zh-CN"/>
              </w:rPr>
              <w:t xml:space="preserve"> ；</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软硬件满足兼容性要求与做法；</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w:t>
            </w:r>
            <w:r>
              <w:rPr>
                <w:rFonts w:hint="eastAsia" w:ascii="宋体" w:hAnsi="宋体" w:cs="宋体"/>
                <w:color w:val="000000"/>
                <w:sz w:val="21"/>
                <w:highlight w:val="none"/>
                <w:lang w:eastAsia="zh-CN"/>
              </w:rPr>
              <w:t xml:space="preserve">工作</w:t>
            </w:r>
            <w:r>
              <w:rPr>
                <w:rFonts w:hint="eastAsia" w:ascii="宋体" w:hAnsi="宋体" w:cs="宋体"/>
                <w:color w:val="000000"/>
                <w:sz w:val="21"/>
                <w:highlight w:val="none"/>
                <w:lang w:val="en-US" w:eastAsia="zh-CN"/>
              </w:rPr>
              <w:t xml:space="preserve">计划（含团队人员安排、巡检周期等）和</w:t>
            </w:r>
            <w:r>
              <w:rPr>
                <w:rFonts w:hint="eastAsia" w:ascii="宋体" w:hAnsi="宋体" w:cs="宋体"/>
                <w:color w:val="000000"/>
                <w:sz w:val="21"/>
                <w:highlight w:val="none"/>
                <w:lang w:eastAsia="zh-CN"/>
              </w:rPr>
              <w:t xml:space="preserve">流程；（</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日常维保质量、安全、人员管理等相关制度；</w:t>
            </w:r>
            <w:r>
              <w:rPr>
                <w:rFonts w:hint="eastAsia" w:ascii="宋体" w:hAnsi="宋体" w:cs="宋体"/>
                <w:sz w:val="21"/>
                <w:szCs w:val="21"/>
                <w:highlight w:val="none"/>
                <w:lang w:val="en-US" w:eastAsia="zh-CN"/>
              </w:rPr>
              <w:t xml:space="preserve">（5）仓库及备品备件；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突发事件应急预案。</w:t>
            </w:r>
            <w:r>
              <w:rPr>
                <w:rFonts w:ascii="宋体" w:hAnsi="宋体" w:cs="宋体"/>
                <w:color w:val="000000"/>
                <w:sz w:val="21"/>
                <w:highlight w:val="none"/>
                <w:lang w:val="en-US" w:eastAsia="zh-CN"/>
              </w:rPr>
            </w:r>
            <w:r/>
          </w:p>
          <w:p>
            <w:pPr>
              <w:pStyle w:val="1208"/>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10</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7</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1208"/>
              <w:spacing w:line="440" w:lineRule="exact"/>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10分</w:t>
            </w:r>
            <w:r>
              <w:rPr>
                <w:rFonts w:ascii="宋体" w:hAnsi="宋体" w:cs="宋体"/>
                <w:sz w:val="21"/>
                <w:szCs w:val="21"/>
                <w:highlight w:val="none"/>
                <w:lang w:val="en-US" w:eastAsia="zh-CN"/>
              </w:rPr>
            </w:r>
            <w:r/>
          </w:p>
        </w:tc>
      </w:tr>
      <w:tr>
        <w:trPr>
          <w:trHeight w:val="1388"/>
        </w:trPr>
        <w:tc>
          <w:tcPr>
            <w:tcBorders>
              <w:top w:val="none" w:color="000000" w:sz="0" w:space="0"/>
              <w:left w:val="single" w:color="000000" w:sz="4" w:space="0"/>
              <w:bottom w:val="none" w:color="000000" w:sz="0" w:space="0"/>
              <w:right w:val="single" w:color="000000" w:sz="4" w:space="0"/>
            </w:tcBorders>
            <w:tcW w:w="620" w:type="dxa"/>
            <w:vAlign w:val="center"/>
            <w:textDirection w:val="lrTb"/>
            <w:noWrap w:val="false"/>
          </w:tcPr>
          <w:p>
            <w:pPr>
              <w:pStyle w:val="12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08"/>
              <w:jc w:val="cente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亮化设施维保实施方案</w:t>
            </w: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ind w:firstLine="0"/>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 xml:space="preserve">投标人自行查勘</w:t>
            </w:r>
            <w:r>
              <w:rPr>
                <w:rFonts w:hint="eastAsia" w:ascii="宋体" w:hAnsi="宋体" w:cs="宋体"/>
                <w:sz w:val="21"/>
                <w:szCs w:val="21"/>
                <w:highlight w:val="none"/>
                <w:lang w:val="en-US" w:eastAsia="zh-CN"/>
              </w:rPr>
              <w:t xml:space="preserve">现场</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采购文件第四章采购需求三（二）详细服务要求表相应要求，编制详细</w:t>
            </w:r>
            <w:r>
              <w:rPr>
                <w:rFonts w:hint="eastAsia" w:ascii="宋体" w:hAnsi="宋体" w:cs="宋体"/>
                <w:sz w:val="21"/>
                <w:szCs w:val="21"/>
                <w:highlight w:val="none"/>
                <w:lang w:val="en-US" w:eastAsia="zh-CN"/>
              </w:rPr>
              <w:t xml:space="preserve">亮化设施</w:t>
            </w:r>
            <w:r>
              <w:rPr>
                <w:rFonts w:hint="eastAsia" w:ascii="宋体" w:hAnsi="宋体" w:cs="宋体"/>
                <w:sz w:val="21"/>
                <w:szCs w:val="21"/>
                <w:highlight w:val="none"/>
              </w:rPr>
              <w:t xml:space="preserve">的维保实施方案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亮化设施维保</w:t>
            </w:r>
            <w:r>
              <w:rPr>
                <w:rFonts w:hint="eastAsia" w:ascii="宋体" w:hAnsi="宋体" w:cs="宋体"/>
                <w:color w:val="000000"/>
                <w:sz w:val="21"/>
                <w:highlight w:val="none"/>
                <w:lang w:eastAsia="zh-CN"/>
              </w:rPr>
              <w:t xml:space="preserve">内容</w:t>
            </w:r>
            <w:r>
              <w:rPr>
                <w:rFonts w:hint="eastAsia" w:ascii="宋体" w:hAnsi="宋体" w:cs="宋体"/>
                <w:color w:val="000000"/>
                <w:sz w:val="21"/>
                <w:highlight w:val="none"/>
                <w:lang w:val="en-US" w:eastAsia="zh-CN"/>
              </w:rPr>
              <w:t xml:space="preserve">的</w:t>
            </w:r>
            <w:r>
              <w:rPr>
                <w:rFonts w:hint="eastAsia" w:ascii="宋体" w:hAnsi="宋体" w:cs="宋体"/>
                <w:color w:val="000000"/>
                <w:sz w:val="21"/>
                <w:highlight w:val="none"/>
                <w:lang w:eastAsia="zh-CN"/>
              </w:rPr>
              <w:t xml:space="preserve">阐述；（</w:t>
            </w: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w:t>
            </w:r>
            <w:r>
              <w:rPr>
                <w:rFonts w:hint="eastAsia" w:ascii="宋体" w:hAnsi="宋体" w:cs="宋体"/>
                <w:color w:val="000000"/>
                <w:sz w:val="21"/>
                <w:highlight w:val="none"/>
                <w:lang w:eastAsia="zh-CN"/>
              </w:rPr>
              <w:t xml:space="preserve">工作</w:t>
            </w:r>
            <w:r>
              <w:rPr>
                <w:rFonts w:hint="eastAsia" w:ascii="宋体" w:hAnsi="宋体" w:cs="宋体"/>
                <w:color w:val="000000"/>
                <w:sz w:val="21"/>
                <w:highlight w:val="none"/>
                <w:lang w:val="en-US" w:eastAsia="zh-CN"/>
              </w:rPr>
              <w:t xml:space="preserve">计划（含团队人员安排、巡检周期等）和</w:t>
            </w:r>
            <w:r>
              <w:rPr>
                <w:rFonts w:hint="eastAsia" w:ascii="宋体" w:hAnsi="宋体" w:cs="宋体"/>
                <w:color w:val="000000"/>
                <w:sz w:val="21"/>
                <w:highlight w:val="none"/>
                <w:lang w:eastAsia="zh-CN"/>
              </w:rPr>
              <w:t xml:space="preserve">流程；（</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日常维保质量、安全、人员管理等相关制度；</w:t>
            </w:r>
            <w:r>
              <w:rPr>
                <w:rFonts w:hint="eastAsia" w:ascii="宋体" w:hAnsi="宋体" w:cs="宋体"/>
                <w:sz w:val="21"/>
                <w:szCs w:val="21"/>
                <w:highlight w:val="none"/>
                <w:lang w:val="en-US" w:eastAsia="zh-CN"/>
              </w:rPr>
              <w:t xml:space="preserve">（4）仓库及备品备件；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突发事件应急预案</w:t>
            </w:r>
            <w:r>
              <w:rPr>
                <w:rFonts w:hint="eastAsia" w:ascii="宋体" w:hAnsi="宋体" w:cs="宋体"/>
                <w:sz w:val="21"/>
                <w:szCs w:val="21"/>
                <w:highlight w:val="none"/>
                <w:lang w:val="en-US" w:eastAsia="zh-CN"/>
              </w:rPr>
              <w:t xml:space="preserve">；</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维保亮化效果。</w:t>
            </w:r>
            <w:r>
              <w:rPr>
                <w:rFonts w:ascii="宋体" w:hAnsi="宋体" w:cs="宋体"/>
                <w:color w:val="000000"/>
                <w:sz w:val="21"/>
                <w:highlight w:val="none"/>
                <w:lang w:val="en-US" w:eastAsia="zh-CN"/>
              </w:rPr>
            </w:r>
            <w:r/>
          </w:p>
          <w:p>
            <w:pPr>
              <w:pStyle w:val="1208"/>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8</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5</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1208"/>
              <w:ind w:firstLine="0"/>
              <w:spacing w:line="440" w:lineRule="exact"/>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8分</w:t>
            </w:r>
            <w:r>
              <w:rPr>
                <w:rFonts w:ascii="宋体" w:hAnsi="宋体" w:cs="宋体"/>
                <w:sz w:val="21"/>
                <w:szCs w:val="21"/>
                <w:highlight w:val="none"/>
                <w:lang w:val="en-US" w:eastAsia="zh-CN"/>
              </w:rPr>
            </w:r>
            <w:r/>
          </w:p>
        </w:tc>
      </w:tr>
      <w:tr>
        <w:trPr>
          <w:trHeight w:val="1029"/>
        </w:trPr>
        <w:tc>
          <w:tcPr>
            <w:tcBorders>
              <w:top w:val="none" w:color="000000" w:sz="0" w:space="0"/>
              <w:left w:val="single" w:color="000000" w:sz="4" w:space="0"/>
              <w:bottom w:val="none" w:color="000000" w:sz="0" w:space="0"/>
              <w:right w:val="single" w:color="000000" w:sz="4" w:space="0"/>
            </w:tcBorders>
            <w:tcW w:w="620" w:type="dxa"/>
            <w:vAlign w:val="center"/>
            <w:vMerge w:val="restart"/>
            <w:textDirection w:val="lrTb"/>
            <w:noWrap w:val="false"/>
          </w:tcPr>
          <w:p>
            <w:pPr>
              <w:pStyle w:val="1231"/>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08"/>
              <w:jc w:val="center"/>
              <w:spacing w:line="440" w:lineRule="exact"/>
              <w:rPr>
                <w:rFonts w:hint="eastAsia" w:ascii="宋体" w:hAnsi="宋体" w:cs="宋体"/>
                <w:sz w:val="21"/>
                <w:szCs w:val="21"/>
                <w:highlight w:val="none"/>
              </w:rPr>
            </w:pPr>
            <w:r>
              <w:rPr>
                <w:rFonts w:hint="eastAsia" w:ascii="宋体" w:hAnsi="宋体" w:eastAsia="宋体" w:cs="宋体"/>
                <w:b w:val="0"/>
                <w:bCs w:val="0"/>
                <w:sz w:val="21"/>
                <w:szCs w:val="21"/>
                <w:highlight w:val="none"/>
                <w:lang w:val="en-US" w:eastAsia="zh-CN" w:bidi="ar-SA"/>
              </w:rPr>
              <w:t xml:space="preserve">强电控制</w:t>
            </w:r>
            <w:r>
              <w:rPr>
                <w:rFonts w:hint="eastAsia" w:ascii="宋体" w:hAnsi="宋体" w:eastAsia="宋体" w:cs="宋体"/>
                <w:b w:val="0"/>
                <w:bCs w:val="0"/>
                <w:sz w:val="21"/>
                <w:szCs w:val="21"/>
                <w:highlight w:val="none"/>
                <w:lang w:val="zh-CN" w:eastAsia="zh-CN" w:bidi="ar-SA"/>
              </w:rPr>
              <w:t xml:space="preserve">系统升级</w:t>
            </w:r>
            <w:r>
              <w:rPr>
                <w:rFonts w:hint="eastAsia" w:ascii="宋体" w:hAnsi="宋体" w:eastAsia="宋体" w:cs="宋体"/>
                <w:b w:val="0"/>
                <w:bCs w:val="0"/>
                <w:sz w:val="21"/>
                <w:szCs w:val="21"/>
                <w:highlight w:val="none"/>
                <w:lang w:val="en-US" w:eastAsia="zh-CN" w:bidi="ar-SA"/>
              </w:rPr>
              <w:t xml:space="preserve">方案</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ind w:firstLine="0"/>
              <w:spacing w:line="440" w:lineRule="exact"/>
              <w:rPr>
                <w:rFonts w:hint="eastAsia" w:ascii="宋体" w:hAnsi="宋体" w:eastAsia="宋体" w:cs="宋体"/>
                <w:color w:val="000000"/>
                <w:sz w:val="21"/>
                <w:highlight w:val="none"/>
                <w:lang w:val="en-US" w:eastAsia="zh-CN"/>
              </w:rPr>
            </w:pPr>
            <w:r>
              <w:rPr>
                <w:rFonts w:hint="eastAsia" w:ascii="宋体" w:hAnsi="宋体" w:cs="宋体"/>
                <w:sz w:val="21"/>
                <w:szCs w:val="21"/>
                <w:highlight w:val="none"/>
                <w:lang w:val="zh-CN" w:eastAsia="zh-CN"/>
              </w:rPr>
              <w:t xml:space="preserve">投标人自行查勘，</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采购文件第四章采购需求三（二）详细服务要求表相应要求，制定详细强电控制系统升级</w:t>
            </w:r>
            <w:r>
              <w:rPr>
                <w:rFonts w:hint="eastAsia" w:ascii="宋体" w:hAnsi="宋体" w:cs="宋体"/>
                <w:sz w:val="21"/>
                <w:szCs w:val="21"/>
                <w:highlight w:val="none"/>
                <w:lang w:val="en-US" w:eastAsia="zh-CN"/>
              </w:rPr>
              <w:t xml:space="preserve">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强电控制系统根据亮度自动化控制的理解和具体实施方案阐述；（2）强电控制系统数据统计功能的理解和具体实施方案阐述（3）强电控制系统的可扩展性和第三方接入能力。</w:t>
            </w:r>
            <w:r>
              <w:rPr>
                <w:rFonts w:hint="eastAsia" w:ascii="宋体" w:hAnsi="宋体" w:eastAsia="宋体" w:cs="宋体"/>
                <w:color w:val="000000"/>
                <w:sz w:val="21"/>
                <w:highlight w:val="none"/>
                <w:lang w:val="en-US" w:eastAsia="zh-CN"/>
              </w:rPr>
            </w:r>
            <w:r/>
          </w:p>
          <w:p>
            <w:pPr>
              <w:pStyle w:val="1208"/>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5</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3</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1208"/>
              <w:ind w:firstLine="0"/>
              <w:spacing w:line="440" w:lineRule="exact"/>
              <w:rPr>
                <w:rFonts w:hint="eastAsia" w:ascii="宋体" w:hAnsi="宋体" w:cs="宋体"/>
                <w:sz w:val="21"/>
                <w:szCs w:val="21"/>
                <w:highlight w:val="none"/>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1748"/>
        </w:trPr>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08"/>
              <w:rPr>
                <w:rFonts w:hint="eastAsia" w:ascii="宋体" w:hAnsi="宋体" w:eastAsia="宋体" w:cs="宋体"/>
                <w:color w:val="000000"/>
                <w:sz w:val="21"/>
                <w:szCs w:val="21"/>
                <w:highlight w:val="none"/>
              </w:rPr>
            </w:pPr>
            <w:r>
              <w:rPr>
                <w:rFonts w:hint="eastAsia" w:ascii="宋体" w:hAnsi="宋体" w:eastAsia="宋体" w:cs="宋体"/>
                <w:b w:val="0"/>
                <w:bCs w:val="0"/>
                <w:sz w:val="21"/>
                <w:szCs w:val="21"/>
                <w:highlight w:val="none"/>
                <w:lang w:val="en-US" w:eastAsia="zh-CN"/>
              </w:rPr>
              <w:t xml:space="preserve">组网及网络安全方案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ind w:firstLine="0"/>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lang w:val="zh-CN" w:eastAsia="zh-CN"/>
              </w:rPr>
              <w:t xml:space="preserve">投标人自行查勘，</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采购文件第四章采购需求三（二）详细服务要求表相应要求，制定详细</w:t>
            </w:r>
            <w:r>
              <w:rPr>
                <w:rFonts w:hint="eastAsia" w:ascii="宋体" w:hAnsi="宋体" w:cs="宋体"/>
                <w:sz w:val="21"/>
                <w:szCs w:val="21"/>
                <w:highlight w:val="none"/>
                <w:lang w:val="en-US" w:eastAsia="zh-CN"/>
              </w:rPr>
              <w:t xml:space="preserve">组网及网络安全方案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强、弱电设备分别组建内部网络的理解与具体方案；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2）互联网专线和强、弱电节点段设备物联网卡的选取与维护；</w:t>
            </w:r>
            <w:r>
              <w:rPr>
                <w:rFonts w:hint="eastAsia" w:ascii="宋体" w:hAnsi="宋体" w:cs="宋体"/>
                <w:sz w:val="21"/>
                <w:szCs w:val="21"/>
                <w:highlight w:val="none"/>
                <w:lang w:val="en-US" w:eastAsia="zh-CN"/>
              </w:rPr>
              <w:t xml:space="preserve">（3）</w:t>
            </w:r>
            <w:r>
              <w:rPr>
                <w:rFonts w:hint="eastAsia" w:ascii="宋体" w:hAnsi="宋体" w:cs="宋体"/>
                <w:color w:val="000000"/>
                <w:sz w:val="21"/>
                <w:highlight w:val="none"/>
                <w:lang w:val="en-US" w:eastAsia="zh-CN"/>
              </w:rPr>
              <w:t xml:space="preserve">网络安全硬件及软件的维保方案；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突发网络安全事件应急预案。</w:t>
            </w:r>
            <w:r>
              <w:rPr>
                <w:rFonts w:ascii="宋体" w:hAnsi="宋体" w:cs="宋体"/>
                <w:color w:val="000000"/>
                <w:sz w:val="21"/>
                <w:highlight w:val="none"/>
                <w:lang w:val="en-US" w:eastAsia="zh-CN"/>
              </w:rPr>
            </w:r>
            <w:r/>
          </w:p>
          <w:p>
            <w:pPr>
              <w:pStyle w:val="1208"/>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5</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3</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1208"/>
              <w:ind w:firstLine="0"/>
              <w:spacing w:line="440" w:lineRule="exact"/>
              <w:rPr>
                <w:rFonts w:hint="eastAsia" w:ascii="宋体" w:hAnsi="宋体" w:cs="宋体"/>
                <w:bCs/>
                <w:sz w:val="21"/>
                <w:szCs w:val="21"/>
                <w:highlight w:val="none"/>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cs="宋体"/>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5分</w:t>
            </w:r>
            <w:r>
              <w:rPr>
                <w:rFonts w:ascii="宋体" w:hAnsi="宋体" w:eastAsia="宋体" w:cs="宋体"/>
                <w:sz w:val="21"/>
                <w:szCs w:val="21"/>
                <w:highlight w:val="none"/>
                <w:lang w:val="en-US" w:eastAsia="zh-CN"/>
              </w:rPr>
            </w:r>
            <w:r/>
          </w:p>
        </w:tc>
      </w:tr>
      <w:tr>
        <w:trPr>
          <w:trHeight w:val="418"/>
        </w:trPr>
        <w:tc>
          <w:tcPr>
            <w:tcBorders>
              <w:top w:val="none" w:color="000000" w:sz="0"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08"/>
              <w:jc w:val="center"/>
              <w:keepLines w:val="0"/>
              <w:keepNext w:val="0"/>
              <w:pageBreakBefore w:val="0"/>
              <w:spacing w:line="440" w:lineRule="exact"/>
              <w:rPr>
                <w:rFonts w:ascii="宋体" w:hAnsi="宋体" w:eastAsia="宋体" w:cs="宋体"/>
                <w:sz w:val="21"/>
                <w:szCs w:val="21"/>
                <w:highlight w:val="none"/>
                <w:lang w:val="en-US" w:eastAsia="zh-CN" w:bidi="ar-SA"/>
              </w:rPr>
            </w:pPr>
            <w:r>
              <w:rPr>
                <w:rFonts w:hint="eastAsia" w:ascii="宋体" w:hAnsi="宋体" w:cs="宋体"/>
                <w:highlight w:val="none"/>
                <w:lang w:val="en-US" w:eastAsia="zh-CN"/>
              </w:rPr>
              <w:t xml:space="preserve">合理化建议</w:t>
            </w:r>
            <w:r>
              <w:rPr>
                <w:rFonts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numPr>
                <w:ilvl w:val="0"/>
                <w:numId w:val="0"/>
              </w:numPr>
              <w:ind w:left="0" w:firstLine="0"/>
              <w:jc w:val="left"/>
              <w:keepLines w:val="0"/>
              <w:keepNext w:val="0"/>
              <w:pageBreakBefore w:val="0"/>
              <w:spacing w:line="440" w:lineRule="exact"/>
              <w:widowControl/>
              <w:rPr>
                <w:rFonts w:hint="eastAsia" w:ascii="宋体" w:hAnsi="宋体" w:eastAsia="宋体" w:cs="Times New Roman"/>
                <w:bCs/>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结合项目实际情况及采购需求，合理利用现有设备及资源，</w:t>
            </w:r>
            <w:r>
              <w:rPr>
                <w:rFonts w:hint="eastAsia" w:cs="宋体"/>
                <w:b w:val="0"/>
                <w:bCs w:val="0"/>
                <w:sz w:val="21"/>
                <w:szCs w:val="21"/>
                <w:highlight w:val="none"/>
                <w:lang w:val="en-US" w:eastAsia="zh-CN"/>
              </w:rPr>
              <w:t xml:space="preserve">提出合理化建议，提前消除潜在隐患与风险点，提升维保质量及效果。</w:t>
            </w:r>
            <w:r>
              <w:rPr>
                <w:rFonts w:hint="eastAsia" w:ascii="宋体" w:hAnsi="宋体" w:cs="宋体"/>
                <w:sz w:val="21"/>
                <w:szCs w:val="21"/>
                <w:highlight w:val="none"/>
                <w:lang w:val="zh-CN" w:eastAsia="zh-CN"/>
              </w:rPr>
              <w:t xml:space="preserve">具有</w:t>
            </w:r>
            <w:r>
              <w:rPr>
                <w:rFonts w:hint="eastAsia" w:ascii="宋体" w:hAnsi="宋体" w:cs="宋体"/>
                <w:sz w:val="21"/>
                <w:szCs w:val="21"/>
                <w:highlight w:val="none"/>
                <w:lang w:val="en-US" w:eastAsia="zh-CN"/>
              </w:rPr>
              <w:t xml:space="preserve">针对</w:t>
            </w:r>
            <w:r>
              <w:rPr>
                <w:rFonts w:hint="eastAsia" w:ascii="宋体" w:hAnsi="宋体" w:cs="宋体"/>
                <w:sz w:val="21"/>
                <w:szCs w:val="21"/>
                <w:highlight w:val="none"/>
                <w:lang w:val="zh-CN" w:eastAsia="zh-CN"/>
              </w:rPr>
              <w:t xml:space="preserve">性、全面且可</w:t>
            </w:r>
            <w:r>
              <w:rPr>
                <w:rFonts w:hint="eastAsia" w:ascii="宋体" w:hAnsi="宋体" w:cs="宋体"/>
                <w:sz w:val="21"/>
                <w:szCs w:val="21"/>
                <w:highlight w:val="none"/>
                <w:lang w:val="en-US" w:eastAsia="zh-CN"/>
              </w:rPr>
              <w:t xml:space="preserve">行</w:t>
            </w:r>
            <w:r>
              <w:rPr>
                <w:rFonts w:hint="eastAsia" w:ascii="宋体" w:hAnsi="宋体" w:cs="宋体"/>
                <w:sz w:val="21"/>
                <w:szCs w:val="21"/>
                <w:highlight w:val="none"/>
                <w:lang w:val="zh-CN" w:eastAsia="zh-CN"/>
              </w:rPr>
              <w:t xml:space="preserve">、详细且可操作</w:t>
            </w:r>
            <w:r>
              <w:rPr>
                <w:rFonts w:hint="eastAsia" w:ascii="宋体" w:hAnsi="宋体" w:cs="宋体"/>
                <w:sz w:val="21"/>
                <w:szCs w:val="21"/>
                <w:highlight w:val="none"/>
                <w:lang w:val="en-US" w:eastAsia="zh-CN"/>
              </w:rPr>
              <w:t xml:space="preserve">的建议不少于3条</w:t>
            </w:r>
            <w:r>
              <w:rPr>
                <w:rFonts w:hint="eastAsia" w:ascii="宋体" w:hAnsi="宋体" w:cs="宋体"/>
                <w:sz w:val="21"/>
                <w:szCs w:val="21"/>
                <w:highlight w:val="none"/>
                <w:lang w:val="zh-CN" w:eastAsia="zh-CN"/>
              </w:rPr>
              <w:t xml:space="preserve">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val="zh-CN" w:eastAsia="zh-CN"/>
              </w:rPr>
              <w:t xml:space="preserve">分；具有</w:t>
            </w:r>
            <w:r>
              <w:rPr>
                <w:rFonts w:hint="eastAsia" w:ascii="宋体" w:hAnsi="宋体" w:cs="宋体"/>
                <w:sz w:val="21"/>
                <w:szCs w:val="21"/>
                <w:highlight w:val="none"/>
                <w:lang w:val="en-US" w:eastAsia="zh-CN"/>
              </w:rPr>
              <w:t xml:space="preserve">针对</w:t>
            </w:r>
            <w:r>
              <w:rPr>
                <w:rFonts w:hint="eastAsia" w:ascii="宋体" w:hAnsi="宋体" w:cs="宋体"/>
                <w:sz w:val="21"/>
                <w:szCs w:val="21"/>
                <w:highlight w:val="none"/>
                <w:lang w:val="zh-CN" w:eastAsia="zh-CN"/>
              </w:rPr>
              <w:t xml:space="preserve">性、全面且可</w:t>
            </w:r>
            <w:r>
              <w:rPr>
                <w:rFonts w:hint="eastAsia" w:ascii="宋体" w:hAnsi="宋体" w:cs="宋体"/>
                <w:sz w:val="21"/>
                <w:szCs w:val="21"/>
                <w:highlight w:val="none"/>
                <w:lang w:val="en-US" w:eastAsia="zh-CN"/>
              </w:rPr>
              <w:t xml:space="preserve">行</w:t>
            </w:r>
            <w:r>
              <w:rPr>
                <w:rFonts w:hint="eastAsia" w:ascii="宋体" w:hAnsi="宋体" w:cs="宋体"/>
                <w:sz w:val="21"/>
                <w:szCs w:val="21"/>
                <w:highlight w:val="none"/>
                <w:lang w:val="zh-CN" w:eastAsia="zh-CN"/>
              </w:rPr>
              <w:t xml:space="preserve">、详细且可操作</w:t>
            </w:r>
            <w:r>
              <w:rPr>
                <w:rFonts w:hint="eastAsia" w:ascii="宋体" w:hAnsi="宋体" w:cs="宋体"/>
                <w:sz w:val="21"/>
                <w:szCs w:val="21"/>
                <w:highlight w:val="none"/>
                <w:lang w:val="en-US" w:eastAsia="zh-CN"/>
              </w:rPr>
              <w:t xml:space="preserve">的建议2条得2</w:t>
            </w:r>
            <w:r>
              <w:rPr>
                <w:rFonts w:hint="eastAsia" w:ascii="宋体" w:hAnsi="宋体" w:cs="宋体"/>
                <w:sz w:val="21"/>
                <w:szCs w:val="21"/>
                <w:highlight w:val="none"/>
                <w:lang w:val="zh-CN" w:eastAsia="zh-CN"/>
              </w:rPr>
              <w:t xml:space="preserve">分；具有</w:t>
            </w:r>
            <w:r>
              <w:rPr>
                <w:rFonts w:hint="eastAsia" w:ascii="宋体" w:hAnsi="宋体" w:cs="宋体"/>
                <w:sz w:val="21"/>
                <w:szCs w:val="21"/>
                <w:highlight w:val="none"/>
                <w:lang w:val="en-US" w:eastAsia="zh-CN"/>
              </w:rPr>
              <w:t xml:space="preserve">针对</w:t>
            </w:r>
            <w:r>
              <w:rPr>
                <w:rFonts w:hint="eastAsia" w:ascii="宋体" w:hAnsi="宋体" w:cs="宋体"/>
                <w:sz w:val="21"/>
                <w:szCs w:val="21"/>
                <w:highlight w:val="none"/>
                <w:lang w:val="zh-CN" w:eastAsia="zh-CN"/>
              </w:rPr>
              <w:t xml:space="preserve">性、全面且可</w:t>
            </w:r>
            <w:r>
              <w:rPr>
                <w:rFonts w:hint="eastAsia" w:ascii="宋体" w:hAnsi="宋体" w:cs="宋体"/>
                <w:sz w:val="21"/>
                <w:szCs w:val="21"/>
                <w:highlight w:val="none"/>
                <w:lang w:val="en-US" w:eastAsia="zh-CN"/>
              </w:rPr>
              <w:t xml:space="preserve">行</w:t>
            </w:r>
            <w:r>
              <w:rPr>
                <w:rFonts w:hint="eastAsia" w:ascii="宋体" w:hAnsi="宋体" w:cs="宋体"/>
                <w:sz w:val="21"/>
                <w:szCs w:val="21"/>
                <w:highlight w:val="none"/>
                <w:lang w:val="zh-CN" w:eastAsia="zh-CN"/>
              </w:rPr>
              <w:t xml:space="preserve">、详细且可操作</w:t>
            </w:r>
            <w:r>
              <w:rPr>
                <w:rFonts w:hint="eastAsia" w:ascii="宋体" w:hAnsi="宋体" w:cs="宋体"/>
                <w:sz w:val="21"/>
                <w:szCs w:val="21"/>
                <w:highlight w:val="none"/>
                <w:lang w:val="en-US" w:eastAsia="zh-CN"/>
              </w:rPr>
              <w:t xml:space="preserve">的建议1条得1</w:t>
            </w:r>
            <w:r>
              <w:rPr>
                <w:rFonts w:hint="eastAsia" w:ascii="宋体" w:hAnsi="宋体" w:cs="宋体"/>
                <w:sz w:val="21"/>
                <w:szCs w:val="21"/>
                <w:highlight w:val="none"/>
                <w:lang w:val="zh-CN" w:eastAsia="zh-CN"/>
              </w:rPr>
              <w:t xml:space="preserve">分</w:t>
            </w:r>
            <w:r>
              <w:rPr>
                <w:rFonts w:hint="eastAsia" w:ascii="宋体" w:hAnsi="宋体" w:cs="宋体"/>
                <w:sz w:val="21"/>
                <w:szCs w:val="21"/>
                <w:highlight w:val="none"/>
                <w:lang w:val="en-US" w:eastAsia="zh-CN"/>
              </w:rPr>
              <w:t xml:space="preserve">；建议</w:t>
            </w:r>
            <w:r>
              <w:rPr>
                <w:rFonts w:hint="eastAsia" w:ascii="宋体" w:hAnsi="宋体" w:cs="宋体"/>
                <w:sz w:val="21"/>
                <w:szCs w:val="21"/>
                <w:highlight w:val="none"/>
                <w:lang w:val="zh-CN" w:eastAsia="zh-CN"/>
              </w:rPr>
              <w:t xml:space="preserve">缺失或未提供，得0分</w:t>
            </w:r>
            <w:r>
              <w:rPr>
                <w:rFonts w:hint="eastAsia" w:ascii="宋体" w:hAnsi="宋体" w:cs="宋体"/>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keepLines w:val="0"/>
              <w:keepNext w:val="0"/>
              <w:pageBreakBefore w:val="0"/>
              <w:spacing w:line="440" w:lineRule="exact"/>
              <w:widowControl/>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3分</w:t>
            </w:r>
            <w:r>
              <w:rPr>
                <w:rFonts w:hint="eastAsia" w:ascii="宋体" w:hAnsi="宋体" w:eastAsia="宋体" w:cs="宋体"/>
                <w:sz w:val="21"/>
                <w:szCs w:val="21"/>
                <w:highlight w:val="none"/>
                <w:lang w:val="en-US" w:eastAsia="zh-CN" w:bidi="ar-SA"/>
              </w:rPr>
            </w:r>
            <w:r/>
          </w:p>
        </w:tc>
      </w:tr>
      <w:tr>
        <w:trPr>
          <w:trHeight w:val="418"/>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商务部分（</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301"/>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numPr>
                <w:ilvl w:val="0"/>
                <w:numId w:val="0"/>
              </w:numPr>
              <w:jc w:val="left"/>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投标人自20</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年1月1日以来（时间以合同签订时间为准）具有亮化</w:t>
            </w:r>
            <w:r>
              <w:rPr>
                <w:rFonts w:hint="eastAsia" w:ascii="宋体" w:hAnsi="宋体" w:eastAsia="宋体" w:cs="宋体"/>
                <w:sz w:val="21"/>
                <w:szCs w:val="21"/>
                <w:highlight w:val="none"/>
                <w:lang w:eastAsia="zh-CN"/>
              </w:rPr>
              <w:t xml:space="preserve">建设、</w:t>
            </w:r>
            <w:r>
              <w:rPr>
                <w:rFonts w:hint="eastAsia" w:ascii="宋体" w:hAnsi="宋体" w:eastAsia="宋体" w:cs="宋体"/>
                <w:sz w:val="21"/>
                <w:szCs w:val="21"/>
                <w:highlight w:val="none"/>
                <w:lang w:val="en-US" w:eastAsia="zh-CN"/>
              </w:rPr>
              <w:t xml:space="preserve">亮化</w:t>
            </w:r>
            <w:r>
              <w:rPr>
                <w:rFonts w:hint="eastAsia" w:ascii="宋体" w:hAnsi="宋体" w:eastAsia="宋体" w:cs="宋体"/>
                <w:sz w:val="21"/>
                <w:szCs w:val="21"/>
                <w:highlight w:val="none"/>
                <w:lang w:eastAsia="zh-CN"/>
              </w:rPr>
              <w:t xml:space="preserve">运维</w:t>
            </w:r>
            <w:r>
              <w:rPr>
                <w:rFonts w:hint="eastAsia" w:ascii="宋体" w:hAnsi="宋体" w:eastAsia="宋体" w:cs="宋体"/>
                <w:sz w:val="21"/>
                <w:szCs w:val="21"/>
                <w:highlight w:val="none"/>
              </w:rPr>
              <w:t xml:space="preserve">、远程管控、</w:t>
            </w:r>
            <w:r>
              <w:rPr>
                <w:rFonts w:hint="eastAsia" w:ascii="宋体" w:hAnsi="宋体" w:eastAsia="宋体" w:cs="宋体"/>
                <w:sz w:val="21"/>
                <w:szCs w:val="21"/>
                <w:highlight w:val="none"/>
                <w:lang w:val="en-US" w:eastAsia="zh-CN"/>
              </w:rPr>
              <w:t xml:space="preserve">智慧照明、</w:t>
            </w:r>
            <w:r>
              <w:rPr>
                <w:rFonts w:hint="eastAsia" w:ascii="宋体" w:hAnsi="宋体" w:eastAsia="宋体" w:cs="宋体"/>
                <w:sz w:val="21"/>
                <w:szCs w:val="21"/>
                <w:highlight w:val="none"/>
              </w:rPr>
              <w:t xml:space="preserve">能耗管理等</w:t>
            </w:r>
            <w:r>
              <w:rPr>
                <w:rFonts w:hint="eastAsia" w:ascii="宋体" w:hAnsi="宋体" w:eastAsia="宋体" w:cs="宋体"/>
                <w:sz w:val="21"/>
                <w:szCs w:val="21"/>
                <w:highlight w:val="none"/>
                <w:lang w:val="en-US" w:eastAsia="zh-CN"/>
              </w:rPr>
              <w:t xml:space="preserve">类似</w:t>
            </w:r>
            <w:r>
              <w:rPr>
                <w:rFonts w:hint="eastAsia" w:ascii="宋体" w:hAnsi="宋体" w:eastAsia="宋体" w:cs="宋体"/>
                <w:sz w:val="21"/>
                <w:szCs w:val="21"/>
                <w:highlight w:val="none"/>
              </w:rPr>
              <w:t xml:space="preserve">项目业绩，</w:t>
            </w:r>
            <w:r>
              <w:rPr>
                <w:rFonts w:hint="eastAsia" w:ascii="宋体" w:hAnsi="宋体" w:eastAsia="宋体" w:cs="宋体"/>
                <w:bCs w:val="0"/>
                <w:sz w:val="21"/>
                <w:szCs w:val="21"/>
                <w:highlight w:val="none"/>
              </w:rPr>
              <w:t xml:space="preserve">每提供一个业绩</w:t>
            </w:r>
            <w:r>
              <w:rPr>
                <w:rFonts w:hint="eastAsia" w:ascii="宋体" w:hAnsi="宋体" w:eastAsia="宋体" w:cs="宋体"/>
                <w:sz w:val="21"/>
                <w:szCs w:val="21"/>
                <w:highlight w:val="none"/>
              </w:rPr>
              <w:t xml:space="preserve">得1分（以成交合同签订时间为准），本项最高得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分，未提供不得分。</w:t>
            </w:r>
            <w:r>
              <w:rPr>
                <w:rFonts w:hint="eastAsia" w:ascii="宋体" w:hAnsi="宋体" w:eastAsia="宋体" w:cs="宋体"/>
                <w:sz w:val="21"/>
                <w:szCs w:val="21"/>
                <w:highlight w:val="none"/>
              </w:rPr>
            </w:r>
            <w:r/>
          </w:p>
          <w:p>
            <w:pPr>
              <w:pStyle w:val="1208"/>
              <w:numPr>
                <w:ilvl w:val="0"/>
                <w:numId w:val="0"/>
              </w:numPr>
              <w:jc w:val="left"/>
              <w:spacing w:line="440" w:lineRule="exact"/>
              <w:widowControl/>
              <w:rPr>
                <w:rFonts w:hint="eastAsia" w:ascii="宋体" w:hAnsi="宋体" w:eastAsia="宋体" w:cs="宋体"/>
                <w:sz w:val="21"/>
                <w:szCs w:val="21"/>
                <w:highlight w:val="none"/>
                <w:lang w:eastAsia="zh-CN" w:bidi="ar"/>
              </w:rPr>
            </w:pPr>
            <w:r>
              <w:rPr>
                <w:rFonts w:hint="eastAsia" w:ascii="宋体" w:hAnsi="宋体" w:eastAsia="宋体" w:cs="宋体"/>
                <w:b/>
                <w:bCs/>
                <w:sz w:val="21"/>
                <w:szCs w:val="21"/>
                <w:highlight w:val="none"/>
              </w:rPr>
              <w:t xml:space="preserve">注：</w:t>
            </w:r>
            <w:r>
              <w:rPr>
                <w:rFonts w:hint="eastAsia" w:ascii="宋体" w:hAnsi="宋体" w:eastAsia="宋体" w:cs="宋体"/>
                <w:b/>
                <w:bCs/>
                <w:sz w:val="21"/>
                <w:highlight w:val="none"/>
                <w:lang w:val="en-US" w:eastAsia="zh-CN"/>
              </w:rPr>
              <w:t xml:space="preserve">投标人</w:t>
            </w:r>
            <w:r>
              <w:rPr>
                <w:rFonts w:hint="eastAsia" w:ascii="宋体" w:hAnsi="宋体" w:eastAsia="宋体" w:cs="宋体"/>
                <w:b/>
                <w:bCs/>
                <w:color w:val="000000"/>
                <w:sz w:val="21"/>
                <w:highlight w:val="none"/>
              </w:rPr>
              <w:t xml:space="preserve">须提供业绩合同原件扫描件，合同中必须包含服务内容、合同签订时间等信息，否则不计分。</w:t>
            </w:r>
            <w:r>
              <w:rPr>
                <w:rFonts w:hint="eastAsia" w:ascii="宋体" w:hAnsi="宋体" w:eastAsia="宋体" w:cs="宋体"/>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1208"/>
              <w:jc w:val="left"/>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301"/>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1208"/>
              <w:numPr>
                <w:ilvl w:val="0"/>
                <w:numId w:val="0"/>
              </w:numPr>
              <w:jc w:val="left"/>
              <w:spacing w:line="500" w:lineRule="exact"/>
              <w:widowControl w:val="off"/>
              <w:rPr>
                <w:rFonts w:hint="eastAsia" w:ascii="宋体" w:hAnsi="宋体" w:eastAsia="宋体" w:cs="宋体"/>
                <w:sz w:val="21"/>
                <w:szCs w:val="21"/>
                <w:highlight w:val="none"/>
              </w:rPr>
            </w:pPr>
            <w:r>
              <w:rPr>
                <w:rFonts w:hint="eastAsia" w:ascii="宋体" w:hAnsi="宋体" w:cs="宋体"/>
                <w:sz w:val="21"/>
                <w:szCs w:val="21"/>
                <w:highlight w:val="none"/>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投标人拟派项目负责人具有项目所需电气类或计算机类高级职称或证书的得2分;具有项目所需电气或计算机类中级职称或证书的得1分，本项最高得2分。</w:t>
            </w:r>
            <w:r>
              <w:rPr>
                <w:rFonts w:hint="eastAsia" w:ascii="宋体" w:hAnsi="宋体" w:eastAsia="宋体" w:cs="宋体"/>
                <w:sz w:val="21"/>
                <w:szCs w:val="21"/>
                <w:highlight w:val="none"/>
              </w:rPr>
              <w:t xml:space="preserve">（提供有效期内证书</w:t>
            </w:r>
            <w:r>
              <w:rPr>
                <w:rFonts w:hint="eastAsia" w:ascii="宋体" w:hAnsi="宋体" w:eastAsia="宋体" w:cs="宋体"/>
                <w:sz w:val="21"/>
                <w:szCs w:val="21"/>
                <w:highlight w:val="none"/>
                <w:lang w:val="en-US" w:eastAsia="zh-CN"/>
              </w:rPr>
              <w:t xml:space="preserve">原件扫描</w:t>
            </w:r>
            <w:r>
              <w:rPr>
                <w:rFonts w:hint="eastAsia" w:ascii="宋体" w:hAnsi="宋体" w:eastAsia="宋体" w:cs="宋体"/>
                <w:sz w:val="21"/>
                <w:szCs w:val="21"/>
                <w:highlight w:val="none"/>
              </w:rPr>
              <w:t xml:space="preserve">件并加盖投标人公章，未提供不得分，同一人员有多本证书的按最高的计取）。</w:t>
            </w:r>
            <w:r>
              <w:rPr>
                <w:rFonts w:hint="eastAsia" w:ascii="宋体" w:hAnsi="宋体" w:eastAsia="宋体" w:cs="宋体"/>
                <w:sz w:val="21"/>
                <w:szCs w:val="21"/>
                <w:highlight w:val="none"/>
              </w:rPr>
            </w:r>
            <w:r/>
          </w:p>
          <w:p>
            <w:pPr>
              <w:pStyle w:val="1208"/>
              <w:keepLines w:val="0"/>
              <w:keepNext w:val="0"/>
              <w:pageBreakBefore w:val="0"/>
              <w:spacing w:line="5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.投标人团队</w:t>
            </w:r>
            <w:r>
              <w:rPr>
                <w:rFonts w:hint="eastAsia" w:ascii="宋体" w:hAnsi="宋体" w:eastAsia="宋体" w:cs="宋体"/>
                <w:b w:val="0"/>
                <w:bCs w:val="0"/>
                <w:sz w:val="21"/>
                <w:szCs w:val="21"/>
                <w:highlight w:val="none"/>
                <w:lang w:val="en-US" w:eastAsia="zh-CN"/>
              </w:rPr>
              <w:t xml:space="preserve">服务</w:t>
            </w:r>
            <w:r>
              <w:rPr>
                <w:rFonts w:hint="eastAsia" w:ascii="宋体" w:hAnsi="宋体" w:eastAsia="宋体" w:cs="宋体"/>
                <w:b w:val="0"/>
                <w:bCs w:val="0"/>
                <w:sz w:val="21"/>
                <w:szCs w:val="21"/>
                <w:highlight w:val="none"/>
              </w:rPr>
              <w:t xml:space="preserve">人员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sz w:val="21"/>
                <w:szCs w:val="21"/>
                <w:highlight w:val="none"/>
                <w:lang w:val="en-US" w:eastAsia="zh-CN"/>
              </w:rPr>
              <w:t xml:space="preserve">具有计算机类中级及以上职称或证书，有一名得1分，最高2分，具有2名低压电工证的得1分（提供一名或不提供不得分），具有2名高处作业证的得1分（提供一名或不提供不得分），本项最高得4分。</w:t>
            </w:r>
            <w:r>
              <w:rPr>
                <w:rFonts w:hint="eastAsia" w:ascii="宋体" w:hAnsi="宋体" w:eastAsia="宋体" w:cs="宋体"/>
                <w:sz w:val="21"/>
                <w:szCs w:val="21"/>
                <w:highlight w:val="none"/>
                <w:lang w:val="en-US" w:eastAsia="zh-CN"/>
              </w:rPr>
            </w:r>
            <w:r/>
          </w:p>
          <w:p>
            <w:pPr>
              <w:pStyle w:val="1208"/>
              <w:spacing w:line="500" w:lineRule="exact"/>
              <w:rPr>
                <w:rFonts w:hint="eastAsia" w:ascii="宋体" w:hAnsi="宋体" w:cs="宋体"/>
                <w:sz w:val="21"/>
                <w:szCs w:val="21"/>
                <w:highlight w:val="none"/>
                <w:lang w:bidi="ar"/>
              </w:rPr>
            </w:pPr>
            <w:r>
              <w:rPr>
                <w:rFonts w:hint="eastAsia" w:ascii="宋体" w:hAnsi="宋体" w:eastAsia="宋体" w:cs="宋体"/>
                <w:sz w:val="21"/>
                <w:szCs w:val="21"/>
                <w:highlight w:val="none"/>
                <w:lang w:val="en-US" w:eastAsia="zh-CN"/>
              </w:rPr>
              <w:t xml:space="preserve">注：提供有效期内证书原件扫描件并加盖投标人公章，未提供不得分。涉及人员资质证书的均需提供投标单位近三个月内任意一个月为其缴纳的社保证明加盖投标人公章方可得分。</w:t>
            </w:r>
            <w:r>
              <w:rPr>
                <w:rFonts w:hint="eastAsia" w:ascii="宋体" w:hAnsi="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合计</w:t>
            </w:r>
            <w:r>
              <w:rPr>
                <w:rFonts w:hint="eastAsia" w:ascii="宋体" w:hAnsi="宋体" w:cs="宋体"/>
                <w:b/>
                <w:bCs/>
                <w:sz w:val="20"/>
                <w:szCs w:val="20"/>
                <w:highlight w:val="none"/>
              </w:rPr>
            </w:r>
            <w:r/>
          </w:p>
        </w:tc>
        <w:tc>
          <w:tcPr>
            <w:gridSpan w:val="2"/>
            <w:tcBorders>
              <w:top w:val="single" w:color="000000" w:sz="4" w:space="0"/>
              <w:left w:val="none" w:color="000000" w:sz="4" w:space="0"/>
              <w:bottom w:val="single" w:color="000000" w:sz="4" w:space="0"/>
              <w:right w:val="single" w:color="000000" w:sz="4" w:space="0"/>
            </w:tcBorders>
            <w:tcW w:w="7507"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　</w:t>
            </w:r>
            <w:r>
              <w:rPr>
                <w:rFonts w:hint="eastAsia" w:ascii="宋体" w:hAnsi="宋体" w:cs="宋体"/>
                <w:b/>
                <w:bCs/>
                <w:sz w:val="20"/>
                <w:szCs w:val="20"/>
                <w:highlight w:val="none"/>
              </w:rPr>
            </w:r>
            <w:r/>
          </w:p>
        </w:tc>
        <w:tc>
          <w:tcPr>
            <w:tcBorders>
              <w:top w:val="single" w:color="000000" w:sz="4" w:space="0"/>
              <w:left w:val="none" w:color="000000" w:sz="4" w:space="0"/>
              <w:bottom w:val="single" w:color="000000" w:sz="4" w:space="0"/>
              <w:right w:val="single" w:color="000000" w:sz="4" w:space="0"/>
            </w:tcBorders>
            <w:tcW w:w="380" w:type="dxa"/>
            <w:vAlign w:val="center"/>
            <w:textDirection w:val="lrTb"/>
            <w:noWrap w:val="false"/>
          </w:tcPr>
          <w:p>
            <w:pPr>
              <w:pStyle w:val="1208"/>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100</w:t>
            </w:r>
            <w:r>
              <w:rPr>
                <w:rFonts w:hint="eastAsia" w:ascii="宋体" w:hAnsi="宋体" w:cs="宋体"/>
                <w:b/>
                <w:bCs/>
                <w:sz w:val="20"/>
                <w:szCs w:val="20"/>
                <w:highlight w:val="none"/>
              </w:rPr>
            </w:r>
            <w:r/>
          </w:p>
        </w:tc>
      </w:tr>
    </w:tbl>
    <w:p>
      <w:pPr>
        <w:pStyle w:val="1296"/>
        <w:ind w:firstLine="48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209"/>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9"/>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1208"/>
        <w:rPr>
          <w:rFonts w:hint="eastAsia"/>
          <w:highlight w:val="none"/>
        </w:rPr>
      </w:pPr>
      <w:r>
        <w:rPr>
          <w:rFonts w:hint="eastAsia"/>
          <w:highlight w:val="none"/>
        </w:rPr>
      </w:r>
      <w:r/>
    </w:p>
    <w:p>
      <w:pPr>
        <w:pStyle w:val="1209"/>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t xml:space="preserve">第六章  投标</w:t>
      </w:r>
      <w:bookmarkEnd w:id="108"/>
      <w:r/>
      <w:bookmarkEnd w:id="109"/>
      <w:r/>
      <w:bookmarkEnd w:id="112"/>
      <w:r>
        <w:rPr>
          <w:rFonts w:hint="eastAsia" w:ascii="宋体" w:hAnsi="宋体" w:eastAsia="宋体" w:cs="宋体"/>
          <w:bCs/>
          <w:sz w:val="44"/>
          <w:highlight w:val="none"/>
        </w:rPr>
        <w:t xml:space="preserve">文件格式 </w:t>
      </w:r>
      <w:r>
        <w:rPr>
          <w:rFonts w:hint="eastAsia" w:ascii="宋体" w:hAnsi="宋体" w:eastAsia="宋体" w:cs="宋体"/>
          <w:bCs/>
          <w:sz w:val="44"/>
          <w:highlight w:val="none"/>
        </w:rPr>
      </w:r>
      <w:r/>
    </w:p>
    <w:p>
      <w:pPr>
        <w:pStyle w:val="1208"/>
        <w:jc w:val="center"/>
        <w:spacing w:line="440" w:lineRule="exact"/>
        <w:rPr>
          <w:rFonts w:hint="eastAsia" w:ascii="宋体" w:hAnsi="宋体" w:cs="宋体"/>
          <w:b/>
          <w:sz w:val="72"/>
          <w:highlight w:val="none"/>
        </w:rPr>
      </w:pPr>
      <w:r/>
      <w:bookmarkStart w:id="114" w:name="_Toc49090576"/>
      <w:r/>
      <w:bookmarkStart w:id="115" w:name="_Hlt26955039"/>
      <w:r/>
      <w:bookmarkEnd w:id="115"/>
      <w:r/>
      <w:bookmarkStart w:id="116" w:name="_Hlt26671244"/>
      <w:r/>
      <w:bookmarkEnd w:id="116"/>
      <w:r/>
      <w:bookmarkStart w:id="117" w:name="_Toc26554094"/>
      <w:r/>
      <w:bookmarkStart w:id="118" w:name="_Toc120614282"/>
      <w:r>
        <w:rPr>
          <w:rFonts w:hint="eastAsia" w:ascii="宋体" w:hAnsi="宋体" w:cs="宋体"/>
          <w:b/>
          <w:sz w:val="72"/>
          <w:highlight w:val="none"/>
        </w:rPr>
      </w:r>
      <w:r/>
    </w:p>
    <w:p>
      <w:pPr>
        <w:pStyle w:val="1265"/>
        <w:spacing w:line="440" w:lineRule="exact"/>
        <w:rPr>
          <w:rFonts w:hint="eastAsia" w:ascii="宋体" w:hAnsi="宋体" w:cs="宋体"/>
          <w:highlight w:val="none"/>
          <w:lang w:eastAsia="zh-CN"/>
        </w:rPr>
      </w:pPr>
      <w:r>
        <w:rPr>
          <w:rFonts w:hint="eastAsia" w:ascii="宋体" w:hAnsi="宋体" w:cs="宋体"/>
          <w:highlight w:val="none"/>
          <w:lang w:eastAsia="zh-CN"/>
        </w:rPr>
      </w:r>
      <w:r/>
    </w:p>
    <w:p>
      <w:pPr>
        <w:pStyle w:val="1254"/>
        <w:jc w:val="center"/>
        <w:spacing w:beforeAutospacing="0" w:afterAutospacing="0"/>
        <w:rPr>
          <w:rFonts w:ascii="宋体" w:hAnsi="宋体" w:eastAsia="宋体" w:cs="宋体"/>
          <w:b/>
          <w:sz w:val="72"/>
          <w:szCs w:val="72"/>
          <w:highlight w:val="none"/>
        </w:rPr>
      </w:pPr>
      <w:r>
        <w:rPr>
          <w:rFonts w:ascii="宋体" w:hAnsi="宋体" w:eastAsia="宋体" w:cs="宋体"/>
          <w:b/>
          <w:sz w:val="72"/>
          <w:szCs w:val="72"/>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b/>
          <w:sz w:val="72"/>
          <w:szCs w:val="72"/>
          <w:highlight w:val="none"/>
        </w:rPr>
        <w:t xml:space="preserve">投  标  文  件</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1084"/>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项 目 名 称：</w:t>
      </w:r>
      <w:r>
        <w:rPr>
          <w:rFonts w:hint="eastAsia" w:ascii="宋体" w:hAnsi="宋体" w:eastAsia="宋体" w:cs="宋体"/>
          <w:b/>
          <w:sz w:val="36"/>
          <w:szCs w:val="36"/>
          <w:highlight w:val="none"/>
          <w:u w:val="single"/>
        </w:rPr>
        <w:t xml:space="preserve">             </w:t>
      </w:r>
      <w:r>
        <w:rPr>
          <w:rFonts w:ascii="宋体" w:hAnsi="宋体" w:eastAsia="宋体" w:cs="宋体"/>
          <w:highlight w:val="none"/>
        </w:rPr>
      </w:r>
      <w:r/>
    </w:p>
    <w:p>
      <w:pPr>
        <w:pStyle w:val="1254"/>
        <w:ind w:firstLine="1084"/>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项 目 编 号：</w:t>
      </w:r>
      <w:r>
        <w:rPr>
          <w:rFonts w:hint="eastAsia" w:ascii="宋体" w:hAnsi="宋体" w:eastAsia="宋体" w:cs="宋体"/>
          <w:b/>
          <w:sz w:val="36"/>
          <w:szCs w:val="36"/>
          <w:highlight w:val="none"/>
          <w:u w:val="single"/>
        </w:rPr>
        <w:t xml:space="preserve">             </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      投标人名称 ：</w:t>
      </w:r>
      <w:r>
        <w:rPr>
          <w:rFonts w:hint="eastAsia" w:ascii="宋体" w:hAnsi="宋体" w:eastAsia="宋体" w:cs="宋体"/>
          <w:b/>
          <w:sz w:val="36"/>
          <w:szCs w:val="36"/>
          <w:highlight w:val="none"/>
          <w:u w:val="single"/>
        </w:rPr>
        <w:t xml:space="preserve">（加盖CA电子公章）       </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      日   期 ：</w:t>
      </w:r>
      <w:r>
        <w:rPr>
          <w:rFonts w:hint="eastAsia" w:ascii="宋体" w:hAnsi="宋体" w:eastAsia="宋体" w:cs="宋体"/>
          <w:b/>
          <w:sz w:val="36"/>
          <w:szCs w:val="36"/>
          <w:highlight w:val="none"/>
          <w:u w:val="singl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投标文件目录</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left="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一、法人或者其他组织的营业执照等证明文件，自然人的身份证明</w:t>
      </w:r>
      <w:r>
        <w:rPr>
          <w:rFonts w:ascii="宋体" w:hAnsi="宋体" w:eastAsia="宋体" w:cs="宋体"/>
          <w:i/>
          <w:highlight w:val="none"/>
          <w:u w:val="single"/>
        </w:rPr>
      </w:r>
      <w:r/>
    </w:p>
    <w:p>
      <w:pPr>
        <w:pStyle w:val="1208"/>
        <w:ind w:firstLine="480"/>
        <w:jc w:val="left"/>
        <w:spacing w:line="500" w:lineRule="exact"/>
        <w:tabs>
          <w:tab w:val="left" w:pos="1331" w:leader="none"/>
        </w:tabs>
        <w:rPr>
          <w:rFonts w:ascii="宋体" w:hAnsi="宋体" w:eastAsia="宋体" w:cs="宋体"/>
          <w:i/>
          <w:sz w:val="24"/>
          <w:highlight w:val="none"/>
          <w:u w:val="single"/>
        </w:rPr>
      </w:pPr>
      <w:r>
        <w:rPr>
          <w:rFonts w:hint="eastAsia" w:ascii="宋体" w:hAnsi="宋体" w:eastAsia="宋体" w:cs="宋体"/>
          <w:i/>
          <w:sz w:val="24"/>
          <w:highlight w:val="none"/>
          <w:u w:val="single"/>
        </w:rPr>
        <w:t xml:space="preserve">二、上一年度的财务状况报表（至少提供资产负债表、利润表、现金流量表，成立不满一年无需提供）</w:t>
      </w:r>
      <w:r>
        <w:rPr>
          <w:rFonts w:ascii="宋体" w:hAnsi="宋体" w:eastAsia="宋体" w:cs="宋体"/>
          <w:i/>
          <w:sz w:val="24"/>
          <w:highlight w:val="none"/>
          <w:u w:val="single"/>
        </w:rPr>
      </w:r>
      <w:r/>
    </w:p>
    <w:p>
      <w:pPr>
        <w:pStyle w:val="1208"/>
        <w:ind w:firstLine="480"/>
        <w:jc w:val="left"/>
        <w:spacing w:line="500" w:lineRule="exact"/>
        <w:tabs>
          <w:tab w:val="left" w:pos="1331" w:leader="none"/>
        </w:tabs>
        <w:rPr>
          <w:rFonts w:ascii="宋体" w:hAnsi="宋体" w:eastAsia="宋体" w:cs="宋体"/>
          <w:i/>
          <w:sz w:val="24"/>
          <w:highlight w:val="none"/>
          <w:u w:val="single"/>
        </w:rPr>
      </w:pPr>
      <w:r>
        <w:rPr>
          <w:rFonts w:hint="eastAsia" w:ascii="宋体" w:hAnsi="宋体" w:eastAsia="宋体" w:cs="宋体"/>
          <w:i/>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i/>
          <w:sz w:val="24"/>
          <w:highlight w:val="none"/>
          <w:u w:val="single"/>
        </w:rPr>
      </w:r>
      <w:r/>
    </w:p>
    <w:p>
      <w:pPr>
        <w:pStyle w:val="1254"/>
        <w:ind w:left="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四、具备履行合同所必需的设备和专业技术能力的书面声明</w:t>
      </w:r>
      <w:r>
        <w:rPr>
          <w:rFonts w:ascii="宋体" w:hAnsi="宋体" w:eastAsia="宋体" w:cs="宋体"/>
          <w:i/>
          <w:highlight w:val="none"/>
          <w:u w:val="single"/>
        </w:rPr>
      </w:r>
      <w:r/>
    </w:p>
    <w:p>
      <w:pPr>
        <w:pStyle w:val="1254"/>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五、参加政府采购活动前 3 年内在经营活动中没有重大违法记录的书面声明</w:t>
      </w:r>
      <w:r>
        <w:rPr>
          <w:rFonts w:ascii="宋体" w:hAnsi="宋体" w:eastAsia="宋体" w:cs="宋体"/>
          <w:i/>
          <w:highlight w:val="none"/>
          <w:u w:val="single"/>
        </w:rPr>
      </w:r>
      <w:r/>
    </w:p>
    <w:p>
      <w:pPr>
        <w:pStyle w:val="1254"/>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六、特定资格要求的证明文件（如果本项目设置特定资格要求，则需要提供）</w:t>
      </w:r>
      <w:r>
        <w:rPr>
          <w:rFonts w:ascii="宋体" w:hAnsi="宋体" w:eastAsia="宋体" w:cs="宋体"/>
          <w:i/>
          <w:highlight w:val="none"/>
          <w:u w:val="single"/>
        </w:rPr>
      </w:r>
      <w:r/>
    </w:p>
    <w:p>
      <w:pPr>
        <w:pStyle w:val="1254"/>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七、法人授权书</w:t>
      </w:r>
      <w:r>
        <w:rPr>
          <w:rFonts w:ascii="宋体" w:hAnsi="宋体" w:eastAsia="宋体" w:cs="宋体"/>
          <w:i/>
          <w:highlight w:val="none"/>
          <w:u w:val="single"/>
        </w:rPr>
      </w:r>
      <w:r/>
    </w:p>
    <w:p>
      <w:pPr>
        <w:pStyle w:val="1254"/>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八、投标函</w:t>
      </w:r>
      <w:r>
        <w:rPr>
          <w:rFonts w:ascii="宋体" w:hAnsi="宋体" w:eastAsia="宋体" w:cs="宋体"/>
          <w:i/>
          <w:highlight w:val="none"/>
          <w:u w:val="single"/>
        </w:rPr>
      </w:r>
      <w:r/>
    </w:p>
    <w:p>
      <w:pPr>
        <w:pStyle w:val="1254"/>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九、中小企业声明函</w:t>
      </w:r>
      <w:r>
        <w:rPr>
          <w:rFonts w:ascii="宋体" w:hAnsi="宋体" w:eastAsia="宋体" w:cs="宋体"/>
          <w:iCs/>
          <w:highlight w:val="none"/>
        </w:rPr>
      </w:r>
      <w:r/>
    </w:p>
    <w:p>
      <w:pPr>
        <w:pStyle w:val="1254"/>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十、残疾人福利性单位声明函</w:t>
      </w:r>
      <w:r>
        <w:rPr>
          <w:rFonts w:ascii="宋体" w:hAnsi="宋体" w:eastAsia="宋体" w:cs="宋体"/>
          <w:iCs/>
          <w:highlight w:val="none"/>
        </w:rPr>
      </w:r>
      <w:r/>
    </w:p>
    <w:p>
      <w:pPr>
        <w:pStyle w:val="1254"/>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一</w:t>
      </w:r>
      <w:r>
        <w:rPr>
          <w:rFonts w:hint="eastAsia" w:ascii="宋体" w:hAnsi="宋体" w:eastAsia="宋体" w:cs="宋体"/>
          <w:iCs/>
          <w:highlight w:val="none"/>
        </w:rPr>
        <w:t xml:space="preserve">、投标分项报价表</w:t>
      </w:r>
      <w:r>
        <w:rPr>
          <w:rFonts w:ascii="宋体" w:hAnsi="宋体" w:eastAsia="宋体" w:cs="宋体"/>
          <w:iCs/>
          <w:highlight w:val="none"/>
        </w:rPr>
      </w:r>
      <w:r/>
    </w:p>
    <w:p>
      <w:pPr>
        <w:pStyle w:val="1254"/>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二</w:t>
      </w:r>
      <w:r>
        <w:rPr>
          <w:rFonts w:hint="eastAsia" w:ascii="宋体" w:hAnsi="宋体" w:eastAsia="宋体" w:cs="宋体"/>
          <w:iCs/>
          <w:highlight w:val="none"/>
        </w:rPr>
        <w:t xml:space="preserve">、技术要求响应及偏离表</w:t>
      </w:r>
      <w:r>
        <w:rPr>
          <w:rFonts w:ascii="宋体" w:hAnsi="宋体" w:eastAsia="宋体" w:cs="宋体"/>
          <w:iCs/>
          <w:highlight w:val="none"/>
        </w:rPr>
      </w:r>
      <w:r/>
    </w:p>
    <w:p>
      <w:pPr>
        <w:pStyle w:val="1254"/>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三</w:t>
      </w:r>
      <w:r>
        <w:rPr>
          <w:rFonts w:hint="eastAsia" w:ascii="宋体" w:hAnsi="宋体" w:eastAsia="宋体" w:cs="宋体"/>
          <w:iCs/>
          <w:highlight w:val="none"/>
        </w:rPr>
        <w:t xml:space="preserve">、商务要求响应及偏离表</w:t>
      </w:r>
      <w:r>
        <w:rPr>
          <w:rFonts w:ascii="宋体" w:hAnsi="宋体" w:eastAsia="宋体" w:cs="宋体"/>
          <w:iCs/>
          <w:highlight w:val="none"/>
        </w:rPr>
      </w:r>
      <w:r/>
    </w:p>
    <w:p>
      <w:pPr>
        <w:pStyle w:val="1254"/>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十</w:t>
      </w:r>
      <w:r>
        <w:rPr>
          <w:rFonts w:hint="eastAsia" w:eastAsia="宋体" w:cs="宋体"/>
          <w:i/>
          <w:highlight w:val="none"/>
          <w:u w:val="single"/>
          <w:lang w:val="en-US" w:eastAsia="zh-CN"/>
        </w:rPr>
        <w:t xml:space="preserve">四</w:t>
      </w:r>
      <w:r>
        <w:rPr>
          <w:rFonts w:hint="eastAsia" w:ascii="宋体" w:hAnsi="宋体" w:eastAsia="宋体" w:cs="宋体"/>
          <w:i/>
          <w:highlight w:val="none"/>
          <w:u w:val="single"/>
        </w:rPr>
        <w:t xml:space="preserve">、开标一览表</w:t>
      </w:r>
      <w:r>
        <w:rPr>
          <w:rFonts w:ascii="宋体" w:hAnsi="宋体" w:eastAsia="宋体" w:cs="宋体"/>
          <w:i/>
          <w:highlight w:val="none"/>
          <w:u w:val="single"/>
        </w:rPr>
      </w:r>
      <w:r/>
    </w:p>
    <w:p>
      <w:pPr>
        <w:pStyle w:val="1208"/>
        <w:ind w:firstLine="480"/>
        <w:spacing w:line="500" w:lineRule="exact"/>
        <w:widowControl/>
        <w:rPr>
          <w:rFonts w:ascii="宋体" w:hAnsi="宋体" w:eastAsia="宋体" w:cs="宋体"/>
          <w:iCs/>
          <w:sz w:val="24"/>
          <w:highlight w:val="none"/>
        </w:rPr>
      </w:pPr>
      <w:r>
        <w:rPr>
          <w:rFonts w:hint="eastAsia" w:ascii="宋体" w:hAnsi="宋体" w:eastAsia="宋体" w:cs="宋体"/>
          <w:iCs/>
          <w:sz w:val="24"/>
          <w:highlight w:val="none"/>
        </w:rPr>
        <w:t xml:space="preserve">十</w:t>
      </w:r>
      <w:r>
        <w:rPr>
          <w:rFonts w:hint="eastAsia" w:ascii="宋体" w:hAnsi="宋体" w:eastAsia="宋体" w:cs="宋体"/>
          <w:iCs/>
          <w:sz w:val="24"/>
          <w:highlight w:val="none"/>
          <w:lang w:val="en-US" w:eastAsia="zh-CN"/>
        </w:rPr>
        <w:t xml:space="preserve">五</w:t>
      </w:r>
      <w:r>
        <w:rPr>
          <w:rFonts w:hint="eastAsia" w:ascii="宋体" w:hAnsi="宋体" w:eastAsia="宋体" w:cs="宋体"/>
          <w:iCs/>
          <w:sz w:val="24"/>
          <w:highlight w:val="none"/>
        </w:rPr>
        <w:t xml:space="preserve">、服务方案等</w:t>
      </w:r>
      <w:r>
        <w:rPr>
          <w:rFonts w:ascii="宋体" w:hAnsi="宋体" w:eastAsia="宋体" w:cs="宋体"/>
          <w:iCs/>
          <w:sz w:val="24"/>
          <w:highlight w:val="none"/>
        </w:rPr>
      </w:r>
      <w:r/>
    </w:p>
    <w:p>
      <w:pPr>
        <w:pStyle w:val="1254"/>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六</w:t>
      </w:r>
      <w:r>
        <w:rPr>
          <w:rFonts w:hint="eastAsia" w:ascii="宋体" w:hAnsi="宋体" w:eastAsia="宋体" w:cs="宋体"/>
          <w:iCs/>
          <w:highlight w:val="none"/>
        </w:rPr>
        <w:t xml:space="preserve">、盐城市政府采购事前信用承诺书</w:t>
      </w:r>
      <w:r>
        <w:rPr>
          <w:rFonts w:ascii="宋体" w:hAnsi="宋体" w:eastAsia="宋体" w:cs="宋体"/>
          <w:iCs/>
          <w:highlight w:val="none"/>
        </w:rPr>
      </w:r>
      <w:r/>
    </w:p>
    <w:p>
      <w:pPr>
        <w:pStyle w:val="1254"/>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480"/>
        <w:jc w:val="both"/>
        <w:spacing w:beforeAutospacing="0" w:afterAutospacing="0" w:line="0" w:lineRule="atLeast"/>
        <w:rPr>
          <w:rFonts w:ascii="宋体" w:hAnsi="宋体" w:eastAsia="宋体" w:cs="宋体"/>
          <w:i/>
          <w:sz w:val="32"/>
          <w:szCs w:val="32"/>
          <w:highlight w:val="none"/>
          <w:u w:val="single"/>
        </w:rPr>
      </w:pPr>
      <w:r>
        <w:rPr>
          <w:rFonts w:hint="eastAsia" w:ascii="宋体" w:hAnsi="宋体" w:eastAsia="宋体" w:cs="宋体"/>
          <w:highlight w:val="none"/>
        </w:rPr>
        <w:t xml:space="preserve"> </w:t>
      </w:r>
      <w:r>
        <w:rPr>
          <w:rFonts w:ascii="宋体" w:hAnsi="宋体" w:eastAsia="宋体" w:cs="宋体"/>
          <w:i/>
          <w:sz w:val="32"/>
          <w:szCs w:val="32"/>
          <w:highlight w:val="none"/>
          <w:u w:val="single"/>
        </w:rPr>
      </w:r>
      <w:r/>
    </w:p>
    <w:p>
      <w:pPr>
        <w:pStyle w:val="1254"/>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一、法人或者其他组织的营业执照等证明文件，自然人的身份证明</w:t>
      </w:r>
      <w:r>
        <w:rPr>
          <w:rFonts w:ascii="宋体" w:hAnsi="宋体" w:eastAsia="宋体" w:cs="宋体"/>
          <w:highlight w:val="none"/>
        </w:rPr>
      </w:r>
      <w:r/>
    </w:p>
    <w:p>
      <w:pPr>
        <w:pStyle w:val="1254"/>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二、上一年度的财务状况报表</w:t>
      </w:r>
      <w:r>
        <w:rPr>
          <w:rFonts w:ascii="宋体" w:hAnsi="宋体" w:eastAsia="宋体" w:cs="宋体"/>
          <w:highlight w:val="none"/>
        </w:rPr>
      </w:r>
      <w:r/>
    </w:p>
    <w:p>
      <w:pPr>
        <w:pStyle w:val="1254"/>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至少提供资产负债表、利润表、现金流量表，成立不满一年无需提供</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三、依法缴纳税收和社会保障资金的相关材料</w:t>
      </w: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提供提交投标文件截止时间前一年内至少一个月依法缴纳税收及缴纳社会保障资金的证明材料。投标人依法享受缓缴、免缴税收、社会保障资金的提供证明材料。</w:t>
      </w: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四、具备履行合同所必需的设备和专业技术能力的书面声明</w:t>
      </w:r>
      <w:r>
        <w:rPr>
          <w:rFonts w:ascii="宋体" w:hAnsi="宋体" w:eastAsia="宋体" w:cs="宋体"/>
          <w:highlight w:val="none"/>
        </w:rPr>
      </w:r>
      <w:r/>
    </w:p>
    <w:p>
      <w:pPr>
        <w:pStyle w:val="1254"/>
        <w:ind w:firstLine="492"/>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highlight w:val="none"/>
        </w:rPr>
      </w:r>
      <w:r/>
    </w:p>
    <w:p>
      <w:pPr>
        <w:pStyle w:val="1254"/>
        <w:ind w:firstLine="492"/>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1254"/>
        <w:jc w:val="both"/>
        <w:spacing w:beforeAutospacing="0" w:afterAutospacing="0" w:line="500" w:lineRule="exact"/>
        <w:rPr>
          <w:rFonts w:ascii="宋体" w:hAnsi="宋体" w:eastAsia="宋体" w:cs="宋体"/>
          <w:highlight w:val="none"/>
        </w:rPr>
      </w:pP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五、参加政府采购活动前 3 年内在经营活动中没有重大违法记录的书面声明</w:t>
      </w:r>
      <w:r>
        <w:rPr>
          <w:rFonts w:ascii="宋体" w:hAnsi="宋体" w:eastAsia="宋体" w:cs="宋体"/>
          <w:highlight w:val="none"/>
        </w:rPr>
      </w:r>
      <w:r/>
    </w:p>
    <w:p>
      <w:pPr>
        <w:pStyle w:val="1254"/>
        <w:jc w:val="both"/>
        <w:spacing w:beforeAutospacing="0" w:afterAutospacing="0" w:line="0" w:lineRule="atLeast"/>
        <w:rPr>
          <w:rFonts w:ascii="宋体" w:hAnsi="宋体" w:eastAsia="宋体" w:cs="宋体"/>
          <w:b/>
          <w:sz w:val="44"/>
          <w:szCs w:val="44"/>
          <w:highlight w:val="none"/>
        </w:rPr>
      </w:pPr>
      <w:r>
        <w:rPr>
          <w:rFonts w:hint="eastAsia" w:ascii="宋体" w:hAnsi="宋体" w:eastAsia="宋体" w:cs="宋体"/>
          <w:b/>
          <w:sz w:val="44"/>
          <w:szCs w:val="44"/>
          <w:highlight w:val="none"/>
        </w:rPr>
        <w:t xml:space="preserve">                </w:t>
      </w:r>
      <w:r>
        <w:rPr>
          <w:rFonts w:ascii="宋体" w:hAnsi="宋体" w:eastAsia="宋体" w:cs="宋体"/>
          <w:b/>
          <w:sz w:val="44"/>
          <w:szCs w:val="44"/>
          <w:highlight w:val="none"/>
        </w:rPr>
      </w:r>
      <w:r/>
    </w:p>
    <w:p>
      <w:pPr>
        <w:pStyle w:val="1254"/>
        <w:ind w:firstLine="3092"/>
        <w:jc w:val="both"/>
        <w:spacing w:beforeAutospacing="0" w:afterAutospacing="0" w:line="0" w:lineRule="atLeast"/>
        <w:rPr>
          <w:rFonts w:ascii="宋体" w:hAnsi="宋体" w:eastAsia="宋体" w:cs="宋体"/>
          <w:highlight w:val="none"/>
        </w:rPr>
      </w:pPr>
      <w:r>
        <w:rPr>
          <w:rFonts w:hint="eastAsia" w:ascii="宋体" w:hAnsi="宋体" w:eastAsia="宋体" w:cs="宋体"/>
          <w:b/>
          <w:sz w:val="44"/>
          <w:szCs w:val="44"/>
          <w:highlight w:val="none"/>
        </w:rPr>
        <w:t xml:space="preserve"> 声  明</w:t>
      </w:r>
      <w:r>
        <w:rPr>
          <w:rFonts w:ascii="宋体" w:hAnsi="宋体" w:eastAsia="宋体" w:cs="宋体"/>
          <w:highlight w:val="none"/>
        </w:rPr>
      </w:r>
      <w:r/>
    </w:p>
    <w:p>
      <w:pPr>
        <w:pStyle w:val="1254"/>
        <w:jc w:val="both"/>
        <w:spacing w:beforeAutospacing="0" w:afterAutospacing="0" w:line="500" w:lineRule="exact"/>
        <w:rPr>
          <w:rFonts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六、特定资格要求的证明文件</w:t>
      </w:r>
      <w:r>
        <w:rPr>
          <w:rFonts w:ascii="宋体" w:hAnsi="宋体" w:eastAsia="宋体" w:cs="宋体"/>
          <w:highlight w:val="none"/>
        </w:rPr>
      </w:r>
      <w:r/>
    </w:p>
    <w:p>
      <w:pPr>
        <w:pStyle w:val="1254"/>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如果本项目申请人的特定资格要求中要求提供的，必须提供。</w:t>
      </w:r>
      <w:r>
        <w:rPr>
          <w:rFonts w:ascii="宋体" w:hAnsi="宋体" w:eastAsia="宋体" w:cs="宋体"/>
          <w:highlight w:val="none"/>
        </w:rPr>
      </w:r>
      <w:r/>
    </w:p>
    <w:p>
      <w:pPr>
        <w:pStyle w:val="1254"/>
        <w:jc w:val="center"/>
        <w:spacing w:beforeAutospacing="0" w:afterAutospacing="0"/>
        <w:rPr>
          <w:rFonts w:ascii="宋体" w:hAnsi="宋体" w:eastAsia="宋体" w:cs="宋体"/>
          <w:i/>
          <w:sz w:val="32"/>
          <w:szCs w:val="32"/>
          <w:highlight w:val="none"/>
          <w:u w:val="single"/>
        </w:rPr>
      </w:pPr>
      <w:r/>
      <w:bookmarkStart w:id="119" w:name="_Toc120614284"/>
      <w:r>
        <w:rPr>
          <w:rFonts w:ascii="宋体" w:hAnsi="宋体" w:eastAsia="宋体" w:cs="宋体"/>
          <w:i/>
          <w:sz w:val="32"/>
          <w:szCs w:val="32"/>
          <w:highlight w:val="none"/>
          <w:u w:val="single"/>
        </w:rPr>
      </w:r>
      <w:r/>
    </w:p>
    <w:p>
      <w:pPr>
        <w:pStyle w:val="1254"/>
        <w:jc w:val="center"/>
        <w:spacing w:beforeAutospacing="0" w:afterAutospacing="0"/>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pStyle w:val="1208"/>
        <w:rPr>
          <w:rFonts w:ascii="宋体" w:hAnsi="宋体" w:eastAsia="宋体" w:cs="宋体"/>
          <w:i/>
          <w:sz w:val="32"/>
          <w:szCs w:val="32"/>
          <w:highlight w:val="none"/>
          <w:u w:val="single"/>
        </w:rPr>
      </w:pPr>
      <w:r>
        <w:rPr>
          <w:rFonts w:hint="eastAsia" w:ascii="宋体" w:hAnsi="宋体" w:eastAsia="宋体" w:cs="宋体"/>
          <w:i/>
          <w:sz w:val="32"/>
          <w:szCs w:val="32"/>
          <w:highlight w:val="none"/>
          <w:u w:val="single"/>
        </w:rPr>
        <w:br w:type="page" w:clear="all"/>
      </w:r>
      <w:r>
        <w:rPr>
          <w:rFonts w:ascii="宋体" w:hAnsi="宋体" w:eastAsia="宋体" w:cs="宋体"/>
          <w:i/>
          <w:sz w:val="32"/>
          <w:szCs w:val="32"/>
          <w:highlight w:val="none"/>
          <w:u w:val="single"/>
        </w:rPr>
      </w:r>
      <w:r/>
    </w:p>
    <w:p>
      <w:pPr>
        <w:pStyle w:val="1254"/>
        <w:jc w:val="center"/>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七、法人授权书</w:t>
      </w:r>
      <w:r>
        <w:rPr>
          <w:rFonts w:ascii="宋体" w:hAnsi="宋体" w:eastAsia="宋体" w:cs="宋体"/>
          <w:highlight w:val="none"/>
        </w:rPr>
      </w:r>
      <w:r/>
    </w:p>
    <w:p>
      <w:pPr>
        <w:pStyle w:val="1254"/>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本授权书声明：____________（投标人名称）授权________________（被授权人的姓名）为我方就</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号项目采购活动的合法代理人，以本单位名义全权处理一切与该项目采购有关的事务。</w:t>
      </w:r>
      <w:r>
        <w:rPr>
          <w:rFonts w:ascii="宋体" w:hAnsi="宋体" w:eastAsia="宋体" w:cs="宋体"/>
          <w:highlight w:val="none"/>
        </w:rPr>
      </w:r>
      <w:r/>
    </w:p>
    <w:p>
      <w:pPr>
        <w:pStyle w:val="1254"/>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本授权书于______年____月____日起生效，特此声明。</w:t>
      </w:r>
      <w:r>
        <w:rPr>
          <w:rFonts w:ascii="宋体" w:hAnsi="宋体" w:eastAsia="宋体" w:cs="宋体"/>
          <w:highlight w:val="none"/>
        </w:rPr>
      </w:r>
      <w:r/>
    </w:p>
    <w:p>
      <w:pPr>
        <w:pStyle w:val="1254"/>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被授权人身份证号码：</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被授权人联系电话：（手机）</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授权单位名称：</w:t>
      </w:r>
      <w:r>
        <w:rPr>
          <w:rFonts w:hint="eastAsia" w:ascii="宋体" w:hAnsi="宋体" w:eastAsia="宋体" w:cs="宋体"/>
          <w:highlight w:val="none"/>
          <w:u w:val="single"/>
        </w:rPr>
        <w:t xml:space="preserve">（加盖CA电子公章）</w:t>
      </w:r>
      <w:r>
        <w:rPr>
          <w:rFonts w:ascii="宋体" w:hAnsi="宋体" w:eastAsia="宋体" w:cs="宋体"/>
          <w:highlight w:val="none"/>
        </w:rPr>
      </w:r>
      <w:r/>
    </w:p>
    <w:p>
      <w:pPr>
        <w:pStyle w:val="1254"/>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单位地址：</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日期：</w:t>
      </w:r>
      <w:bookmarkStart w:id="120" w:name="_Hlt26671380"/>
      <w:r/>
      <w:bookmarkStart w:id="121" w:name="_格式3__银行出具的资信证明"/>
      <w:r/>
      <w:bookmarkStart w:id="122" w:name="_Hlt26955070"/>
      <w:r>
        <w:rPr>
          <w:rFonts w:hint="eastAsia" w:ascii="宋体" w:hAnsi="宋体" w:eastAsia="宋体" w:cs="宋体"/>
          <w:highlight w:val="none"/>
          <w:u w:val="single"/>
        </w:rPr>
        <w:t xml:space="preserve">                      </w:t>
      </w:r>
      <w:r>
        <w:rPr>
          <w:rFonts w:ascii="宋体" w:hAnsi="宋体" w:eastAsia="宋体" w:cs="宋体"/>
          <w:highlight w:val="none"/>
        </w:rPr>
      </w:r>
      <w:r/>
    </w:p>
    <w:p>
      <w:pPr>
        <w:pStyle w:val="1254"/>
        <w:ind w:firstLine="42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line="500" w:lineRule="exact"/>
        <w:widowControl/>
        <w:tabs>
          <w:tab w:val="left" w:pos="360" w:leader="none"/>
        </w:tabs>
        <w:rPr>
          <w:rFonts w:ascii="宋体" w:hAnsi="宋体" w:eastAsia="宋体" w:cs="宋体"/>
          <w:highlight w:val="none"/>
        </w:rPr>
      </w:pPr>
      <w:r>
        <w:rPr>
          <w:rFonts w:hint="eastAsia" w:ascii="宋体" w:hAnsi="宋体" w:eastAsia="宋体" w:cs="宋体"/>
          <w:highlight w:val="none"/>
        </w:rPr>
        <w:t xml:space="preserve">法定代表人及被授权人身份证复印件：</w:t>
      </w:r>
      <w:r>
        <w:rPr>
          <w:rFonts w:ascii="宋体" w:hAnsi="宋体" w:eastAsia="宋体" w:cs="宋体"/>
          <w:highlight w:val="none"/>
        </w:rPr>
      </w:r>
      <w:r/>
    </w:p>
    <w:p>
      <w:pPr>
        <w:pStyle w:val="1254"/>
        <w:ind w:firstLine="3390"/>
        <w:jc w:val="both"/>
        <w:keepLines/>
        <w:keepNext/>
        <w:spacing w:before="260" w:beforeAutospacing="0" w:after="260" w:afterAutospacing="0" w:line="415" w:lineRule="auto"/>
        <w:rPr>
          <w:rFonts w:ascii="宋体" w:hAnsi="宋体" w:eastAsia="宋体" w:cs="宋体"/>
          <w:b/>
          <w:highlight w:val="none"/>
        </w:rPr>
      </w:pPr>
      <w:r>
        <w:rPr>
          <w:rFonts w:hint="eastAsia" w:ascii="宋体" w:hAnsi="宋体" w:eastAsia="宋体" w:cs="宋体"/>
          <w:b/>
          <w:highlight w:val="none"/>
        </w:rPr>
        <w:t xml:space="preserve"> </w:t>
      </w:r>
      <w:r>
        <w:rPr>
          <w:rFonts w:ascii="宋体" w:hAnsi="宋体" w:eastAsia="宋体" w:cs="宋体"/>
          <w:b/>
          <w:highlight w:val="none"/>
        </w:rPr>
      </w:r>
      <w:r/>
    </w:p>
    <w:p>
      <w:pPr>
        <w:pStyle w:val="1208"/>
        <w:rPr>
          <w:rFonts w:ascii="宋体" w:hAnsi="宋体" w:eastAsia="宋体" w:cs="宋体"/>
          <w:b/>
          <w:highlight w:val="none"/>
        </w:rPr>
      </w:pPr>
      <w:r>
        <w:rPr>
          <w:rFonts w:ascii="宋体" w:hAnsi="宋体" w:eastAsia="宋体" w:cs="宋体"/>
          <w:b/>
          <w:highlight w:val="none"/>
        </w:rPr>
      </w:r>
      <w:r/>
    </w:p>
    <w:p>
      <w:pPr>
        <w:pStyle w:val="1249"/>
        <w:rPr>
          <w:rFonts w:ascii="宋体" w:hAnsi="宋体" w:eastAsia="宋体" w:cs="宋体"/>
          <w:b/>
          <w:highlight w:val="none"/>
        </w:rPr>
      </w:pPr>
      <w:r>
        <w:rPr>
          <w:rFonts w:ascii="宋体" w:hAnsi="宋体" w:eastAsia="宋体" w:cs="宋体"/>
          <w:b/>
          <w:highlight w:val="none"/>
        </w:rPr>
      </w:r>
      <w:r/>
    </w:p>
    <w:p>
      <w:pPr>
        <w:pStyle w:val="1208"/>
        <w:rPr>
          <w:rFonts w:ascii="宋体" w:hAnsi="宋体" w:eastAsia="宋体" w:cs="宋体"/>
          <w:b/>
          <w:highlight w:val="none"/>
        </w:rPr>
      </w:pPr>
      <w:r>
        <w:rPr>
          <w:rFonts w:ascii="宋体" w:hAnsi="宋体" w:eastAsia="宋体" w:cs="宋体"/>
          <w:b/>
          <w:highlight w:val="none"/>
        </w:rPr>
      </w:r>
      <w:r/>
    </w:p>
    <w:p>
      <w:pPr>
        <w:pStyle w:val="1249"/>
        <w:rPr>
          <w:rFonts w:ascii="宋体" w:hAnsi="宋体" w:eastAsia="宋体" w:cs="宋体"/>
          <w:b/>
          <w:highlight w:val="none"/>
        </w:rPr>
      </w:pPr>
      <w:r>
        <w:rPr>
          <w:rFonts w:ascii="宋体" w:hAnsi="宋体" w:eastAsia="宋体" w:cs="宋体"/>
          <w:b/>
          <w:highlight w:val="none"/>
        </w:rPr>
      </w:r>
      <w:r/>
    </w:p>
    <w:p>
      <w:pPr>
        <w:pStyle w:val="1208"/>
        <w:rPr>
          <w:rFonts w:ascii="宋体" w:hAnsi="宋体" w:eastAsia="宋体" w:cs="宋体"/>
          <w:b/>
          <w:highlight w:val="none"/>
        </w:rPr>
      </w:pPr>
      <w:r>
        <w:rPr>
          <w:rFonts w:ascii="宋体" w:hAnsi="宋体" w:eastAsia="宋体" w:cs="宋体"/>
          <w:b/>
          <w:highlight w:val="none"/>
        </w:rPr>
      </w:r>
      <w:r/>
    </w:p>
    <w:p>
      <w:pPr>
        <w:pStyle w:val="1249"/>
        <w:rPr>
          <w:rFonts w:ascii="宋体" w:hAnsi="宋体" w:eastAsia="宋体" w:cs="宋体"/>
          <w:b/>
          <w:highlight w:val="none"/>
        </w:rPr>
      </w:pPr>
      <w:r>
        <w:rPr>
          <w:rFonts w:ascii="宋体" w:hAnsi="宋体" w:eastAsia="宋体" w:cs="宋体"/>
          <w:b/>
          <w:highlight w:val="none"/>
        </w:rPr>
      </w:r>
      <w:r/>
    </w:p>
    <w:p>
      <w:pPr>
        <w:pStyle w:val="1208"/>
        <w:rPr>
          <w:rFonts w:ascii="宋体" w:hAnsi="宋体" w:eastAsia="宋体" w:cs="宋体"/>
          <w:b/>
          <w:highlight w:val="none"/>
        </w:rPr>
      </w:pPr>
      <w:r>
        <w:rPr>
          <w:rFonts w:ascii="宋体" w:hAnsi="宋体" w:eastAsia="宋体" w:cs="宋体"/>
          <w:b/>
          <w:highlight w:val="none"/>
        </w:rPr>
      </w:r>
      <w:r/>
    </w:p>
    <w:p>
      <w:pPr>
        <w:pStyle w:val="1249"/>
        <w:rPr>
          <w:rFonts w:ascii="宋体" w:hAnsi="宋体" w:eastAsia="宋体" w:cs="宋体"/>
          <w:b/>
          <w:highlight w:val="none"/>
        </w:rPr>
      </w:pPr>
      <w:r>
        <w:rPr>
          <w:rFonts w:ascii="宋体" w:hAnsi="宋体" w:eastAsia="宋体" w:cs="宋体"/>
          <w:b/>
          <w:highlight w:val="none"/>
        </w:rPr>
      </w:r>
      <w:r/>
    </w:p>
    <w:p>
      <w:pPr>
        <w:pStyle w:val="1208"/>
        <w:rPr>
          <w:highlight w:val="none"/>
        </w:rPr>
      </w:pPr>
      <w:r>
        <w:rPr>
          <w:highlight w:val="none"/>
        </w:rPr>
      </w:r>
      <w:r/>
    </w:p>
    <w:p>
      <w:pPr>
        <w:pStyle w:val="1254"/>
        <w:ind w:firstLine="3390"/>
        <w:jc w:val="both"/>
        <w:keepLines/>
        <w:keepNext/>
        <w:spacing w:before="260" w:beforeAutospacing="0" w:after="260" w:afterAutospacing="0" w:line="415" w:lineRule="auto"/>
        <w:rPr>
          <w:rFonts w:ascii="宋体" w:hAnsi="宋体" w:eastAsia="宋体" w:cs="宋体"/>
          <w:highlight w:val="none"/>
        </w:rPr>
        <w:outlineLvl w:val="1"/>
      </w:pPr>
      <w:r>
        <w:rPr>
          <w:rFonts w:hint="eastAsia" w:ascii="宋体" w:hAnsi="宋体" w:eastAsia="宋体" w:cs="宋体"/>
          <w:b/>
          <w:i/>
          <w:sz w:val="32"/>
          <w:szCs w:val="32"/>
          <w:highlight w:val="none"/>
          <w:u w:val="single"/>
        </w:rPr>
        <w:t xml:space="preserve">八、投标函</w:t>
      </w:r>
      <w:r>
        <w:rPr>
          <w:rFonts w:ascii="宋体" w:hAnsi="宋体" w:eastAsia="宋体" w:cs="宋体"/>
          <w:highlight w:val="none"/>
        </w:rPr>
      </w:r>
      <w:r/>
    </w:p>
    <w:p>
      <w:pPr>
        <w:pStyle w:val="1254"/>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根据贵方的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号招标文件，正式授权下述签字人_____________(姓名)代表我方______________（投标人的名称），全权处理本次项目投标的有关事宜。</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据此函，__________签字人兹宣布同意如下：</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1.按招标文件规定的各项要求，向买方提供所需货物（包含与货物相关的服务）。</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2.我们完全理解贵方不一定将合同授予最低报价的投标人。</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3.我们已详细审核全部招标文件及其有效补充文件，我们知道必须放弃提出含糊不清或误解问题的权利。</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4.我们同意从规定的开标日期起遵循本投标文件，并在规定的投标有效期期满之前均具有约束力。</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5.同意向贵方提供贵方可能另外要求的与投标有关的任何证据或资料，并保证我方已提供和将要提供的文件是真实的、准确的。</w:t>
      </w:r>
      <w:r>
        <w:rPr>
          <w:rFonts w:ascii="宋体" w:hAnsi="宋体" w:eastAsia="宋体" w:cs="宋体"/>
          <w:highlight w:val="none"/>
        </w:rPr>
      </w:r>
      <w:r/>
    </w:p>
    <w:p>
      <w:pPr>
        <w:pStyle w:val="1254"/>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6.一旦我方中标,我方将根据招标文件的规定，严格履行合同的责任和义务,并保证在招标文件规定的时间完成项目，交付买方验收、使用。</w:t>
      </w:r>
      <w:r>
        <w:rPr>
          <w:rFonts w:ascii="宋体" w:hAnsi="宋体" w:eastAsia="宋体" w:cs="宋体"/>
          <w:highlight w:val="none"/>
        </w:rPr>
      </w:r>
      <w:r/>
    </w:p>
    <w:p>
      <w:pPr>
        <w:pStyle w:val="1254"/>
        <w:ind w:left="425"/>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7.与本投标有关的正式通讯地址为：</w:t>
      </w:r>
      <w:r>
        <w:rPr>
          <w:rFonts w:ascii="宋体" w:hAnsi="宋体" w:eastAsia="宋体" w:cs="宋体"/>
          <w:highlight w:val="none"/>
        </w:rPr>
      </w:r>
      <w:r/>
    </w:p>
    <w:p>
      <w:pPr>
        <w:pStyle w:val="1254"/>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地          址：</w:t>
      </w:r>
      <w:r>
        <w:rPr>
          <w:rFonts w:ascii="宋体" w:hAnsi="宋体" w:eastAsia="宋体" w:cs="宋体"/>
          <w:highlight w:val="none"/>
        </w:rPr>
      </w:r>
      <w:r/>
    </w:p>
    <w:p>
      <w:pPr>
        <w:pStyle w:val="1254"/>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邮          编：</w:t>
      </w:r>
      <w:r>
        <w:rPr>
          <w:rFonts w:ascii="宋体" w:hAnsi="宋体" w:eastAsia="宋体" w:cs="宋体"/>
          <w:highlight w:val="none"/>
        </w:rPr>
      </w:r>
      <w:r/>
    </w:p>
    <w:p>
      <w:pPr>
        <w:pStyle w:val="1254"/>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电          话：</w:t>
      </w:r>
      <w:r>
        <w:rPr>
          <w:rFonts w:ascii="宋体" w:hAnsi="宋体" w:eastAsia="宋体" w:cs="宋体"/>
          <w:highlight w:val="none"/>
        </w:rPr>
      </w:r>
      <w:r/>
    </w:p>
    <w:p>
      <w:pPr>
        <w:pStyle w:val="1254"/>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传          真：</w:t>
      </w:r>
      <w:r>
        <w:rPr>
          <w:rFonts w:ascii="宋体" w:hAnsi="宋体" w:eastAsia="宋体" w:cs="宋体"/>
          <w:highlight w:val="none"/>
        </w:rPr>
      </w:r>
      <w:r/>
    </w:p>
    <w:p>
      <w:pPr>
        <w:pStyle w:val="1254"/>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投标人开户行：</w:t>
      </w:r>
      <w:r>
        <w:rPr>
          <w:rFonts w:ascii="宋体" w:hAnsi="宋体" w:eastAsia="宋体" w:cs="宋体"/>
          <w:highlight w:val="none"/>
        </w:rPr>
      </w:r>
      <w:r/>
    </w:p>
    <w:p>
      <w:pPr>
        <w:pStyle w:val="1254"/>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账          号： </w:t>
      </w:r>
      <w:r>
        <w:rPr>
          <w:rFonts w:ascii="宋体" w:hAnsi="宋体" w:eastAsia="宋体" w:cs="宋体"/>
          <w:highlight w:val="none"/>
        </w:rPr>
      </w:r>
      <w:r/>
    </w:p>
    <w:p>
      <w:pPr>
        <w:pStyle w:val="1254"/>
        <w:ind w:left="420" w:firstLine="480"/>
        <w:jc w:val="left"/>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日           期：________年____月____日</w:t>
      </w:r>
      <w:r>
        <w:rPr>
          <w:rFonts w:ascii="宋体" w:hAnsi="宋体" w:eastAsia="宋体" w:cs="宋体"/>
          <w:highlight w:val="none"/>
        </w:rPr>
      </w:r>
      <w:r/>
    </w:p>
    <w:p>
      <w:pPr>
        <w:pStyle w:val="1254"/>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500" w:lineRule="exact"/>
        <w:rPr>
          <w:rFonts w:ascii="宋体" w:hAnsi="宋体" w:eastAsia="宋体" w:cs="宋体"/>
          <w:highlight w:val="none"/>
        </w:rPr>
        <w:outlineLvl w:val="1"/>
      </w:pPr>
      <w:r>
        <w:rPr>
          <w:rFonts w:hint="eastAsia" w:ascii="宋体" w:hAnsi="宋体" w:eastAsia="宋体" w:cs="宋体"/>
          <w:b/>
          <w:sz w:val="32"/>
          <w:szCs w:val="32"/>
          <w:highlight w:val="none"/>
        </w:rPr>
        <w:t xml:space="preserve">九、中小企业声明函（货物）</w:t>
      </w:r>
      <w:r>
        <w:rPr>
          <w:rFonts w:ascii="宋体" w:hAnsi="宋体" w:eastAsia="宋体" w:cs="宋体"/>
          <w:highlight w:val="none"/>
        </w:rPr>
      </w:r>
      <w:r/>
    </w:p>
    <w:p>
      <w:pPr>
        <w:pStyle w:val="1208"/>
        <w:ind w:firstLine="480"/>
        <w:spacing w:line="500" w:lineRule="exact"/>
        <w:rPr>
          <w:rFonts w:ascii="宋体" w:hAnsi="宋体" w:eastAsia="宋体" w:cs="宋体"/>
          <w:sz w:val="24"/>
          <w:highlight w:val="none"/>
        </w:rPr>
      </w:pPr>
      <w:r>
        <w:rPr>
          <w:rFonts w:ascii="宋体" w:hAnsi="宋体" w:eastAsia="宋体" w:cs="宋体"/>
          <w:sz w:val="24"/>
          <w:highlight w:val="none"/>
        </w:rPr>
      </w:r>
      <w:r/>
    </w:p>
    <w:p>
      <w:pPr>
        <w:pStyle w:val="1208"/>
        <w:ind w:firstLine="0"/>
        <w:spacing w:line="240" w:lineRule="auto"/>
        <w:rPr>
          <w:rFonts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lang w:val="en-US" w:eastAsia="zh-CN" w:bidi="ar"/>
        </w:rPr>
        <w:t xml:space="preserve">     </w:t>
      </w:r>
      <w:r>
        <w:rPr>
          <w:rFonts w:hint="eastAsia" w:ascii="宋体" w:hAnsi="宋体" w:eastAsia="宋体" w:cs="宋体"/>
          <w:sz w:val="24"/>
          <w:highlight w:val="none"/>
          <w:u w:val="single"/>
          <w:lang w:val="en-US" w:eastAsia="zh-CN" w:bidi="ar"/>
        </w:rPr>
        <w:t xml:space="preserve">        </w:t>
      </w:r>
      <w:r>
        <w:rPr>
          <w:rFonts w:hint="eastAsia" w:ascii="宋体" w:hAnsi="宋体" w:eastAsia="宋体" w:cs="宋体"/>
          <w:sz w:val="24"/>
          <w:highlight w:val="none"/>
          <w:u w:val="single"/>
          <w:lang w:val="en-US" w:eastAsia="zh-CN" w:bidi="ar"/>
        </w:rPr>
        <w:t xml:space="preserve">  </w:t>
      </w:r>
      <w:r>
        <w:rPr>
          <w:rFonts w:hint="eastAsia" w:ascii="宋体" w:hAnsi="宋体" w:eastAsia="宋体" w:cs="宋体"/>
          <w:sz w:val="24"/>
          <w:highlight w:val="none"/>
        </w:rPr>
        <w:t xml:space="preserve">的采购活动，提供的货物全部由符合政策要求的中小企业制造。相关企业（含联合体中的中小企业、签订分包意向协议的中小企业）的具体情况如下：</w:t>
      </w:r>
      <w:r>
        <w:rPr>
          <w:rFonts w:ascii="宋体" w:hAnsi="宋体" w:eastAsia="宋体" w:cs="宋体"/>
          <w:sz w:val="24"/>
          <w:highlight w:val="none"/>
        </w:rPr>
      </w:r>
      <w:r/>
    </w:p>
    <w:p>
      <w:pPr>
        <w:pStyle w:val="1208"/>
        <w:ind w:firstLine="480"/>
        <w:jc w:val="left"/>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i/>
          <w:iCs/>
          <w:sz w:val="24"/>
          <w:highlight w:val="none"/>
          <w:u w:val="single"/>
        </w:rPr>
        <w:t xml:space="preserve">（标的名称） </w:t>
      </w:r>
      <w:r>
        <w:rPr>
          <w:rFonts w:hint="eastAsia" w:ascii="宋体" w:hAnsi="宋体" w:eastAsia="宋体" w:cs="宋体"/>
          <w:sz w:val="24"/>
          <w:highlight w:val="none"/>
        </w:rPr>
        <w:t xml:space="preserve">，属于</w:t>
      </w:r>
      <w:r>
        <w:rPr>
          <w:rFonts w:hint="eastAsia" w:ascii="宋体" w:hAnsi="宋体" w:eastAsia="宋体" w:cs="宋体"/>
          <w:i/>
          <w:iCs/>
          <w:sz w:val="24"/>
          <w:highlight w:val="none"/>
          <w:u w:val="single"/>
        </w:rPr>
        <w:t xml:space="preserve">（招标文件中明确的所属行业）</w:t>
      </w:r>
      <w:r>
        <w:rPr>
          <w:rFonts w:hint="eastAsia" w:ascii="宋体" w:hAnsi="宋体" w:eastAsia="宋体" w:cs="宋体"/>
          <w:sz w:val="24"/>
          <w:highlight w:val="none"/>
        </w:rPr>
        <w:t xml:space="preserve">行业；制造商为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i/>
          <w:iCs/>
          <w:sz w:val="24"/>
          <w:highlight w:val="none"/>
          <w:u w:val="single"/>
        </w:rPr>
        <w:t xml:space="preserve">（标的名称） </w:t>
      </w:r>
      <w:r>
        <w:rPr>
          <w:rFonts w:hint="eastAsia" w:ascii="宋体" w:hAnsi="宋体" w:eastAsia="宋体" w:cs="宋体"/>
          <w:sz w:val="24"/>
          <w:highlight w:val="none"/>
        </w:rPr>
        <w:t xml:space="preserve">，属于</w:t>
      </w:r>
      <w:r>
        <w:rPr>
          <w:rFonts w:hint="eastAsia" w:ascii="宋体" w:hAnsi="宋体" w:eastAsia="宋体" w:cs="宋体"/>
          <w:i/>
          <w:iCs/>
          <w:sz w:val="24"/>
          <w:highlight w:val="none"/>
          <w:u w:val="single"/>
        </w:rPr>
        <w:t xml:space="preserve">（招标文件中明确的所属行业）</w:t>
      </w:r>
      <w:r>
        <w:rPr>
          <w:rFonts w:hint="eastAsia" w:ascii="宋体" w:hAnsi="宋体" w:eastAsia="宋体" w:cs="宋体"/>
          <w:sz w:val="24"/>
          <w:highlight w:val="none"/>
        </w:rPr>
        <w:t xml:space="preserve">行业；制造商为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p>
      <w:pPr>
        <w:pStyle w:val="1208"/>
        <w:ind w:firstLine="480"/>
        <w:jc w:val="right"/>
        <w:spacing w:line="500" w:lineRule="exact"/>
        <w:rPr>
          <w:rFonts w:ascii="宋体" w:hAnsi="宋体" w:eastAsia="宋体" w:cs="宋体"/>
          <w:sz w:val="24"/>
          <w:highlight w:val="none"/>
        </w:rPr>
      </w:pPr>
      <w:r>
        <w:rPr>
          <w:rFonts w:hint="eastAsia" w:ascii="宋体" w:hAnsi="宋体" w:eastAsia="宋体" w:cs="宋体"/>
          <w:sz w:val="24"/>
          <w:highlight w:val="none"/>
        </w:rPr>
        <w:t xml:space="preserve">企业名称（加盖CA电子公章）：        </w:t>
      </w:r>
      <w:r>
        <w:rPr>
          <w:rFonts w:ascii="宋体" w:hAnsi="宋体" w:eastAsia="宋体" w:cs="宋体"/>
          <w:sz w:val="24"/>
          <w:highlight w:val="none"/>
        </w:rPr>
      </w:r>
      <w:r/>
    </w:p>
    <w:p>
      <w:pPr>
        <w:pStyle w:val="1208"/>
        <w:ind w:firstLine="480"/>
        <w:jc w:val="center"/>
        <w:spacing w:line="500" w:lineRule="exact"/>
        <w:rPr>
          <w:rFonts w:ascii="宋体" w:hAnsi="宋体" w:eastAsia="宋体" w:cs="宋体"/>
          <w:sz w:val="24"/>
          <w:highlight w:val="none"/>
        </w:rPr>
      </w:pPr>
      <w:r>
        <w:rPr>
          <w:rFonts w:hint="eastAsia" w:ascii="宋体" w:hAnsi="宋体" w:eastAsia="宋体" w:cs="宋体"/>
          <w:sz w:val="24"/>
          <w:highlight w:val="none"/>
        </w:rPr>
        <w:t xml:space="preserve">                     日  期：        </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备注1：从业人员、营业收入、资产总额填报上一年度数据，无上一年度数据的新成立企业可不填报。</w:t>
      </w:r>
      <w:r>
        <w:rPr>
          <w:rFonts w:ascii="宋体" w:hAnsi="宋体" w:eastAsia="宋体" w:cs="宋体"/>
          <w:sz w:val="24"/>
          <w:highlight w:val="none"/>
        </w:rPr>
      </w:r>
      <w:r/>
    </w:p>
    <w:p>
      <w:pPr>
        <w:pStyle w:val="1208"/>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备注2：在货物采购项目中，货物由中小企业制造，即货物由中小企业生产且使用该中小企业商号或者注册商标。供应商提供的货物既有中小企业制造货物，也有大型企业制造货物的，不享受相应扶持政策。</w:t>
      </w:r>
      <w:r>
        <w:rPr>
          <w:rFonts w:ascii="宋体" w:hAnsi="宋体" w:eastAsia="宋体" w:cs="宋体"/>
          <w:sz w:val="24"/>
          <w:highlight w:val="none"/>
        </w:rPr>
      </w:r>
      <w:r/>
    </w:p>
    <w:p>
      <w:pPr>
        <w:pStyle w:val="1208"/>
        <w:ind w:firstLine="480"/>
        <w:spacing w:line="500" w:lineRule="exact"/>
        <w:rPr>
          <w:rFonts w:ascii="宋体" w:hAnsi="宋体" w:eastAsia="宋体" w:cs="宋体"/>
          <w:i/>
          <w:sz w:val="32"/>
          <w:szCs w:val="32"/>
          <w:highlight w:val="none"/>
          <w:u w:val="single"/>
        </w:rPr>
      </w:pPr>
      <w:r>
        <w:rPr>
          <w:rFonts w:hint="eastAsia" w:ascii="宋体" w:hAnsi="宋体" w:eastAsia="宋体" w:cs="宋体"/>
          <w:sz w:val="24"/>
          <w:highlight w:val="none"/>
        </w:rPr>
        <w:t xml:space="preserve">备注3：供应商如不提供此声明函，价格将不做相应扣除（如项目全面面向中小企业，则资格审查不通过）。</w:t>
      </w:r>
      <w:r>
        <w:rPr>
          <w:rFonts w:ascii="宋体" w:hAnsi="宋体" w:eastAsia="宋体" w:cs="宋体"/>
          <w:i/>
          <w:sz w:val="32"/>
          <w:szCs w:val="32"/>
          <w:highlight w:val="none"/>
          <w:u w:val="single"/>
        </w:rPr>
      </w:r>
      <w:r/>
    </w:p>
    <w:p>
      <w:pPr>
        <w:pStyle w:val="1254"/>
        <w:jc w:val="center"/>
        <w:spacing w:beforeAutospacing="0" w:afterAutospacing="0" w:line="500" w:lineRule="exact"/>
        <w:rPr>
          <w:rFonts w:ascii="宋体" w:hAnsi="宋体" w:eastAsia="宋体" w:cs="宋体"/>
          <w:highlight w:val="none"/>
        </w:rPr>
        <w:outlineLvl w:val="1"/>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十、残疾人福利性单位声明函</w:t>
      </w: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单位的采购文件编号为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的</w:t>
      </w:r>
      <w:r>
        <w:rPr>
          <w:rFonts w:hint="eastAsia" w:eastAsia="宋体" w:cs="宋体"/>
          <w:highlight w:val="none"/>
          <w:u w:val="single"/>
          <w:lang w:val="en-US" w:eastAsia="zh-CN"/>
        </w:rPr>
        <w:t xml:space="preserve">      </w:t>
      </w:r>
      <w:r>
        <w:rPr>
          <w:rFonts w:hint="eastAsia" w:eastAsia="宋体" w:cs="宋体"/>
          <w:highlight w:val="none"/>
          <w:u w:val="single"/>
          <w:lang w:val="en-US" w:eastAsia="zh-CN"/>
        </w:rPr>
        <w:t xml:space="preserve">   </w:t>
      </w:r>
      <w:r>
        <w:rPr>
          <w:rFonts w:hint="eastAsia" w:ascii="宋体" w:hAnsi="宋体" w:eastAsia="宋体" w:cs="宋体"/>
          <w:highlight w:val="none"/>
        </w:rPr>
        <w:t xml:space="preserve">采购活动提供本单位制造的货物，或者提供其他残疾人福利性单位制造的货物（不包括使用非残疾人福利性单位注册商标的货物）。</w:t>
      </w: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本单位对上述声明的真实性负责。如有虚假，将依法承担相应责任。</w:t>
      </w: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rPr>
          <w:rFonts w:ascii="宋体" w:hAnsi="宋体" w:eastAsia="宋体" w:cs="宋体"/>
          <w:highlight w:val="none"/>
        </w:rPr>
      </w:r>
      <w:r/>
    </w:p>
    <w:p>
      <w:pPr>
        <w:pStyle w:val="1254"/>
        <w:ind w:firstLine="624"/>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right="1560" w:firstLine="624"/>
        <w:jc w:val="center"/>
        <w:spacing w:beforeAutospacing="0" w:afterAutospacing="0" w:line="500" w:lineRule="exact"/>
        <w:tabs>
          <w:tab w:val="left" w:pos="4864" w:leader="none"/>
        </w:tabs>
        <w:rPr>
          <w:rFonts w:ascii="宋体" w:hAnsi="宋体" w:eastAsia="宋体" w:cs="宋体"/>
          <w:highlight w:val="none"/>
        </w:rPr>
      </w:pPr>
      <w:r>
        <w:rPr>
          <w:rFonts w:hint="eastAsia" w:ascii="宋体" w:hAnsi="宋体" w:eastAsia="宋体" w:cs="宋体"/>
          <w:sz w:val="30"/>
          <w:szCs w:val="30"/>
          <w:highlight w:val="none"/>
        </w:rPr>
        <w:t xml:space="preserve">         </w:t>
      </w:r>
      <w:r>
        <w:rPr>
          <w:rFonts w:hint="eastAsia" w:ascii="宋体" w:hAnsi="宋体" w:eastAsia="宋体" w:cs="宋体"/>
          <w:highlight w:val="none"/>
        </w:rPr>
        <w:t xml:space="preserve">供应商全称（加盖CA电子公章）：</w:t>
      </w:r>
      <w:r>
        <w:rPr>
          <w:rFonts w:ascii="宋体" w:hAnsi="宋体" w:eastAsia="宋体" w:cs="宋体"/>
          <w:highlight w:val="none"/>
        </w:rPr>
      </w:r>
      <w:r/>
    </w:p>
    <w:p>
      <w:pPr>
        <w:pStyle w:val="1254"/>
        <w:ind w:right="1560" w:firstLine="480"/>
        <w:jc w:val="center"/>
        <w:spacing w:beforeAutospacing="0" w:afterAutospacing="0" w:line="500" w:lineRule="exact"/>
        <w:tabs>
          <w:tab w:val="left" w:pos="4864" w:leader="none"/>
        </w:tabs>
        <w:rPr>
          <w:rFonts w:ascii="宋体" w:hAnsi="宋体" w:eastAsia="宋体" w:cs="宋体"/>
          <w:highlight w:val="none"/>
        </w:rPr>
      </w:pPr>
      <w:r>
        <w:rPr>
          <w:rFonts w:hint="eastAsia" w:ascii="宋体" w:hAnsi="宋体" w:eastAsia="宋体" w:cs="宋体"/>
          <w:highlight w:val="none"/>
        </w:rPr>
        <w:t xml:space="preserve">        日  期：</w:t>
      </w:r>
      <w:r>
        <w:rPr>
          <w:rFonts w:ascii="宋体" w:hAnsi="宋体" w:eastAsia="宋体" w:cs="宋体"/>
          <w:highlight w:val="none"/>
        </w:rPr>
      </w:r>
      <w:r/>
    </w:p>
    <w:p>
      <w:pPr>
        <w:pStyle w:val="1254"/>
        <w:jc w:val="center"/>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254"/>
        <w:ind w:firstLine="643"/>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sz w:val="32"/>
          <w:szCs w:val="32"/>
          <w:highlight w:val="none"/>
        </w:rPr>
        <w:t xml:space="preserve">十</w:t>
      </w:r>
      <w:r>
        <w:rPr>
          <w:rFonts w:hint="eastAsia" w:eastAsia="宋体" w:cs="宋体"/>
          <w:b/>
          <w:sz w:val="32"/>
          <w:szCs w:val="32"/>
          <w:highlight w:val="none"/>
          <w:lang w:val="en-US" w:eastAsia="zh-CN"/>
        </w:rPr>
        <w:t xml:space="preserve">一</w:t>
      </w:r>
      <w:r>
        <w:rPr>
          <w:rFonts w:hint="eastAsia" w:ascii="宋体" w:hAnsi="宋体" w:eastAsia="宋体" w:cs="宋体"/>
          <w:b/>
          <w:sz w:val="32"/>
          <w:szCs w:val="32"/>
          <w:highlight w:val="none"/>
        </w:rPr>
        <w:t xml:space="preserve">、</w:t>
      </w:r>
      <w:bookmarkStart w:id="123" w:name="OLE_LINK52"/>
      <w:r/>
      <w:bookmarkStart w:id="124" w:name="OLE_LINK108"/>
      <w:r>
        <w:rPr>
          <w:rFonts w:hint="eastAsia" w:ascii="宋体" w:hAnsi="宋体" w:eastAsia="宋体" w:cs="宋体"/>
          <w:b/>
          <w:color w:val="000000"/>
          <w:sz w:val="32"/>
          <w:szCs w:val="32"/>
          <w:highlight w:val="none"/>
          <w:u w:val="single"/>
        </w:rPr>
        <w:t xml:space="preserve">投标分项报价表</w:t>
      </w:r>
      <w:bookmarkEnd w:id="123"/>
      <w:r>
        <w:rPr>
          <w:rFonts w:hint="eastAsia" w:ascii="宋体" w:hAnsi="宋体" w:eastAsia="宋体" w:cs="宋体"/>
          <w:b/>
          <w:color w:val="000000"/>
          <w:sz w:val="32"/>
          <w:szCs w:val="32"/>
          <w:highlight w:val="none"/>
          <w:u w:val="single"/>
        </w:rPr>
      </w:r>
      <w:r/>
    </w:p>
    <w:p>
      <w:pPr>
        <w:pStyle w:val="1208"/>
        <w:spacing w:line="440" w:lineRule="exact"/>
        <w:rPr>
          <w:rFonts w:hint="eastAsia" w:ascii="宋体" w:hAnsi="宋体" w:eastAsia="宋体" w:cs="宋体"/>
          <w:b/>
          <w:color w:val="000000"/>
          <w:sz w:val="32"/>
          <w:szCs w:val="32"/>
          <w:highlight w:val="none"/>
          <w:u w:val="single"/>
        </w:rPr>
      </w:pPr>
      <w:r>
        <w:rPr>
          <w:rFonts w:hint="eastAsia" w:ascii="宋体" w:hAnsi="宋体" w:cs="宋体"/>
          <w:sz w:val="24"/>
          <w:szCs w:val="24"/>
          <w:highlight w:val="none"/>
        </w:rPr>
        <w:t xml:space="preserve">投标人全称（</w:t>
      </w:r>
      <w:r>
        <w:rPr>
          <w:rFonts w:hint="eastAsia" w:ascii="宋体" w:hAnsi="宋体" w:cs="宋体"/>
          <w:sz w:val="24"/>
          <w:szCs w:val="24"/>
          <w:highlight w:val="none"/>
          <w:lang w:val="en-US" w:eastAsia="zh-CN"/>
        </w:rPr>
        <w:t xml:space="preserve">电子签章</w:t>
      </w:r>
      <w:r>
        <w:rPr>
          <w:rFonts w:hint="eastAsia" w:ascii="宋体" w:hAnsi="宋体" w:cs="宋体"/>
          <w:sz w:val="24"/>
          <w:szCs w:val="24"/>
          <w:highlight w:val="none"/>
        </w:rPr>
        <w:t xml:space="preserve">）：</w:t>
      </w:r>
      <w:r>
        <w:rPr>
          <w:rFonts w:hint="eastAsia" w:ascii="宋体" w:hAnsi="宋体" w:eastAsia="宋体" w:cs="宋体"/>
          <w:b/>
          <w:color w:val="000000"/>
          <w:sz w:val="32"/>
          <w:szCs w:val="32"/>
          <w:highlight w:val="none"/>
          <w:u w:val="single"/>
        </w:rPr>
      </w:r>
      <w:r/>
    </w:p>
    <w:tbl>
      <w:tblPr>
        <w:tblW w:w="913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1271"/>
        <w:gridCol w:w="1662"/>
        <w:gridCol w:w="1675"/>
        <w:gridCol w:w="613"/>
        <w:gridCol w:w="600"/>
        <w:gridCol w:w="987"/>
        <w:gridCol w:w="1013"/>
        <w:gridCol w:w="852"/>
      </w:tblGrid>
      <w:tr>
        <w:trPr>
          <w:trHeight w:val="670"/>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序号</w:t>
            </w:r>
            <w:r>
              <w:rPr>
                <w:rFonts w:hint="eastAsia" w:ascii="宋体" w:hAnsi="宋体" w:eastAsia="宋体" w:cs="宋体"/>
                <w:b/>
                <w:bCs/>
                <w:i w:val="0"/>
                <w:iCs w:val="0"/>
                <w:color w:val="000000"/>
                <w:sz w:val="18"/>
                <w:szCs w:val="18"/>
                <w:highlight w:val="none"/>
              </w:rPr>
            </w:r>
            <w:r/>
          </w:p>
        </w:tc>
        <w:tc>
          <w:tcPr>
            <w:tcW w:w="1271"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项目</w:t>
            </w:r>
            <w:r>
              <w:rPr>
                <w:rFonts w:hint="eastAsia" w:ascii="宋体" w:hAnsi="宋体" w:eastAsia="宋体" w:cs="宋体"/>
                <w:b/>
                <w:bCs/>
                <w:i w:val="0"/>
                <w:iCs w:val="0"/>
                <w:color w:val="000000"/>
                <w:sz w:val="18"/>
                <w:szCs w:val="18"/>
                <w:highlight w:val="none"/>
              </w:rPr>
            </w:r>
            <w:r/>
          </w:p>
        </w:tc>
        <w:tc>
          <w:tcPr>
            <w:tcW w:w="1662"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项目/服务名称</w:t>
            </w:r>
            <w:r>
              <w:rPr>
                <w:rFonts w:hint="eastAsia" w:ascii="宋体" w:hAnsi="宋体" w:eastAsia="宋体" w:cs="宋体"/>
                <w:b/>
                <w:bCs/>
                <w:i w:val="0"/>
                <w:iCs w:val="0"/>
                <w:color w:val="000000"/>
                <w:sz w:val="18"/>
                <w:szCs w:val="18"/>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参数/功能要求</w:t>
            </w:r>
            <w:r>
              <w:rPr>
                <w:rFonts w:hint="eastAsia" w:ascii="宋体" w:hAnsi="宋体" w:eastAsia="宋体" w:cs="宋体"/>
                <w:b/>
                <w:bCs/>
                <w:i w:val="0"/>
                <w:iCs w:val="0"/>
                <w:color w:val="000000"/>
                <w:sz w:val="18"/>
                <w:szCs w:val="18"/>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单位</w:t>
            </w:r>
            <w:r>
              <w:rPr>
                <w:rFonts w:hint="eastAsia" w:ascii="宋体" w:hAnsi="宋体" w:eastAsia="宋体" w:cs="宋体"/>
                <w:b/>
                <w:bCs/>
                <w:i w:val="0"/>
                <w:iCs w:val="0"/>
                <w:color w:val="000000"/>
                <w:sz w:val="18"/>
                <w:szCs w:val="18"/>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数量</w:t>
            </w:r>
            <w:r>
              <w:rPr>
                <w:rFonts w:hint="eastAsia" w:ascii="宋体" w:hAnsi="宋体" w:eastAsia="宋体" w:cs="宋体"/>
                <w:b/>
                <w:bCs/>
                <w:i w:val="0"/>
                <w:iCs w:val="0"/>
                <w:color w:val="000000"/>
                <w:sz w:val="18"/>
                <w:szCs w:val="18"/>
                <w:highlight w:val="none"/>
              </w:rPr>
            </w:r>
            <w:r/>
          </w:p>
        </w:tc>
        <w:tc>
          <w:tcPr>
            <w:tcW w:w="987"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单价（元）/年</w:t>
            </w:r>
            <w:r>
              <w:rPr>
                <w:rFonts w:hint="eastAsia" w:ascii="宋体" w:hAnsi="宋体" w:eastAsia="宋体" w:cs="宋体"/>
                <w:b/>
                <w:bCs/>
                <w:i w:val="0"/>
                <w:iCs w:val="0"/>
                <w:color w:val="000000"/>
                <w:sz w:val="18"/>
                <w:szCs w:val="18"/>
                <w:highlight w:val="none"/>
              </w:rPr>
            </w:r>
            <w:r/>
          </w:p>
        </w:tc>
        <w:tc>
          <w:tcPr>
            <w:tcW w:w="10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合价（元）</w:t>
            </w:r>
            <w:r>
              <w:rPr>
                <w:rFonts w:hint="eastAsia" w:ascii="宋体" w:hAnsi="宋体" w:eastAsia="宋体" w:cs="宋体"/>
                <w:b/>
                <w:bCs/>
                <w:i w:val="0"/>
                <w:iCs w:val="0"/>
                <w:color w:val="000000"/>
                <w:sz w:val="18"/>
                <w:szCs w:val="18"/>
                <w:highlight w:val="none"/>
                <w:lang w:val="en-US" w:eastAsia="zh-CN" w:bidi="ar"/>
              </w:rPr>
              <w:br w:type="textWrapping" w:clear="all"/>
            </w:r>
            <w:r>
              <w:rPr>
                <w:rFonts w:hint="eastAsia" w:ascii="宋体" w:hAnsi="宋体" w:eastAsia="宋体" w:cs="宋体"/>
                <w:b/>
                <w:bCs/>
                <w:i w:val="0"/>
                <w:iCs w:val="0"/>
                <w:color w:val="000000"/>
                <w:sz w:val="18"/>
                <w:szCs w:val="18"/>
                <w:highlight w:val="none"/>
                <w:lang w:val="en-US" w:eastAsia="zh-CN" w:bidi="ar"/>
              </w:rPr>
              <w:t xml:space="preserve">/3年</w:t>
            </w:r>
            <w:r>
              <w:rPr>
                <w:rFonts w:hint="eastAsia" w:ascii="宋体" w:hAnsi="宋体" w:eastAsia="宋体" w:cs="宋体"/>
                <w:b/>
                <w:bCs/>
                <w:i w:val="0"/>
                <w:iCs w:val="0"/>
                <w:color w:val="000000"/>
                <w:sz w:val="18"/>
                <w:szCs w:val="18"/>
                <w:highlight w:val="none"/>
              </w:rPr>
            </w:r>
            <w:r/>
          </w:p>
        </w:tc>
        <w:tc>
          <w:tcPr>
            <w:tcW w:w="852"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备注：品牌（如有）</w:t>
            </w:r>
            <w:r>
              <w:rPr>
                <w:rFonts w:hint="eastAsia" w:ascii="宋体" w:hAnsi="宋体" w:eastAsia="宋体" w:cs="宋体"/>
                <w:b/>
                <w:bCs/>
                <w:i w:val="0"/>
                <w:iCs w:val="0"/>
                <w:color w:val="000000"/>
                <w:sz w:val="18"/>
                <w:szCs w:val="18"/>
                <w:highlight w:val="none"/>
              </w:rPr>
            </w:r>
            <w:r/>
          </w:p>
        </w:tc>
      </w:tr>
      <w:tr>
        <w:trPr>
          <w:trHeight w:val="430"/>
        </w:trPr>
        <w:tc>
          <w:tcPr>
            <w:gridSpan w:val="5"/>
            <w:tcW w:w="5681"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一、集控中心部分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1208"/>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1013" w:type="dxa"/>
            <w:vAlign w:val="center"/>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852" w:type="dxa"/>
            <w:vAlign w:val="center"/>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r>
      <w:tr>
        <w:trPr>
          <w:trHeight w:val="657"/>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1271" w:type="dxa"/>
            <w:vAlign w:val="center"/>
            <w:vMerge w:val="restart"/>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集控中心维保服务</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color w:val="000000"/>
                <w:sz w:val="20"/>
                <w:szCs w:val="20"/>
                <w:highlight w:val="none"/>
                <w:lang w:val="en-US" w:eastAsia="zh-CN" w:bidi="ar"/>
              </w:rPr>
              <w:t xml:space="preserve">集控中心现有设备及软件维保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1013" w:type="dxa"/>
            <w:vAlign w:val="center"/>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852" w:type="dxa"/>
            <w:vAlign w:val="center"/>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r>
      <w:tr>
        <w:trPr>
          <w:trHeight w:val="718"/>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1208"/>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color w:val="000000"/>
                <w:sz w:val="20"/>
                <w:szCs w:val="20"/>
                <w:highlight w:val="none"/>
                <w:lang w:val="en-US" w:eastAsia="zh-CN" w:bidi="ar"/>
              </w:rPr>
              <w:t xml:space="preserve">互联网专线租赁</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660"/>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3</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1208"/>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1254"/>
              <w:ind w:left="0" w:right="0" w:firstLine="0"/>
              <w:jc w:val="left"/>
              <w:keepLines w:val="0"/>
              <w:keepNext w:val="0"/>
              <w:spacing w:before="0" w:beforeAutospacing="0" w:after="0" w:afterAutospacing="0" w:line="440" w:lineRule="exact"/>
              <w:widowControl w:val="off"/>
              <w:rPr>
                <w:rFonts w:hint="eastAsia" w:ascii="宋体" w:hAnsi="宋体" w:eastAsia="宋体" w:cs="宋体"/>
                <w:b w:val="0"/>
                <w:bCs w:val="0"/>
                <w:color w:val="000000"/>
                <w:sz w:val="20"/>
                <w:szCs w:val="20"/>
                <w:highlight w:val="none"/>
              </w:rPr>
              <w:suppressLineNumbers w:val="0"/>
            </w:pPr>
            <w:r>
              <w:rPr>
                <w:rFonts w:hint="eastAsia" w:ascii="宋体" w:hAnsi="宋体" w:eastAsia="宋体" w:cs="宋体"/>
                <w:b w:val="0"/>
                <w:bCs w:val="0"/>
                <w:color w:val="000000"/>
                <w:sz w:val="20"/>
                <w:szCs w:val="20"/>
                <w:highlight w:val="none"/>
                <w:lang w:val="en-US" w:eastAsia="zh-CN" w:bidi="ar"/>
              </w:rPr>
              <w:t xml:space="preserve">物联网卡</w:t>
            </w:r>
            <w:r>
              <w:rPr>
                <w:rFonts w:hint="eastAsia" w:ascii="宋体" w:hAnsi="宋体" w:eastAsia="宋体" w:cs="宋体"/>
                <w:b w:val="0"/>
                <w:bCs w:val="0"/>
                <w:color w:val="000000"/>
                <w:sz w:val="20"/>
                <w:szCs w:val="20"/>
                <w:highlight w:val="none"/>
              </w:rPr>
            </w:r>
            <w:r/>
          </w:p>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4</w:t>
            </w:r>
            <w:r>
              <w:rPr>
                <w:rFonts w:hint="eastAsia" w:ascii="宋体" w:hAnsi="宋体" w:eastAsia="宋体" w:cs="宋体"/>
                <w:i w:val="0"/>
                <w:iCs w:val="0"/>
                <w:color w:val="000000"/>
                <w:sz w:val="20"/>
                <w:szCs w:val="20"/>
                <w:highlight w:val="none"/>
              </w:rPr>
            </w:r>
            <w:r/>
          </w:p>
        </w:tc>
        <w:tc>
          <w:tcPr>
            <w:tcW w:w="1271" w:type="dxa"/>
            <w:vAlign w:val="center"/>
            <w:vMerge w:val="restart"/>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集控中心软件升级及硬件更新</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强电控制系统功能升级</w:t>
            </w:r>
            <w:r>
              <w:rPr>
                <w:rFonts w:hint="eastAsia" w:ascii="宋体" w:hAnsi="宋体" w:eastAsia="宋体" w:cs="宋体"/>
                <w:i w:val="0"/>
                <w:iCs w:val="0"/>
                <w:color w:val="000000"/>
                <w:sz w:val="21"/>
                <w:szCs w:val="21"/>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5</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1208"/>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t xml:space="preserve">机房、操作室智能门禁安防服务</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6</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1208"/>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t xml:space="preserve">机房智能视频监控服务</w:t>
            </w:r>
            <w:r>
              <w:rPr>
                <w:rFonts w:hint="eastAsia" w:ascii="宋体" w:hAnsi="宋体" w:eastAsia="宋体" w:cs="宋体"/>
                <w:i w:val="0"/>
                <w:iCs w:val="0"/>
                <w:color w:val="000000"/>
                <w:sz w:val="21"/>
                <w:szCs w:val="21"/>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7</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1208"/>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集控中心整体办公环境维保</w:t>
            </w:r>
            <w:r>
              <w:rPr>
                <w:rFonts w:hint="eastAsia" w:ascii="宋体" w:hAnsi="宋体" w:eastAsia="宋体" w:cs="宋体"/>
                <w:i w:val="0"/>
                <w:iCs w:val="0"/>
                <w:color w:val="000000"/>
                <w:sz w:val="21"/>
                <w:szCs w:val="21"/>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462"/>
        </w:trPr>
        <w:tc>
          <w:tcPr>
            <w:gridSpan w:val="5"/>
            <w:tcW w:w="5681"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二、弱电控制节点端部分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1208"/>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905"/>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8</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媒体屏楼宇节点端维保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媒体屏楼宇节点端维保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29</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966"/>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9</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双色温楼宇节点端维保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双色温楼宇节点端维保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350</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445"/>
        </w:trPr>
        <w:tc>
          <w:tcPr>
            <w:gridSpan w:val="5"/>
            <w:tcW w:w="5681"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三、强电控制节点端部分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1208"/>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950"/>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10</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强电控制节点端维保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1208"/>
              <w:ind w:left="0" w:right="0"/>
              <w:jc w:val="both"/>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强电控制节点端维保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894</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20"/>
        </w:trPr>
        <w:tc>
          <w:tcPr>
            <w:gridSpan w:val="5"/>
            <w:tcW w:w="5681"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四、亮化灯具及配套设施部分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1208"/>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6"/>
        </w:trPr>
        <w:tc>
          <w:tcPr>
            <w:tcW w:w="46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11</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亮化设施维保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1208"/>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亮化设施维保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1208"/>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109</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1208"/>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6"/>
        </w:trPr>
        <w:tc>
          <w:tcPr>
            <w:gridSpan w:val="9"/>
            <w:tcW w:w="9133" w:type="dxa"/>
            <w:vAlign w:val="center"/>
            <w:textDirection w:val="lrTb"/>
            <w:noWrap w:val="false"/>
          </w:tcPr>
          <w:p>
            <w:pPr>
              <w:pStyle w:val="1208"/>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color w:val="000000"/>
                <w:highlight w:val="none"/>
              </w:rPr>
              <w:t xml:space="preserve">投标总报价（人民币：元）</w:t>
            </w:r>
            <w:r>
              <w:rPr>
                <w:rFonts w:hint="eastAsia" w:ascii="宋体" w:hAnsi="宋体" w:eastAsia="宋体" w:cs="宋体"/>
                <w:i w:val="0"/>
                <w:iCs w:val="0"/>
                <w:color w:val="000000"/>
                <w:sz w:val="22"/>
                <w:szCs w:val="22"/>
                <w:highlight w:val="none"/>
              </w:rPr>
            </w:r>
            <w:r/>
          </w:p>
        </w:tc>
      </w:tr>
    </w:tbl>
    <w:p>
      <w:pPr>
        <w:pStyle w:val="125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5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5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54"/>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人工费包括（人员工资、社会保险费用、福利费、加班费、差旅费、人身意外伤害险等）、验收费、会务费、投标费用、招标代理服务费、审计费、税金、各类风险费、管理费、利润、国际国内运输等保险费、报关清关、开证、办理全套免税手续费用及其他有关的为完成本项目发生的所有费用，招标文件中另有规定的除外。</w:t>
      </w:r>
      <w:r>
        <w:rPr>
          <w:rFonts w:ascii="宋体" w:hAnsi="宋体" w:eastAsia="宋体" w:cs="宋体"/>
          <w:color w:val="000000"/>
          <w:highlight w:val="none"/>
        </w:rPr>
      </w:r>
      <w:r/>
    </w:p>
    <w:p>
      <w:pPr>
        <w:pStyle w:val="1254"/>
        <w:jc w:val="both"/>
        <w:spacing w:beforeAutospacing="0" w:afterAutospacing="0"/>
        <w:rPr>
          <w:rFonts w:hint="eastAsia" w:eastAsia="宋体" w:cs="宋体"/>
          <w:b/>
          <w:sz w:val="32"/>
          <w:szCs w:val="32"/>
          <w:highlight w:val="none"/>
          <w:lang w:val="en-US" w:eastAsia="zh-CN"/>
        </w:rPr>
      </w:pPr>
      <w:r>
        <w:rPr>
          <w:rFonts w:hint="eastAsia" w:ascii="宋体" w:hAnsi="宋体" w:eastAsia="宋体" w:cs="宋体"/>
          <w:color w:val="000000"/>
          <w:highlight w:val="none"/>
        </w:rPr>
        <w:t xml:space="preserve">2. “投标分项报价表”中“投标总报价”数额应当与“开标一览表”中“投标总报价”数额一致。</w:t>
      </w:r>
      <w:bookmarkEnd w:id="124"/>
      <w:r>
        <w:rPr>
          <w:rFonts w:hint="eastAsia" w:eastAsia="宋体" w:cs="宋体"/>
          <w:b/>
          <w:sz w:val="32"/>
          <w:szCs w:val="32"/>
          <w:highlight w:val="none"/>
          <w:lang w:val="en-US" w:eastAsia="zh-CN"/>
        </w:rPr>
        <w:t xml:space="preserve">          </w:t>
      </w: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254"/>
        <w:jc w:val="both"/>
        <w:spacing w:beforeAutospacing="0" w:afterAutospacing="0"/>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rPr>
      </w:r>
      <w:r/>
    </w:p>
    <w:p>
      <w:pPr>
        <w:pStyle w:val="1254"/>
        <w:jc w:val="center"/>
        <w:spacing w:beforeAutospacing="0" w:afterAutospacing="0"/>
        <w:rPr>
          <w:rFonts w:ascii="宋体" w:hAnsi="宋体" w:eastAsia="宋体" w:cs="宋体"/>
          <w:highlight w:val="none"/>
        </w:rPr>
        <w:outlineLvl w:val="1"/>
      </w:pPr>
      <w:r>
        <w:rPr>
          <w:rFonts w:hint="eastAsia" w:ascii="宋体" w:hAnsi="宋体" w:eastAsia="宋体" w:cs="宋体"/>
          <w:b/>
          <w:sz w:val="32"/>
          <w:szCs w:val="32"/>
          <w:highlight w:val="none"/>
        </w:rPr>
        <w:t xml:space="preserve">十</w:t>
      </w:r>
      <w:r>
        <w:rPr>
          <w:rFonts w:hint="eastAsia" w:eastAsia="宋体" w:cs="宋体"/>
          <w:b/>
          <w:sz w:val="32"/>
          <w:szCs w:val="32"/>
          <w:highlight w:val="none"/>
          <w:lang w:val="en-US" w:eastAsia="zh-CN"/>
        </w:rPr>
        <w:t xml:space="preserve">二</w:t>
      </w:r>
      <w:r>
        <w:rPr>
          <w:rFonts w:hint="eastAsia" w:ascii="宋体" w:hAnsi="宋体" w:eastAsia="宋体" w:cs="宋体"/>
          <w:b/>
          <w:sz w:val="32"/>
          <w:szCs w:val="32"/>
          <w:highlight w:val="none"/>
        </w:rPr>
        <w:t xml:space="preserve">、技术要求响应及偏离表</w:t>
      </w:r>
      <w:r>
        <w:rPr>
          <w:rFonts w:ascii="宋体" w:hAnsi="宋体" w:eastAsia="宋体" w:cs="宋体"/>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序号</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招标文件要求</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投标响应情况</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超出、符合或偏离</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证明</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材料</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254"/>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注： 行数不够，可自行添加。</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125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25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bookmarkStart w:id="125" w:name="_Hlt26955054"/>
      <w:r>
        <w:rPr>
          <w:rFonts w:hint="eastAsia" w:ascii="宋体" w:hAnsi="宋体" w:eastAsia="宋体" w:cs="宋体"/>
          <w:highlight w:val="none"/>
        </w:rPr>
      </w:r>
      <w:r/>
    </w:p>
    <w:p>
      <w:pPr>
        <w:pStyle w:val="1254"/>
        <w:jc w:val="center"/>
        <w:spacing w:beforeAutospacing="0" w:afterAutospacing="0"/>
        <w:rPr>
          <w:rFonts w:ascii="宋体" w:hAnsi="宋体" w:eastAsia="宋体" w:cs="宋体"/>
          <w:highlight w:val="none"/>
        </w:rPr>
        <w:outlineLvl w:val="1"/>
      </w:pPr>
      <w:r>
        <w:rPr>
          <w:rFonts w:hint="eastAsia" w:ascii="宋体" w:hAnsi="宋体" w:eastAsia="宋体" w:cs="宋体"/>
          <w:b/>
          <w:sz w:val="32"/>
          <w:szCs w:val="32"/>
          <w:highlight w:val="none"/>
        </w:rPr>
        <w:t xml:space="preserve">十</w:t>
      </w:r>
      <w:r>
        <w:rPr>
          <w:rFonts w:hint="eastAsia" w:eastAsia="宋体" w:cs="宋体"/>
          <w:b/>
          <w:sz w:val="32"/>
          <w:szCs w:val="32"/>
          <w:highlight w:val="none"/>
          <w:lang w:val="en-US" w:eastAsia="zh-CN"/>
        </w:rPr>
        <w:t xml:space="preserve">三</w:t>
      </w:r>
      <w:r>
        <w:rPr>
          <w:rFonts w:hint="eastAsia" w:ascii="宋体" w:hAnsi="宋体" w:eastAsia="宋体" w:cs="宋体"/>
          <w:b/>
          <w:sz w:val="32"/>
          <w:szCs w:val="32"/>
          <w:highlight w:val="none"/>
        </w:rPr>
        <w:t xml:space="preserve">、商务要求响应及偏离表</w:t>
      </w:r>
      <w:r>
        <w:rPr>
          <w:rFonts w:ascii="宋体" w:hAnsi="宋体" w:eastAsia="宋体" w:cs="宋体"/>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bookmarkStart w:id="126" w:name="_Hlt26782999"/>
            <w:r/>
            <w:bookmarkStart w:id="127" w:name="_Hlt26671343"/>
            <w:r/>
            <w:bookmarkStart w:id="128" w:name="_Hlt26609391"/>
            <w:r/>
            <w:bookmarkStart w:id="129" w:name="_Hlt24879081"/>
            <w:r/>
            <w:bookmarkStart w:id="130" w:name="_Hlt26955056"/>
            <w:r/>
            <w:bookmarkStart w:id="131" w:name="_Hlt26955064"/>
            <w:r/>
            <w:bookmarkStart w:id="132" w:name="_Hlt26580838"/>
            <w:r/>
            <w:bookmarkStart w:id="133" w:name="_Hlt26671372"/>
            <w:r>
              <w:rPr>
                <w:rFonts w:hint="eastAsia" w:ascii="宋体" w:hAnsi="宋体" w:eastAsia="宋体" w:cs="宋体"/>
                <w:highlight w:val="none"/>
              </w:rPr>
              <w:t xml:space="preserve">序号</w:t>
            </w:r>
            <w:bookmarkEnd w:id="126"/>
            <w:r/>
            <w:bookmarkEnd w:id="127"/>
            <w:r/>
            <w:bookmarkEnd w:id="128"/>
            <w:r/>
            <w:bookmarkEnd w:id="129"/>
            <w:r/>
            <w:bookmarkEnd w:id="130"/>
            <w:r/>
            <w:bookmarkEnd w:id="131"/>
            <w:r/>
            <w:bookmarkEnd w:id="132"/>
            <w:r/>
            <w:bookmarkEnd w:id="133"/>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招标文件要求</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投标响应情况</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超出、符合或偏离</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证明</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材料</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254"/>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注： 行数不够，可自行添加。</w:t>
      </w:r>
      <w:r>
        <w:rPr>
          <w:rFonts w:ascii="宋体" w:hAnsi="宋体" w:eastAsia="宋体" w:cs="宋体"/>
          <w:highlight w:val="none"/>
        </w:rPr>
      </w:r>
      <w:r/>
    </w:p>
    <w:p>
      <w:pPr>
        <w:pStyle w:val="1254"/>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bookmarkStart w:id="134" w:name="_Hlt26671374"/>
      <w:r/>
      <w:bookmarkStart w:id="135" w:name="_Hlt26609389"/>
      <w:r/>
      <w:bookmarkStart w:id="136" w:name="_格式2__法定代表人授权书"/>
      <w:r/>
      <w:bookmarkStart w:id="137" w:name="_Toc462564146"/>
      <w:r/>
      <w:bookmarkStart w:id="138" w:name="_Hlt26955066"/>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254"/>
        <w:ind w:firstLine="643"/>
        <w:jc w:val="center"/>
        <w:spacing w:beforeAutospacing="0" w:afterAutospacing="0"/>
        <w:rPr>
          <w:rFonts w:ascii="宋体" w:hAnsi="宋体" w:eastAsia="宋体" w:cs="宋体"/>
          <w:b/>
          <w:color w:val="000000"/>
          <w:sz w:val="32"/>
          <w:szCs w:val="32"/>
          <w:highlight w:val="none"/>
          <w:u w:val="single"/>
        </w:rPr>
      </w:pPr>
      <w:r>
        <w:rPr>
          <w:rFonts w:hint="eastAsia" w:ascii="宋体" w:hAnsi="宋体" w:eastAsia="宋体" w:cs="宋体"/>
          <w:b/>
          <w:i/>
          <w:sz w:val="32"/>
          <w:szCs w:val="32"/>
          <w:highlight w:val="none"/>
          <w:u w:val="single"/>
        </w:rPr>
        <w:t xml:space="preserve">十</w:t>
      </w:r>
      <w:r>
        <w:rPr>
          <w:rFonts w:hint="eastAsia" w:eastAsia="宋体" w:cs="宋体"/>
          <w:b/>
          <w:i/>
          <w:sz w:val="32"/>
          <w:szCs w:val="32"/>
          <w:highlight w:val="none"/>
          <w:u w:val="single"/>
          <w:lang w:val="en-US" w:eastAsia="zh-CN"/>
        </w:rPr>
        <w:t xml:space="preserve">四</w:t>
      </w:r>
      <w:r>
        <w:rPr>
          <w:rFonts w:hint="eastAsia" w:ascii="宋体" w:hAnsi="宋体" w:eastAsia="宋体" w:cs="宋体"/>
          <w:b/>
          <w:i/>
          <w:sz w:val="32"/>
          <w:szCs w:val="32"/>
          <w:highlight w:val="none"/>
          <w:u w:val="single"/>
        </w:rPr>
        <w:t xml:space="preserve">、开标一览表</w:t>
      </w:r>
      <w:r>
        <w:rPr>
          <w:rFonts w:ascii="宋体" w:hAnsi="宋体" w:eastAsia="宋体" w:cs="宋体"/>
          <w:b/>
          <w:color w:val="000000"/>
          <w:sz w:val="32"/>
          <w:szCs w:val="32"/>
          <w:highlight w:val="none"/>
          <w:u w:val="single"/>
        </w:rPr>
      </w:r>
      <w:r/>
    </w:p>
    <w:p>
      <w:pPr>
        <w:pStyle w:val="1296"/>
        <w:rPr>
          <w:rFonts w:ascii="Times New Roman" w:hAnsi="Times New Roman" w:eastAsia="宋体" w:cs="Times New Roman"/>
          <w:color w:val="000000"/>
          <w:highlight w:val="none"/>
          <w:u w:val="single"/>
        </w:rPr>
      </w:pPr>
      <w:r>
        <w:rPr>
          <w:rFonts w:hint="eastAsia" w:eastAsia="宋体" w:cs="Times New Roman"/>
          <w:color w:val="000000"/>
          <w:highlight w:val="none"/>
        </w:rPr>
        <w:t xml:space="preserve">项目编号：</w:t>
      </w:r>
      <w:r>
        <w:rPr>
          <w:rFonts w:ascii="Calibri" w:hAnsi="Calibri" w:eastAsia="宋体" w:cs="Times New Roman"/>
          <w:b w:val="0"/>
          <w:i w:val="0"/>
          <w:iCs w:val="0"/>
          <w:caps w:val="0"/>
          <w:color w:val="000000"/>
          <w:spacing w:val="0"/>
          <w:sz w:val="24"/>
          <w:szCs w:val="24"/>
          <w:highlight w:val="none"/>
          <w:u w:val="single"/>
          <w:shd w:val="clear" w:color="auto" w:fill="auto"/>
        </w:rPr>
        <w:t xml:space="preserve">JSZC-320900-JSGM-G2026-0001</w:t>
      </w:r>
      <w:r>
        <w:rPr>
          <w:rFonts w:ascii="Times New Roman" w:hAnsi="Times New Roman" w:eastAsia="宋体" w:cs="Times New Roman"/>
          <w:color w:val="000000"/>
          <w:highlight w:val="none"/>
          <w:u w:val="single"/>
        </w:rPr>
      </w:r>
      <w:r/>
    </w:p>
    <w:p>
      <w:pPr>
        <w:pStyle w:val="1296"/>
        <w:rPr>
          <w:rFonts w:hint="eastAsia"/>
          <w:color w:val="000000"/>
          <w:highlight w:val="none"/>
        </w:rPr>
      </w:pPr>
      <w:r>
        <w:rPr>
          <w:rFonts w:hint="eastAsia"/>
          <w:color w:val="000000"/>
          <w:highlight w:val="none"/>
        </w:rPr>
        <w:t xml:space="preserve">采购包</w:t>
      </w:r>
      <w:r>
        <w:rPr>
          <w:color w:val="000000"/>
          <w:highlight w:val="none"/>
        </w:rPr>
        <w:t xml:space="preserve">：</w:t>
      </w:r>
      <w:r>
        <w:rPr>
          <w:rFonts w:hint="eastAsia"/>
          <w:color w:val="000000"/>
          <w:highlight w:val="none"/>
        </w:rPr>
        <w:t xml:space="preserve">1</w:t>
      </w:r>
      <w:r>
        <w:rPr>
          <w:rFonts w:hint="eastAsia"/>
          <w:color w:val="000000"/>
          <w:highlight w:val="none"/>
        </w:rPr>
      </w:r>
      <w:r/>
    </w:p>
    <w:p>
      <w:pPr>
        <w:pStyle w:val="1296"/>
        <w:ind w:firstLine="480"/>
        <w:rPr>
          <w:color w:val="000000"/>
          <w:highlight w:val="none"/>
        </w:rPr>
      </w:pPr>
      <w:r>
        <w:rPr>
          <w:color w:val="000000"/>
          <w:highlight w:val="none"/>
        </w:rPr>
        <w:t xml:space="preserve">货币单位：人民币元 </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7"/>
        <w:gridCol w:w="3057"/>
      </w:tblGrid>
      <w:tr>
        <w:trPr>
          <w:trHeight w:val="1134" w:hRule="exact"/>
        </w:trPr>
        <w:tc>
          <w:tcPr>
            <w:tcW w:w="3318" w:type="dxa"/>
            <w:vAlign w:val="center"/>
            <w:textDirection w:val="lrTb"/>
            <w:noWrap w:val="false"/>
          </w:tcPr>
          <w:p>
            <w:pPr>
              <w:pStyle w:val="1296"/>
              <w:jc w:val="both"/>
              <w:rPr>
                <w:color w:val="000000"/>
                <w:highlight w:val="none"/>
              </w:rPr>
            </w:pPr>
            <w:r>
              <w:rPr>
                <w:rFonts w:hint="eastAsia"/>
                <w:color w:val="000000"/>
                <w:highlight w:val="none"/>
              </w:rPr>
              <w:t xml:space="preserve">项目名称</w:t>
            </w:r>
            <w:r>
              <w:rPr>
                <w:color w:val="000000"/>
                <w:highlight w:val="none"/>
              </w:rPr>
            </w:r>
            <w:r/>
          </w:p>
        </w:tc>
        <w:tc>
          <w:tcPr>
            <w:tcW w:w="3319" w:type="dxa"/>
            <w:vAlign w:val="center"/>
            <w:textDirection w:val="lrTb"/>
            <w:noWrap w:val="false"/>
          </w:tcPr>
          <w:p>
            <w:pPr>
              <w:pStyle w:val="1296"/>
              <w:jc w:val="both"/>
              <w:rPr>
                <w:color w:val="000000"/>
                <w:highlight w:val="none"/>
              </w:rPr>
            </w:pPr>
            <w:r>
              <w:rPr>
                <w:rFonts w:hint="eastAsia"/>
                <w:color w:val="000000"/>
                <w:highlight w:val="none"/>
              </w:rPr>
              <w:t xml:space="preserve">项目内容</w:t>
            </w:r>
            <w:r>
              <w:rPr>
                <w:color w:val="000000"/>
                <w:highlight w:val="none"/>
              </w:rPr>
            </w:r>
            <w:r/>
          </w:p>
        </w:tc>
        <w:tc>
          <w:tcPr>
            <w:tcW w:w="3319" w:type="dxa"/>
            <w:vAlign w:val="center"/>
            <w:textDirection w:val="lrTb"/>
            <w:noWrap w:val="false"/>
          </w:tcPr>
          <w:p>
            <w:pPr>
              <w:pStyle w:val="1296"/>
              <w:jc w:val="both"/>
              <w:rPr>
                <w:rFonts w:hint="eastAsia"/>
                <w:color w:val="000000"/>
                <w:highlight w:val="none"/>
              </w:rPr>
            </w:pPr>
            <w:r>
              <w:rPr>
                <w:rFonts w:hint="eastAsia"/>
                <w:color w:val="000000"/>
                <w:highlight w:val="none"/>
              </w:rPr>
              <w:t xml:space="preserve">总价（小写）</w:t>
            </w:r>
            <w:r>
              <w:rPr>
                <w:rFonts w:hint="eastAsia"/>
                <w:color w:val="000000"/>
                <w:highlight w:val="none"/>
              </w:rPr>
            </w:r>
            <w:r/>
          </w:p>
        </w:tc>
      </w:tr>
      <w:tr>
        <w:trPr>
          <w:trHeight w:val="1338" w:hRule="exact"/>
        </w:trPr>
        <w:tc>
          <w:tcPr>
            <w:tcW w:w="3318" w:type="dxa"/>
            <w:vAlign w:val="center"/>
            <w:textDirection w:val="lrTb"/>
            <w:noWrap w:val="false"/>
          </w:tcPr>
          <w:p>
            <w:pPr>
              <w:pStyle w:val="1296"/>
              <w:ind w:firstLine="0"/>
              <w:jc w:val="both"/>
              <w:rPr>
                <w:rFonts w:hint="eastAsia" w:ascii="Calibri" w:hAnsi="Calibri" w:eastAsia="宋体" w:cs="Times New Roman"/>
                <w:b w:val="0"/>
                <w:sz w:val="24"/>
                <w:highlight w:val="none"/>
              </w:rPr>
            </w:pPr>
            <w:r>
              <w:rPr>
                <w:rFonts w:hint="eastAsia" w:ascii="Calibri" w:hAnsi="Calibri" w:eastAsia="宋体" w:cs="Times New Roman"/>
                <w:b w:val="0"/>
                <w:sz w:val="24"/>
                <w:highlight w:val="none"/>
              </w:rPr>
              <w:t xml:space="preserve">市区楼宇亮化及集控系统更新维护项目</w:t>
            </w:r>
            <w:r>
              <w:rPr>
                <w:rFonts w:hint="eastAsia" w:ascii="Calibri" w:hAnsi="Calibri" w:eastAsia="宋体" w:cs="Times New Roman"/>
                <w:b w:val="0"/>
                <w:sz w:val="24"/>
                <w:highlight w:val="none"/>
              </w:rPr>
            </w:r>
            <w:r/>
          </w:p>
          <w:p>
            <w:pPr>
              <w:pStyle w:val="1296"/>
              <w:jc w:val="both"/>
              <w:rPr>
                <w:rFonts w:hint="eastAsia"/>
                <w:color w:val="000000"/>
                <w:highlight w:val="none"/>
              </w:rPr>
            </w:pPr>
            <w:r>
              <w:rPr>
                <w:rFonts w:hint="eastAsia"/>
                <w:color w:val="000000"/>
                <w:highlight w:val="none"/>
              </w:rPr>
            </w:r>
            <w:r/>
          </w:p>
        </w:tc>
        <w:tc>
          <w:tcPr>
            <w:tcW w:w="3319" w:type="dxa"/>
            <w:vAlign w:val="center"/>
            <w:textDirection w:val="lrTb"/>
            <w:noWrap w:val="false"/>
          </w:tcPr>
          <w:p>
            <w:pPr>
              <w:pStyle w:val="1296"/>
              <w:jc w:val="both"/>
              <w:rPr>
                <w:color w:val="000000"/>
                <w:highlight w:val="none"/>
              </w:rPr>
            </w:pPr>
            <w:r>
              <w:rPr>
                <w:rFonts w:hint="eastAsia"/>
                <w:color w:val="000000"/>
                <w:highlight w:val="none"/>
              </w:rPr>
              <w:t xml:space="preserve">详见投标文件</w:t>
            </w:r>
            <w:r>
              <w:rPr>
                <w:color w:val="000000"/>
                <w:highlight w:val="none"/>
              </w:rPr>
            </w:r>
            <w:r/>
          </w:p>
        </w:tc>
        <w:tc>
          <w:tcPr>
            <w:tcW w:w="3319" w:type="dxa"/>
            <w:vAlign w:val="center"/>
            <w:textDirection w:val="lrTb"/>
            <w:noWrap w:val="false"/>
          </w:tcPr>
          <w:p>
            <w:pPr>
              <w:pStyle w:val="1296"/>
              <w:jc w:val="both"/>
              <w:rPr>
                <w:rFonts w:hint="eastAsia"/>
                <w:color w:val="000000"/>
                <w:highlight w:val="none"/>
              </w:rPr>
            </w:pP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rPr>
            </w:r>
            <w:r/>
          </w:p>
        </w:tc>
      </w:tr>
      <w:tr>
        <w:trPr>
          <w:trHeight w:val="1134" w:hRule="exact"/>
        </w:trPr>
        <w:tc>
          <w:tcPr>
            <w:tcW w:w="3318" w:type="dxa"/>
            <w:vAlign w:val="center"/>
            <w:textDirection w:val="lrTb"/>
            <w:noWrap w:val="false"/>
          </w:tcPr>
          <w:p>
            <w:pPr>
              <w:pStyle w:val="1296"/>
              <w:jc w:val="both"/>
              <w:rPr>
                <w:color w:val="000000"/>
                <w:highlight w:val="none"/>
              </w:rPr>
            </w:pPr>
            <w:r>
              <w:rPr>
                <w:rFonts w:hint="eastAsia"/>
                <w:color w:val="000000"/>
                <w:highlight w:val="none"/>
              </w:rPr>
              <w:t xml:space="preserve">总价（大写）</w:t>
            </w:r>
            <w:r>
              <w:rPr>
                <w:color w:val="000000"/>
                <w:highlight w:val="none"/>
              </w:rPr>
            </w:r>
            <w:r/>
          </w:p>
        </w:tc>
        <w:tc>
          <w:tcPr>
            <w:gridSpan w:val="2"/>
            <w:tcW w:w="6638" w:type="dxa"/>
            <w:vAlign w:val="center"/>
            <w:textDirection w:val="lrTb"/>
            <w:noWrap w:val="false"/>
          </w:tcPr>
          <w:p>
            <w:pPr>
              <w:pStyle w:val="1296"/>
              <w:jc w:val="both"/>
              <w:rPr>
                <w:color w:val="000000"/>
                <w:highlight w:val="none"/>
              </w:rPr>
            </w:pPr>
            <w:r>
              <w:rPr>
                <w:rFonts w:hint="eastAsia"/>
                <w:color w:val="000000"/>
                <w:highlight w:val="none"/>
              </w:rPr>
              <w:t xml:space="preserve">金额大写</w:t>
            </w:r>
            <w:r>
              <w:rPr>
                <w:color w:val="000000"/>
                <w:highlight w:val="none"/>
              </w:rPr>
            </w:r>
            <w:r/>
          </w:p>
        </w:tc>
      </w:tr>
    </w:tbl>
    <w:p>
      <w:pPr>
        <w:pStyle w:val="1296"/>
        <w:rPr>
          <w:rFonts w:hint="eastAsia"/>
          <w:color w:val="000000"/>
          <w:highlight w:val="none"/>
        </w:rPr>
      </w:pPr>
      <w:r>
        <w:rPr>
          <w:rFonts w:hint="eastAsia"/>
          <w:color w:val="000000"/>
          <w:highlight w:val="none"/>
        </w:rPr>
      </w:r>
      <w:r/>
    </w:p>
    <w:p>
      <w:pPr>
        <w:pStyle w:val="1296"/>
        <w:rPr>
          <w:rFonts w:hint="eastAsia"/>
          <w:color w:val="000000"/>
          <w:highlight w:val="none"/>
        </w:rPr>
      </w:pPr>
      <w:r>
        <w:rPr>
          <w:rFonts w:hint="eastAsia"/>
          <w:color w:val="000000"/>
          <w:highlight w:val="none"/>
        </w:rPr>
        <w:t xml:space="preserve">投标人公章：                               （电子签章）</w:t>
      </w:r>
      <w:r>
        <w:rPr>
          <w:rFonts w:hint="eastAsia"/>
          <w:color w:val="000000"/>
          <w:highlight w:val="none"/>
        </w:rPr>
      </w:r>
      <w:r/>
    </w:p>
    <w:p>
      <w:pPr>
        <w:pStyle w:val="1296"/>
        <w:jc w:val="right"/>
        <w:rPr>
          <w:color w:val="000000"/>
          <w:highlight w:val="none"/>
        </w:rPr>
      </w:pPr>
      <w:r>
        <w:rPr>
          <w:color w:val="000000"/>
          <w:highlight w:val="none"/>
        </w:rPr>
      </w:r>
      <w:r/>
    </w:p>
    <w:p>
      <w:pPr>
        <w:pStyle w:val="1296"/>
        <w:jc w:val="right"/>
        <w:rPr>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1254"/>
        <w:ind w:firstLine="482"/>
        <w:jc w:val="right"/>
        <w:spacing w:beforeAutospacing="0" w:afterAutospacing="0"/>
        <w:rPr>
          <w:rFonts w:ascii="宋体" w:hAnsi="宋体" w:eastAsia="宋体" w:cs="宋体"/>
          <w:highlight w:val="none"/>
        </w:rPr>
      </w:pPr>
      <w:r>
        <w:rPr>
          <w:rFonts w:ascii="宋体" w:hAnsi="宋体" w:eastAsia="宋体" w:cs="宋体"/>
          <w:highlight w:val="none"/>
        </w:rPr>
      </w:r>
      <w:r/>
    </w:p>
    <w:p>
      <w:pPr>
        <w:pStyle w:val="1254"/>
        <w:ind w:firstLine="480"/>
        <w:jc w:val="right"/>
        <w:spacing w:beforeAutospacing="0" w:afterAutospacing="0"/>
        <w:rPr>
          <w:rFonts w:ascii="宋体" w:hAnsi="宋体" w:eastAsia="宋体" w:cs="宋体"/>
          <w:highlight w:val="none"/>
        </w:rPr>
      </w:pPr>
      <w:r>
        <w:rPr>
          <w:rFonts w:ascii="宋体" w:hAnsi="宋体" w:eastAsia="宋体" w:cs="宋体"/>
          <w:highlight w:val="none"/>
        </w:rPr>
      </w:r>
      <w:r/>
    </w:p>
    <w:p>
      <w:pPr>
        <w:pStyle w:val="1254"/>
        <w:ind w:firstLine="480"/>
        <w:jc w:val="right"/>
        <w:spacing w:beforeAutospacing="0" w:afterAutospacing="0"/>
        <w:rPr>
          <w:rFonts w:ascii="宋体" w:hAnsi="宋体" w:eastAsia="宋体" w:cs="宋体"/>
          <w:highlight w:val="none"/>
        </w:rPr>
      </w:pPr>
      <w:r>
        <w:rPr>
          <w:rFonts w:ascii="宋体" w:hAnsi="宋体" w:eastAsia="宋体" w:cs="宋体"/>
          <w:highlight w:val="none"/>
        </w:rPr>
      </w:r>
      <w:r/>
    </w:p>
    <w:p>
      <w:pPr>
        <w:pStyle w:val="1254"/>
        <w:jc w:val="both"/>
        <w:spacing w:beforeAutospacing="0" w:afterAutospacing="0"/>
        <w:rPr>
          <w:rFonts w:ascii="宋体" w:hAnsi="宋体" w:eastAsia="宋体" w:cs="宋体"/>
          <w:highlight w:val="none"/>
        </w:rPr>
      </w:pPr>
      <w:r>
        <w:rPr>
          <w:rFonts w:ascii="宋体" w:hAnsi="宋体" w:eastAsia="宋体" w:cs="宋体"/>
          <w:highlight w:val="none"/>
        </w:rPr>
      </w:r>
      <w:r/>
    </w:p>
    <w:p>
      <w:pPr>
        <w:pStyle w:val="1254"/>
        <w:ind w:firstLine="480"/>
        <w:jc w:val="both"/>
        <w:spacing w:beforeAutospacing="0" w:afterAutospacing="0"/>
        <w:rPr>
          <w:rFonts w:ascii="宋体" w:hAnsi="宋体" w:eastAsia="宋体" w:cs="宋体"/>
          <w:highlight w:val="none"/>
        </w:rPr>
      </w:pPr>
      <w:r>
        <w:rPr>
          <w:rFonts w:ascii="宋体" w:hAnsi="宋体" w:eastAsia="宋体" w:cs="宋体"/>
          <w:highlight w:val="none"/>
        </w:rPr>
      </w:r>
      <w:r/>
    </w:p>
    <w:p>
      <w:pPr>
        <w:pStyle w:val="1254"/>
        <w:ind w:firstLine="480"/>
        <w:jc w:val="both"/>
        <w:spacing w:beforeAutospacing="0" w:afterAutospacing="0"/>
        <w:rPr>
          <w:rFonts w:ascii="宋体" w:hAnsi="宋体" w:eastAsia="宋体" w:cs="宋体"/>
          <w:highlight w:val="none"/>
        </w:rPr>
      </w:pPr>
      <w:r>
        <w:rPr>
          <w:rFonts w:ascii="宋体" w:hAnsi="宋体" w:eastAsia="宋体" w:cs="宋体"/>
          <w:highlight w:val="none"/>
        </w:rPr>
      </w:r>
      <w:r/>
    </w:p>
    <w:p>
      <w:pPr>
        <w:pStyle w:val="1208"/>
        <w:jc w:val="both"/>
        <w:spacing w:before="50" w:after="50"/>
        <w:widowControl/>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1208"/>
        <w:jc w:val="center"/>
        <w:spacing w:before="50" w:after="50"/>
        <w:widowControl/>
        <w:rPr>
          <w:rFonts w:ascii="宋体" w:hAnsi="宋体" w:eastAsia="宋体" w:cs="宋体"/>
          <w:b/>
          <w:bCs/>
          <w:sz w:val="24"/>
          <w:highlight w:val="none"/>
        </w:rPr>
        <w:outlineLvl w:val="1"/>
      </w:pPr>
      <w:r>
        <w:rPr>
          <w:rFonts w:hint="eastAsia" w:ascii="宋体" w:hAnsi="宋体" w:eastAsia="宋体" w:cs="宋体"/>
          <w:b/>
          <w:bCs/>
          <w:sz w:val="32"/>
          <w:szCs w:val="32"/>
          <w:highlight w:val="none"/>
        </w:rPr>
        <w:t xml:space="preserve">十</w:t>
      </w:r>
      <w:r>
        <w:rPr>
          <w:rFonts w:hint="eastAsia" w:ascii="宋体" w:hAnsi="宋体" w:eastAsia="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、服务方案等</w:t>
      </w:r>
      <w:r>
        <w:rPr>
          <w:rFonts w:ascii="宋体" w:hAnsi="宋体" w:eastAsia="宋体" w:cs="宋体"/>
          <w:b/>
          <w:bCs/>
          <w:sz w:val="24"/>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249"/>
        <w:ind w:left="0"/>
        <w:rPr>
          <w:highlight w:val="none"/>
        </w:rPr>
      </w:pPr>
      <w:r>
        <w:rPr>
          <w:highlight w:val="none"/>
        </w:rPr>
      </w:r>
      <w:r/>
    </w:p>
    <w:p>
      <w:pPr>
        <w:pStyle w:val="1208"/>
        <w:ind w:firstLine="1600"/>
        <w:jc w:val="left"/>
        <w:spacing w:line="499" w:lineRule="atLeast"/>
        <w:widowControl/>
        <w:rPr>
          <w:rFonts w:ascii="宋体" w:hAnsi="宋体" w:eastAsia="宋体" w:cs="宋体"/>
          <w:sz w:val="24"/>
          <w:highlight w:val="none"/>
        </w:rPr>
        <w:outlineLvl w:val="1"/>
      </w:pPr>
      <w:r>
        <w:rPr>
          <w:rFonts w:hint="eastAsia" w:ascii="宋体" w:hAnsi="宋体" w:eastAsia="宋体" w:cs="宋体"/>
          <w:sz w:val="32"/>
          <w:szCs w:val="32"/>
          <w:highlight w:val="none"/>
        </w:rPr>
        <w:t xml:space="preserve">十</w:t>
      </w:r>
      <w:r>
        <w:rPr>
          <w:rFonts w:hint="eastAsia" w:ascii="宋体" w:hAnsi="宋体" w:eastAsia="宋体" w:cs="宋体"/>
          <w:sz w:val="32"/>
          <w:szCs w:val="32"/>
          <w:highlight w:val="none"/>
          <w:lang w:val="en-US" w:eastAsia="zh-CN"/>
        </w:rPr>
        <w:t xml:space="preserve">六</w:t>
      </w:r>
      <w:r>
        <w:rPr>
          <w:rFonts w:hint="eastAsia" w:ascii="宋体" w:hAnsi="宋体" w:eastAsia="宋体" w:cs="宋体"/>
          <w:sz w:val="32"/>
          <w:szCs w:val="32"/>
          <w:highlight w:val="none"/>
        </w:rPr>
        <w:t xml:space="preserve">、盐城市政府采购事前信用承诺书 </w:t>
      </w:r>
      <w:r>
        <w:rPr>
          <w:rFonts w:ascii="宋体" w:hAnsi="宋体" w:eastAsia="宋体" w:cs="宋体"/>
          <w:sz w:val="24"/>
          <w:highlight w:val="none"/>
        </w:rPr>
      </w:r>
      <w:r/>
    </w:p>
    <w:p>
      <w:pPr>
        <w:pStyle w:val="1208"/>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rPr>
          <w:rFonts w:ascii="宋体" w:hAnsi="宋体" w:eastAsia="宋体" w:cs="宋体"/>
          <w:sz w:val="24"/>
          <w:highlight w:val="none"/>
        </w:rPr>
      </w:r>
      <w:r/>
    </w:p>
    <w:p>
      <w:pPr>
        <w:pStyle w:val="1208"/>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sz w:val="24"/>
          <w:highlight w:val="none"/>
        </w:rPr>
      </w:r>
      <w:r/>
    </w:p>
    <w:p>
      <w:pPr>
        <w:pStyle w:val="1208"/>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1208"/>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1208"/>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（四）严格遵守即时信息公示规定，及时维护和更新盐城市政府采购网中与本单位相关的信息；</w:t>
      </w:r>
      <w:r>
        <w:rPr>
          <w:rFonts w:ascii="宋体" w:hAnsi="宋体" w:eastAsia="宋体" w:cs="宋体"/>
          <w:sz w:val="24"/>
          <w:highlight w:val="none"/>
        </w:rPr>
      </w:r>
      <w:r/>
    </w:p>
    <w:p>
      <w:pPr>
        <w:pStyle w:val="1208"/>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1208"/>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（六）自觉接受政府、行业组织、社会公众、新闻舆论的监督；</w:t>
      </w:r>
      <w:r>
        <w:rPr>
          <w:rFonts w:ascii="宋体" w:hAnsi="宋体" w:eastAsia="宋体" w:cs="宋体"/>
          <w:sz w:val="24"/>
          <w:highlight w:val="none"/>
        </w:rPr>
      </w:r>
      <w:r/>
    </w:p>
    <w:p>
      <w:pPr>
        <w:pStyle w:val="1208"/>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1208"/>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（八）本人已认真阅读了上述承诺，并向本单位员工作了宣传教育。</w:t>
      </w:r>
      <w:r>
        <w:rPr>
          <w:rFonts w:ascii="宋体" w:hAnsi="宋体" w:eastAsia="宋体" w:cs="宋体"/>
          <w:sz w:val="24"/>
          <w:highlight w:val="none"/>
        </w:rPr>
      </w:r>
      <w:r/>
    </w:p>
    <w:p>
      <w:pPr>
        <w:pStyle w:val="1208"/>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法定代表人签名：</w:t>
      </w:r>
      <w:r>
        <w:rPr>
          <w:rFonts w:ascii="宋体" w:hAnsi="宋体" w:eastAsia="宋体" w:cs="宋体"/>
          <w:sz w:val="24"/>
          <w:highlight w:val="none"/>
        </w:rPr>
      </w:r>
      <w:r/>
    </w:p>
    <w:p>
      <w:pPr>
        <w:pStyle w:val="1208"/>
        <w:jc w:val="center"/>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单位名称（盖章）：</w:t>
      </w:r>
      <w:r>
        <w:rPr>
          <w:rFonts w:ascii="宋体" w:hAnsi="宋体" w:eastAsia="宋体" w:cs="宋体"/>
          <w:sz w:val="24"/>
          <w:highlight w:val="none"/>
        </w:rPr>
      </w:r>
      <w:r/>
    </w:p>
    <w:p>
      <w:pPr>
        <w:pStyle w:val="1208"/>
        <w:jc w:val="center"/>
        <w:spacing w:line="499" w:lineRule="atLeast"/>
        <w:rPr>
          <w:rFonts w:ascii="宋体" w:hAnsi="宋体" w:eastAsia="宋体" w:cs="宋体"/>
          <w:b/>
          <w:sz w:val="32"/>
          <w:szCs w:val="32"/>
          <w:highlight w:val="none"/>
        </w:rPr>
      </w:pPr>
      <w:r>
        <w:rPr>
          <w:rFonts w:hint="eastAsia" w:ascii="宋体" w:hAnsi="宋体" w:eastAsia="宋体" w:cs="宋体"/>
          <w:sz w:val="24"/>
          <w:highlight w:val="none"/>
        </w:rPr>
        <w:t xml:space="preserve">                      年   月   </w:t>
      </w:r>
      <w:bookmarkEnd w:id="119"/>
      <w:r/>
      <w:bookmarkEnd w:id="120"/>
      <w:r/>
      <w:bookmarkEnd w:id="121"/>
      <w:r/>
      <w:bookmarkEnd w:id="122"/>
      <w:r/>
      <w:bookmarkEnd w:id="125"/>
      <w:r/>
      <w:bookmarkEnd w:id="134"/>
      <w:r/>
      <w:bookmarkEnd w:id="135"/>
      <w:r/>
      <w:bookmarkEnd w:id="136"/>
      <w:r/>
      <w:bookmarkEnd w:id="137"/>
      <w:r/>
      <w:bookmarkEnd w:id="138"/>
      <w:r>
        <w:rPr>
          <w:rFonts w:hint="eastAsia" w:ascii="宋体" w:hAnsi="宋体" w:eastAsia="宋体" w:cs="宋体"/>
          <w:sz w:val="24"/>
          <w:highlight w:val="none"/>
          <w:lang w:val="en-US" w:eastAsia="zh-CN"/>
        </w:rPr>
        <w:t xml:space="preserve">日</w:t>
      </w:r>
      <w:r>
        <w:rPr>
          <w:rFonts w:ascii="宋体" w:hAnsi="宋体" w:eastAsia="宋体" w:cs="宋体"/>
          <w:b/>
          <w:sz w:val="32"/>
          <w:szCs w:val="32"/>
          <w:highlight w:val="none"/>
        </w:rPr>
      </w:r>
      <w:r/>
    </w:p>
    <w:p>
      <w:pPr>
        <w:pStyle w:val="1254"/>
        <w:jc w:val="center"/>
        <w:spacing w:beforeAutospacing="0" w:afterAutospacing="0"/>
        <w:rPr>
          <w:rFonts w:ascii="宋体" w:hAnsi="宋体" w:eastAsia="宋体" w:cs="宋体"/>
          <w:b/>
          <w:sz w:val="32"/>
          <w:szCs w:val="32"/>
          <w:highlight w:val="none"/>
        </w:rPr>
      </w:pPr>
      <w:r>
        <w:rPr>
          <w:rFonts w:hint="eastAsia" w:ascii="宋体" w:hAnsi="宋体" w:eastAsia="宋体" w:cs="宋体"/>
          <w:b/>
          <w:sz w:val="32"/>
          <w:szCs w:val="32"/>
          <w:highlight w:val="none"/>
        </w:rPr>
        <w:t xml:space="preserve">质疑函范本</w:t>
      </w:r>
      <w:r>
        <w:rPr>
          <w:rFonts w:ascii="宋体" w:hAnsi="宋体" w:eastAsia="宋体" w:cs="宋体"/>
          <w:b/>
          <w:sz w:val="32"/>
          <w:szCs w:val="32"/>
          <w:highlight w:val="none"/>
        </w:rPr>
      </w:r>
      <w:r/>
    </w:p>
    <w:p>
      <w:pPr>
        <w:pStyle w:val="1254"/>
        <w:jc w:val="both"/>
        <w:spacing w:before="290"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一、质疑供应商基本信息</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质疑供应商：</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地址：</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联系人：</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授权代表：</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地址： </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二、质疑项目基本情况</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质疑项目的名称：</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质疑项目的编号：</w:t>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包号：</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采购人名称：</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采购文件获取日期：</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三、质疑事项具体内容</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质疑事项1：</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事实依据：</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法律依据：</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质疑事项2</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四、与质疑事项相关的质疑请求</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请求：</w:t>
      </w:r>
      <w:r>
        <w:rPr>
          <w:rFonts w:hint="eastAsia" w:ascii="宋体" w:hAnsi="宋体" w:eastAsia="宋体" w:cs="宋体"/>
          <w:highlight w:val="none"/>
          <w:u w:val="single"/>
        </w:rPr>
        <w:t xml:space="preserve">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签字(签章)：                 公章：               日期：    </w:t>
      </w:r>
      <w:r>
        <w:rPr>
          <w:rFonts w:ascii="宋体" w:hAnsi="宋体" w:eastAsia="宋体" w:cs="宋体"/>
          <w:highlight w:val="none"/>
        </w:rPr>
      </w:r>
      <w:r/>
    </w:p>
    <w:p>
      <w:pPr>
        <w:pStyle w:val="1254"/>
        <w:jc w:val="both"/>
        <w:spacing w:beforeAutospacing="0" w:afterAutospacing="0" w:line="360" w:lineRule="exact"/>
        <w:rPr>
          <w:rFonts w:ascii="宋体" w:hAnsi="宋体" w:eastAsia="宋体" w:cs="宋体"/>
          <w:highlight w:val="none"/>
        </w:rPr>
      </w:pPr>
      <w:r>
        <w:rPr>
          <w:rFonts w:hint="eastAsia" w:ascii="宋体" w:hAnsi="宋体" w:eastAsia="宋体" w:cs="宋体"/>
          <w:b/>
          <w:highlight w:val="none"/>
        </w:rPr>
        <w:t xml:space="preserve">质疑函制作说明：</w:t>
      </w:r>
      <w:r>
        <w:rPr>
          <w:rFonts w:ascii="宋体" w:hAnsi="宋体" w:eastAsia="宋体" w:cs="宋体"/>
          <w:highlight w:val="none"/>
        </w:rPr>
      </w:r>
      <w:r/>
    </w:p>
    <w:p>
      <w:pPr>
        <w:pStyle w:val="1254"/>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1.供应商提出质疑时，应提交质疑函和必要的证明材料。</w:t>
      </w:r>
      <w:r>
        <w:rPr>
          <w:rFonts w:ascii="宋体" w:hAnsi="宋体" w:eastAsia="宋体" w:cs="宋体"/>
          <w:highlight w:val="none"/>
        </w:rPr>
      </w:r>
      <w:r/>
    </w:p>
    <w:p>
      <w:pPr>
        <w:pStyle w:val="1254"/>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1254"/>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3.质疑供应商若对项目的某一分包进行质疑，质疑函中应列明具体分包号。</w:t>
      </w:r>
      <w:r>
        <w:rPr>
          <w:rFonts w:ascii="宋体" w:hAnsi="宋体" w:eastAsia="宋体" w:cs="宋体"/>
          <w:highlight w:val="none"/>
        </w:rPr>
      </w:r>
      <w:r/>
    </w:p>
    <w:p>
      <w:pPr>
        <w:pStyle w:val="1254"/>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4.质疑函的质疑事项应具体、明确，并有必要的事实依据和法律依据。</w:t>
      </w:r>
      <w:r>
        <w:rPr>
          <w:rFonts w:ascii="宋体" w:hAnsi="宋体" w:eastAsia="宋体" w:cs="宋体"/>
          <w:highlight w:val="none"/>
        </w:rPr>
      </w:r>
      <w:r/>
    </w:p>
    <w:p>
      <w:pPr>
        <w:pStyle w:val="1254"/>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5.质疑函的质疑请求应与质疑事项相关。</w:t>
      </w:r>
      <w:r>
        <w:rPr>
          <w:rFonts w:ascii="宋体" w:hAnsi="宋体" w:eastAsia="宋体" w:cs="宋体"/>
          <w:highlight w:val="none"/>
        </w:rPr>
      </w:r>
      <w:r/>
    </w:p>
    <w:p>
      <w:pPr>
        <w:pStyle w:val="1254"/>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p>
      <w:pPr>
        <w:pStyle w:val="1208"/>
        <w:jc w:val="center"/>
        <w:spacing w:line="440" w:lineRule="exact"/>
        <w:widowControl/>
        <w:rPr>
          <w:rFonts w:hint="eastAsia" w:ascii="宋体" w:hAnsi="宋体" w:cs="宋体"/>
          <w:sz w:val="24"/>
          <w:szCs w:val="24"/>
          <w:highlight w:val="none"/>
        </w:rPr>
      </w:pPr>
      <w:r/>
      <w:bookmarkEnd w:id="106"/>
      <w:r/>
      <w:bookmarkEnd w:id="107"/>
      <w:r/>
      <w:bookmarkEnd w:id="114"/>
      <w:r/>
      <w:bookmarkEnd w:id="117"/>
      <w:r/>
      <w:bookmarkEnd w:id="118"/>
      <w:r>
        <w:rPr>
          <w:rFonts w:hint="eastAsia" w:ascii="宋体" w:hAnsi="宋体" w:cs="宋体"/>
          <w:sz w:val="24"/>
          <w:szCs w:val="24"/>
          <w:highlight w:val="none"/>
        </w:rPr>
      </w:r>
      <w:r/>
    </w:p>
    <w:p>
      <w:pPr>
        <w:pStyle w:val="1208"/>
        <w:spacing w:line="440" w:lineRule="exact"/>
        <w:rPr>
          <w:highlight w:val="none"/>
        </w:rPr>
      </w:pPr>
      <w:r>
        <w:rPr>
          <w:highlight w:val="none"/>
        </w:rPr>
      </w:r>
      <w:r/>
    </w:p>
    <w:sectPr>
      <w:footerReference w:type="default" r:id="rId21"/>
      <w:footerReference w:type="first" r:id="rId2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tabs>
        <w:tab w:val="center" w:pos="4153" w:leader="none"/>
        <w:tab w:val="right" w:pos="8306" w:leader="none"/>
      </w:tabs>
      <w:rPr>
        <w:rFonts w:hint="eastAsia" w:eastAsia="宋体"/>
        <w:lang w:val="en-US" w:eastAsia="zh-CN"/>
      </w:rPr>
    </w:pPr>
    <w:r>
      <w:rPr>
        <w:rFonts w:hint="eastAsia"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Fonts w:hint="eastAsia"/>
                            </w:rPr>
                          </w:pPr>
                          <w:r>
                            <w:rPr>
                              <w:rFonts w:hint="eastAsia"/>
                            </w:rPr>
                          </w:r>
                          <w:r/>
                        </w:p>
                        <w:p>
                          <w:pPr>
                            <w:pStyle w:val="120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rPr>
                        <w:rFonts w:hint="eastAsia"/>
                      </w:rPr>
                    </w:r>
                    <w:r/>
                  </w:p>
                  <w:p>
                    <w:pPr>
                      <w:pStyle w:val="12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tabs>
        <w:tab w:val="center" w:pos="4153" w:leader="none"/>
        <w:tab w:val="right" w:pos="8306" w:leader="none"/>
      </w:tabs>
      <w:rPr>
        <w:rFonts w:hint="eastAsia" w:eastAsia="宋体"/>
        <w:lang w:val="en-US" w:eastAsia="zh-CN"/>
      </w:rPr>
    </w:pPr>
    <w:r>
      <w:rPr>
        <w:rFonts w:hint="eastAsia"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tabs>
        <w:tab w:val="center" w:pos="464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Fonts w:hint="eastAsia"/>
                            </w:rPr>
                          </w:pPr>
                          <w:r>
                            <w:rPr>
                              <w:rFonts w:hint="eastAsia"/>
                            </w:rPr>
                          </w:r>
                          <w:r/>
                        </w:p>
                        <w:p>
                          <w:pPr>
                            <w:pStyle w:val="120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rPr>
                        <w:rFonts w:hint="eastAsia"/>
                      </w:rPr>
                    </w:r>
                    <w:r/>
                  </w:p>
                  <w:p>
                    <w:pPr>
                      <w:pStyle w:val="120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Style w:val="1261"/>
                              <w:rFonts w:ascii="宋体" w:hAnsi="宋体"/>
                            </w:rPr>
                          </w:pPr>
                          <w:r>
                            <w:rPr>
                              <w:rStyle w:val="1261"/>
                              <w:rFonts w:ascii="宋体" w:hAnsi="宋体"/>
                            </w:rPr>
                            <w:t xml:space="preserve">— </w:t>
                          </w:r>
                          <w:r>
                            <w:rPr>
                              <w:rStyle w:val="1261"/>
                              <w:rFonts w:ascii="宋体" w:hAnsi="宋体"/>
                            </w:rPr>
                            <w:fldChar w:fldCharType="begin"/>
                          </w:r>
                          <w:r>
                            <w:rPr>
                              <w:rStyle w:val="1261"/>
                              <w:rFonts w:ascii="宋体" w:hAnsi="宋体"/>
                            </w:rPr>
                            <w:instrText xml:space="preserve"> PAGE  \* MERGEFORMAT </w:instrText>
                          </w:r>
                          <w:r>
                            <w:rPr>
                              <w:rStyle w:val="1261"/>
                              <w:rFonts w:ascii="宋体" w:hAnsi="宋体"/>
                            </w:rPr>
                            <w:fldChar w:fldCharType="separate"/>
                          </w:r>
                          <w:r>
                            <w:rPr>
                              <w:rStyle w:val="1261"/>
                              <w:rFonts w:ascii="宋体" w:hAnsi="宋体"/>
                            </w:rPr>
                            <w:t xml:space="preserve">0</w:t>
                          </w:r>
                          <w:r>
                            <w:rPr>
                              <w:rStyle w:val="1261"/>
                              <w:rFonts w:ascii="宋体" w:hAnsi="宋体"/>
                            </w:rPr>
                            <w:fldChar w:fldCharType="end"/>
                          </w:r>
                          <w:r>
                            <w:rPr>
                              <w:rStyle w:val="1261"/>
                              <w:rFonts w:ascii="宋体" w:hAnsi="宋体"/>
                            </w:rPr>
                            <w:t xml:space="preserve"> —</w:t>
                          </w:r>
                          <w:r>
                            <w:rPr>
                              <w:rStyle w:val="1261"/>
                              <w:rFonts w:ascii="宋体" w:hAnsi="宋体"/>
                            </w:rPr>
                          </w:r>
                          <w:r/>
                        </w:p>
                        <w:p>
                          <w:pPr>
                            <w:pStyle w:val="120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Style w:val="1261"/>
                        <w:rFonts w:ascii="宋体" w:hAnsi="宋体"/>
                      </w:rPr>
                    </w:pPr>
                    <w:r>
                      <w:rPr>
                        <w:rStyle w:val="1261"/>
                        <w:rFonts w:ascii="宋体" w:hAnsi="宋体"/>
                      </w:rPr>
                      <w:t xml:space="preserve">— </w:t>
                    </w:r>
                    <w:r>
                      <w:rPr>
                        <w:rStyle w:val="1261"/>
                        <w:rFonts w:ascii="宋体" w:hAnsi="宋体"/>
                      </w:rPr>
                      <w:fldChar w:fldCharType="begin"/>
                    </w:r>
                    <w:r>
                      <w:rPr>
                        <w:rStyle w:val="1261"/>
                        <w:rFonts w:ascii="宋体" w:hAnsi="宋体"/>
                      </w:rPr>
                      <w:instrText xml:space="preserve"> PAGE  \* MERGEFORMAT </w:instrText>
                    </w:r>
                    <w:r>
                      <w:rPr>
                        <w:rStyle w:val="1261"/>
                        <w:rFonts w:ascii="宋体" w:hAnsi="宋体"/>
                      </w:rPr>
                      <w:fldChar w:fldCharType="separate"/>
                    </w:r>
                    <w:r>
                      <w:rPr>
                        <w:rStyle w:val="1261"/>
                        <w:rFonts w:ascii="宋体" w:hAnsi="宋体"/>
                      </w:rPr>
                      <w:t xml:space="preserve">0</w:t>
                    </w:r>
                    <w:r>
                      <w:rPr>
                        <w:rStyle w:val="1261"/>
                        <w:rFonts w:ascii="宋体" w:hAnsi="宋体"/>
                      </w:rPr>
                      <w:fldChar w:fldCharType="end"/>
                    </w:r>
                    <w:r>
                      <w:rPr>
                        <w:rStyle w:val="1261"/>
                        <w:rFonts w:ascii="宋体" w:hAnsi="宋体"/>
                      </w:rPr>
                      <w:t xml:space="preserve"> —</w:t>
                    </w:r>
                    <w:r>
                      <w:rPr>
                        <w:rStyle w:val="1261"/>
                        <w:rFonts w:ascii="宋体" w:hAnsi="宋体"/>
                      </w:rPr>
                    </w:r>
                    <w:r/>
                  </w:p>
                  <w:p>
                    <w:pPr>
                      <w:pStyle w:val="1208"/>
                    </w:pPr>
                    <w:r/>
                    <w:r/>
                  </w:p>
                </w:txbxContent>
              </v:textbox>
            </v:shape>
          </w:pict>
        </mc:Fallback>
      </mc:AlternateContent>
    </w:r>
    <w:r>
      <w:rPr>
        <w:b/>
        <w:i/>
        <w:sz w:val="20"/>
      </w:rPr>
      <w:t xml:space="preserve"> </w:t>
    </w: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tabs>
        <w:tab w:val="center" w:pos="4153" w:leader="none"/>
        <w:tab w:val="right" w:pos="8306" w:leader="none"/>
      </w:tabs>
      <w:rPr>
        <w:rStyle w:val="1261"/>
      </w:rPr>
      <w:framePr w:wrap="around" w:vAnchor="text" w:hAnchor="margin" w:xAlign="center" w:y="1"/>
    </w:pPr>
    <w:r>
      <w:fldChar w:fldCharType="begin"/>
    </w:r>
    <w:r>
      <w:rPr>
        <w:rStyle w:val="1261"/>
      </w:rPr>
      <w:instrText xml:space="preserve">PAGE  </w:instrText>
    </w:r>
    <w:r>
      <w:fldChar w:fldCharType="separate"/>
    </w:r>
    <w:r>
      <w:rPr>
        <w:rStyle w:val="1261"/>
      </w:rPr>
      <w:t xml:space="preserve">1</w:t>
    </w:r>
    <w:r>
      <w:fldChar w:fldCharType="end"/>
    </w:r>
    <w:r>
      <w:rPr>
        <w:rStyle w:val="1261"/>
      </w:rPr>
    </w:r>
    <w:r/>
  </w:p>
  <w:p>
    <w:pPr>
      <w:pStyle w:val="1242"/>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208"/>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2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Fonts w:hint="eastAsia"/>
                            </w:rPr>
                          </w:pPr>
                          <w:r>
                            <w:rPr>
                              <w:rFonts w:hint="eastAsia"/>
                            </w:rPr>
                          </w:r>
                          <w:r/>
                        </w:p>
                        <w:p>
                          <w:pPr>
                            <w:pStyle w:val="1208"/>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rPr>
                        <w:rFonts w:hint="eastAsia"/>
                      </w:rPr>
                    </w:r>
                    <w:r/>
                  </w:p>
                  <w:p>
                    <w:pPr>
                      <w:pStyle w:val="1208"/>
                    </w:pPr>
                    <w:r/>
                    <w:r/>
                  </w:p>
                </w:txbxContent>
              </v:textbox>
            </v:shape>
          </w:pict>
        </mc:Fallback>
      </mc:AlternateContent>
    </w:r>
    <w:r>
      <w:rPr>
        <w:rFonts w:hint="eastAsia"/>
        <w:lang w:eastAsia="zh-CN"/>
      </w:rP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Style w:val="1261"/>
                              <w:rFonts w:ascii="宋体" w:hAnsi="宋体"/>
                            </w:rPr>
                          </w:pPr>
                          <w:r>
                            <w:rPr>
                              <w:rStyle w:val="1261"/>
                              <w:rFonts w:ascii="宋体" w:hAnsi="宋体"/>
                            </w:rPr>
                            <w:t xml:space="preserve">— </w:t>
                          </w:r>
                          <w:r>
                            <w:rPr>
                              <w:rStyle w:val="1261"/>
                              <w:rFonts w:ascii="宋体" w:hAnsi="宋体"/>
                            </w:rPr>
                            <w:fldChar w:fldCharType="begin"/>
                          </w:r>
                          <w:r>
                            <w:rPr>
                              <w:rStyle w:val="1261"/>
                              <w:rFonts w:ascii="宋体" w:hAnsi="宋体"/>
                            </w:rPr>
                            <w:instrText xml:space="preserve"> PAGE  \* MERGEFORMAT </w:instrText>
                          </w:r>
                          <w:r>
                            <w:rPr>
                              <w:rStyle w:val="1261"/>
                              <w:rFonts w:ascii="宋体" w:hAnsi="宋体"/>
                            </w:rPr>
                            <w:fldChar w:fldCharType="separate"/>
                          </w:r>
                          <w:r>
                            <w:rPr>
                              <w:rStyle w:val="1261"/>
                              <w:rFonts w:ascii="宋体" w:hAnsi="宋体"/>
                            </w:rPr>
                            <w:t xml:space="preserve">2</w:t>
                          </w:r>
                          <w:r>
                            <w:rPr>
                              <w:rStyle w:val="1261"/>
                              <w:rFonts w:ascii="宋体" w:hAnsi="宋体"/>
                            </w:rPr>
                            <w:fldChar w:fldCharType="end"/>
                          </w:r>
                          <w:r>
                            <w:rPr>
                              <w:rStyle w:val="1261"/>
                              <w:rFonts w:ascii="宋体" w:hAnsi="宋体"/>
                            </w:rPr>
                            <w:t xml:space="preserve"> —</w:t>
                          </w:r>
                          <w:r>
                            <w:rPr>
                              <w:rStyle w:val="1261"/>
                              <w:rFonts w:ascii="宋体" w:hAnsi="宋体"/>
                            </w:rPr>
                          </w:r>
                          <w:r/>
                        </w:p>
                        <w:p>
                          <w:pPr>
                            <w:pStyle w:val="1208"/>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Style w:val="1261"/>
                        <w:rFonts w:ascii="宋体" w:hAnsi="宋体"/>
                      </w:rPr>
                    </w:pPr>
                    <w:r>
                      <w:rPr>
                        <w:rStyle w:val="1261"/>
                        <w:rFonts w:ascii="宋体" w:hAnsi="宋体"/>
                      </w:rPr>
                      <w:t xml:space="preserve">— </w:t>
                    </w:r>
                    <w:r>
                      <w:rPr>
                        <w:rStyle w:val="1261"/>
                        <w:rFonts w:ascii="宋体" w:hAnsi="宋体"/>
                      </w:rPr>
                      <w:fldChar w:fldCharType="begin"/>
                    </w:r>
                    <w:r>
                      <w:rPr>
                        <w:rStyle w:val="1261"/>
                        <w:rFonts w:ascii="宋体" w:hAnsi="宋体"/>
                      </w:rPr>
                      <w:instrText xml:space="preserve"> PAGE  \* MERGEFORMAT </w:instrText>
                    </w:r>
                    <w:r>
                      <w:rPr>
                        <w:rStyle w:val="1261"/>
                        <w:rFonts w:ascii="宋体" w:hAnsi="宋体"/>
                      </w:rPr>
                      <w:fldChar w:fldCharType="separate"/>
                    </w:r>
                    <w:r>
                      <w:rPr>
                        <w:rStyle w:val="1261"/>
                        <w:rFonts w:ascii="宋体" w:hAnsi="宋体"/>
                      </w:rPr>
                      <w:t xml:space="preserve">2</w:t>
                    </w:r>
                    <w:r>
                      <w:rPr>
                        <w:rStyle w:val="1261"/>
                        <w:rFonts w:ascii="宋体" w:hAnsi="宋体"/>
                      </w:rPr>
                      <w:fldChar w:fldCharType="end"/>
                    </w:r>
                    <w:r>
                      <w:rPr>
                        <w:rStyle w:val="1261"/>
                        <w:rFonts w:ascii="宋体" w:hAnsi="宋体"/>
                      </w:rPr>
                      <w:t xml:space="preserve"> —</w:t>
                    </w:r>
                    <w:r>
                      <w:rPr>
                        <w:rStyle w:val="1261"/>
                        <w:rFonts w:ascii="宋体" w:hAnsi="宋体"/>
                      </w:rPr>
                    </w:r>
                    <w:r/>
                  </w:p>
                  <w:p>
                    <w:pPr>
                      <w:pStyle w:val="1208"/>
                    </w:pPr>
                    <w:r/>
                    <w:r/>
                  </w:p>
                </w:txbxContent>
              </v:textbox>
            </v:shape>
          </w:pict>
        </mc:Fallback>
      </mc:AlternateContent>
    </w:r>
    <w:r>
      <w:rPr>
        <w:b/>
        <w:i/>
        <w:sz w:val="20"/>
      </w:rPr>
      <w:t xml:space="preserve"> </w:t>
    </w:r>
    <w:r>
      <w:rPr>
        <w:rFonts w:hint="eastAsia"/>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pPr>
                          <w:r/>
                          <w:r/>
                        </w:p>
                        <w:p>
                          <w:pPr>
                            <w:pStyle w:val="1208"/>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pPr>
                    <w:r/>
                    <w:r/>
                  </w:p>
                  <w:p>
                    <w:pPr>
                      <w:pStyle w:val="12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Fonts w:hint="eastAsia"/>
                            </w:rPr>
                          </w:pPr>
                          <w:r>
                            <w:rPr>
                              <w:rFonts w:hint="eastAsia"/>
                            </w:rPr>
                            <w:t xml:space="preserve">1</w:t>
                          </w:r>
                          <w:r>
                            <w:rPr>
                              <w:rFonts w:hint="eastAsia"/>
                            </w:rPr>
                          </w:r>
                          <w:r/>
                        </w:p>
                        <w:p>
                          <w:pPr>
                            <w:pStyle w:val="1208"/>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rPr>
                        <w:rFonts w:hint="eastAsia"/>
                      </w:rPr>
                      <w:t xml:space="preserve">1</w:t>
                    </w:r>
                    <w:r>
                      <w:rPr>
                        <w:rFonts w:hint="eastAsia"/>
                      </w:rPr>
                    </w:r>
                    <w:r/>
                  </w:p>
                  <w:p>
                    <w:pPr>
                      <w:pStyle w:val="12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right" w:pos="8306" w:leader="none"/>
      </w:tabs>
    </w:pPr>
    <w:r>
      <w:rPr>
        <w:rFonts w:hint="eastAsia" w:eastAsia="隶书"/>
        <w:spacing w:val="40"/>
        <w:sz w:val="21"/>
        <w:szCs w:val="21"/>
      </w:rPr>
      <w:t xml:space="preserve">市区楼宇亮化及集控系统更新维护项目</w:t>
    </w:r>
    <w:r>
      <w:rPr>
        <w:rFonts w:eastAsia="隶书"/>
        <w:spacing w:val="40"/>
        <w:sz w:val="21"/>
        <w:szCs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right" w:pos="8306" w:leader="none"/>
      </w:tabs>
    </w:pPr>
    <w:r>
      <w:rPr>
        <w:rFonts w:hint="eastAsia" w:eastAsia="隶书"/>
        <w:color w:val="000000"/>
        <w:spacing w:val="40"/>
        <w:sz w:val="21"/>
        <w:szCs w:val="21"/>
      </w:rPr>
      <w:t xml:space="preserve">市区楼宇亮化及集控系统更新维护项目</w:t>
    </w:r>
    <w:r>
      <w:rPr>
        <w:rFonts w:eastAsia="隶书"/>
        <w:color w:val="000000"/>
        <w:spacing w:val="40"/>
        <w:sz w:val="21"/>
        <w:szCs w:val="21"/>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right" w:pos="8306" w:leader="none"/>
      </w:tabs>
    </w:pPr>
    <w:r>
      <w:rPr>
        <w:rFonts w:hint="eastAsia" w:eastAsia="隶书"/>
        <w:color w:val="000000"/>
        <w:spacing w:val="40"/>
        <w:sz w:val="21"/>
        <w:szCs w:val="21"/>
      </w:rPr>
      <w:t xml:space="preserve">市区楼宇亮化及集控系统更新维护项目</w:t>
    </w:r>
    <w:r>
      <w:rPr>
        <w:rFonts w:eastAsia="隶书"/>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nothing"/>
      <w:lvlText w:val="%1、"/>
      <w:lvlJc w:val="left"/>
      <w:pPr>
        <w:pStyle w:val="12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20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12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2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274"/>
      <w:isLgl w:val="false"/>
      <w:suff w:val="tab"/>
      <w:lvlText w:val="附录%1."/>
      <w:lvlJc w:val="left"/>
      <w:pPr>
        <w:pStyle w:val="12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pStyle w:val="1208"/>
        <w:ind w:left="0" w:firstLine="402"/>
      </w:pPr>
      <w:rPr>
        <w:rFonts w:hint="eastAsia"/>
      </w:rPr>
    </w:lvl>
    <w:lvl w:ilvl="1">
      <w:start w:val="1"/>
      <w:numFmt w:val="chineseCounting"/>
      <w:isLgl w:val="false"/>
      <w:suff w:val="nothing"/>
      <w:lvlText w:val="%2、"/>
      <w:lvlJc w:val="left"/>
      <w:pPr>
        <w:pStyle w:val="1208"/>
        <w:ind w:left="228" w:firstLine="402"/>
      </w:pPr>
      <w:rPr>
        <w:rFonts w:hint="eastAsia"/>
      </w:rPr>
    </w:lvl>
    <w:lvl w:ilvl="2">
      <w:start w:val="1"/>
      <w:numFmt w:val="decimal"/>
      <w:isLgl w:val="false"/>
      <w:suff w:val="nothing"/>
      <w:lvlText w:val="%3．"/>
      <w:lvlJc w:val="left"/>
      <w:pPr>
        <w:pStyle w:val="1208"/>
        <w:ind w:left="0" w:firstLine="402"/>
      </w:pPr>
      <w:rPr>
        <w:rFonts w:hint="eastAsia"/>
      </w:rPr>
    </w:lvl>
    <w:lvl w:ilvl="3">
      <w:start w:val="1"/>
      <w:numFmt w:val="decimal"/>
      <w:isLgl w:val="false"/>
      <w:suff w:val="nothing"/>
      <w:lvlText w:val="（%4）"/>
      <w:lvlJc w:val="left"/>
      <w:pPr>
        <w:pStyle w:val="1208"/>
        <w:ind w:left="0" w:firstLine="402"/>
      </w:pPr>
      <w:rPr>
        <w:rFonts w:hint="eastAsia"/>
      </w:rPr>
    </w:lvl>
    <w:lvl w:ilvl="4">
      <w:start w:val="1"/>
      <w:numFmt w:val="decimalEnclosedCircleChinese"/>
      <w:isLgl w:val="false"/>
      <w:suff w:val="nothing"/>
      <w:lvlText w:val="%5 "/>
      <w:lvlJc w:val="left"/>
      <w:pPr>
        <w:pStyle w:val="1208"/>
        <w:ind w:left="0" w:firstLine="402"/>
      </w:pPr>
      <w:rPr>
        <w:rFonts w:hint="eastAsia"/>
      </w:rPr>
    </w:lvl>
    <w:lvl w:ilvl="5">
      <w:start w:val="1"/>
      <w:numFmt w:val="decimal"/>
      <w:isLgl w:val="false"/>
      <w:suff w:val="nothing"/>
      <w:lvlText w:val="%6）"/>
      <w:lvlJc w:val="left"/>
      <w:pPr>
        <w:pStyle w:val="1208"/>
        <w:ind w:left="0" w:firstLine="402"/>
      </w:pPr>
      <w:rPr>
        <w:rFonts w:hint="eastAsia"/>
      </w:rPr>
    </w:lvl>
    <w:lvl w:ilvl="6">
      <w:start w:val="1"/>
      <w:numFmt w:val="lowerLetter"/>
      <w:isLgl w:val="false"/>
      <w:suff w:val="nothing"/>
      <w:lvlText w:val="%7．"/>
      <w:lvlJc w:val="left"/>
      <w:pPr>
        <w:pStyle w:val="1208"/>
        <w:ind w:left="0" w:firstLine="402"/>
      </w:pPr>
      <w:rPr>
        <w:rFonts w:hint="eastAsia"/>
      </w:rPr>
    </w:lvl>
    <w:lvl w:ilvl="7">
      <w:start w:val="1"/>
      <w:numFmt w:val="lowerLetter"/>
      <w:isLgl w:val="false"/>
      <w:suff w:val="nothing"/>
      <w:lvlText w:val="%8）"/>
      <w:lvlJc w:val="left"/>
      <w:pPr>
        <w:pStyle w:val="1208"/>
        <w:ind w:left="0" w:firstLine="402"/>
      </w:pPr>
      <w:rPr>
        <w:rFonts w:hint="eastAsia"/>
      </w:rPr>
    </w:lvl>
    <w:lvl w:ilvl="8">
      <w:start w:val="1"/>
      <w:numFmt w:val="lowerRoman"/>
      <w:isLgl w:val="false"/>
      <w:suff w:val="nothing"/>
      <w:lvlText w:val="%9. "/>
      <w:lvlJc w:val="left"/>
      <w:pPr>
        <w:pStyle w:val="1208"/>
        <w:ind w:left="0" w:firstLine="402"/>
      </w:pPr>
      <w:rPr>
        <w:rFonts w:hint="eastAsia"/>
      </w:rPr>
    </w:lvl>
  </w:abstractNum>
  <w:abstractNum w:abstractNumId="6">
    <w:multiLevelType w:val="hybridMultilevel"/>
    <w:lvl w:ilvl="0">
      <w:start w:val="4"/>
      <w:numFmt w:val="chineseCounting"/>
      <w:isLgl w:val="false"/>
      <w:suff w:val="space"/>
      <w:lvlText w:val="第%1条"/>
      <w:lvlJc w:val="left"/>
      <w:pPr>
        <w:pStyle w:val="12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99"/>
      <w:isLgl w:val="false"/>
      <w:suff w:val="tab"/>
      <w:lvlText w:val="%1."/>
      <w:lvlJc w:val="left"/>
      <w:pPr>
        <w:pStyle w:val="1208"/>
        <w:ind w:left="709" w:hanging="709"/>
        <w:tabs>
          <w:tab w:val="num" w:pos="709" w:leader="none"/>
        </w:tabs>
      </w:pPr>
      <w:rPr>
        <w:rFonts w:hint="eastAsia"/>
      </w:rPr>
    </w:lvl>
    <w:lvl w:ilvl="1">
      <w:start w:val="1"/>
      <w:numFmt w:val="decimal"/>
      <w:isLgl w:val="false"/>
      <w:suff w:val="tab"/>
      <w:lvlText w:val="%1.%2"/>
      <w:lvlJc w:val="left"/>
      <w:pPr>
        <w:pStyle w:val="1208"/>
        <w:ind w:left="709" w:hanging="709"/>
        <w:tabs>
          <w:tab w:val="num" w:pos="709" w:leader="none"/>
        </w:tabs>
      </w:pPr>
      <w:rPr>
        <w:rFonts w:hint="eastAsia"/>
      </w:rPr>
    </w:lvl>
    <w:lvl w:ilvl="2">
      <w:start w:val="1"/>
      <w:numFmt w:val="decimal"/>
      <w:isLgl w:val="false"/>
      <w:suff w:val="tab"/>
      <w:lvlText w:val="%1.%2.%3."/>
      <w:lvlJc w:val="left"/>
      <w:pPr>
        <w:pStyle w:val="1208"/>
        <w:ind w:left="425" w:hanging="425"/>
        <w:tabs>
          <w:tab w:val="num" w:pos="425" w:leader="none"/>
        </w:tabs>
      </w:pPr>
      <w:rPr>
        <w:rFonts w:hint="eastAsia"/>
      </w:rPr>
    </w:lvl>
    <w:lvl w:ilvl="3">
      <w:start w:val="1"/>
      <w:numFmt w:val="decimal"/>
      <w:isLgl w:val="false"/>
      <w:suff w:val="tab"/>
      <w:lvlText w:val="%1.%2.%3.%4."/>
      <w:lvlJc w:val="left"/>
      <w:pPr>
        <w:pStyle w:val="1208"/>
        <w:ind w:left="851" w:hanging="851"/>
        <w:tabs>
          <w:tab w:val="num" w:pos="851" w:leader="none"/>
        </w:tabs>
      </w:pPr>
      <w:rPr>
        <w:rFonts w:hint="eastAsia"/>
      </w:rPr>
    </w:lvl>
    <w:lvl w:ilvl="4">
      <w:start w:val="1"/>
      <w:numFmt w:val="decimal"/>
      <w:isLgl w:val="false"/>
      <w:suff w:val="tab"/>
      <w:lvlText w:val="%1.%2.%3.%4.%5."/>
      <w:lvlJc w:val="left"/>
      <w:pPr>
        <w:pStyle w:val="1208"/>
        <w:ind w:left="992" w:hanging="992"/>
        <w:tabs>
          <w:tab w:val="num" w:pos="992" w:leader="none"/>
        </w:tabs>
      </w:pPr>
      <w:rPr>
        <w:rFonts w:hint="eastAsia"/>
      </w:rPr>
    </w:lvl>
    <w:lvl w:ilvl="5">
      <w:start w:val="1"/>
      <w:numFmt w:val="decimal"/>
      <w:isLgl w:val="false"/>
      <w:suff w:val="tab"/>
      <w:lvlText w:val="%1.%2.%3.%4.%5.%6."/>
      <w:lvlJc w:val="left"/>
      <w:pPr>
        <w:pStyle w:val="1208"/>
        <w:ind w:left="1134" w:hanging="1134"/>
        <w:tabs>
          <w:tab w:val="num" w:pos="1134" w:leader="none"/>
        </w:tabs>
      </w:pPr>
      <w:rPr>
        <w:rFonts w:hint="eastAsia"/>
      </w:rPr>
    </w:lvl>
    <w:lvl w:ilvl="6">
      <w:start w:val="1"/>
      <w:numFmt w:val="decimal"/>
      <w:isLgl w:val="false"/>
      <w:suff w:val="tab"/>
      <w:lvlText w:val="%1.%2.%3.%4.%5.%6.%7."/>
      <w:lvlJc w:val="left"/>
      <w:pPr>
        <w:pStyle w:val="1208"/>
        <w:ind w:left="1276" w:hanging="1276"/>
        <w:tabs>
          <w:tab w:val="num" w:pos="1276" w:leader="none"/>
        </w:tabs>
      </w:pPr>
      <w:rPr>
        <w:rFonts w:hint="eastAsia"/>
      </w:rPr>
    </w:lvl>
    <w:lvl w:ilvl="7">
      <w:start w:val="1"/>
      <w:numFmt w:val="decimal"/>
      <w:isLgl w:val="false"/>
      <w:suff w:val="tab"/>
      <w:lvlText w:val="%1.%2.%3.%4.%5.%6.%7.%8."/>
      <w:lvlJc w:val="left"/>
      <w:pPr>
        <w:pStyle w:val="1208"/>
        <w:ind w:left="1418" w:hanging="1418"/>
        <w:tabs>
          <w:tab w:val="num" w:pos="1418" w:leader="none"/>
        </w:tabs>
      </w:pPr>
      <w:rPr>
        <w:rFonts w:hint="eastAsia"/>
      </w:rPr>
    </w:lvl>
    <w:lvl w:ilvl="8">
      <w:start w:val="1"/>
      <w:numFmt w:val="decimal"/>
      <w:isLgl w:val="false"/>
      <w:suff w:val="tab"/>
      <w:lvlText w:val="%1.%2.%3.%4.%5.%6.%7.%8.%9."/>
      <w:lvlJc w:val="left"/>
      <w:pPr>
        <w:pStyle w:val="120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1208"/>
        <w:ind w:left="0" w:firstLine="0"/>
      </w:pPr>
      <w:rPr>
        <w:rFonts w:hint="eastAsia"/>
      </w:rPr>
    </w:lvl>
    <w:lvl w:ilvl="1">
      <w:start w:val="1"/>
      <w:numFmt w:val="decimal"/>
      <w:isLgl w:val="false"/>
      <w:suff w:val="nothing"/>
      <w:lvlText w:val="%2、"/>
      <w:lvlJc w:val="left"/>
      <w:pPr>
        <w:pStyle w:val="1208"/>
        <w:ind w:left="0" w:firstLine="0"/>
      </w:pPr>
      <w:rPr>
        <w:rFonts w:hint="eastAsia"/>
      </w:rPr>
    </w:lvl>
    <w:lvl w:ilvl="2">
      <w:start w:val="1"/>
      <w:numFmt w:val="decimal"/>
      <w:isLgl w:val="false"/>
      <w:suff w:val="nothing"/>
      <w:lvlText w:val="%2.%3 "/>
      <w:lvlJc w:val="left"/>
      <w:pPr>
        <w:pStyle w:val="1208"/>
        <w:ind w:left="0" w:firstLine="0"/>
      </w:pPr>
      <w:rPr>
        <w:rFonts w:hint="eastAsia"/>
      </w:rPr>
    </w:lvl>
    <w:lvl w:ilvl="3">
      <w:start w:val="1"/>
      <w:numFmt w:val="decimal"/>
      <w:isLgl w:val="false"/>
      <w:suff w:val="nothing"/>
      <w:lvlText w:val="%2.%3.%4 "/>
      <w:lvlJc w:val="left"/>
      <w:pPr>
        <w:pStyle w:val="1208"/>
        <w:ind w:left="0" w:firstLine="0"/>
      </w:pPr>
      <w:rPr>
        <w:rFonts w:hint="eastAsia"/>
      </w:rPr>
    </w:lvl>
    <w:lvl w:ilvl="4">
      <w:start w:val="1"/>
      <w:numFmt w:val="decimal"/>
      <w:isLgl w:val="false"/>
      <w:suff w:val="nothing"/>
      <w:lvlText w:val="%2.%3.%4.%5 "/>
      <w:lvlJc w:val="left"/>
      <w:pPr>
        <w:pStyle w:val="1208"/>
        <w:ind w:left="0" w:firstLine="0"/>
      </w:pPr>
      <w:rPr>
        <w:rFonts w:hint="eastAsia"/>
      </w:rPr>
    </w:lvl>
    <w:lvl w:ilvl="5">
      <w:start w:val="1"/>
      <w:numFmt w:val="decimal"/>
      <w:pStyle w:val="1214"/>
      <w:isLgl w:val="false"/>
      <w:suff w:val="nothing"/>
      <w:lvlText w:val=""/>
      <w:lvlJc w:val="left"/>
      <w:pPr>
        <w:pStyle w:val="1208"/>
        <w:ind w:left="0" w:firstLine="0"/>
      </w:pPr>
      <w:rPr>
        <w:rFonts w:hint="eastAsia"/>
      </w:rPr>
    </w:lvl>
    <w:lvl w:ilvl="6">
      <w:start w:val="1"/>
      <w:numFmt w:val="decimal"/>
      <w:pStyle w:val="1215"/>
      <w:isLgl w:val="false"/>
      <w:suff w:val="nothing"/>
      <w:lvlText w:val=""/>
      <w:lvlJc w:val="left"/>
      <w:pPr>
        <w:pStyle w:val="1208"/>
        <w:ind w:left="0" w:firstLine="0"/>
      </w:pPr>
      <w:rPr>
        <w:rFonts w:hint="eastAsia"/>
      </w:rPr>
    </w:lvl>
    <w:lvl w:ilvl="7">
      <w:start w:val="1"/>
      <w:numFmt w:val="decimal"/>
      <w:pStyle w:val="1216"/>
      <w:isLgl w:val="false"/>
      <w:suff w:val="nothing"/>
      <w:lvlText w:val=""/>
      <w:lvlJc w:val="left"/>
      <w:pPr>
        <w:pStyle w:val="1208"/>
        <w:ind w:left="0" w:firstLine="0"/>
      </w:pPr>
      <w:rPr>
        <w:rFonts w:hint="eastAsia"/>
      </w:rPr>
    </w:lvl>
    <w:lvl w:ilvl="8">
      <w:start w:val="1"/>
      <w:numFmt w:val="decimal"/>
      <w:pStyle w:val="1217"/>
      <w:isLgl w:val="false"/>
      <w:suff w:val="nothing"/>
      <w:lvlText w:val=""/>
      <w:lvlJc w:val="left"/>
      <w:pPr>
        <w:pStyle w:val="1208"/>
        <w:ind w:left="0" w:firstLine="0"/>
      </w:pPr>
      <w:rPr>
        <w:rFonts w:hint="eastAsia"/>
      </w:rPr>
    </w:lvl>
  </w:abstractNum>
  <w:abstractNum w:abstractNumId="9">
    <w:multiLevelType w:val="hybridMultilevel"/>
    <w:lvl w:ilvl="0">
      <w:start w:val="1"/>
      <w:numFmt w:val="chineseCounting"/>
      <w:isLgl w:val="false"/>
      <w:suff w:val="nothing"/>
      <w:lvlText w:val="（%1）"/>
      <w:lvlJc w:val="left"/>
      <w:pPr>
        <w:pStyle w:val="120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12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2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7"/>
  </w:num>
  <w:num w:numId="4">
    <w:abstractNumId w:val="10"/>
  </w:num>
  <w:num w:numId="5">
    <w:abstractNumId w:val="2"/>
  </w:num>
  <w:num w:numId="6">
    <w:abstractNumId w:val="0"/>
  </w:num>
  <w:num w:numId="7">
    <w:abstractNumId w:val="5"/>
  </w:num>
  <w:num w:numId="8">
    <w:abstractNumId w:val="9"/>
  </w:num>
  <w:num w:numId="9">
    <w:abstractNumId w:val="1"/>
  </w:num>
  <w:num w:numId="10">
    <w:abstractNumId w:val="1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0">
    <w:name w:val="Heading 1"/>
    <w:basedOn w:val="1208"/>
    <w:next w:val="1208"/>
    <w:link w:val="1031"/>
    <w:uiPriority w:val="9"/>
    <w:qFormat/>
    <w:pPr>
      <w:keepLines/>
      <w:keepNext/>
      <w:spacing w:before="480" w:after="200"/>
      <w:outlineLvl w:val="0"/>
    </w:pPr>
    <w:rPr>
      <w:rFonts w:ascii="Arial" w:hAnsi="Arial" w:eastAsia="Arial" w:cs="Arial"/>
      <w:sz w:val="40"/>
      <w:szCs w:val="40"/>
    </w:rPr>
  </w:style>
  <w:style w:type="character" w:styleId="1031">
    <w:name w:val="Heading 1 Char"/>
    <w:link w:val="1030"/>
    <w:uiPriority w:val="9"/>
    <w:rPr>
      <w:rFonts w:ascii="Arial" w:hAnsi="Arial" w:eastAsia="Arial" w:cs="Arial"/>
      <w:sz w:val="40"/>
      <w:szCs w:val="40"/>
    </w:rPr>
  </w:style>
  <w:style w:type="paragraph" w:styleId="1032">
    <w:name w:val="Heading 2"/>
    <w:basedOn w:val="1208"/>
    <w:next w:val="1208"/>
    <w:link w:val="1033"/>
    <w:uiPriority w:val="9"/>
    <w:unhideWhenUsed/>
    <w:qFormat/>
    <w:pPr>
      <w:keepLines/>
      <w:keepNext/>
      <w:spacing w:before="360" w:after="200"/>
      <w:outlineLvl w:val="1"/>
    </w:pPr>
    <w:rPr>
      <w:rFonts w:ascii="Arial" w:hAnsi="Arial" w:eastAsia="Arial" w:cs="Arial"/>
      <w:sz w:val="34"/>
    </w:rPr>
  </w:style>
  <w:style w:type="character" w:styleId="1033">
    <w:name w:val="Heading 2 Char"/>
    <w:link w:val="1032"/>
    <w:uiPriority w:val="9"/>
    <w:rPr>
      <w:rFonts w:ascii="Arial" w:hAnsi="Arial" w:eastAsia="Arial" w:cs="Arial"/>
      <w:sz w:val="34"/>
    </w:rPr>
  </w:style>
  <w:style w:type="paragraph" w:styleId="1034">
    <w:name w:val="Heading 3"/>
    <w:basedOn w:val="1208"/>
    <w:next w:val="1208"/>
    <w:link w:val="1035"/>
    <w:uiPriority w:val="9"/>
    <w:unhideWhenUsed/>
    <w:qFormat/>
    <w:pPr>
      <w:keepLines/>
      <w:keepNext/>
      <w:spacing w:before="320" w:after="200"/>
      <w:outlineLvl w:val="2"/>
    </w:pPr>
    <w:rPr>
      <w:rFonts w:ascii="Arial" w:hAnsi="Arial" w:eastAsia="Arial" w:cs="Arial"/>
      <w:sz w:val="30"/>
      <w:szCs w:val="30"/>
    </w:rPr>
  </w:style>
  <w:style w:type="character" w:styleId="1035">
    <w:name w:val="Heading 3 Char"/>
    <w:link w:val="1034"/>
    <w:uiPriority w:val="9"/>
    <w:rPr>
      <w:rFonts w:ascii="Arial" w:hAnsi="Arial" w:eastAsia="Arial" w:cs="Arial"/>
      <w:sz w:val="30"/>
      <w:szCs w:val="30"/>
    </w:rPr>
  </w:style>
  <w:style w:type="paragraph" w:styleId="1036">
    <w:name w:val="Heading 4"/>
    <w:basedOn w:val="1208"/>
    <w:next w:val="1208"/>
    <w:link w:val="1037"/>
    <w:uiPriority w:val="9"/>
    <w:unhideWhenUsed/>
    <w:qFormat/>
    <w:pPr>
      <w:keepLines/>
      <w:keepNext/>
      <w:spacing w:before="320" w:after="200"/>
      <w:outlineLvl w:val="3"/>
    </w:pPr>
    <w:rPr>
      <w:rFonts w:ascii="Arial" w:hAnsi="Arial" w:eastAsia="Arial" w:cs="Arial"/>
      <w:b/>
      <w:bCs/>
      <w:sz w:val="26"/>
      <w:szCs w:val="26"/>
    </w:rPr>
  </w:style>
  <w:style w:type="character" w:styleId="1037">
    <w:name w:val="Heading 4 Char"/>
    <w:link w:val="1036"/>
    <w:uiPriority w:val="9"/>
    <w:rPr>
      <w:rFonts w:ascii="Arial" w:hAnsi="Arial" w:eastAsia="Arial" w:cs="Arial"/>
      <w:b/>
      <w:bCs/>
      <w:sz w:val="26"/>
      <w:szCs w:val="26"/>
    </w:rPr>
  </w:style>
  <w:style w:type="paragraph" w:styleId="1038">
    <w:name w:val="Heading 5"/>
    <w:basedOn w:val="1208"/>
    <w:next w:val="1208"/>
    <w:link w:val="1039"/>
    <w:uiPriority w:val="9"/>
    <w:unhideWhenUsed/>
    <w:qFormat/>
    <w:pPr>
      <w:keepLines/>
      <w:keepNext/>
      <w:spacing w:before="320" w:after="200"/>
      <w:outlineLvl w:val="4"/>
    </w:pPr>
    <w:rPr>
      <w:rFonts w:ascii="Arial" w:hAnsi="Arial" w:eastAsia="Arial" w:cs="Arial"/>
      <w:b/>
      <w:bCs/>
      <w:sz w:val="24"/>
      <w:szCs w:val="24"/>
    </w:rPr>
  </w:style>
  <w:style w:type="character" w:styleId="1039">
    <w:name w:val="Heading 5 Char"/>
    <w:link w:val="1038"/>
    <w:uiPriority w:val="9"/>
    <w:rPr>
      <w:rFonts w:ascii="Arial" w:hAnsi="Arial" w:eastAsia="Arial" w:cs="Arial"/>
      <w:b/>
      <w:bCs/>
      <w:sz w:val="24"/>
      <w:szCs w:val="24"/>
    </w:rPr>
  </w:style>
  <w:style w:type="paragraph" w:styleId="1040">
    <w:name w:val="Heading 6"/>
    <w:basedOn w:val="1208"/>
    <w:next w:val="1208"/>
    <w:link w:val="1041"/>
    <w:uiPriority w:val="9"/>
    <w:unhideWhenUsed/>
    <w:qFormat/>
    <w:pPr>
      <w:keepLines/>
      <w:keepNext/>
      <w:spacing w:before="320" w:after="200"/>
      <w:outlineLvl w:val="5"/>
    </w:pPr>
    <w:rPr>
      <w:rFonts w:ascii="Arial" w:hAnsi="Arial" w:eastAsia="Arial" w:cs="Arial"/>
      <w:b/>
      <w:bCs/>
      <w:sz w:val="22"/>
      <w:szCs w:val="22"/>
    </w:rPr>
  </w:style>
  <w:style w:type="character" w:styleId="1041">
    <w:name w:val="Heading 6 Char"/>
    <w:link w:val="1040"/>
    <w:uiPriority w:val="9"/>
    <w:rPr>
      <w:rFonts w:ascii="Arial" w:hAnsi="Arial" w:eastAsia="Arial" w:cs="Arial"/>
      <w:b/>
      <w:bCs/>
      <w:sz w:val="22"/>
      <w:szCs w:val="22"/>
    </w:rPr>
  </w:style>
  <w:style w:type="paragraph" w:styleId="1042">
    <w:name w:val="Heading 7"/>
    <w:basedOn w:val="1208"/>
    <w:next w:val="1208"/>
    <w:link w:val="1043"/>
    <w:uiPriority w:val="9"/>
    <w:unhideWhenUsed/>
    <w:qFormat/>
    <w:pPr>
      <w:keepLines/>
      <w:keepNext/>
      <w:spacing w:before="320" w:after="200"/>
      <w:outlineLvl w:val="6"/>
    </w:pPr>
    <w:rPr>
      <w:rFonts w:ascii="Arial" w:hAnsi="Arial" w:eastAsia="Arial" w:cs="Arial"/>
      <w:b/>
      <w:bCs/>
      <w:i/>
      <w:iCs/>
      <w:sz w:val="22"/>
      <w:szCs w:val="22"/>
    </w:rPr>
  </w:style>
  <w:style w:type="character" w:styleId="1043">
    <w:name w:val="Heading 7 Char"/>
    <w:link w:val="1042"/>
    <w:uiPriority w:val="9"/>
    <w:rPr>
      <w:rFonts w:ascii="Arial" w:hAnsi="Arial" w:eastAsia="Arial" w:cs="Arial"/>
      <w:b/>
      <w:bCs/>
      <w:i/>
      <w:iCs/>
      <w:sz w:val="22"/>
      <w:szCs w:val="22"/>
    </w:rPr>
  </w:style>
  <w:style w:type="paragraph" w:styleId="1044">
    <w:name w:val="Heading 8"/>
    <w:basedOn w:val="1208"/>
    <w:next w:val="1208"/>
    <w:link w:val="1045"/>
    <w:uiPriority w:val="9"/>
    <w:unhideWhenUsed/>
    <w:qFormat/>
    <w:pPr>
      <w:keepLines/>
      <w:keepNext/>
      <w:spacing w:before="320" w:after="200"/>
      <w:outlineLvl w:val="7"/>
    </w:pPr>
    <w:rPr>
      <w:rFonts w:ascii="Arial" w:hAnsi="Arial" w:eastAsia="Arial" w:cs="Arial"/>
      <w:i/>
      <w:iCs/>
      <w:sz w:val="22"/>
      <w:szCs w:val="22"/>
    </w:rPr>
  </w:style>
  <w:style w:type="character" w:styleId="1045">
    <w:name w:val="Heading 8 Char"/>
    <w:link w:val="1044"/>
    <w:uiPriority w:val="9"/>
    <w:rPr>
      <w:rFonts w:ascii="Arial" w:hAnsi="Arial" w:eastAsia="Arial" w:cs="Arial"/>
      <w:i/>
      <w:iCs/>
      <w:sz w:val="22"/>
      <w:szCs w:val="22"/>
    </w:rPr>
  </w:style>
  <w:style w:type="paragraph" w:styleId="1046">
    <w:name w:val="Heading 9"/>
    <w:basedOn w:val="1208"/>
    <w:next w:val="1208"/>
    <w:link w:val="1047"/>
    <w:uiPriority w:val="9"/>
    <w:unhideWhenUsed/>
    <w:qFormat/>
    <w:pPr>
      <w:keepLines/>
      <w:keepNext/>
      <w:spacing w:before="320" w:after="200"/>
      <w:outlineLvl w:val="8"/>
    </w:pPr>
    <w:rPr>
      <w:rFonts w:ascii="Arial" w:hAnsi="Arial" w:eastAsia="Arial" w:cs="Arial"/>
      <w:i/>
      <w:iCs/>
      <w:sz w:val="21"/>
      <w:szCs w:val="21"/>
    </w:rPr>
  </w:style>
  <w:style w:type="character" w:styleId="1047">
    <w:name w:val="Heading 9 Char"/>
    <w:link w:val="1046"/>
    <w:uiPriority w:val="9"/>
    <w:rPr>
      <w:rFonts w:ascii="Arial" w:hAnsi="Arial" w:eastAsia="Arial" w:cs="Arial"/>
      <w:i/>
      <w:iCs/>
      <w:sz w:val="21"/>
      <w:szCs w:val="21"/>
    </w:rPr>
  </w:style>
  <w:style w:type="paragraph" w:styleId="1048">
    <w:name w:val="List Paragraph"/>
    <w:basedOn w:val="1208"/>
    <w:uiPriority w:val="34"/>
    <w:qFormat/>
    <w:pPr>
      <w:contextualSpacing/>
      <w:ind w:left="720"/>
    </w:pPr>
  </w:style>
  <w:style w:type="paragraph" w:styleId="1049">
    <w:name w:val="No Spacing"/>
    <w:uiPriority w:val="1"/>
    <w:qFormat/>
    <w:pPr>
      <w:spacing w:before="0" w:after="0" w:line="240" w:lineRule="auto"/>
    </w:pPr>
  </w:style>
  <w:style w:type="paragraph" w:styleId="1050">
    <w:name w:val="Title"/>
    <w:basedOn w:val="1208"/>
    <w:next w:val="1208"/>
    <w:link w:val="1051"/>
    <w:uiPriority w:val="10"/>
    <w:qFormat/>
    <w:pPr>
      <w:contextualSpacing/>
      <w:spacing w:before="300" w:after="200"/>
    </w:pPr>
    <w:rPr>
      <w:sz w:val="48"/>
      <w:szCs w:val="48"/>
    </w:rPr>
  </w:style>
  <w:style w:type="character" w:styleId="1051">
    <w:name w:val="Title Char"/>
    <w:link w:val="1050"/>
    <w:uiPriority w:val="10"/>
    <w:rPr>
      <w:sz w:val="48"/>
      <w:szCs w:val="48"/>
    </w:rPr>
  </w:style>
  <w:style w:type="paragraph" w:styleId="1052">
    <w:name w:val="Subtitle"/>
    <w:basedOn w:val="1208"/>
    <w:next w:val="1208"/>
    <w:link w:val="1053"/>
    <w:uiPriority w:val="11"/>
    <w:qFormat/>
    <w:pPr>
      <w:spacing w:before="200" w:after="200"/>
    </w:pPr>
    <w:rPr>
      <w:sz w:val="24"/>
      <w:szCs w:val="24"/>
    </w:rPr>
  </w:style>
  <w:style w:type="character" w:styleId="1053">
    <w:name w:val="Subtitle Char"/>
    <w:link w:val="1052"/>
    <w:uiPriority w:val="11"/>
    <w:rPr>
      <w:sz w:val="24"/>
      <w:szCs w:val="24"/>
    </w:rPr>
  </w:style>
  <w:style w:type="paragraph" w:styleId="1054">
    <w:name w:val="Quote"/>
    <w:basedOn w:val="1208"/>
    <w:next w:val="1208"/>
    <w:link w:val="1055"/>
    <w:uiPriority w:val="29"/>
    <w:qFormat/>
    <w:pPr>
      <w:ind w:left="720" w:right="720"/>
    </w:pPr>
    <w:rPr>
      <w:i/>
    </w:rPr>
  </w:style>
  <w:style w:type="character" w:styleId="1055">
    <w:name w:val="Quote Char"/>
    <w:link w:val="1054"/>
    <w:uiPriority w:val="29"/>
    <w:rPr>
      <w:i/>
    </w:rPr>
  </w:style>
  <w:style w:type="paragraph" w:styleId="1056">
    <w:name w:val="Intense Quote"/>
    <w:basedOn w:val="1208"/>
    <w:next w:val="1208"/>
    <w:link w:val="10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name w:val="Intense Quote Char"/>
    <w:link w:val="1056"/>
    <w:uiPriority w:val="30"/>
    <w:rPr>
      <w:i/>
    </w:rPr>
  </w:style>
  <w:style w:type="paragraph" w:styleId="1058">
    <w:name w:val="Header"/>
    <w:basedOn w:val="1208"/>
    <w:link w:val="1059"/>
    <w:uiPriority w:val="99"/>
    <w:unhideWhenUsed/>
    <w:pPr>
      <w:spacing w:after="0" w:line="240" w:lineRule="auto"/>
      <w:tabs>
        <w:tab w:val="center" w:pos="7143" w:leader="none"/>
        <w:tab w:val="right" w:pos="14287" w:leader="none"/>
      </w:tabs>
    </w:pPr>
  </w:style>
  <w:style w:type="character" w:styleId="1059">
    <w:name w:val="Header Char"/>
    <w:link w:val="1058"/>
    <w:uiPriority w:val="99"/>
  </w:style>
  <w:style w:type="paragraph" w:styleId="1060">
    <w:name w:val="Footer"/>
    <w:basedOn w:val="1208"/>
    <w:link w:val="1063"/>
    <w:uiPriority w:val="99"/>
    <w:unhideWhenUsed/>
    <w:pPr>
      <w:spacing w:after="0" w:line="240" w:lineRule="auto"/>
      <w:tabs>
        <w:tab w:val="center" w:pos="7143" w:leader="none"/>
        <w:tab w:val="right" w:pos="14287" w:leader="none"/>
      </w:tabs>
    </w:pPr>
  </w:style>
  <w:style w:type="character" w:styleId="1061">
    <w:name w:val="Footer Char"/>
    <w:link w:val="1060"/>
    <w:uiPriority w:val="99"/>
  </w:style>
  <w:style w:type="paragraph" w:styleId="1062">
    <w:name w:val="Caption"/>
    <w:basedOn w:val="1208"/>
    <w:next w:val="1208"/>
    <w:uiPriority w:val="35"/>
    <w:semiHidden/>
    <w:unhideWhenUsed/>
    <w:qFormat/>
    <w:pPr>
      <w:spacing w:line="276" w:lineRule="auto"/>
    </w:pPr>
    <w:rPr>
      <w:b/>
      <w:bCs/>
      <w:color w:val="4f81bd" w:themeColor="accent1"/>
      <w:sz w:val="18"/>
      <w:szCs w:val="18"/>
    </w:rPr>
  </w:style>
  <w:style w:type="character" w:styleId="1063">
    <w:name w:val="Caption Char"/>
    <w:basedOn w:val="1062"/>
    <w:link w:val="1060"/>
    <w:uiPriority w:val="99"/>
  </w:style>
  <w:style w:type="table" w:styleId="10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0">
    <w:name w:val="Hyperlink"/>
    <w:uiPriority w:val="99"/>
    <w:unhideWhenUsed/>
    <w:rPr>
      <w:color w:val="0000ff" w:themeColor="hyperlink"/>
      <w:u w:val="single"/>
    </w:rPr>
  </w:style>
  <w:style w:type="paragraph" w:styleId="1191">
    <w:name w:val="footnote text"/>
    <w:basedOn w:val="1208"/>
    <w:link w:val="1192"/>
    <w:uiPriority w:val="99"/>
    <w:semiHidden/>
    <w:unhideWhenUsed/>
    <w:pPr>
      <w:spacing w:after="40" w:line="240" w:lineRule="auto"/>
    </w:pPr>
    <w:rPr>
      <w:sz w:val="18"/>
    </w:rPr>
  </w:style>
  <w:style w:type="character" w:styleId="1192">
    <w:name w:val="Footnote Text Char"/>
    <w:link w:val="1191"/>
    <w:uiPriority w:val="99"/>
    <w:rPr>
      <w:sz w:val="18"/>
    </w:rPr>
  </w:style>
  <w:style w:type="character" w:styleId="1193">
    <w:name w:val="footnote reference"/>
    <w:uiPriority w:val="99"/>
    <w:unhideWhenUsed/>
    <w:rPr>
      <w:vertAlign w:val="superscript"/>
    </w:rPr>
  </w:style>
  <w:style w:type="paragraph" w:styleId="1194">
    <w:name w:val="endnote text"/>
    <w:basedOn w:val="1208"/>
    <w:link w:val="1195"/>
    <w:uiPriority w:val="99"/>
    <w:semiHidden/>
    <w:unhideWhenUsed/>
    <w:pPr>
      <w:spacing w:after="0" w:line="240" w:lineRule="auto"/>
    </w:pPr>
    <w:rPr>
      <w:sz w:val="20"/>
    </w:rPr>
  </w:style>
  <w:style w:type="character" w:styleId="1195">
    <w:name w:val="Endnote Text Char"/>
    <w:link w:val="1194"/>
    <w:uiPriority w:val="99"/>
    <w:rPr>
      <w:sz w:val="20"/>
    </w:rPr>
  </w:style>
  <w:style w:type="character" w:styleId="1196">
    <w:name w:val="endnote reference"/>
    <w:uiPriority w:val="99"/>
    <w:semiHidden/>
    <w:unhideWhenUsed/>
    <w:rPr>
      <w:vertAlign w:val="superscript"/>
    </w:rPr>
  </w:style>
  <w:style w:type="paragraph" w:styleId="1197">
    <w:name w:val="toc 1"/>
    <w:basedOn w:val="1208"/>
    <w:next w:val="1208"/>
    <w:uiPriority w:val="39"/>
    <w:unhideWhenUsed/>
    <w:pPr>
      <w:ind w:left="0" w:right="0" w:firstLine="0"/>
      <w:spacing w:after="57"/>
    </w:pPr>
  </w:style>
  <w:style w:type="paragraph" w:styleId="1198">
    <w:name w:val="toc 2"/>
    <w:basedOn w:val="1208"/>
    <w:next w:val="1208"/>
    <w:uiPriority w:val="39"/>
    <w:unhideWhenUsed/>
    <w:pPr>
      <w:ind w:left="283" w:right="0" w:firstLine="0"/>
      <w:spacing w:after="57"/>
    </w:pPr>
  </w:style>
  <w:style w:type="paragraph" w:styleId="1199">
    <w:name w:val="toc 3"/>
    <w:basedOn w:val="1208"/>
    <w:next w:val="1208"/>
    <w:uiPriority w:val="39"/>
    <w:unhideWhenUsed/>
    <w:pPr>
      <w:ind w:left="567" w:right="0" w:firstLine="0"/>
      <w:spacing w:after="57"/>
    </w:pPr>
  </w:style>
  <w:style w:type="paragraph" w:styleId="1200">
    <w:name w:val="toc 4"/>
    <w:basedOn w:val="1208"/>
    <w:next w:val="1208"/>
    <w:uiPriority w:val="39"/>
    <w:unhideWhenUsed/>
    <w:pPr>
      <w:ind w:left="850" w:right="0" w:firstLine="0"/>
      <w:spacing w:after="57"/>
    </w:pPr>
  </w:style>
  <w:style w:type="paragraph" w:styleId="1201">
    <w:name w:val="toc 5"/>
    <w:basedOn w:val="1208"/>
    <w:next w:val="1208"/>
    <w:uiPriority w:val="39"/>
    <w:unhideWhenUsed/>
    <w:pPr>
      <w:ind w:left="1134" w:right="0" w:firstLine="0"/>
      <w:spacing w:after="57"/>
    </w:pPr>
  </w:style>
  <w:style w:type="paragraph" w:styleId="1202">
    <w:name w:val="toc 6"/>
    <w:basedOn w:val="1208"/>
    <w:next w:val="1208"/>
    <w:uiPriority w:val="39"/>
    <w:unhideWhenUsed/>
    <w:pPr>
      <w:ind w:left="1417" w:right="0" w:firstLine="0"/>
      <w:spacing w:after="57"/>
    </w:pPr>
  </w:style>
  <w:style w:type="paragraph" w:styleId="1203">
    <w:name w:val="toc 7"/>
    <w:basedOn w:val="1208"/>
    <w:next w:val="1208"/>
    <w:uiPriority w:val="39"/>
    <w:unhideWhenUsed/>
    <w:pPr>
      <w:ind w:left="1701" w:right="0" w:firstLine="0"/>
      <w:spacing w:after="57"/>
    </w:pPr>
  </w:style>
  <w:style w:type="paragraph" w:styleId="1204">
    <w:name w:val="toc 8"/>
    <w:basedOn w:val="1208"/>
    <w:next w:val="1208"/>
    <w:uiPriority w:val="39"/>
    <w:unhideWhenUsed/>
    <w:pPr>
      <w:ind w:left="1984" w:right="0" w:firstLine="0"/>
      <w:spacing w:after="57"/>
    </w:pPr>
  </w:style>
  <w:style w:type="paragraph" w:styleId="1205">
    <w:name w:val="toc 9"/>
    <w:basedOn w:val="1208"/>
    <w:next w:val="1208"/>
    <w:uiPriority w:val="39"/>
    <w:unhideWhenUsed/>
    <w:pPr>
      <w:ind w:left="2268" w:right="0" w:firstLine="0"/>
      <w:spacing w:after="57"/>
    </w:pPr>
  </w:style>
  <w:style w:type="paragraph" w:styleId="1206">
    <w:name w:val="TOC Heading"/>
    <w:uiPriority w:val="39"/>
    <w:unhideWhenUsed/>
  </w:style>
  <w:style w:type="paragraph" w:styleId="1207">
    <w:name w:val="table of figures"/>
    <w:basedOn w:val="1208"/>
    <w:next w:val="1208"/>
    <w:uiPriority w:val="99"/>
    <w:unhideWhenUsed/>
    <w:pPr>
      <w:spacing w:after="0" w:afterAutospacing="0"/>
    </w:pPr>
  </w:style>
  <w:style w:type="paragraph" w:styleId="1208" w:default="1">
    <w:name w:val="Normal"/>
    <w:next w:val="1220"/>
    <w:link w:val="1208"/>
    <w:qFormat/>
    <w:pPr>
      <w:jc w:val="both"/>
      <w:widowControl w:val="off"/>
    </w:pPr>
    <w:rPr>
      <w:sz w:val="21"/>
      <w:szCs w:val="21"/>
      <w:lang w:val="en-US" w:eastAsia="zh-CN" w:bidi="ar-SA"/>
    </w:rPr>
  </w:style>
  <w:style w:type="paragraph" w:styleId="1209">
    <w:name w:val="标题 1"/>
    <w:basedOn w:val="1208"/>
    <w:next w:val="1208"/>
    <w:link w:val="1208"/>
    <w:qFormat/>
    <w:pPr>
      <w:jc w:val="center"/>
      <w:keepNext/>
      <w:outlineLvl w:val="0"/>
    </w:pPr>
    <w:rPr>
      <w:rFonts w:ascii="楷体_GB2312" w:eastAsia="楷体_GB2312"/>
      <w:sz w:val="28"/>
      <w:szCs w:val="28"/>
    </w:rPr>
  </w:style>
  <w:style w:type="paragraph" w:styleId="1210">
    <w:name w:val="标题 2"/>
    <w:basedOn w:val="1208"/>
    <w:next w:val="1222"/>
    <w:link w:val="1208"/>
    <w:qFormat/>
    <w:pPr>
      <w:jc w:val="center"/>
      <w:keepLines/>
      <w:keepNext/>
      <w:spacing w:before="260" w:after="260" w:line="416" w:lineRule="auto"/>
      <w:outlineLvl w:val="1"/>
    </w:pPr>
    <w:rPr>
      <w:rFonts w:ascii="Arial" w:hAnsi="Arial" w:eastAsia="幼圆" w:cs="Arial"/>
      <w:b/>
      <w:bCs/>
      <w:sz w:val="44"/>
      <w:szCs w:val="44"/>
    </w:rPr>
  </w:style>
  <w:style w:type="paragraph" w:styleId="1211">
    <w:name w:val="标题 3"/>
    <w:basedOn w:val="1208"/>
    <w:next w:val="1208"/>
    <w:link w:val="1224"/>
    <w:qFormat/>
    <w:pPr>
      <w:keepLines/>
      <w:keepNext/>
      <w:spacing w:before="260" w:after="260" w:line="416" w:lineRule="auto"/>
      <w:outlineLvl w:val="2"/>
    </w:pPr>
    <w:rPr>
      <w:b/>
      <w:bCs/>
      <w:sz w:val="32"/>
      <w:szCs w:val="32"/>
    </w:rPr>
  </w:style>
  <w:style w:type="paragraph" w:styleId="1212">
    <w:name w:val="标题 4"/>
    <w:basedOn w:val="1208"/>
    <w:next w:val="1222"/>
    <w:link w:val="1208"/>
    <w:qFormat/>
    <w:pPr>
      <w:keepLines/>
      <w:keepNext/>
      <w:spacing w:before="280" w:after="290" w:line="376" w:lineRule="auto"/>
      <w:outlineLvl w:val="3"/>
    </w:pPr>
    <w:rPr>
      <w:rFonts w:ascii="Arial" w:hAnsi="Arial" w:eastAsia="黑体" w:cs="Arial"/>
      <w:b/>
      <w:bCs/>
      <w:sz w:val="28"/>
      <w:szCs w:val="28"/>
    </w:rPr>
  </w:style>
  <w:style w:type="paragraph" w:styleId="1213">
    <w:name w:val="标题 5"/>
    <w:basedOn w:val="1208"/>
    <w:next w:val="1222"/>
    <w:link w:val="1208"/>
    <w:qFormat/>
    <w:pPr>
      <w:keepNext/>
      <w:outlineLvl w:val="4"/>
    </w:pPr>
    <w:rPr>
      <w:rFonts w:ascii="宋体"/>
      <w:color w:val="000000"/>
      <w:sz w:val="28"/>
      <w:szCs w:val="28"/>
    </w:rPr>
  </w:style>
  <w:style w:type="paragraph" w:styleId="1214">
    <w:name w:val="标题 6"/>
    <w:basedOn w:val="1208"/>
    <w:next w:val="1208"/>
    <w:link w:val="1208"/>
    <w:qFormat/>
    <w:pPr>
      <w:numPr>
        <w:ilvl w:val="5"/>
        <w:numId w:val="1"/>
      </w:numPr>
      <w:keepLines/>
      <w:keepNext/>
      <w:spacing w:before="240" w:after="64" w:line="320" w:lineRule="auto"/>
      <w:outlineLvl w:val="5"/>
    </w:pPr>
    <w:rPr>
      <w:rFonts w:ascii="Arial" w:hAnsi="Arial" w:eastAsia="黑体"/>
      <w:b/>
      <w:bCs/>
      <w:sz w:val="24"/>
      <w:szCs w:val="24"/>
    </w:rPr>
  </w:style>
  <w:style w:type="paragraph" w:styleId="1215">
    <w:name w:val="标题 7"/>
    <w:basedOn w:val="1208"/>
    <w:next w:val="1208"/>
    <w:link w:val="1208"/>
    <w:qFormat/>
    <w:pPr>
      <w:numPr>
        <w:ilvl w:val="6"/>
        <w:numId w:val="1"/>
      </w:numPr>
      <w:keepLines/>
      <w:keepNext/>
      <w:spacing w:before="240" w:after="64" w:line="320" w:lineRule="auto"/>
      <w:outlineLvl w:val="6"/>
    </w:pPr>
    <w:rPr>
      <w:b/>
      <w:bCs/>
      <w:sz w:val="24"/>
      <w:szCs w:val="24"/>
    </w:rPr>
  </w:style>
  <w:style w:type="paragraph" w:styleId="1216">
    <w:name w:val="标题 8"/>
    <w:basedOn w:val="1208"/>
    <w:next w:val="1208"/>
    <w:link w:val="1208"/>
    <w:qFormat/>
    <w:pPr>
      <w:numPr>
        <w:ilvl w:val="7"/>
        <w:numId w:val="1"/>
      </w:numPr>
      <w:keepLines/>
      <w:keepNext/>
      <w:spacing w:before="240" w:after="64" w:line="320" w:lineRule="auto"/>
      <w:outlineLvl w:val="7"/>
    </w:pPr>
    <w:rPr>
      <w:rFonts w:ascii="Arial" w:hAnsi="Arial" w:eastAsia="黑体"/>
      <w:sz w:val="24"/>
      <w:szCs w:val="24"/>
    </w:rPr>
  </w:style>
  <w:style w:type="paragraph" w:styleId="1217">
    <w:name w:val="标题 9"/>
    <w:basedOn w:val="1208"/>
    <w:next w:val="1208"/>
    <w:link w:val="1208"/>
    <w:qFormat/>
    <w:pPr>
      <w:numPr>
        <w:ilvl w:val="8"/>
        <w:numId w:val="1"/>
      </w:numPr>
      <w:keepLines/>
      <w:keepNext/>
      <w:spacing w:before="240" w:after="64" w:line="320" w:lineRule="auto"/>
      <w:outlineLvl w:val="8"/>
    </w:pPr>
    <w:rPr>
      <w:rFonts w:ascii="Arial" w:hAnsi="Arial" w:eastAsia="黑体"/>
    </w:rPr>
  </w:style>
  <w:style w:type="character" w:styleId="1218">
    <w:name w:val="默认段落字体"/>
    <w:next w:val="1218"/>
    <w:link w:val="1208"/>
    <w:semiHidden/>
  </w:style>
  <w:style w:type="table" w:styleId="1219">
    <w:name w:val="普通表格"/>
    <w:next w:val="1219"/>
    <w:link w:val="1208"/>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220">
    <w:name w:val="正文文本缩进"/>
    <w:basedOn w:val="1208"/>
    <w:next w:val="1221"/>
    <w:link w:val="1208"/>
    <w:pPr>
      <w:ind w:firstLine="645"/>
    </w:pPr>
    <w:rPr>
      <w:rFonts w:ascii="楷体_GB2312" w:eastAsia="楷体_GB2312"/>
      <w:sz w:val="32"/>
      <w:szCs w:val="32"/>
    </w:rPr>
  </w:style>
  <w:style w:type="paragraph" w:styleId="1221">
    <w:name w:val="寄信人地址"/>
    <w:basedOn w:val="1208"/>
    <w:next w:val="1221"/>
    <w:link w:val="1208"/>
    <w:uiPriority w:val="99"/>
    <w:unhideWhenUsed/>
    <w:qFormat/>
    <w:rPr>
      <w:rFonts w:ascii="Arial" w:hAnsi="Arial"/>
    </w:rPr>
  </w:style>
  <w:style w:type="paragraph" w:styleId="1222">
    <w:name w:val="正文缩进"/>
    <w:basedOn w:val="1208"/>
    <w:next w:val="1222"/>
    <w:link w:val="1223"/>
    <w:pPr>
      <w:ind w:firstLine="420"/>
    </w:pPr>
  </w:style>
  <w:style w:type="character" w:styleId="1223">
    <w:name w:val="正文缩进 Char"/>
    <w:next w:val="1223"/>
    <w:link w:val="1222"/>
    <w:rPr>
      <w:sz w:val="21"/>
      <w:szCs w:val="21"/>
    </w:rPr>
  </w:style>
  <w:style w:type="character" w:styleId="1224">
    <w:name w:val="标题 3 Char"/>
    <w:next w:val="1224"/>
    <w:link w:val="1211"/>
    <w:rPr>
      <w:rFonts w:eastAsia="宋体"/>
      <w:b/>
      <w:bCs/>
      <w:sz w:val="32"/>
      <w:szCs w:val="32"/>
      <w:lang w:val="en-US" w:eastAsia="zh-CN" w:bidi="ar-SA"/>
    </w:rPr>
  </w:style>
  <w:style w:type="paragraph" w:styleId="1225">
    <w:name w:val="列表 3"/>
    <w:basedOn w:val="1208"/>
    <w:next w:val="1225"/>
    <w:link w:val="1208"/>
    <w:pPr>
      <w:ind w:left="100" w:hanging="200"/>
    </w:pPr>
  </w:style>
  <w:style w:type="paragraph" w:styleId="1226">
    <w:name w:val="目录 7"/>
    <w:basedOn w:val="1208"/>
    <w:next w:val="1208"/>
    <w:link w:val="1208"/>
    <w:semiHidden/>
    <w:pPr>
      <w:ind w:left="1260"/>
      <w:jc w:val="left"/>
    </w:pPr>
  </w:style>
  <w:style w:type="paragraph" w:styleId="1227">
    <w:name w:val="文档结构图"/>
    <w:basedOn w:val="1208"/>
    <w:next w:val="1227"/>
    <w:link w:val="1228"/>
    <w:semiHidden/>
    <w:pPr>
      <w:shd w:val="clear" w:color="auto" w:fill="000080"/>
    </w:pPr>
  </w:style>
  <w:style w:type="character" w:styleId="1228">
    <w:name w:val="文档结构图 Char"/>
    <w:next w:val="1228"/>
    <w:link w:val="1227"/>
    <w:rPr>
      <w:rFonts w:eastAsia="宋体"/>
      <w:sz w:val="21"/>
      <w:szCs w:val="21"/>
      <w:lang w:val="en-US" w:eastAsia="zh-CN" w:bidi="ar-SA"/>
    </w:rPr>
  </w:style>
  <w:style w:type="paragraph" w:styleId="1229">
    <w:name w:val="批注文字"/>
    <w:basedOn w:val="1208"/>
    <w:next w:val="1229"/>
    <w:link w:val="1208"/>
    <w:semiHidden/>
    <w:pPr>
      <w:jc w:val="left"/>
    </w:pPr>
  </w:style>
  <w:style w:type="paragraph" w:styleId="1230">
    <w:name w:val="正文文本 3"/>
    <w:basedOn w:val="1208"/>
    <w:next w:val="1230"/>
    <w:link w:val="1208"/>
    <w:rPr>
      <w:rFonts w:ascii="仿宋_GB2312" w:hAnsi="Arial" w:eastAsia="仿宋_GB2312"/>
      <w:sz w:val="32"/>
      <w:szCs w:val="32"/>
    </w:rPr>
  </w:style>
  <w:style w:type="paragraph" w:styleId="1231">
    <w:name w:val="正文文本"/>
    <w:basedOn w:val="1208"/>
    <w:next w:val="1208"/>
    <w:link w:val="1208"/>
    <w:rPr>
      <w:rFonts w:ascii="楷体_GB2312" w:hAnsi="Arial" w:eastAsia="楷体_GB2312"/>
      <w:sz w:val="28"/>
      <w:szCs w:val="28"/>
    </w:rPr>
  </w:style>
  <w:style w:type="paragraph" w:styleId="1232">
    <w:name w:val="列表 2"/>
    <w:basedOn w:val="1208"/>
    <w:next w:val="1232"/>
    <w:link w:val="1208"/>
    <w:pPr>
      <w:ind w:left="100" w:hanging="200"/>
    </w:pPr>
  </w:style>
  <w:style w:type="paragraph" w:styleId="1233">
    <w:name w:val="文本块"/>
    <w:basedOn w:val="1208"/>
    <w:next w:val="1233"/>
    <w:link w:val="1208"/>
    <w:uiPriority w:val="99"/>
    <w:qFormat/>
    <w:pPr>
      <w:ind w:left="420" w:right="-334" w:firstLine="420"/>
      <w:spacing w:line="360" w:lineRule="auto"/>
    </w:pPr>
    <w:rPr>
      <w:rFonts w:ascii="Times New Roman" w:hAnsi="Times New Roman" w:eastAsia="宋体" w:cs="Times New Roman"/>
      <w:spacing w:val="20"/>
      <w:sz w:val="24"/>
    </w:rPr>
  </w:style>
  <w:style w:type="paragraph" w:styleId="1234">
    <w:name w:val="目录 5"/>
    <w:basedOn w:val="1208"/>
    <w:next w:val="1208"/>
    <w:link w:val="1208"/>
    <w:semiHidden/>
    <w:pPr>
      <w:ind w:left="840"/>
      <w:jc w:val="left"/>
    </w:pPr>
  </w:style>
  <w:style w:type="paragraph" w:styleId="1235">
    <w:name w:val="目录 3"/>
    <w:basedOn w:val="1208"/>
    <w:next w:val="1208"/>
    <w:link w:val="1208"/>
    <w:semiHidden/>
    <w:pPr>
      <w:ind w:left="420"/>
      <w:jc w:val="left"/>
    </w:pPr>
    <w:rPr>
      <w:i/>
      <w:iCs/>
      <w:szCs w:val="24"/>
    </w:rPr>
  </w:style>
  <w:style w:type="paragraph" w:styleId="1236">
    <w:name w:val="纯文本"/>
    <w:basedOn w:val="1208"/>
    <w:next w:val="1236"/>
    <w:link w:val="1237"/>
    <w:qFormat/>
    <w:rPr>
      <w:rFonts w:ascii="宋体" w:hAnsi="Courier New"/>
    </w:rPr>
  </w:style>
  <w:style w:type="character" w:styleId="1237">
    <w:name w:val="纯文本 Char"/>
    <w:next w:val="1237"/>
    <w:link w:val="1236"/>
    <w:qFormat/>
    <w:rPr>
      <w:rFonts w:ascii="宋体" w:hAnsi="Courier New" w:cs="Courier New"/>
      <w:sz w:val="21"/>
      <w:szCs w:val="21"/>
    </w:rPr>
  </w:style>
  <w:style w:type="paragraph" w:styleId="1238">
    <w:name w:val="目录 8"/>
    <w:basedOn w:val="1208"/>
    <w:next w:val="1208"/>
    <w:link w:val="1208"/>
    <w:semiHidden/>
    <w:pPr>
      <w:ind w:left="1470"/>
      <w:jc w:val="left"/>
    </w:pPr>
  </w:style>
  <w:style w:type="paragraph" w:styleId="1239">
    <w:name w:val="日期"/>
    <w:basedOn w:val="1208"/>
    <w:next w:val="1208"/>
    <w:link w:val="1208"/>
    <w:rPr>
      <w:sz w:val="24"/>
      <w:szCs w:val="24"/>
    </w:rPr>
  </w:style>
  <w:style w:type="paragraph" w:styleId="1240">
    <w:name w:val="正文文本缩进 2"/>
    <w:basedOn w:val="1208"/>
    <w:next w:val="1240"/>
    <w:link w:val="1208"/>
    <w:pPr>
      <w:ind w:left="630" w:firstLine="645"/>
    </w:pPr>
    <w:rPr>
      <w:rFonts w:ascii="Arial" w:hAnsi="Arial" w:eastAsia="仿宋_GB2312" w:cs="Arial"/>
      <w:sz w:val="32"/>
      <w:szCs w:val="32"/>
    </w:rPr>
  </w:style>
  <w:style w:type="paragraph" w:styleId="1241">
    <w:name w:val="批注框文本"/>
    <w:basedOn w:val="1208"/>
    <w:next w:val="1241"/>
    <w:link w:val="1208"/>
    <w:semiHidden/>
    <w:rPr>
      <w:sz w:val="18"/>
      <w:szCs w:val="18"/>
    </w:rPr>
  </w:style>
  <w:style w:type="paragraph" w:styleId="1242">
    <w:name w:val="页脚"/>
    <w:basedOn w:val="1208"/>
    <w:next w:val="1242"/>
    <w:link w:val="1208"/>
    <w:pPr>
      <w:jc w:val="left"/>
      <w:tabs>
        <w:tab w:val="center" w:pos="4153" w:leader="none"/>
        <w:tab w:val="right" w:pos="8306" w:leader="none"/>
      </w:tabs>
    </w:pPr>
    <w:rPr>
      <w:sz w:val="18"/>
      <w:szCs w:val="18"/>
    </w:rPr>
  </w:style>
  <w:style w:type="paragraph" w:styleId="1243">
    <w:name w:val="页眉"/>
    <w:basedOn w:val="1208"/>
    <w:next w:val="1243"/>
    <w:link w:val="1208"/>
    <w:pPr>
      <w:jc w:val="center"/>
      <w:tabs>
        <w:tab w:val="center" w:pos="4153" w:leader="none"/>
        <w:tab w:val="right" w:pos="8306" w:leader="none"/>
      </w:tabs>
      <w:pBdr>
        <w:bottom w:val="single" w:color="000000" w:sz="6" w:space="1"/>
      </w:pBdr>
    </w:pPr>
    <w:rPr>
      <w:sz w:val="18"/>
      <w:szCs w:val="18"/>
    </w:rPr>
  </w:style>
  <w:style w:type="paragraph" w:styleId="1244">
    <w:name w:val="目录 1"/>
    <w:basedOn w:val="1208"/>
    <w:next w:val="1208"/>
    <w:link w:val="1208"/>
    <w:semiHidden/>
    <w:pPr>
      <w:jc w:val="left"/>
      <w:spacing w:before="120" w:after="120" w:line="400" w:lineRule="exact"/>
      <w:tabs>
        <w:tab w:val="right" w:pos="8720" w:leader="dot"/>
      </w:tabs>
    </w:pPr>
    <w:rPr>
      <w:rFonts w:ascii="宋体" w:hAnsi="宋体"/>
      <w:caps/>
      <w:sz w:val="24"/>
      <w:szCs w:val="24"/>
    </w:rPr>
  </w:style>
  <w:style w:type="paragraph" w:styleId="1245">
    <w:name w:val="目录 4"/>
    <w:basedOn w:val="1208"/>
    <w:next w:val="1208"/>
    <w:link w:val="1208"/>
    <w:semiHidden/>
    <w:pPr>
      <w:ind w:left="630"/>
      <w:jc w:val="left"/>
    </w:pPr>
  </w:style>
  <w:style w:type="paragraph" w:styleId="1246">
    <w:name w:val="列表"/>
    <w:basedOn w:val="1208"/>
    <w:next w:val="1246"/>
    <w:link w:val="1208"/>
    <w:pPr>
      <w:ind w:left="200" w:hanging="200"/>
    </w:pPr>
  </w:style>
  <w:style w:type="paragraph" w:styleId="1247">
    <w:name w:val="目录 6"/>
    <w:basedOn w:val="1208"/>
    <w:next w:val="1208"/>
    <w:link w:val="1208"/>
    <w:semiHidden/>
    <w:pPr>
      <w:ind w:left="1050"/>
      <w:jc w:val="left"/>
    </w:pPr>
  </w:style>
  <w:style w:type="paragraph" w:styleId="1248">
    <w:name w:val="正文文本缩进 3"/>
    <w:basedOn w:val="1208"/>
    <w:next w:val="1248"/>
    <w:link w:val="1208"/>
    <w:pPr>
      <w:ind w:left="645" w:firstLine="645"/>
    </w:pPr>
    <w:rPr>
      <w:rFonts w:ascii="Arial" w:hAnsi="Arial" w:eastAsia="仿宋_GB2312" w:cs="Arial"/>
      <w:color w:val="ffff00"/>
      <w:sz w:val="32"/>
      <w:szCs w:val="32"/>
    </w:rPr>
  </w:style>
  <w:style w:type="paragraph" w:styleId="1249">
    <w:name w:val="索引 9"/>
    <w:basedOn w:val="1208"/>
    <w:next w:val="1208"/>
    <w:link w:val="1208"/>
    <w:uiPriority w:val="99"/>
    <w:unhideWhenUsed/>
    <w:qFormat/>
    <w:pPr>
      <w:ind w:left="1600"/>
    </w:pPr>
  </w:style>
  <w:style w:type="paragraph" w:styleId="1250">
    <w:name w:val="图表目录"/>
    <w:basedOn w:val="1208"/>
    <w:next w:val="1208"/>
    <w:link w:val="1208"/>
    <w:semiHidden/>
    <w:pPr>
      <w:ind w:left="840" w:hanging="420"/>
    </w:pPr>
  </w:style>
  <w:style w:type="paragraph" w:styleId="1251">
    <w:name w:val="目录 2"/>
    <w:basedOn w:val="1208"/>
    <w:next w:val="1208"/>
    <w:link w:val="1208"/>
    <w:semiHidden/>
    <w:pPr>
      <w:ind w:left="210"/>
      <w:jc w:val="left"/>
    </w:pPr>
    <w:rPr>
      <w:smallCaps/>
      <w:szCs w:val="24"/>
    </w:rPr>
  </w:style>
  <w:style w:type="paragraph" w:styleId="1252">
    <w:name w:val="目录 9"/>
    <w:basedOn w:val="1208"/>
    <w:next w:val="1208"/>
    <w:link w:val="1208"/>
    <w:semiHidden/>
    <w:pPr>
      <w:ind w:left="1680"/>
      <w:jc w:val="left"/>
    </w:pPr>
  </w:style>
  <w:style w:type="paragraph" w:styleId="1253">
    <w:name w:val="正文文本 2"/>
    <w:basedOn w:val="1208"/>
    <w:next w:val="1253"/>
    <w:link w:val="1208"/>
    <w:pPr>
      <w:jc w:val="center"/>
      <w:widowControl/>
    </w:pPr>
    <w:rPr>
      <w:rFonts w:ascii="楷体_GB2312" w:eastAsia="楷体_GB2312"/>
      <w:sz w:val="28"/>
      <w:szCs w:val="28"/>
    </w:rPr>
  </w:style>
  <w:style w:type="paragraph" w:styleId="1254">
    <w:name w:val="普通(网站)"/>
    <w:basedOn w:val="1208"/>
    <w:next w:val="1254"/>
    <w:link w:val="1208"/>
    <w:pPr>
      <w:jc w:val="left"/>
      <w:spacing w:before="100" w:beforeAutospacing="1" w:after="100" w:afterAutospacing="1"/>
      <w:widowControl/>
    </w:pPr>
    <w:rPr>
      <w:rFonts w:ascii="宋体" w:hAnsi="宋体" w:cs="宋体"/>
      <w:sz w:val="24"/>
      <w:szCs w:val="24"/>
    </w:rPr>
  </w:style>
  <w:style w:type="paragraph" w:styleId="1255">
    <w:name w:val="索引 1"/>
    <w:basedOn w:val="1208"/>
    <w:next w:val="1208"/>
    <w:link w:val="1208"/>
    <w:semiHidden/>
    <w:pPr>
      <w:spacing w:line="240" w:lineRule="atLeast"/>
    </w:pPr>
    <w:rPr>
      <w:b/>
      <w:bCs/>
    </w:rPr>
  </w:style>
  <w:style w:type="paragraph" w:styleId="1256">
    <w:name w:val="批注主题"/>
    <w:basedOn w:val="1229"/>
    <w:next w:val="1229"/>
    <w:link w:val="1208"/>
    <w:semiHidden/>
    <w:rPr>
      <w:b/>
      <w:bCs/>
    </w:rPr>
  </w:style>
  <w:style w:type="paragraph" w:styleId="1257">
    <w:name w:val="正文首行缩进"/>
    <w:basedOn w:val="1208"/>
    <w:next w:val="1257"/>
    <w:link w:val="1208"/>
    <w:pPr>
      <w:ind w:firstLine="200"/>
      <w:spacing w:line="360" w:lineRule="auto"/>
    </w:pPr>
    <w:rPr>
      <w:rFonts w:ascii="仿宋_GB2312" w:eastAsia="仿宋_GB2312"/>
      <w:sz w:val="30"/>
      <w:szCs w:val="30"/>
    </w:rPr>
  </w:style>
  <w:style w:type="paragraph" w:styleId="1258">
    <w:name w:val="正文首行缩进 2"/>
    <w:basedOn w:val="1220"/>
    <w:next w:val="1258"/>
    <w:link w:val="1208"/>
    <w:pPr>
      <w:ind w:firstLine="420"/>
      <w:spacing w:line="360" w:lineRule="auto"/>
    </w:pPr>
    <w:rPr>
      <w:rFonts w:ascii="宋体" w:hAnsi="宋体" w:eastAsia="宋体"/>
      <w:sz w:val="21"/>
      <w:szCs w:val="20"/>
    </w:rPr>
  </w:style>
  <w:style w:type="table" w:styleId="1259">
    <w:name w:val="网格型"/>
    <w:basedOn w:val="1219"/>
    <w:next w:val="1259"/>
    <w:link w:val="1208"/>
    <w:pPr>
      <w:jc w:val="both"/>
      <w:widowControl w:val="off"/>
    </w:pPr>
    <w:tblPr/>
  </w:style>
  <w:style w:type="character" w:styleId="1260">
    <w:name w:val="要点"/>
    <w:next w:val="1260"/>
    <w:link w:val="1208"/>
    <w:qFormat/>
    <w:rPr>
      <w:b/>
      <w:bCs/>
    </w:rPr>
  </w:style>
  <w:style w:type="character" w:styleId="1261">
    <w:name w:val="页码"/>
    <w:next w:val="1261"/>
    <w:link w:val="1208"/>
  </w:style>
  <w:style w:type="character" w:styleId="1262">
    <w:name w:val="已访问的超链接"/>
    <w:next w:val="1262"/>
    <w:link w:val="1208"/>
    <w:rPr>
      <w:color w:val="333333"/>
      <w:u w:val="none"/>
    </w:rPr>
  </w:style>
  <w:style w:type="character" w:styleId="1263">
    <w:name w:val="超链接"/>
    <w:next w:val="1263"/>
    <w:link w:val="1208"/>
    <w:rPr>
      <w:color w:val="333333"/>
      <w:u w:val="none"/>
    </w:rPr>
  </w:style>
  <w:style w:type="character" w:styleId="1264">
    <w:name w:val="批注引用"/>
    <w:next w:val="1264"/>
    <w:link w:val="1208"/>
    <w:semiHidden/>
    <w:rPr>
      <w:sz w:val="21"/>
      <w:szCs w:val="21"/>
    </w:rPr>
  </w:style>
  <w:style w:type="paragraph" w:styleId="1265">
    <w:name w:val="列出段落1"/>
    <w:basedOn w:val="1208"/>
    <w:next w:val="1265"/>
    <w:link w:val="1266"/>
    <w:qFormat/>
    <w:pPr>
      <w:contextualSpacing/>
      <w:ind w:left="720"/>
      <w:jc w:val="left"/>
      <w:widowControl/>
    </w:pPr>
    <w:rPr>
      <w:rFonts w:ascii="Calibri" w:hAnsi="Calibri"/>
      <w:sz w:val="24"/>
      <w:szCs w:val="24"/>
      <w:lang w:eastAsia="en-US" w:bidi="en-US"/>
    </w:rPr>
  </w:style>
  <w:style w:type="character" w:styleId="1266">
    <w:name w:val="列出段落 Char,Bullet List Char,numbered Char,FooterText Char,List Paragraph1 Char,Paragraphe de liste1 Char"/>
    <w:next w:val="1266"/>
    <w:link w:val="1265"/>
    <w:rPr>
      <w:rFonts w:ascii="Calibri" w:hAnsi="Calibri"/>
      <w:sz w:val="24"/>
      <w:szCs w:val="24"/>
      <w:lang w:eastAsia="en-US" w:bidi="en-US"/>
    </w:rPr>
  </w:style>
  <w:style w:type="character" w:styleId="1267">
    <w:name w:val="font5 Char"/>
    <w:next w:val="1267"/>
    <w:link w:val="1208"/>
    <w:rPr>
      <w:rFonts w:ascii="宋体" w:hAnsi="宋体" w:eastAsia="宋体"/>
      <w:sz w:val="28"/>
      <w:szCs w:val="28"/>
      <w:lang w:val="en-US" w:eastAsia="zh-CN" w:bidi="ar-SA"/>
    </w:rPr>
  </w:style>
  <w:style w:type="character" w:styleId="1268">
    <w:name w:val=" Char Char Char Char Char"/>
    <w:next w:val="1268"/>
    <w:link w:val="1269"/>
    <w:rPr>
      <w:rFonts w:ascii="Tahoma" w:hAnsi="Tahoma" w:eastAsia="宋体"/>
      <w:sz w:val="24"/>
      <w:szCs w:val="24"/>
      <w:lang w:val="en-US" w:eastAsia="zh-CN" w:bidi="ar-SA"/>
    </w:rPr>
  </w:style>
  <w:style w:type="paragraph" w:styleId="1269">
    <w:name w:val=" Char Char Char Char"/>
    <w:basedOn w:val="1227"/>
    <w:next w:val="1269"/>
    <w:link w:val="1268"/>
    <w:pPr>
      <w:spacing w:line="360" w:lineRule="auto"/>
    </w:pPr>
    <w:rPr>
      <w:rFonts w:ascii="Tahoma" w:hAnsi="Tahoma"/>
      <w:sz w:val="24"/>
      <w:szCs w:val="24"/>
    </w:rPr>
  </w:style>
  <w:style w:type="character" w:styleId="1270">
    <w:name w:val="普通正文 Char"/>
    <w:next w:val="1270"/>
    <w:link w:val="1271"/>
    <w:rPr>
      <w:rFonts w:ascii="Arial" w:hAnsi="Arial"/>
      <w:sz w:val="24"/>
      <w:szCs w:val="24"/>
    </w:rPr>
  </w:style>
  <w:style w:type="paragraph" w:styleId="1271">
    <w:name w:val="普通正文"/>
    <w:basedOn w:val="1208"/>
    <w:next w:val="1271"/>
    <w:link w:val="1270"/>
    <w:pPr>
      <w:ind w:firstLine="480"/>
      <w:jc w:val="left"/>
      <w:spacing w:before="120" w:after="120" w:line="360" w:lineRule="auto"/>
    </w:pPr>
    <w:rPr>
      <w:rFonts w:ascii="Arial" w:hAnsi="Arial"/>
      <w:sz w:val="24"/>
      <w:szCs w:val="24"/>
    </w:rPr>
  </w:style>
  <w:style w:type="character" w:styleId="1272">
    <w:name w:val="NormalCharacter1"/>
    <w:next w:val="1272"/>
    <w:link w:val="1208"/>
    <w:qFormat/>
  </w:style>
  <w:style w:type="character" w:styleId="1273">
    <w:name w:val="二级目录 Char"/>
    <w:next w:val="1273"/>
    <w:link w:val="1274"/>
    <w:rPr>
      <w:b/>
      <w:sz w:val="30"/>
      <w:szCs w:val="28"/>
      <w:lang w:val="en-US" w:eastAsia="zh-CN" w:bidi="ar-SA"/>
    </w:rPr>
  </w:style>
  <w:style w:type="paragraph" w:styleId="1274">
    <w:name w:val="二级目录"/>
    <w:next w:val="1208"/>
    <w:link w:val="1273"/>
    <w:pPr>
      <w:numPr>
        <w:ilvl w:val="0"/>
        <w:numId w:val="2"/>
      </w:numPr>
      <w:tabs>
        <w:tab w:val="left" w:pos="907" w:leader="none"/>
        <w:tab w:val="left" w:pos="1145" w:leader="none"/>
      </w:tabs>
      <w:outlineLvl w:val="1"/>
    </w:pPr>
    <w:rPr>
      <w:b/>
      <w:sz w:val="30"/>
      <w:szCs w:val="28"/>
      <w:lang w:val="en-US" w:eastAsia="zh-CN" w:bidi="ar-SA"/>
    </w:rPr>
  </w:style>
  <w:style w:type="character" w:styleId="1275">
    <w:name w:val="apple-converted-space"/>
    <w:next w:val="1275"/>
    <w:link w:val="1208"/>
    <w:uiPriority w:val="99"/>
    <w:qFormat/>
  </w:style>
  <w:style w:type="paragraph" w:styleId="1276">
    <w:name w:val="正文 A"/>
    <w:next w:val="1277"/>
    <w:link w:val="1208"/>
    <w:qFormat/>
    <w:pPr>
      <w:jc w:val="both"/>
      <w:widowControl w:val="off"/>
    </w:pPr>
    <w:rPr>
      <w:rFonts w:ascii="Calibri" w:hAnsi="Calibri" w:eastAsia="Calibri" w:cs="Calibri"/>
      <w:color w:val="000000"/>
      <w:sz w:val="21"/>
      <w:szCs w:val="21"/>
      <w:lang w:val="en-US" w:eastAsia="zh-CN" w:bidi="ar-SA"/>
    </w:rPr>
  </w:style>
  <w:style w:type="paragraph" w:styleId="1277">
    <w:name w:val="段"/>
    <w:next w:val="1276"/>
    <w:link w:val="1208"/>
    <w:qFormat/>
    <w:pPr>
      <w:ind w:firstLine="200"/>
      <w:jc w:val="both"/>
      <w:widowControl w:val="off"/>
    </w:pPr>
    <w:rPr>
      <w:rFonts w:ascii="宋体" w:hAnsi="宋体" w:cs="宋体"/>
      <w:color w:val="000000"/>
      <w:sz w:val="21"/>
      <w:szCs w:val="21"/>
      <w:lang w:val="en-US" w:eastAsia="zh-CN" w:bidi="ar-SA"/>
    </w:rPr>
  </w:style>
  <w:style w:type="paragraph" w:styleId="1278">
    <w:name w:val="Char Char Char Char Char Char Char Char"/>
    <w:basedOn w:val="1208"/>
    <w:next w:val="1278"/>
    <w:link w:val="1208"/>
    <w:pPr>
      <w:jc w:val="left"/>
      <w:spacing w:after="160" w:line="240" w:lineRule="exact"/>
      <w:widowControl/>
    </w:pPr>
    <w:rPr>
      <w:rFonts w:ascii="Verdana" w:hAnsi="Verdana"/>
      <w:sz w:val="20"/>
      <w:szCs w:val="20"/>
      <w:lang w:eastAsia="en-US"/>
    </w:rPr>
  </w:style>
  <w:style w:type="paragraph" w:styleId="1279">
    <w:name w:val=" Char Char Char Char Char Char Char Char Char Char"/>
    <w:basedOn w:val="1208"/>
    <w:next w:val="1279"/>
    <w:link w:val="1208"/>
    <w:pPr>
      <w:spacing w:line="360" w:lineRule="auto"/>
    </w:pPr>
    <w:rPr>
      <w:sz w:val="24"/>
      <w:szCs w:val="20"/>
    </w:rPr>
  </w:style>
  <w:style w:type="paragraph" w:styleId="1280">
    <w:name w:val="4"/>
    <w:basedOn w:val="1208"/>
    <w:next w:val="1248"/>
    <w:link w:val="1208"/>
    <w:uiPriority w:val="99"/>
    <w:qFormat/>
    <w:pPr>
      <w:ind w:firstLine="420"/>
      <w:spacing w:line="360" w:lineRule="auto"/>
    </w:pPr>
    <w:rPr>
      <w:color w:val="ff0000"/>
      <w:sz w:val="24"/>
      <w:szCs w:val="24"/>
    </w:rPr>
  </w:style>
  <w:style w:type="paragraph" w:styleId="1281">
    <w:name w:val="font5"/>
    <w:basedOn w:val="1208"/>
    <w:next w:val="1281"/>
    <w:link w:val="1208"/>
    <w:pPr>
      <w:jc w:val="left"/>
      <w:spacing w:before="100" w:beforeAutospacing="1" w:after="100" w:afterAutospacing="1"/>
      <w:widowControl/>
    </w:pPr>
    <w:rPr>
      <w:rFonts w:hint="eastAsia" w:ascii="宋体" w:hAnsi="宋体"/>
      <w:sz w:val="28"/>
      <w:szCs w:val="28"/>
    </w:rPr>
  </w:style>
  <w:style w:type="paragraph" w:styleId="1282">
    <w:name w:val="font6"/>
    <w:basedOn w:val="1208"/>
    <w:next w:val="1282"/>
    <w:link w:val="1208"/>
    <w:pPr>
      <w:jc w:val="left"/>
      <w:spacing w:before="100" w:beforeAutospacing="1" w:after="100" w:afterAutospacing="1"/>
      <w:widowControl/>
    </w:pPr>
    <w:rPr>
      <w:rFonts w:hint="eastAsia" w:ascii="宋体" w:hAnsi="宋体"/>
      <w:sz w:val="28"/>
      <w:szCs w:val="28"/>
      <w:u w:val="single"/>
    </w:rPr>
  </w:style>
  <w:style w:type="paragraph" w:styleId="1283">
    <w:name w:val="table_lines"/>
    <w:basedOn w:val="1208"/>
    <w:next w:val="1283"/>
    <w:link w:val="1208"/>
    <w:pPr>
      <w:jc w:val="left"/>
      <w:widowControl/>
    </w:pPr>
    <w:rPr>
      <w:sz w:val="20"/>
      <w:szCs w:val="20"/>
      <w:lang w:val="de-DE" w:eastAsia="de-DE"/>
    </w:rPr>
  </w:style>
  <w:style w:type="paragraph" w:styleId="1284">
    <w:name w:val="标题3"/>
    <w:basedOn w:val="1208"/>
    <w:next w:val="1208"/>
    <w:link w:val="1208"/>
    <w:pPr>
      <w:ind w:firstLine="624"/>
      <w:spacing w:line="590" w:lineRule="atLeast"/>
    </w:pPr>
    <w:rPr>
      <w:rFonts w:ascii="方正黑体_GBK" w:eastAsia="方正黑体_GBK"/>
      <w:sz w:val="32"/>
      <w:szCs w:val="32"/>
    </w:rPr>
  </w:style>
  <w:style w:type="paragraph" w:styleId="1285">
    <w:name w:val="图标"/>
    <w:basedOn w:val="1208"/>
    <w:next w:val="1208"/>
    <w:link w:val="12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6">
    <w:name w:val="xl30"/>
    <w:basedOn w:val="1208"/>
    <w:next w:val="1286"/>
    <w:link w:val="1208"/>
    <w:pPr>
      <w:jc w:val="center"/>
      <w:spacing w:before="100" w:beforeAutospacing="1" w:after="100" w:afterAutospacing="1"/>
      <w:widowControl/>
    </w:pPr>
    <w:rPr>
      <w:rFonts w:ascii="宋体" w:hAnsi="宋体"/>
      <w:b/>
      <w:bCs/>
      <w:sz w:val="36"/>
      <w:szCs w:val="36"/>
    </w:rPr>
  </w:style>
  <w:style w:type="paragraph" w:styleId="1287">
    <w:name w:val="一级条标题"/>
    <w:basedOn w:val="1288"/>
    <w:next w:val="1277"/>
    <w:link w:val="12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88">
    <w:name w:val="章标题"/>
    <w:next w:val="1208"/>
    <w:link w:val="120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89">
    <w:name w:val="Char Char Char Char"/>
    <w:basedOn w:val="1227"/>
    <w:next w:val="1289"/>
    <w:link w:val="1208"/>
    <w:pPr>
      <w:spacing w:line="360" w:lineRule="auto"/>
    </w:pPr>
    <w:rPr>
      <w:rFonts w:ascii="Tahoma" w:hAnsi="Tahoma"/>
      <w:sz w:val="24"/>
      <w:szCs w:val="24"/>
    </w:rPr>
  </w:style>
  <w:style w:type="paragraph" w:styleId="1290">
    <w:name w:val="*正文"/>
    <w:basedOn w:val="1208"/>
    <w:next w:val="1290"/>
    <w:link w:val="1208"/>
    <w:qFormat/>
    <w:pPr>
      <w:ind w:firstLine="480"/>
      <w:spacing w:line="360" w:lineRule="auto"/>
    </w:pPr>
    <w:rPr>
      <w:rFonts w:ascii="宋体" w:hAnsi="宋体" w:cs="仿宋_GB2312"/>
      <w:sz w:val="24"/>
      <w:szCs w:val="24"/>
    </w:rPr>
  </w:style>
  <w:style w:type="paragraph" w:styleId="1291">
    <w:name w:val=" Char Char Char Char Char Char Char Char"/>
    <w:basedOn w:val="1208"/>
    <w:next w:val="1291"/>
    <w:link w:val="1208"/>
    <w:pPr>
      <w:jc w:val="left"/>
      <w:spacing w:after="160" w:line="240" w:lineRule="exact"/>
      <w:widowControl/>
    </w:pPr>
    <w:rPr>
      <w:rFonts w:ascii="Verdana" w:hAnsi="Verdana"/>
      <w:sz w:val="20"/>
      <w:szCs w:val="20"/>
      <w:lang w:eastAsia="en-US"/>
    </w:rPr>
  </w:style>
  <w:style w:type="paragraph" w:styleId="1292">
    <w:name w:val="无缩进正文"/>
    <w:basedOn w:val="1208"/>
    <w:next w:val="1208"/>
    <w:link w:val="1208"/>
    <w:qFormat/>
    <w:pPr>
      <w:ind w:firstLine="0"/>
    </w:pPr>
  </w:style>
  <w:style w:type="paragraph" w:styleId="1293">
    <w:name w:val="表格样式"/>
    <w:basedOn w:val="1292"/>
    <w:next w:val="1293"/>
    <w:link w:val="1208"/>
    <w:qFormat/>
    <w:pPr>
      <w:spacing w:after="0" w:line="240" w:lineRule="auto"/>
    </w:pPr>
  </w:style>
  <w:style w:type="paragraph" w:styleId="1294">
    <w:name w:val="table_1stline"/>
    <w:basedOn w:val="1208"/>
    <w:next w:val="1294"/>
    <w:link w:val="1208"/>
    <w:pPr>
      <w:jc w:val="left"/>
      <w:spacing w:before="120"/>
      <w:widowControl/>
    </w:pPr>
    <w:rPr>
      <w:bCs/>
      <w:sz w:val="20"/>
      <w:szCs w:val="20"/>
      <w:lang w:val="de-DE" w:eastAsia="de-DE"/>
    </w:rPr>
  </w:style>
  <w:style w:type="paragraph" w:styleId="1295">
    <w:name w:val="xl25"/>
    <w:basedOn w:val="1208"/>
    <w:next w:val="1295"/>
    <w:link w:val="12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6">
    <w:name w:val="Default"/>
    <w:next w:val="1296"/>
    <w:link w:val="1208"/>
    <w:qFormat/>
    <w:pPr>
      <w:ind w:firstLine="200"/>
      <w:jc w:val="both"/>
      <w:widowControl w:val="off"/>
    </w:pPr>
    <w:rPr>
      <w:rFonts w:ascii="Calibri" w:hAnsi="Calibri"/>
      <w:color w:val="000000"/>
      <w:sz w:val="24"/>
      <w:szCs w:val="24"/>
      <w:lang w:val="en-US" w:eastAsia="zh-CN" w:bidi="ar-SA"/>
    </w:rPr>
  </w:style>
  <w:style w:type="paragraph" w:styleId="1297">
    <w:name w:val="二级标题2"/>
    <w:basedOn w:val="1210"/>
    <w:next w:val="1231"/>
    <w:link w:val="1208"/>
    <w:qFormat/>
    <w:pPr>
      <w:jc w:val="both"/>
      <w:spacing w:before="0" w:after="0" w:line="360" w:lineRule="auto"/>
    </w:pPr>
    <w:rPr>
      <w:rFonts w:ascii="华文中宋" w:hAnsi="华文中宋" w:eastAsia="华文中宋"/>
      <w:bCs/>
      <w:sz w:val="24"/>
      <w:szCs w:val="24"/>
    </w:rPr>
  </w:style>
  <w:style w:type="paragraph" w:styleId="1298">
    <w:name w:val="xl29"/>
    <w:basedOn w:val="1208"/>
    <w:next w:val="1298"/>
    <w:link w:val="12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99">
    <w:name w:val="样式1"/>
    <w:basedOn w:val="1208"/>
    <w:next w:val="1299"/>
    <w:link w:val="1208"/>
    <w:pPr>
      <w:numPr>
        <w:ilvl w:val="0"/>
        <w:numId w:val="3"/>
      </w:numPr>
      <w:tabs>
        <w:tab w:val="left" w:pos="709" w:leader="none"/>
      </w:tabs>
    </w:pPr>
    <w:rPr>
      <w:rFonts w:ascii="宋体" w:hAnsi="宋体"/>
    </w:rPr>
  </w:style>
  <w:style w:type="paragraph" w:styleId="1300">
    <w:name w:val="Body Text(ch)"/>
    <w:basedOn w:val="1208"/>
    <w:next w:val="1231"/>
    <w:link w:val="1208"/>
    <w:pPr>
      <w:spacing w:after="120"/>
    </w:pPr>
    <w:rPr>
      <w:rFonts w:ascii="宋体" w:hAnsi="Arial"/>
      <w:bCs/>
      <w:iCs/>
      <w:szCs w:val="24"/>
    </w:rPr>
  </w:style>
  <w:style w:type="paragraph" w:styleId="1301">
    <w:name w:val="正文1"/>
    <w:next w:val="1301"/>
    <w:link w:val="1208"/>
    <w:qFormat/>
    <w:rPr>
      <w:rFonts w:ascii="Helvetica" w:hAnsi="Helvetica" w:eastAsia="Arial Unicode MS" w:cs="Arial Unicode MS"/>
      <w:color w:val="000000"/>
      <w:sz w:val="22"/>
      <w:szCs w:val="22"/>
      <w:lang w:val="en-US" w:eastAsia="zh-CN" w:bidi="ar-SA"/>
    </w:rPr>
  </w:style>
  <w:style w:type="paragraph" w:styleId="1302">
    <w:name w:val="xl26"/>
    <w:basedOn w:val="1208"/>
    <w:next w:val="1302"/>
    <w:link w:val="12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03">
    <w:name w:val="普通 (Web)"/>
    <w:basedOn w:val="1208"/>
    <w:next w:val="1303"/>
    <w:link w:val="1208"/>
    <w:pPr>
      <w:jc w:val="left"/>
      <w:spacing w:before="100" w:beforeAutospacing="1" w:after="100" w:afterAutospacing="1"/>
      <w:widowControl/>
    </w:pPr>
    <w:rPr>
      <w:rFonts w:ascii="宋体" w:hAnsi="宋体"/>
      <w:sz w:val="24"/>
      <w:szCs w:val="24"/>
    </w:rPr>
  </w:style>
  <w:style w:type="paragraph" w:styleId="1304">
    <w:name w:val="列出段落"/>
    <w:basedOn w:val="1208"/>
    <w:next w:val="1304"/>
    <w:link w:val="1208"/>
    <w:uiPriority w:val="34"/>
    <w:qFormat/>
    <w:pPr>
      <w:contextualSpacing/>
      <w:ind w:left="720"/>
      <w:jc w:val="left"/>
      <w:widowControl/>
    </w:pPr>
    <w:rPr>
      <w:rFonts w:ascii="Calibri" w:hAnsi="Calibri"/>
      <w:sz w:val="24"/>
      <w:szCs w:val="24"/>
      <w:lang w:eastAsia="en-US" w:bidi="en-US"/>
    </w:rPr>
  </w:style>
  <w:style w:type="paragraph" w:styleId="1305">
    <w:name w:val="_Style 4"/>
    <w:basedOn w:val="1208"/>
    <w:next w:val="1305"/>
    <w:link w:val="1208"/>
    <w:uiPriority w:val="34"/>
    <w:qFormat/>
    <w:pPr>
      <w:ind w:firstLine="420"/>
    </w:pPr>
    <w:rPr>
      <w:rFonts w:ascii="Calibri" w:hAnsi="Calibri"/>
      <w:szCs w:val="22"/>
    </w:rPr>
  </w:style>
  <w:style w:type="paragraph" w:styleId="1306">
    <w:name w:val="font7"/>
    <w:basedOn w:val="1208"/>
    <w:next w:val="1306"/>
    <w:link w:val="1208"/>
    <w:pPr>
      <w:jc w:val="left"/>
      <w:spacing w:before="100" w:beforeAutospacing="1" w:after="100" w:afterAutospacing="1"/>
      <w:widowControl/>
    </w:pPr>
    <w:rPr>
      <w:rFonts w:hint="eastAsia" w:ascii="宋体" w:hAnsi="宋体"/>
      <w:sz w:val="18"/>
      <w:szCs w:val="18"/>
    </w:rPr>
  </w:style>
  <w:style w:type="paragraph" w:styleId="1307">
    <w:name w:val="附录1"/>
    <w:next w:val="1307"/>
    <w:link w:val="1208"/>
    <w:pPr>
      <w:numPr>
        <w:ilvl w:val="0"/>
        <w:numId w:val="2"/>
      </w:numPr>
      <w:spacing w:before="240" w:line="600" w:lineRule="atLeast"/>
      <w:tabs>
        <w:tab w:val="left" w:pos="907" w:leader="none"/>
      </w:tabs>
    </w:pPr>
    <w:rPr>
      <w:b/>
      <w:i/>
      <w:sz w:val="28"/>
      <w:lang w:val="en-US" w:eastAsia="zh-CN" w:bidi="ar-SA"/>
    </w:rPr>
  </w:style>
  <w:style w:type="paragraph" w:styleId="1308">
    <w:name w:val="xl27"/>
    <w:basedOn w:val="1208"/>
    <w:next w:val="1308"/>
    <w:link w:val="12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09">
    <w:name w:val="Char"/>
    <w:basedOn w:val="1208"/>
    <w:next w:val="1309"/>
    <w:link w:val="1208"/>
    <w:pPr>
      <w:ind w:firstLine="200"/>
      <w:tabs>
        <w:tab w:val="left" w:pos="360" w:leader="none"/>
      </w:tabs>
    </w:pPr>
    <w:rPr>
      <w:sz w:val="28"/>
      <w:szCs w:val="30"/>
    </w:rPr>
  </w:style>
  <w:style w:type="paragraph" w:styleId="1310">
    <w:name w:val=" Char"/>
    <w:basedOn w:val="1227"/>
    <w:next w:val="1310"/>
    <w:link w:val="1208"/>
    <w:rPr>
      <w:rFonts w:ascii="Tahoma" w:hAnsi="Tahoma"/>
      <w:sz w:val="24"/>
      <w:szCs w:val="24"/>
    </w:rPr>
  </w:style>
  <w:style w:type="paragraph" w:styleId="1311">
    <w:name w:val="xl24"/>
    <w:basedOn w:val="1208"/>
    <w:next w:val="1311"/>
    <w:link w:val="12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2">
    <w:name w:val="标题1"/>
    <w:basedOn w:val="1208"/>
    <w:next w:val="1208"/>
    <w:link w:val="1208"/>
    <w:pPr>
      <w:jc w:val="center"/>
      <w:spacing w:line="700" w:lineRule="atLeast"/>
      <w:tabs>
        <w:tab w:val="left" w:pos="9193" w:leader="none"/>
        <w:tab w:val="left" w:pos="9827" w:leader="none"/>
      </w:tabs>
    </w:pPr>
    <w:rPr>
      <w:rFonts w:ascii="方正小标宋_GBK" w:eastAsia="方正小标宋_GBK"/>
      <w:sz w:val="44"/>
      <w:szCs w:val="20"/>
    </w:rPr>
  </w:style>
  <w:style w:type="paragraph" w:styleId="1313">
    <w:name w:val="xl28"/>
    <w:basedOn w:val="1208"/>
    <w:next w:val="1313"/>
    <w:link w:val="12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4">
    <w:name w:val="修订"/>
    <w:next w:val="1314"/>
    <w:link w:val="1208"/>
    <w:uiPriority w:val="99"/>
    <w:unhideWhenUsed/>
    <w:rPr>
      <w:sz w:val="21"/>
      <w:szCs w:val="21"/>
      <w:lang w:val="en-US" w:eastAsia="zh-CN" w:bidi="ar-SA"/>
    </w:rPr>
  </w:style>
  <w:style w:type="character" w:styleId="1315">
    <w:name w:val="font01"/>
    <w:next w:val="1315"/>
    <w:link w:val="1208"/>
    <w:qFormat/>
    <w:rPr>
      <w:rFonts w:hint="eastAsia" w:ascii="宋体" w:hAnsi="宋体" w:eastAsia="宋体" w:cs="宋体"/>
      <w:color w:val="000000"/>
      <w:sz w:val="20"/>
      <w:szCs w:val="20"/>
      <w:u w:val="none"/>
    </w:rPr>
  </w:style>
  <w:style w:type="paragraph" w:styleId="1316">
    <w:name w:val="无间隔1"/>
    <w:basedOn w:val="1208"/>
    <w:next w:val="1316"/>
    <w:link w:val="1208"/>
    <w:uiPriority w:val="1"/>
    <w:qFormat/>
    <w:pPr>
      <w:spacing w:line="400" w:lineRule="exact"/>
    </w:pPr>
    <w:rPr>
      <w:rFonts w:eastAsia="宋体"/>
      <w:sz w:val="24"/>
    </w:rPr>
  </w:style>
  <w:style w:type="character" w:styleId="1317">
    <w:name w:val="font61"/>
    <w:next w:val="1317"/>
    <w:link w:val="1208"/>
    <w:rPr>
      <w:rFonts w:hint="eastAsia" w:ascii="新宋体" w:hAnsi="新宋体" w:eastAsia="新宋体" w:cs="新宋体"/>
      <w:i w:val="0"/>
      <w:iCs w:val="0"/>
      <w:color w:val="000000"/>
      <w:sz w:val="24"/>
      <w:szCs w:val="24"/>
      <w:u w:val="none"/>
    </w:rPr>
  </w:style>
  <w:style w:type="character" w:styleId="1318">
    <w:name w:val="font11"/>
    <w:next w:val="1318"/>
    <w:link w:val="1208"/>
    <w:rPr>
      <w:rFonts w:hint="eastAsia" w:ascii="宋体" w:hAnsi="宋体" w:eastAsia="宋体" w:cs="宋体"/>
      <w:i w:val="0"/>
      <w:iCs w:val="0"/>
      <w:color w:val="000000"/>
      <w:sz w:val="24"/>
      <w:szCs w:val="24"/>
      <w:u w:val="none"/>
    </w:rPr>
  </w:style>
  <w:style w:type="character" w:styleId="1319">
    <w:name w:val="font21"/>
    <w:next w:val="1319"/>
    <w:link w:val="1208"/>
    <w:rPr>
      <w:rFonts w:hint="eastAsia" w:ascii="宋体" w:hAnsi="宋体" w:eastAsia="宋体" w:cs="宋体"/>
      <w:b/>
      <w:bCs/>
      <w:i w:val="0"/>
      <w:iCs w:val="0"/>
      <w:color w:val="000000"/>
      <w:sz w:val="24"/>
      <w:szCs w:val="24"/>
      <w:u w:val="none"/>
    </w:rPr>
  </w:style>
  <w:style w:type="character" w:styleId="1320">
    <w:name w:val="font51"/>
    <w:next w:val="1320"/>
    <w:link w:val="1208"/>
    <w:rPr>
      <w:rFonts w:hint="eastAsia" w:ascii="新宋体" w:hAnsi="新宋体" w:eastAsia="新宋体" w:cs="新宋体"/>
      <w:b/>
      <w:bCs/>
      <w:i w:val="0"/>
      <w:iCs w:val="0"/>
      <w:color w:val="000000"/>
      <w:sz w:val="24"/>
      <w:szCs w:val="24"/>
      <w:u w:val="none"/>
    </w:rPr>
  </w:style>
  <w:style w:type="character" w:styleId="1321">
    <w:name w:val="active15"/>
    <w:next w:val="1321"/>
    <w:link w:val="1208"/>
    <w:rPr>
      <w:color w:val="ffffff"/>
      <w:shd w:val="clear" w:color="auto" w:fill="0f5bb9"/>
    </w:rPr>
  </w:style>
  <w:style w:type="paragraph" w:styleId="1322">
    <w:name w:val="顶端正小标题"/>
    <w:basedOn w:val="1323"/>
    <w:next w:val="1322"/>
    <w:link w:val="1208"/>
    <w:qFormat/>
    <w:pPr>
      <w:spacing w:after="100"/>
    </w:pPr>
    <w:rPr>
      <w:sz w:val="32"/>
    </w:rPr>
  </w:style>
  <w:style w:type="paragraph" w:styleId="1323">
    <w:name w:val="顶端正中标题"/>
    <w:basedOn w:val="1208"/>
    <w:next w:val="1323"/>
    <w:link w:val="1208"/>
    <w:qFormat/>
    <w:pPr>
      <w:ind w:firstLine="0"/>
      <w:jc w:val="center"/>
    </w:pPr>
    <w:rPr>
      <w:rFonts w:hint="eastAsia"/>
      <w:b/>
      <w:bCs/>
      <w:sz w:val="44"/>
      <w:szCs w:val="44"/>
    </w:rPr>
  </w:style>
  <w:style w:type="paragraph" w:styleId="1324">
    <w:name w:val="签章缩进"/>
    <w:basedOn w:val="1208"/>
    <w:next w:val="1208"/>
    <w:link w:val="1208"/>
    <w:qFormat/>
    <w:pPr>
      <w:ind w:left="4320" w:firstLine="0"/>
      <w:spacing w:line="480" w:lineRule="auto"/>
    </w:pPr>
  </w:style>
  <w:style w:type="paragraph" w:styleId="1325">
    <w:name w:val="普通(网站)1"/>
    <w:basedOn w:val="1208"/>
    <w:next w:val="1325"/>
    <w:link w:val="1208"/>
    <w:uiPriority w:val="99"/>
    <w:qFormat/>
    <w:pPr>
      <w:jc w:val="left"/>
      <w:spacing w:before="100" w:beforeAutospacing="1" w:after="100" w:afterAutospacing="1"/>
      <w:widowControl/>
    </w:pPr>
    <w:rPr>
      <w:rFonts w:ascii="宋体" w:hAnsi="宋体" w:cs="宋体"/>
      <w:sz w:val="24"/>
      <w:szCs w:val="24"/>
    </w:rPr>
  </w:style>
  <w:style w:type="paragraph" w:styleId="1326">
    <w:name w:val="普通(网站)11"/>
    <w:basedOn w:val="1208"/>
    <w:next w:val="1326"/>
    <w:link w:val="1208"/>
    <w:qFormat/>
    <w:rPr>
      <w:sz w:val="24"/>
    </w:rPr>
  </w:style>
  <w:style w:type="paragraph" w:styleId="1327">
    <w:name w:val="页脚1"/>
    <w:basedOn w:val="1208"/>
    <w:next w:val="1327"/>
    <w:link w:val="1208"/>
    <w:qFormat/>
    <w:pPr>
      <w:jc w:val="left"/>
      <w:tabs>
        <w:tab w:val="center" w:pos="4153" w:leader="none"/>
        <w:tab w:val="right" w:pos="8306" w:leader="none"/>
      </w:tabs>
    </w:pPr>
    <w:rPr>
      <w:sz w:val="18"/>
      <w:szCs w:val="18"/>
    </w:rPr>
  </w:style>
  <w:style w:type="paragraph" w:styleId="1328">
    <w:name w:val="Char Char Char Char Char Char Char Char1"/>
    <w:basedOn w:val="1208"/>
    <w:next w:val="1328"/>
    <w:link w:val="1208"/>
    <w:qFormat/>
    <w:pPr>
      <w:jc w:val="left"/>
      <w:spacing w:after="160" w:line="240" w:lineRule="exact"/>
      <w:widowControl/>
    </w:pPr>
    <w:rPr>
      <w:rFonts w:ascii="Verdana" w:hAnsi="Verdana"/>
      <w:sz w:val="20"/>
      <w:szCs w:val="20"/>
      <w:lang w:eastAsia="en-US"/>
    </w:rPr>
  </w:style>
  <w:style w:type="character" w:styleId="1329">
    <w:name w:val="font41"/>
    <w:basedOn w:val="1218"/>
    <w:next w:val="1329"/>
    <w:link w:val="1208"/>
    <w:rPr>
      <w:rFonts w:hint="eastAsia" w:ascii="宋体" w:hAnsi="宋体" w:eastAsia="宋体" w:cs="宋体"/>
      <w:i w:val="0"/>
      <w:iCs w:val="0"/>
      <w:color w:val="000000"/>
      <w:sz w:val="20"/>
      <w:szCs w:val="20"/>
      <w:u w:val="none"/>
    </w:rPr>
  </w:style>
  <w:style w:type="character" w:styleId="1330">
    <w:name w:val="NormalCharacter11"/>
    <w:next w:val="1330"/>
    <w:link w:val="1331"/>
    <w:semiHidden/>
    <w:qFormat/>
    <w:rPr>
      <w:rFonts w:ascii="Wingdings 2" w:hAnsi="Wingdings 2"/>
    </w:rPr>
  </w:style>
  <w:style w:type="paragraph" w:styleId="1331">
    <w:name w:val="UserStyle_0"/>
    <w:basedOn w:val="1208"/>
    <w:next w:val="1331"/>
    <w:link w:val="1330"/>
    <w:qFormat/>
    <w:rPr>
      <w:rFonts w:ascii="Wingdings 2" w:hAnsi="Wingdings 2"/>
    </w:rPr>
  </w:style>
  <w:style w:type="character" w:styleId="1332" w:default="1">
    <w:name w:val="Default Paragraph Font"/>
    <w:uiPriority w:val="1"/>
    <w:semiHidden/>
    <w:unhideWhenUsed/>
  </w:style>
  <w:style w:type="numbering" w:styleId="1333" w:default="1">
    <w:name w:val="No List"/>
    <w:uiPriority w:val="99"/>
    <w:semiHidden/>
    <w:unhideWhenUsed/>
  </w:style>
  <w:style w:type="table" w:styleId="1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dc:creator>
  <cp:lastModifiedBy>刘训和</cp:lastModifiedBy>
  <cp:revision>3</cp:revision>
  <dcterms:created xsi:type="dcterms:W3CDTF">2023-01-21T03:39:00Z</dcterms:created>
  <dcterms:modified xsi:type="dcterms:W3CDTF">2026-08-21T07:40:31Z</dcterms:modified>
</cp:coreProperties>
</file>