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4396"/>
      <w:r/>
      <w:bookmarkStart w:id="3" w:name="_Toc2656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06"/>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107"/>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107"/>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w:t>
      </w:r>
      <w:r>
        <w:rPr>
          <w:rFonts w:hint="eastAsia"/>
          <w:lang w:val="en-US" w:eastAsia="zh-CN"/>
        </w:rPr>
        <w:t xml:space="preserve">常州市</w:t>
      </w:r>
      <w:r>
        <w:rPr>
          <w:rFonts w:hint="eastAsia"/>
        </w:rPr>
        <w:t xml:space="preserve">金坛区中医医院云主机、云桌面、云存储、无线</w:t>
      </w:r>
      <w:r/>
    </w:p>
    <w:p>
      <w:pPr>
        <w:ind w:firstLine="2520"/>
        <w:spacing w:line="360" w:lineRule="auto"/>
        <w:shd w:val="clear" w:color="auto" w:fill="ffffff"/>
        <w:widowControl/>
        <w:rPr>
          <w:rFonts w:hint="eastAsia"/>
        </w:rPr>
      </w:pPr>
      <w:r>
        <w:rPr>
          <w:rFonts w:hint="eastAsia"/>
        </w:rPr>
        <w:t xml:space="preserve">覆盖服务项目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20"/>
        <w:spacing w:line="360" w:lineRule="auto"/>
        <w:shd w:val="clear" w:color="auto" w:fill="ffffff"/>
        <w:widowControl/>
        <w:rPr>
          <w:rFonts w:hint="eastAsia" w:ascii="Times New Roman" w:eastAsia="宋体" w:cs="Times New Roman"/>
          <w:lang w:val="en-US" w:eastAsia="zh-CN"/>
        </w:rPr>
        <w:outlineLvl w:val="9"/>
      </w:pPr>
      <w:r>
        <w:rPr>
          <w:rFonts w:hint="eastAsia" w:ascii="Times New Roman" w:eastAsia="宋体" w:cs="Times New Roman"/>
          <w:lang w:val="en-US" w:eastAsia="zh-CN"/>
        </w:rPr>
        <w:t xml:space="preserve">项目编号：</w:t>
      </w:r>
      <w:r>
        <w:rPr>
          <w:rFonts w:hint="eastAsia" w:ascii="宋体" w:hAnsi="宋体" w:eastAsia="宋体" w:cs="宋体"/>
          <w:lang w:val="en-US" w:eastAsia="zh-CN"/>
        </w:rPr>
        <w:t xml:space="preserve">JSZC-320413-JZCG-G2026-0029</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eastAsia="宋体"/>
          <w:lang w:val="en-US" w:eastAsia="zh-CN"/>
        </w:rPr>
        <w:t xml:space="preserve">常州市</w:t>
      </w:r>
      <w:r>
        <w:rPr>
          <w:rFonts w:hint="eastAsia"/>
        </w:rPr>
        <w:t xml:space="preserve">金坛区中医医院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lang w:val="en-US" w:eastAsia="zh-CN"/>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106"/>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3337"/>
      <w:r/>
      <w:bookmarkStart w:id="9" w:name="_Toc16103"/>
      <w:r/>
      <w:bookmarkStart w:id="10" w:name="_Toc548"/>
      <w:r/>
      <w:bookmarkStart w:id="11" w:name="_Toc5725"/>
      <w:r/>
      <w:bookmarkStart w:id="12" w:name="_Toc20084"/>
      <w:r/>
      <w:bookmarkStart w:id="13" w:name="_Toc1655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7"/>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108"/>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JSZC-320413-JZCG-G2026-0029</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常州市金坛区中医医院云主机、云桌面、云存储、无线</w:t>
      </w:r>
      <w:r/>
    </w:p>
    <w:p>
      <w:pPr>
        <w:ind w:firstLine="267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覆盖服务项目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210万元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210万元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11"/>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8"/>
        <w:gridCol w:w="843"/>
        <w:gridCol w:w="800"/>
        <w:gridCol w:w="3654"/>
        <w:gridCol w:w="815"/>
      </w:tblGrid>
      <w:tr>
        <w:trPr>
          <w:trHeight w:val="454"/>
        </w:trPr>
        <w:tc>
          <w:tcPr>
            <w:tcW w:w="3428"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4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428" w:type="dxa"/>
            <w:vAlign w:val="center"/>
            <w:textDirection w:val="lrTb"/>
            <w:noWrap w:val="false"/>
          </w:tcPr>
          <w:p>
            <w:pPr>
              <w:ind w:left="0" w:right="0" w:firstLine="0"/>
              <w:keepLines w:val="0"/>
              <w:keepNext w:val="0"/>
              <w:spacing w:before="0" w:beforeAutospacing="0" w:after="0" w:afterAutospacing="0" w:line="360" w:lineRule="auto"/>
              <w:shd w:val="clear" w:color="auto" w:fill="ffffff"/>
              <w:widowControl/>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ascii="Calibri" w:eastAsia="宋体"/>
                <w:lang w:val="en-US" w:eastAsia="zh-CN"/>
              </w:rPr>
              <w:t xml:space="preserve">常州市</w:t>
            </w:r>
            <w:r>
              <w:rPr>
                <w:rFonts w:hint="eastAsia"/>
              </w:rPr>
              <w:t xml:space="preserve">金坛区中医医院云主机、云桌面、云存储、无线覆盖服务项目</w:t>
            </w:r>
            <w:r/>
          </w:p>
        </w:tc>
        <w:tc>
          <w:tcPr>
            <w:tcW w:w="843"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本项目服务期限为一年</w:t>
      </w:r>
      <w:r>
        <w:rPr>
          <w:rFonts w:hint="eastAsia" w:ascii="宋体" w:hAnsi="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108"/>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08"/>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w:t>
      </w:r>
      <w:r>
        <w:rPr>
          <w:rFonts w:hint="eastAsia" w:ascii="宋体" w:hAnsi="宋体" w:cs="宋体"/>
          <w:bCs/>
          <w:color w:val="000000"/>
          <w:szCs w:val="28"/>
          <w:lang w:val="en-US" w:eastAsia="zh-CN"/>
        </w:rPr>
        <w:t xml:space="preserve">5个工作日</w:t>
      </w:r>
      <w:r>
        <w:rPr>
          <w:rFonts w:hint="eastAsia" w:ascii="宋体" w:hAnsi="宋体" w:cs="宋体"/>
          <w:bCs/>
          <w:color w:val="000000"/>
          <w:szCs w:val="28"/>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108"/>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28359007"/>
      <w:r/>
      <w:bookmarkStart w:id="18" w:name="_Toc35393625"/>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08</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19</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108"/>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108"/>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108"/>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常州市金坛区中医医院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卢女士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0519-82101205</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金坛区南门大街16号</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33"/>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33"/>
          <w:rFonts w:hint="eastAsia" w:ascii="宋体" w:hAnsi="宋体" w:eastAsia="宋体" w:cs="宋体"/>
          <w:sz w:val="28"/>
          <w:szCs w:val="28"/>
        </w:rPr>
      </w:pPr>
      <w:r/>
      <w:bookmarkStart w:id="21" w:name="_Toc11125"/>
      <w:r/>
      <w:bookmarkStart w:id="22" w:name="_Toc2993"/>
      <w:r/>
      <w:bookmarkStart w:id="23" w:name="_Toc7653"/>
      <w:r/>
      <w:bookmarkStart w:id="24" w:name="_Toc16227"/>
      <w:r/>
      <w:bookmarkStart w:id="25" w:name="_Toc29535"/>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pStyle w:val="1107"/>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Style w:val="1133"/>
          <w:rFonts w:hint="eastAsia" w:ascii="宋体" w:hAnsi="宋体" w:eastAsia="宋体" w:cs="宋体"/>
          <w:sz w:val="28"/>
          <w:szCs w:val="28"/>
        </w:rPr>
      </w:r>
      <w:r>
        <w:rPr>
          <w:rStyle w:val="1133"/>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pStyle w:val="1108"/>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11"/>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val="0"/>
                <w:bCs w:val="0"/>
                <w:color w:val="1d41d5"/>
                <w:spacing w:val="8"/>
                <w:sz w:val="28"/>
                <w:szCs w:val="28"/>
                <w:u w:val="single"/>
                <w:lang w:val="en-US" w:eastAsia="zh-CN"/>
              </w:rPr>
              <w:t xml:space="preserve">常州市金坛区中医医院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210</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08</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eastAsia="宋体" w:cs="宋体"/>
                <w:color w:val="333333"/>
                <w:spacing w:val="8"/>
                <w:sz w:val="28"/>
                <w:szCs w:val="28"/>
                <w:lang w:val="zh-CN" w:eastAsia="zh-CN"/>
              </w:rPr>
              <w:t xml:space="preserve">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08</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59"/>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108"/>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08"/>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108"/>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108"/>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108"/>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108"/>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34"/>
          <w:rFonts w:hint="eastAsia"/>
          <w:lang w:val="en-US" w:eastAsia="zh-CN"/>
        </w:rPr>
      </w:pPr>
      <w:r>
        <w:rPr>
          <w:rStyle w:val="1134"/>
          <w:rFonts w:hint="eastAsia"/>
          <w:lang w:val="en-US" w:eastAsia="zh-CN"/>
        </w:rPr>
        <w:br w:type="page" w:clear="all"/>
      </w:r>
      <w:r/>
    </w:p>
    <w:p>
      <w:pPr>
        <w:ind w:left="0" w:firstLine="3935"/>
        <w:jc w:val="both"/>
        <w:keepLines w:val="0"/>
        <w:keepNext w:val="0"/>
        <w:pageBreakBefore w:val="0"/>
        <w:spacing w:line="360" w:lineRule="auto"/>
        <w:widowControl w:val="off"/>
        <w:rPr>
          <w:rStyle w:val="1134"/>
          <w:rFonts w:hint="eastAsia"/>
          <w:lang w:val="en-US" w:eastAsia="zh-CN"/>
        </w:rPr>
        <w:outlineLvl w:val="9"/>
      </w:pPr>
      <w:r>
        <w:rPr>
          <w:rStyle w:val="1134"/>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7"/>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8"/>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108"/>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11"/>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7340"/>
      <w:r/>
      <w:bookmarkStart w:id="27" w:name="_Toc19240"/>
      <w:r/>
      <w:bookmarkStart w:id="28" w:name="_Toc18937"/>
      <w:r/>
      <w:bookmarkStart w:id="29" w:name="_Toc6649"/>
      <w:r/>
      <w:bookmarkStart w:id="30"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7"/>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8"/>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108"/>
        <w:spacing w:line="240" w:lineRule="auto"/>
        <w:rPr>
          <w:rFonts w:hint="eastAsia"/>
          <w:lang w:val="en-US" w:eastAsia="zh-CN"/>
        </w:rPr>
      </w:pPr>
      <w:r>
        <w:rPr>
          <w:rFonts w:hint="eastAsia"/>
          <w:lang w:val="en-US" w:eastAsia="zh-CN"/>
        </w:rPr>
        <w:t xml:space="preserve">第二节  符合性审查要求</w:t>
      </w:r>
      <w:r/>
    </w:p>
    <w:tbl>
      <w:tblPr>
        <w:tblStyle w:val="1111"/>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1108"/>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108"/>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108"/>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1111"/>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6"/>
        <w:gridCol w:w="1117"/>
        <w:gridCol w:w="4800"/>
        <w:gridCol w:w="821"/>
        <w:gridCol w:w="630"/>
        <w:gridCol w:w="756"/>
        <w:gridCol w:w="754"/>
      </w:tblGrid>
      <w:tr>
        <w:trPr>
          <w:trHeight w:val="420"/>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46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462"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573"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462"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2.1</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sz w:val="28"/>
                <w:szCs w:val="28"/>
              </w:rPr>
              <w:t xml:space="preserve">总体技术方案</w:t>
            </w:r>
            <w:r/>
          </w:p>
        </w:tc>
        <w:tc>
          <w:tcPr>
            <w:tcMar>
              <w:left w:w="108" w:type="dxa"/>
              <w:top w:w="0" w:type="dxa"/>
              <w:right w:w="108" w:type="dxa"/>
              <w:bottom w:w="0" w:type="dxa"/>
            </w:tcMar>
            <w:tcW w:w="2462"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投标人针对本项目提供的总体技术方案，</w:t>
            </w:r>
            <w:r>
              <w:rPr>
                <w:rFonts w:hint="eastAsia" w:ascii="宋体" w:hAnsi="宋体" w:eastAsia="宋体" w:cs="宋体"/>
                <w:sz w:val="28"/>
                <w:szCs w:val="28"/>
                <w:highlight w:val="none"/>
                <w:lang w:val="zh-CN"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针对本项目的需求分析；</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针对本项目的总体方案；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针对本项目的技术方案；</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针对本项目的难点分析</w:t>
            </w:r>
            <w:r>
              <w:rPr>
                <w:rFonts w:hint="eastAsia" w:ascii="宋体" w:hAnsi="宋体" w:eastAsia="宋体" w:cs="宋体"/>
                <w:sz w:val="28"/>
                <w:szCs w:val="28"/>
                <w:lang w:eastAsia="zh-CN"/>
              </w:rPr>
              <w:t xml:space="preserve">；</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考察以上内容，每满足任意一项内容得20%，最高得80%。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在此基础上，专家根据各投标人的具体响应内容按照量化的评审因素指标进一步评审。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内容描述完整、内容涵盖详实、全面、有效可行、响应度高、专业性强的，评审为优加20%；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方案基本涵盖上述全部内容，描述基本详尽、基本可行、响应度一般，评审为良加10%；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方案描述一般、内容简单、响应度较低，评审为中加5%；</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方案描述差、内容简单、响应度低评审为差的，不加分</w:t>
            </w:r>
            <w:r>
              <w:rPr>
                <w:rFonts w:hint="eastAsia" w:ascii="宋体" w:hAnsi="宋体" w:eastAsia="宋体" w:cs="宋体"/>
                <w:sz w:val="28"/>
                <w:szCs w:val="28"/>
                <w:lang w:eastAsia="zh-CN"/>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未提供的不得分。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val="0"/>
                <w:bCs/>
                <w:sz w:val="28"/>
                <w:szCs w:val="28"/>
                <w:lang w:val="en-US" w:eastAsia="zh-CN"/>
              </w:rPr>
              <w:suppressLineNumbers w:val="0"/>
            </w:pPr>
            <w:r>
              <w:rPr>
                <w:rFonts w:hint="eastAsia" w:ascii="宋体" w:hAnsi="宋体" w:cs="宋体"/>
                <w:b/>
                <w:bCs w:val="0"/>
                <w:sz w:val="28"/>
                <w:szCs w:val="28"/>
                <w:lang w:val="en-US" w:eastAsia="zh-CN"/>
              </w:rPr>
              <w:t xml:space="preserve">2.2</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sz w:val="28"/>
                <w:szCs w:val="28"/>
              </w:rPr>
              <w:t xml:space="preserve">项目实施方案</w:t>
            </w:r>
            <w:r/>
          </w:p>
        </w:tc>
        <w:tc>
          <w:tcPr>
            <w:shd w:val="clear" w:color="auto" w:fill="auto"/>
            <w:tcMar>
              <w:left w:w="108" w:type="dxa"/>
              <w:top w:w="0" w:type="dxa"/>
              <w:right w:w="108" w:type="dxa"/>
              <w:bottom w:w="0" w:type="dxa"/>
            </w:tcMar>
            <w:tcW w:w="2462"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b w:val="0"/>
                <w:bCs w:val="0"/>
                <w:sz w:val="28"/>
                <w:szCs w:val="28"/>
                <w:highlight w:val="none"/>
                <w:lang w:val="en-US" w:eastAsia="zh-CN" w:bidi="ar-SA"/>
              </w:rPr>
              <w:t xml:space="preserve">投标人针对本项目提供的</w:t>
            </w:r>
            <w:r>
              <w:rPr>
                <w:rFonts w:hint="eastAsia" w:ascii="宋体" w:hAnsi="宋体" w:eastAsia="宋体" w:cs="宋体"/>
                <w:sz w:val="28"/>
                <w:szCs w:val="28"/>
              </w:rPr>
              <w:t xml:space="preserve">项目实施方案，包含但不限于以下内容:</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1.针对本项目制定的质量管理方案措施；</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2.针对本项目制定的风险控制方案措施；</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3.针对本项目制定的保密措施等；</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针对本项目的团队培训、能力提升、持续优化方案</w:t>
            </w:r>
            <w:r>
              <w:rPr>
                <w:rFonts w:hint="eastAsia" w:ascii="宋体" w:hAnsi="宋体" w:eastAsia="宋体" w:cs="宋体"/>
                <w:sz w:val="28"/>
                <w:szCs w:val="28"/>
                <w:lang w:eastAsia="zh-CN"/>
              </w:rPr>
              <w:t xml:space="preserve">；</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考察以上内容,每满足任意一项内容得20%，最高得80%。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在此基础上，专家根据各投标人的具体响应内容按照量化的评审因素指标进一步评审。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内容描述完整、内容涵盖详实、全面、有效可行、响应度高、专业性强的，评审为优加20%；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方案基本涵盖上述全部内容，描述基本详尽、基本可行、响应度一般，评审为良加10%；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方案描述一般、内容简单、响应度较低，评审为中加5%；</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方案描述差、内容简单、响应度低评审为差的，不加分</w:t>
            </w:r>
            <w:r>
              <w:rPr>
                <w:rFonts w:hint="eastAsia" w:ascii="宋体" w:hAnsi="宋体" w:eastAsia="宋体" w:cs="宋体"/>
                <w:sz w:val="28"/>
                <w:szCs w:val="28"/>
                <w:lang w:eastAsia="zh-CN"/>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未提供的不得分。</w:t>
            </w:r>
            <w:r/>
          </w:p>
        </w:tc>
        <w:tc>
          <w:tcPr>
            <w:shd w:val="clear" w:color="auto" w:fill="auto"/>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0</w:t>
            </w:r>
            <w:r/>
          </w:p>
        </w:tc>
        <w:tc>
          <w:tcPr>
            <w:shd w:val="clear" w:color="auto" w:fill="auto"/>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2.3</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安全服务团队管理方案</w:t>
            </w:r>
            <w:r/>
          </w:p>
        </w:tc>
        <w:tc>
          <w:tcPr>
            <w:shd w:val="clear" w:color="auto" w:fill="auto"/>
            <w:tcMar>
              <w:left w:w="108" w:type="dxa"/>
              <w:top w:w="0" w:type="dxa"/>
              <w:right w:w="108" w:type="dxa"/>
              <w:bottom w:w="0" w:type="dxa"/>
            </w:tcMar>
            <w:tcW w:w="2462"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b w:val="0"/>
                <w:bCs w:val="0"/>
                <w:sz w:val="28"/>
                <w:szCs w:val="28"/>
                <w:highlight w:val="none"/>
                <w:lang w:val="en-US" w:eastAsia="zh-CN" w:bidi="ar-SA"/>
              </w:rPr>
              <w:t xml:space="preserve">投标人针对本项目提供的</w:t>
            </w:r>
            <w:r>
              <w:rPr>
                <w:rFonts w:hint="eastAsia" w:ascii="宋体" w:hAnsi="宋体" w:eastAsia="宋体" w:cs="宋体"/>
                <w:sz w:val="28"/>
                <w:szCs w:val="28"/>
              </w:rPr>
              <w:t xml:space="preserve">安全服务团队管理方案，包含但不限于以下内容:</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人员组织架构配置方案；</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针对本项目的安全服务团队专项管理方案；</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项目常态化安全保障实施方案；</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针对本项目的人员保密管理与行为规范管控方案</w:t>
            </w:r>
            <w:r>
              <w:rPr>
                <w:rFonts w:hint="eastAsia" w:ascii="宋体" w:hAnsi="宋体" w:eastAsia="宋体" w:cs="宋体"/>
                <w:sz w:val="28"/>
                <w:szCs w:val="28"/>
                <w:lang w:eastAsia="zh-CN"/>
              </w:rPr>
              <w:t xml:space="preserve">；</w:t>
            </w:r>
            <w:r/>
          </w:p>
          <w:p>
            <w:pPr>
              <w:numPr>
                <w:ilvl w:val="0"/>
                <w:numId w:val="0"/>
              </w:numPr>
              <w:ind w:left="0"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考察以上内容,每满足任意一项内容得20%，最高得80%。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在此基础上，专家根据各投标人的具体响应内容按照量化的评审因素指标进一步评审。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内容描述完整、内容涵盖详实、全面、有效可行、响应度高、专业性强的，评审为优加20%；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方案基本涵盖上述全部内容，描述基本详尽、基本可行、响应度一般，评审为良加10%；</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方案描述一般、内容简单、响应度较低，评审为中加5%；</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方案描述差、内容简单、响应度低评审为差的，不加分</w:t>
            </w:r>
            <w:r>
              <w:rPr>
                <w:rFonts w:hint="eastAsia" w:ascii="宋体" w:hAnsi="宋体" w:eastAsia="宋体" w:cs="宋体"/>
                <w:sz w:val="28"/>
                <w:szCs w:val="28"/>
                <w:lang w:eastAsia="zh-CN"/>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未提供的不得分。</w:t>
            </w:r>
            <w:r/>
          </w:p>
        </w:tc>
        <w:tc>
          <w:tcPr>
            <w:shd w:val="clear" w:color="auto" w:fill="auto"/>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0</w:t>
            </w:r>
            <w:r/>
          </w:p>
        </w:tc>
        <w:tc>
          <w:tcPr>
            <w:shd w:val="clear" w:color="auto" w:fill="auto"/>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46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60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3.1</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000000"/>
                <w:sz w:val="28"/>
                <w:szCs w:val="28"/>
                <w:highlight w:val="none"/>
                <w:lang w:val="en-US" w:eastAsia="zh-CN" w:bidi="ar-SA"/>
              </w:rPr>
              <w:t xml:space="preserve">企业认证证书</w:t>
            </w:r>
            <w:r/>
          </w:p>
        </w:tc>
        <w:tc>
          <w:tcPr>
            <w:tcMar>
              <w:left w:w="108" w:type="dxa"/>
              <w:top w:w="0" w:type="dxa"/>
              <w:right w:w="108" w:type="dxa"/>
              <w:bottom w:w="0" w:type="dxa"/>
            </w:tcMar>
            <w:tcW w:w="2462"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投标人具有国家认可且在有效期内的：</w:t>
            </w:r>
            <w:r/>
          </w:p>
          <w:p>
            <w:pPr>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1.质量管理体系认证证书得1分；</w:t>
            </w:r>
            <w:r/>
          </w:p>
          <w:p>
            <w:pPr>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2.环境管理体系认证证书得1分；</w:t>
            </w:r>
            <w:r/>
          </w:p>
          <w:p>
            <w:pPr>
              <w:numPr>
                <w:ilvl w:val="0"/>
                <w:numId w:val="0"/>
              </w:numPr>
              <w:ind w:left="0" w:right="0"/>
              <w:jc w:val="both"/>
              <w:keepLines w:val="0"/>
              <w:keepNext w:val="0"/>
              <w:pageBreakBefore w:val="0"/>
              <w:spacing w:before="0" w:beforeAutospacing="0" w:after="0" w:afterAutospacing="0" w:line="440" w:lineRule="exact"/>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3.职业健康安全管理体系认证证书得1分；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cs="宋体"/>
                <w:b w:val="0"/>
                <w:bCs/>
                <w:sz w:val="28"/>
                <w:szCs w:val="28"/>
                <w:lang w:val="en-US" w:eastAsia="zh-CN"/>
              </w:rPr>
              <w:t xml:space="preserve">4.</w:t>
            </w:r>
            <w:r>
              <w:rPr>
                <w:rFonts w:hint="eastAsia" w:ascii="宋体" w:hAnsi="宋体" w:eastAsia="宋体" w:cs="宋体"/>
                <w:sz w:val="28"/>
                <w:szCs w:val="28"/>
              </w:rPr>
              <w:t xml:space="preserve">商品售后服务评价体系认证证书（认证范围包含计算机应用软件和计算机系统集成运维服务）得3分</w:t>
            </w:r>
            <w:r>
              <w:rPr>
                <w:rFonts w:hint="eastAsia" w:ascii="宋体" w:hAnsi="宋体" w:eastAsia="宋体" w:cs="宋体"/>
                <w:sz w:val="28"/>
                <w:szCs w:val="28"/>
                <w:lang w:eastAsia="zh-CN"/>
              </w:rPr>
              <w:t xml:space="preserve">；</w:t>
            </w:r>
            <w:r/>
          </w:p>
          <w:p>
            <w:pPr>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本项最高得6分。</w:t>
            </w:r>
            <w:r/>
          </w:p>
          <w:p>
            <w:pPr>
              <w:pStyle w:val="1108"/>
              <w:ind w:left="0" w:right="0" w:firstLine="0"/>
              <w:jc w:val="left"/>
              <w:pageBreakBefore w:val="0"/>
              <w:spacing w:before="0" w:beforeAutospacing="0" w:after="0" w:afterAutospacing="0" w:line="440" w:lineRule="exact"/>
              <w:rPr>
                <w:rFonts w:hint="default"/>
                <w:lang w:val="en-US" w:eastAsia="zh-CN"/>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3.2</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000000"/>
                <w:sz w:val="28"/>
                <w:szCs w:val="28"/>
                <w:highlight w:val="none"/>
                <w:lang w:val="en-US" w:eastAsia="zh-CN" w:bidi="ar-SA"/>
              </w:rPr>
              <w:t xml:space="preserve">企业业绩</w:t>
            </w:r>
            <w:r/>
          </w:p>
        </w:tc>
        <w:tc>
          <w:tcPr>
            <w:tcMar>
              <w:left w:w="108" w:type="dxa"/>
              <w:top w:w="0" w:type="dxa"/>
              <w:right w:w="108" w:type="dxa"/>
              <w:bottom w:w="0" w:type="dxa"/>
            </w:tcMar>
            <w:tcW w:w="2462"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投标人自2023年1月1日以来（</w:t>
            </w:r>
            <w:r>
              <w:rPr>
                <w:rFonts w:hint="eastAsia" w:ascii="宋体" w:hAnsi="宋体" w:eastAsia="宋体" w:cs="宋体"/>
                <w:b w:val="0"/>
                <w:bCs w:val="0"/>
                <w:sz w:val="28"/>
                <w:szCs w:val="28"/>
                <w:highlight w:val="none"/>
                <w:lang w:val="en-US" w:eastAsia="zh-CN" w:bidi="ar-SA"/>
              </w:rPr>
              <w:t xml:space="preserve">投标截止时间前</w:t>
            </w:r>
            <w:r>
              <w:rPr>
                <w:rFonts w:hint="eastAsia" w:ascii="宋体" w:hAnsi="宋体" w:eastAsia="宋体" w:cs="宋体"/>
                <w:sz w:val="28"/>
                <w:szCs w:val="28"/>
              </w:rPr>
              <w:t xml:space="preserve">）承担过类似云服务案例的，有一个得2分，本项最高得6分。</w:t>
            </w:r>
            <w:r>
              <w:rPr>
                <w:rFonts w:hint="eastAsia" w:ascii="宋体" w:hAnsi="宋体" w:eastAsia="宋体" w:cs="宋体"/>
                <w:b/>
                <w:bCs/>
                <w:color w:val="ff0000"/>
                <w:sz w:val="28"/>
                <w:szCs w:val="28"/>
                <w:lang w:val="en-US" w:eastAsia="zh-CN" w:bidi="ar-SA"/>
              </w:rPr>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sz w:val="28"/>
                <w:szCs w:val="28"/>
              </w:rPr>
            </w:r>
            <w:r>
              <w:rPr>
                <w:rFonts w:hint="eastAsia" w:ascii="宋体" w:hAnsi="宋体" w:eastAsia="宋体" w:cs="宋体"/>
                <w:b/>
                <w:bCs/>
                <w:color w:val="ff0000"/>
                <w:sz w:val="28"/>
                <w:szCs w:val="28"/>
                <w:lang w:val="en-US" w:eastAsia="zh-CN" w:bidi="ar-SA"/>
              </w:rPr>
              <w:t xml:space="preserve">注：1.提供合同证明材料。</w:t>
            </w:r>
            <w:r/>
          </w:p>
          <w:p>
            <w:pPr>
              <w:ind w:left="0" w:right="0" w:firstLine="56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3.3</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项目负责人</w:t>
            </w:r>
            <w:r/>
          </w:p>
        </w:tc>
        <w:tc>
          <w:tcPr>
            <w:shd w:val="clear" w:color="auto" w:fill="auto"/>
            <w:tcMar>
              <w:left w:w="108" w:type="dxa"/>
              <w:top w:w="0" w:type="dxa"/>
              <w:right w:w="108" w:type="dxa"/>
              <w:bottom w:w="0" w:type="dxa"/>
            </w:tcMar>
            <w:tcW w:w="2462" w:type="pct"/>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投标人</w:t>
            </w:r>
            <w:r>
              <w:rPr>
                <w:rFonts w:hint="eastAsia" w:ascii="宋体" w:hAnsi="宋体" w:eastAsia="宋体" w:cs="宋体"/>
                <w:b/>
                <w:bCs/>
                <w:sz w:val="28"/>
                <w:szCs w:val="28"/>
              </w:rPr>
              <w:t xml:space="preserve">拟派本项目项目</w:t>
            </w:r>
            <w:r>
              <w:rPr>
                <w:rFonts w:hint="eastAsia" w:ascii="宋体" w:hAnsi="宋体" w:eastAsia="宋体" w:cs="宋体"/>
                <w:b/>
                <w:bCs/>
                <w:sz w:val="28"/>
                <w:szCs w:val="28"/>
                <w:lang w:val="en-US" w:eastAsia="zh-CN"/>
              </w:rPr>
              <w:t xml:space="preserve">负责人</w:t>
            </w:r>
            <w:r>
              <w:rPr>
                <w:rFonts w:hint="eastAsia" w:ascii="宋体" w:hAnsi="宋体" w:eastAsia="宋体" w:cs="宋体"/>
                <w:b/>
                <w:bCs/>
                <w:sz w:val="28"/>
                <w:szCs w:val="28"/>
              </w:rPr>
              <w:t xml:space="preserve">具有（限评1人</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不得兼职</w:t>
            </w:r>
            <w:r>
              <w:rPr>
                <w:rFonts w:hint="eastAsia" w:ascii="宋体" w:hAnsi="宋体" w:eastAsia="宋体" w:cs="宋体"/>
                <w:b/>
                <w:bCs/>
                <w:sz w:val="28"/>
                <w:szCs w:val="28"/>
              </w:rPr>
              <w:t xml:space="preserve">）：</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信息系统项目管理师得4分；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注册信息安全工程师证书得4分；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网络安全能力认证-网络安全管理I级</w:t>
            </w:r>
            <w:r>
              <w:rPr>
                <w:rFonts w:hint="eastAsia" w:ascii="宋体" w:hAnsi="宋体" w:eastAsia="宋体" w:cs="宋体"/>
                <w:sz w:val="28"/>
                <w:szCs w:val="28"/>
                <w:lang w:val="en-US" w:eastAsia="zh-CN"/>
              </w:rPr>
              <w:t xml:space="preserve">证书</w:t>
            </w:r>
            <w:r>
              <w:rPr>
                <w:rFonts w:hint="eastAsia" w:ascii="宋体" w:hAnsi="宋体" w:eastAsia="宋体" w:cs="宋体"/>
                <w:sz w:val="28"/>
                <w:szCs w:val="28"/>
              </w:rPr>
              <w:t xml:space="preserve">得4分；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IT服务工程师</w:t>
            </w:r>
            <w:r>
              <w:rPr>
                <w:rFonts w:hint="eastAsia" w:ascii="宋体" w:hAnsi="宋体" w:eastAsia="宋体" w:cs="宋体"/>
                <w:sz w:val="28"/>
                <w:szCs w:val="28"/>
                <w:lang w:val="en-US" w:eastAsia="zh-CN"/>
              </w:rPr>
              <w:t xml:space="preserve">证书</w:t>
            </w:r>
            <w:r>
              <w:rPr>
                <w:rFonts w:hint="eastAsia" w:ascii="宋体" w:hAnsi="宋体" w:eastAsia="宋体" w:cs="宋体"/>
                <w:sz w:val="28"/>
                <w:szCs w:val="28"/>
              </w:rPr>
              <w:t xml:space="preserve">得4分；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本大项最高得16分。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2.标人为其缴纳的近半年（投标文件提交截止时间往前推）任意一个月的社保缴纳证明材料；</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16</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3.4</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sz w:val="28"/>
                <w:szCs w:val="28"/>
              </w:rPr>
              <w:t xml:space="preserve">安全负责人</w:t>
            </w:r>
            <w:r/>
          </w:p>
        </w:tc>
        <w:tc>
          <w:tcPr>
            <w:shd w:val="clear" w:color="auto" w:fill="auto"/>
            <w:tcMar>
              <w:left w:w="108" w:type="dxa"/>
              <w:top w:w="0" w:type="dxa"/>
              <w:right w:w="108" w:type="dxa"/>
              <w:bottom w:w="0" w:type="dxa"/>
            </w:tcMar>
            <w:tcW w:w="2462" w:type="pct"/>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投标人</w:t>
            </w:r>
            <w:r>
              <w:rPr>
                <w:rFonts w:hint="eastAsia" w:ascii="宋体" w:hAnsi="宋体" w:eastAsia="宋体" w:cs="宋体"/>
                <w:b/>
                <w:bCs/>
                <w:sz w:val="28"/>
                <w:szCs w:val="28"/>
              </w:rPr>
              <w:t xml:space="preserve">拟派本项目</w:t>
            </w:r>
            <w:r>
              <w:rPr>
                <w:rFonts w:hint="eastAsia" w:ascii="宋体" w:hAnsi="宋体" w:eastAsia="宋体" w:cs="宋体"/>
                <w:b/>
                <w:bCs/>
                <w:sz w:val="28"/>
                <w:szCs w:val="28"/>
                <w:lang w:val="en-US" w:eastAsia="zh-CN"/>
              </w:rPr>
              <w:t xml:space="preserve">安全负责人</w:t>
            </w:r>
            <w:r>
              <w:rPr>
                <w:rFonts w:hint="eastAsia" w:ascii="宋体" w:hAnsi="宋体" w:eastAsia="宋体" w:cs="宋体"/>
                <w:b/>
                <w:bCs/>
                <w:sz w:val="28"/>
                <w:szCs w:val="28"/>
              </w:rPr>
              <w:t xml:space="preserve">具有（限评1人</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不得兼职</w:t>
            </w:r>
            <w:r>
              <w:rPr>
                <w:rFonts w:hint="eastAsia" w:ascii="宋体" w:hAnsi="宋体" w:eastAsia="宋体" w:cs="宋体"/>
                <w:b/>
                <w:bCs/>
                <w:sz w:val="28"/>
                <w:szCs w:val="28"/>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注册信息安全专业人员证书得4分；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网络安全能力认证-网络安全管理II级证书得4分；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信息安全保障人员证书（安全运维）得4分；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通信专业技术人员</w:t>
            </w:r>
            <w:r>
              <w:rPr>
                <w:rFonts w:hint="eastAsia" w:ascii="宋体" w:hAnsi="宋体" w:eastAsia="宋体" w:cs="宋体"/>
                <w:color w:val="000000"/>
                <w:sz w:val="28"/>
                <w:szCs w:val="28"/>
                <w:highlight w:val="none"/>
                <w:lang w:val="en-US" w:eastAsia="zh-CN" w:bidi="ar-SA"/>
              </w:rPr>
              <w:t xml:space="preserve">职业技能等级证书</w:t>
            </w:r>
            <w:r>
              <w:rPr>
                <w:rFonts w:hint="eastAsia" w:ascii="宋体" w:hAnsi="宋体" w:eastAsia="宋体" w:cs="宋体"/>
                <w:sz w:val="28"/>
                <w:szCs w:val="28"/>
              </w:rPr>
              <w:t xml:space="preserve">得4分；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本大项最高得16分。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2.标人为其缴纳的近半年（投标文件提交截止时间往前推）任意一个月的社保缴纳证明材料；</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16</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3.5</w:t>
            </w:r>
            <w:r/>
          </w:p>
        </w:tc>
        <w:tc>
          <w:tcPr>
            <w:tcMar>
              <w:left w:w="108" w:type="dxa"/>
              <w:top w:w="0" w:type="dxa"/>
              <w:right w:w="108" w:type="dxa"/>
              <w:bottom w:w="0" w:type="dxa"/>
            </w:tcMar>
            <w:tcW w:w="57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技术负责人</w:t>
            </w:r>
            <w:r/>
          </w:p>
        </w:tc>
        <w:tc>
          <w:tcPr>
            <w:shd w:val="clear" w:color="auto" w:fill="auto"/>
            <w:tcMar>
              <w:left w:w="108" w:type="dxa"/>
              <w:top w:w="0" w:type="dxa"/>
              <w:right w:w="108" w:type="dxa"/>
              <w:bottom w:w="0" w:type="dxa"/>
            </w:tcMar>
            <w:tcW w:w="2462" w:type="pct"/>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lang w:val="en-US" w:eastAsia="zh-CN"/>
              </w:rPr>
              <w:t xml:space="preserve">投标人</w:t>
            </w:r>
            <w:r>
              <w:rPr>
                <w:rFonts w:hint="eastAsia" w:ascii="宋体" w:hAnsi="宋体" w:eastAsia="宋体" w:cs="宋体"/>
                <w:b/>
                <w:bCs/>
                <w:sz w:val="28"/>
                <w:szCs w:val="28"/>
              </w:rPr>
              <w:t xml:space="preserve">拟派本项目</w:t>
            </w:r>
            <w:r>
              <w:rPr>
                <w:rFonts w:hint="eastAsia" w:ascii="宋体" w:hAnsi="宋体" w:eastAsia="宋体" w:cs="宋体"/>
                <w:b/>
                <w:bCs/>
                <w:sz w:val="28"/>
                <w:szCs w:val="28"/>
                <w:lang w:val="en-US" w:eastAsia="zh-CN"/>
              </w:rPr>
              <w:t xml:space="preserve">技术负责人</w:t>
            </w:r>
            <w:r>
              <w:rPr>
                <w:rFonts w:hint="eastAsia" w:ascii="宋体" w:hAnsi="宋体" w:eastAsia="宋体" w:cs="宋体"/>
                <w:b/>
                <w:bCs/>
                <w:sz w:val="28"/>
                <w:szCs w:val="28"/>
              </w:rPr>
              <w:t xml:space="preserve">具有（限评1人</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不得兼职</w:t>
            </w:r>
            <w:r>
              <w:rPr>
                <w:rFonts w:hint="eastAsia" w:ascii="宋体" w:hAnsi="宋体" w:eastAsia="宋体" w:cs="宋体"/>
                <w:b/>
                <w:bCs/>
                <w:sz w:val="28"/>
                <w:szCs w:val="28"/>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注册信息安全专业人员证书得4分</w:t>
            </w:r>
            <w:r>
              <w:rPr>
                <w:rFonts w:hint="eastAsia" w:ascii="宋体" w:hAnsi="宋体" w:eastAsia="宋体" w:cs="宋体"/>
                <w:sz w:val="28"/>
                <w:szCs w:val="28"/>
                <w:lang w:eastAsia="zh-CN"/>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信息安全保障人员（安全运维方向）证书得4分；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网络安全能力认证-网络安全管理II级证书得4分</w:t>
            </w:r>
            <w:r>
              <w:rPr>
                <w:rFonts w:hint="eastAsia" w:ascii="宋体" w:hAnsi="宋体" w:eastAsia="宋体" w:cs="宋体"/>
                <w:sz w:val="28"/>
                <w:szCs w:val="28"/>
                <w:lang w:eastAsia="zh-CN"/>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软件测试工程师证书得4分</w:t>
            </w:r>
            <w:r>
              <w:rPr>
                <w:rFonts w:hint="eastAsia" w:ascii="宋体" w:hAnsi="宋体" w:eastAsia="宋体" w:cs="宋体"/>
                <w:sz w:val="28"/>
                <w:szCs w:val="28"/>
                <w:lang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本大项最高得16分。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w:t>
            </w:r>
            <w:r/>
          </w:p>
          <w:p>
            <w:pPr>
              <w:ind w:left="0" w:right="0" w:firstLine="56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2.标人为其缴纳的近半年（投标文件提交截止时间往前推）任意一个月的社保缴纳证明材料；</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16</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技术部分序号2.1总体技术方案：</w:t>
      </w:r>
      <w:r>
        <w:rPr>
          <w:rFonts w:hint="eastAsia" w:eastAsia="宋体" w:cs="Times New Roman"/>
        </w:rPr>
        <w:t xml:space="preserve">篇幅编制页数至少为</w:t>
      </w:r>
      <w:r>
        <w:rPr>
          <w:rFonts w:hint="eastAsia" w:cs="Times New Roman"/>
          <w:lang w:val="en-US" w:eastAsia="zh-CN"/>
        </w:rPr>
        <w:t xml:space="preserve">12</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页，若篇幅页数不足或超出，则2.1总体技术方案不得分。</w:t>
      </w:r>
      <w:r/>
    </w:p>
    <w:p>
      <w:pPr>
        <w:ind w:left="0" w:firstLine="1124"/>
        <w:keepLines w:val="0"/>
        <w:keepNext w:val="0"/>
        <w:pageBreakBefore w:val="0"/>
        <w:spacing w:line="360" w:lineRule="auto"/>
        <w:widowControl w:val="off"/>
        <w:rPr>
          <w:rFonts w:hint="eastAsia" w:eastAsia="宋体" w:cs="Times New Roman"/>
        </w:rPr>
        <w:outlineLvl w:val="9"/>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w:t>
      </w:r>
      <w:r>
        <w:rPr>
          <w:rFonts w:hint="eastAsia" w:eastAsia="宋体" w:cs="Times New Roman"/>
          <w:b/>
          <w:bCs/>
          <w:color w:val="ff0000"/>
          <w:highlight w:val="yellow"/>
        </w:rPr>
        <w:t xml:space="preserve">项目实施方案：</w:t>
      </w:r>
      <w:r>
        <w:rPr>
          <w:rFonts w:hint="eastAsia" w:eastAsia="宋体" w:cs="Times New Roman"/>
        </w:rPr>
        <w:t xml:space="preserve">篇幅编制页数至少为</w:t>
      </w:r>
      <w:r>
        <w:rPr>
          <w:rFonts w:hint="eastAsia" w:cs="Times New Roman"/>
          <w:lang w:val="en-US" w:eastAsia="zh-CN"/>
        </w:rPr>
        <w:t xml:space="preserve">12</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eastAsia="宋体" w:cs="Times New Roman"/>
        </w:rPr>
        <w:t xml:space="preserve">项目实施方案不得分。</w:t>
      </w:r>
      <w:r/>
    </w:p>
    <w:p>
      <w:pPr>
        <w:ind w:left="0" w:firstLine="1124"/>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w:t>
      </w:r>
      <w:r>
        <w:rPr>
          <w:rFonts w:hint="eastAsia" w:eastAsia="宋体" w:cs="Times New Roman"/>
          <w:b/>
          <w:bCs/>
          <w:color w:val="ff0000"/>
          <w:highlight w:val="yellow"/>
        </w:rPr>
        <w:t xml:space="preserve">安全服务团队管理方案：</w:t>
      </w:r>
      <w:r>
        <w:rPr>
          <w:rFonts w:hint="eastAsia" w:eastAsia="宋体" w:cs="Times New Roman"/>
        </w:rPr>
        <w:t xml:space="preserve">篇幅编制页数至少为</w:t>
      </w:r>
      <w:r>
        <w:rPr>
          <w:rFonts w:hint="eastAsia" w:cs="Times New Roman"/>
          <w:lang w:val="en-US" w:eastAsia="zh-CN"/>
        </w:rPr>
        <w:t xml:space="preserve">12</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w:t>
      </w:r>
      <w:r>
        <w:rPr>
          <w:rFonts w:hint="eastAsia" w:eastAsia="宋体" w:cs="Times New Roman"/>
          <w:lang w:val="en-US" w:eastAsia="zh-CN"/>
        </w:rPr>
        <w:t xml:space="preserve">3</w:t>
      </w:r>
      <w:r>
        <w:rPr>
          <w:rFonts w:hint="eastAsia" w:eastAsia="宋体" w:cs="Times New Roman"/>
        </w:rPr>
        <w:t xml:space="preserve">安全服务团队管理方案不得分。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8049"/>
      <w:r/>
      <w:bookmarkStart w:id="35" w:name="_Toc10212"/>
      <w:r/>
      <w:bookmarkStart w:id="36" w:name="_Toc6187"/>
      <w:r/>
      <w:bookmarkStart w:id="37" w:name="_Toc10141"/>
      <w:r/>
      <w:bookmarkStart w:id="38" w:name="_Toc12777"/>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7"/>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5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108"/>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34"/>
          <w:rFonts w:hint="eastAsia" w:ascii="黑体" w:hAnsi="黑体" w:cs="黑体"/>
          <w:b/>
          <w:bCs/>
          <w:sz w:val="28"/>
          <w:szCs w:val="28"/>
          <w:lang w:val="en-US" w:eastAsia="zh-CN"/>
        </w:rPr>
        <w:t xml:space="preserve">第一节  </w:t>
      </w:r>
      <w:r>
        <w:rPr>
          <w:rStyle w:val="1134"/>
          <w:rFonts w:hint="eastAsia" w:ascii="黑体" w:hAnsi="黑体" w:eastAsia="黑体" w:cs="黑体"/>
          <w:b/>
          <w:bCs/>
          <w:sz w:val="28"/>
          <w:szCs w:val="28"/>
          <w:lang w:val="en-US" w:eastAsia="zh-CN"/>
        </w:rPr>
        <w:t xml:space="preserve">项目基本信息</w:t>
      </w:r>
      <w:r/>
    </w:p>
    <w:tbl>
      <w:tblPr>
        <w:tblStyle w:val="1111"/>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532"/>
        <w:gridCol w:w="308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53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08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spacing w:before="0" w:beforeAutospacing="0" w:after="0" w:afterAutospacing="0" w:line="360" w:lineRule="auto"/>
              <w:shd w:val="clear" w:color="auto" w:fill="ffffff"/>
              <w:widowControl/>
              <w:rPr>
                <w:rFonts w:hint="eastAsia" w:eastAsia="宋体" w:cs="Times New Roman"/>
                <w:lang w:val="en-US" w:eastAsia="zh-CN"/>
              </w:rPr>
              <w:suppressLineNumbers w:val="0"/>
            </w:pPr>
            <w:r>
              <w:rPr>
                <w:rFonts w:hint="eastAsia" w:eastAsia="宋体" w:cs="Times New Roman"/>
                <w:lang w:val="en-US" w:eastAsia="zh-CN"/>
              </w:rPr>
              <w:t xml:space="preserve">1</w:t>
            </w:r>
            <w:r/>
          </w:p>
        </w:tc>
        <w:tc>
          <w:tcPr>
            <w:tcW w:w="3532" w:type="dxa"/>
            <w:vAlign w:val="center"/>
            <w:textDirection w:val="lrTb"/>
            <w:noWrap w:val="false"/>
          </w:tcPr>
          <w:p>
            <w:pPr>
              <w:ind w:left="0" w:right="0" w:firstLine="0"/>
              <w:jc w:val="center"/>
              <w:keepLines w:val="0"/>
              <w:keepNext w:val="0"/>
              <w:spacing w:before="0" w:beforeAutospacing="0" w:after="0" w:afterAutospacing="0" w:line="360" w:lineRule="auto"/>
              <w:shd w:val="clear" w:color="auto" w:fill="ffffff"/>
              <w:widowControl/>
              <w:rPr>
                <w:rFonts w:hint="eastAsia" w:eastAsia="宋体" w:cs="Times New Roman"/>
              </w:rPr>
              <w:suppressLineNumbers w:val="0"/>
            </w:pPr>
            <w:r>
              <w:rPr>
                <w:rFonts w:hint="eastAsia" w:ascii="宋体" w:hAnsi="宋体" w:eastAsia="宋体" w:cs="宋体"/>
                <w:lang w:val="en-US" w:eastAsia="zh-CN"/>
              </w:rPr>
              <w:t xml:space="preserve">JSZC-320413-JZCG-G2026-0029</w:t>
            </w:r>
            <w:r/>
          </w:p>
        </w:tc>
        <w:tc>
          <w:tcPr>
            <w:tcW w:w="3081" w:type="dxa"/>
            <w:vAlign w:val="center"/>
            <w:textDirection w:val="lrTb"/>
            <w:noWrap w:val="false"/>
          </w:tcPr>
          <w:p>
            <w:pPr>
              <w:ind w:left="0" w:right="0" w:firstLine="0"/>
              <w:keepLines w:val="0"/>
              <w:keepNext w:val="0"/>
              <w:spacing w:before="0" w:beforeAutospacing="0" w:after="0" w:afterAutospacing="0" w:line="360" w:lineRule="auto"/>
              <w:shd w:val="clear" w:color="auto" w:fill="ffffff"/>
              <w:widowControl/>
              <w:rPr>
                <w:rFonts w:hint="eastAsia" w:eastAsia="宋体" w:cs="Times New Roman"/>
              </w:rPr>
              <w:suppressLineNumbers w:val="0"/>
            </w:pPr>
            <w:r>
              <w:rPr>
                <w:rFonts w:hint="eastAsia" w:eastAsia="宋体" w:cs="Times New Roman"/>
                <w:lang w:val="en-US" w:eastAsia="zh-CN"/>
              </w:rPr>
              <w:t xml:space="preserve">常州市</w:t>
            </w:r>
            <w:r>
              <w:rPr>
                <w:rFonts w:hint="eastAsia" w:eastAsia="宋体" w:cs="Times New Roman"/>
              </w:rPr>
              <w:t xml:space="preserve">金坛区中医医院云主机、云桌面、云存储、无线覆盖服务项目</w:t>
            </w:r>
            <w:r/>
          </w:p>
        </w:tc>
        <w:tc>
          <w:tcPr>
            <w:tcW w:w="2400" w:type="dxa"/>
            <w:vAlign w:val="center"/>
            <w:textDirection w:val="lrTb"/>
            <w:noWrap w:val="false"/>
          </w:tcPr>
          <w:p>
            <w:pPr>
              <w:ind w:left="0" w:right="0" w:firstLine="0"/>
              <w:jc w:val="center"/>
              <w:keepLines w:val="0"/>
              <w:keepNext w:val="0"/>
              <w:spacing w:before="0" w:beforeAutospacing="0" w:after="0" w:afterAutospacing="0" w:line="360" w:lineRule="auto"/>
              <w:shd w:val="clear" w:color="auto" w:fill="ffffff"/>
              <w:widowControl/>
              <w:rPr>
                <w:rFonts w:hint="default" w:eastAsia="宋体" w:cs="Times New Roman"/>
                <w:lang w:val="en-US" w:eastAsia="zh-CN"/>
              </w:rPr>
              <w:suppressLineNumbers w:val="0"/>
            </w:pPr>
            <w:r>
              <w:rPr>
                <w:rFonts w:hint="eastAsia" w:ascii="宋体" w:hAnsi="宋体" w:eastAsia="宋体" w:cs="宋体"/>
                <w:lang w:val="en-US" w:eastAsia="zh-CN"/>
              </w:rPr>
              <w:t xml:space="preserve">210</w:t>
            </w:r>
            <w:r/>
          </w:p>
        </w:tc>
      </w:tr>
    </w:tbl>
    <w:p>
      <w:pPr>
        <w:rPr>
          <w:rFonts w:hint="eastAsia"/>
          <w:lang w:val="en-US" w:eastAsia="zh-CN"/>
        </w:rPr>
      </w:pPr>
      <w:r>
        <w:rPr>
          <w:rFonts w:hint="eastAsia"/>
          <w:lang w:val="en-US" w:eastAsia="zh-CN"/>
        </w:rPr>
      </w:r>
      <w:r/>
    </w:p>
    <w:p>
      <w:pPr>
        <w:pStyle w:val="1106"/>
        <w:ind w:left="0" w:firstLine="0"/>
        <w:jc w:val="center"/>
        <w:pageBreakBefore w:val="0"/>
        <w:spacing w:before="0" w:after="0" w:line="360" w:lineRule="auto"/>
        <w:widowControl w:val="off"/>
        <w:rPr>
          <w:rFonts w:hint="eastAsia"/>
          <w:lang w:val="en-US" w:eastAsia="zh-CN"/>
        </w:rPr>
        <w:outlineLvl w:val="2"/>
      </w:pPr>
      <w:r>
        <w:rPr>
          <w:rFonts w:hint="eastAsia" w:ascii="黑体" w:hAnsi="黑体" w:cs="黑体"/>
          <w:sz w:val="28"/>
          <w:szCs w:val="28"/>
          <w:lang w:val="en-US" w:eastAsia="zh-CN"/>
        </w:rPr>
        <w:t xml:space="preserve">第二节  项目概况</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为进一步加强金坛区中医医院信息网络和基础设施建设，保障医院信息化业务的平稳高效运行，本项目针对金坛区中医医院存在的问题及实际情况进行建设，对云主机、云桌面、云备份、云存储和无线覆盖提出采购需求。</w:t>
      </w:r>
      <w:r/>
    </w:p>
    <w:p>
      <w:pPr>
        <w:rPr>
          <w:rFonts w:hint="default"/>
          <w:lang w:val="en-US" w:eastAsia="zh-CN"/>
        </w:rPr>
      </w:pPr>
      <w:r>
        <w:rPr>
          <w:rFonts w:hint="default"/>
          <w:lang w:val="en-US" w:eastAsia="zh-CN"/>
        </w:rPr>
      </w:r>
      <w:r/>
    </w:p>
    <w:p>
      <w:pPr>
        <w:pStyle w:val="1106"/>
        <w:ind w:left="0" w:firstLine="0"/>
        <w:jc w:val="center"/>
        <w:pageBreakBefore w:val="0"/>
        <w:spacing w:before="0" w:after="0" w:line="360" w:lineRule="auto"/>
        <w:widowControl w:val="off"/>
        <w:rPr>
          <w:rFonts w:hint="eastAsia" w:ascii="黑体" w:hAnsi="黑体" w:eastAsia="黑体" w:cs="黑体"/>
          <w:sz w:val="28"/>
          <w:szCs w:val="28"/>
        </w:rPr>
        <w:outlineLvl w:val="2"/>
      </w:pPr>
      <w:r/>
      <w:bookmarkStart w:id="39" w:name="_Hlk72073432"/>
      <w:r>
        <w:rPr>
          <w:rFonts w:hint="eastAsia" w:ascii="黑体" w:hAnsi="黑体" w:cs="黑体"/>
          <w:sz w:val="28"/>
          <w:szCs w:val="28"/>
          <w:lang w:val="en-US" w:eastAsia="zh-CN"/>
        </w:rPr>
        <w:t xml:space="preserve">第三节  服务需求明细</w:t>
      </w:r>
      <w:bookmarkEnd w:id="39"/>
      <w:r/>
      <w:r/>
    </w:p>
    <w:tbl>
      <w:tblPr>
        <w:tblStyle w:val="1111"/>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546"/>
        <w:gridCol w:w="3358"/>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79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70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79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lang w:val="en-US" w:eastAsia="zh-CN"/>
              </w:rPr>
              <w:t xml:space="preserve">JSZC-320413-JZCG-G2026-0029</w:t>
            </w:r>
            <w:r/>
          </w:p>
        </w:tc>
        <w:tc>
          <w:tcPr>
            <w:tcW w:w="1703"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eastAsia="宋体" w:cs="Times New Roman"/>
                <w:lang w:val="en-US" w:eastAsia="zh-CN"/>
              </w:rPr>
              <w:t xml:space="preserve">常州市</w:t>
            </w:r>
            <w:r>
              <w:rPr>
                <w:rFonts w:hint="eastAsia" w:eastAsia="宋体" w:cs="Times New Roman"/>
              </w:rPr>
              <w:t xml:space="preserve">金坛区中医医院云主机、云桌面、云存储、无线覆盖服务项目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106"/>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rPr>
          <w:rFonts w:hint="eastAsia"/>
          <w:lang w:val="en-US" w:eastAsia="zh-CN"/>
        </w:rPr>
      </w:pPr>
      <w:r>
        <w:rPr>
          <w:rFonts w:hint="eastAsia"/>
          <w:lang w:val="en-US" w:eastAsia="zh-CN"/>
        </w:rPr>
      </w:r>
      <w:r/>
    </w:p>
    <w:p>
      <w:pPr>
        <w:pStyle w:val="1106"/>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第五节  技术要求</w:t>
      </w:r>
      <w:r/>
    </w:p>
    <w:p>
      <w:pPr>
        <w:numPr>
          <w:ilvl w:val="0"/>
          <w:numId w:val="0"/>
        </w:numPr>
        <w:rPr>
          <w:rFonts w:hint="eastAsia" w:ascii="宋体" w:hAnsi="宋体" w:eastAsia="宋体" w:cs="宋体"/>
          <w:sz w:val="28"/>
          <w:szCs w:val="28"/>
        </w:rPr>
      </w:pPr>
      <w:r>
        <w:rPr>
          <w:rFonts w:hint="eastAsia" w:ascii="宋体" w:hAnsi="宋体" w:eastAsia="宋体" w:cs="宋体"/>
          <w:b/>
          <w:sz w:val="28"/>
          <w:szCs w:val="28"/>
          <w:lang w:val="en-US" w:eastAsia="zh-CN"/>
        </w:rPr>
        <w:t xml:space="preserve">一、</w:t>
      </w:r>
      <w:r>
        <w:rPr>
          <w:rFonts w:hint="eastAsia" w:ascii="宋体" w:hAnsi="宋体" w:eastAsia="宋体" w:cs="宋体"/>
          <w:b/>
          <w:sz w:val="28"/>
          <w:szCs w:val="28"/>
        </w:rPr>
        <w:t xml:space="preserve">需求概述</w:t>
      </w:r>
      <w:r/>
    </w:p>
    <w:p>
      <w:pPr>
        <w:ind w:firstLine="562"/>
        <w:rPr>
          <w:rFonts w:hint="eastAsia" w:ascii="宋体" w:hAnsi="宋体" w:eastAsia="宋体" w:cs="宋体"/>
          <w:sz w:val="28"/>
          <w:szCs w:val="28"/>
        </w:rPr>
      </w:pPr>
      <w:r>
        <w:rPr>
          <w:rFonts w:hint="eastAsia" w:ascii="宋体" w:hAnsi="宋体" w:eastAsia="宋体" w:cs="宋体"/>
          <w:b/>
          <w:sz w:val="28"/>
          <w:szCs w:val="28"/>
        </w:rPr>
        <w:t xml:space="preserve">1.云主机需求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目前金坛区中医医院规模不断扩大、业务急剧上升、应用日异深化，相较于采购传统服务器的方式，采用租赁云服务器的方式更适合目前金坛区中医医院的发展趋势。本次拟采购以下云服务器：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（1）云主机配置需求：</w:t>
      </w:r>
      <w:r/>
    </w:p>
    <w:tbl>
      <w:tblPr>
        <w:tblStyle w:val="1111"/>
        <w:tblpPr w:horzAnchor="page" w:tblpX="2233" w:vertAnchor="text" w:tblpY="161" w:leftFromText="180" w:topFromText="0" w:rightFromText="180" w:bottomFromText="0"/>
        <w:tblW w:w="4115" w:type="pct"/>
        <w:tblInd w:w="0" w:type="dxa"/>
        <w:tblLayout w:type="autofit"/>
        <w:tblCellMar>
          <w:left w:w="108" w:type="dxa"/>
          <w:top w:w="0" w:type="dxa"/>
          <w:right w:w="108" w:type="dxa"/>
          <w:bottom w:w="0" w:type="dxa"/>
        </w:tblCellMar>
        <w:tblLook w:val="04A0" w:firstRow="1" w:lastRow="0" w:firstColumn="1" w:lastColumn="0" w:noHBand="0" w:noVBand="1"/>
      </w:tblPr>
      <w:tblGrid>
        <w:gridCol w:w="1517"/>
        <w:gridCol w:w="2041"/>
        <w:gridCol w:w="2273"/>
        <w:gridCol w:w="2279"/>
      </w:tblGrid>
      <w:tr>
        <w:trPr>
          <w:trHeight w:val="734"/>
        </w:trPr>
        <w:tc>
          <w:tcPr>
            <w:tcBorders>
              <w:top w:val="single" w:color="auto"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资源配置</w:t>
            </w:r>
            <w:r/>
          </w:p>
        </w:tc>
        <w:tc>
          <w:tcPr>
            <w:tcBorders>
              <w:top w:val="single" w:color="auto" w:sz="4" w:space="0"/>
              <w:left w:val="none" w:color="000000" w:sz="4" w:space="0"/>
              <w:bottom w:val="single" w:color="auto" w:sz="4" w:space="0"/>
              <w:right w:val="single" w:color="auto" w:sz="4" w:space="0"/>
            </w:tcBorders>
            <w:tcW w:w="1258"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cpu（核）</w:t>
            </w:r>
            <w:r/>
          </w:p>
        </w:tc>
        <w:tc>
          <w:tcPr>
            <w:tcBorders>
              <w:top w:val="single" w:color="auto" w:sz="4" w:space="0"/>
              <w:left w:val="none" w:color="000000" w:sz="4" w:space="0"/>
              <w:bottom w:val="single" w:color="auto" w:sz="4" w:space="0"/>
              <w:right w:val="single" w:color="auto" w:sz="4" w:space="0"/>
            </w:tcBorders>
            <w:tcW w:w="1401"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内存（GB）</w:t>
            </w:r>
            <w:r/>
          </w:p>
        </w:tc>
        <w:tc>
          <w:tcPr>
            <w:tcBorders>
              <w:top w:val="single" w:color="auto" w:sz="4" w:space="0"/>
              <w:left w:val="none" w:color="000000" w:sz="4" w:space="0"/>
              <w:bottom w:val="single" w:color="auto" w:sz="4" w:space="0"/>
              <w:right w:val="single" w:color="auto" w:sz="4" w:space="0"/>
            </w:tcBorders>
            <w:tcW w:w="1405"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云硬盘（TB）</w:t>
            </w:r>
            <w:r/>
          </w:p>
        </w:tc>
      </w:tr>
      <w:tr>
        <w:trPr>
          <w:trHeight w:val="366"/>
        </w:trPr>
        <w:tc>
          <w:tcPr>
            <w:tcBorders>
              <w:top w:val="none" w:color="000000" w:sz="4" w:space="0"/>
              <w:left w:val="single" w:color="auto" w:sz="4" w:space="0"/>
              <w:bottom w:val="single" w:color="auto" w:sz="4" w:space="0"/>
              <w:right w:val="single" w:color="auto" w:sz="4" w:space="0"/>
            </w:tcBorders>
            <w:tcW w:w="935" w:type="pct"/>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配置</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1500</w:t>
            </w:r>
            <w:r/>
          </w:p>
        </w:tc>
        <w:tc>
          <w:tcPr>
            <w:tcBorders>
              <w:top w:val="none" w:color="000000" w:sz="4" w:space="0"/>
              <w:left w:val="none" w:color="000000" w:sz="4" w:space="0"/>
              <w:bottom w:val="single" w:color="auto" w:sz="4" w:space="0"/>
              <w:right w:val="single" w:color="auto" w:sz="4" w:space="0"/>
            </w:tcBorders>
            <w:tcW w:w="1401" w:type="pct"/>
            <w:vAlign w:val="center"/>
            <w:textDirection w:val="lrTb"/>
            <w:noWrap/>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4800</w:t>
            </w:r>
            <w:r/>
          </w:p>
        </w:tc>
        <w:tc>
          <w:tcPr>
            <w:tcBorders>
              <w:top w:val="none" w:color="000000" w:sz="4" w:space="0"/>
              <w:left w:val="none" w:color="000000" w:sz="4" w:space="0"/>
              <w:bottom w:val="single" w:color="auto" w:sz="4" w:space="0"/>
              <w:right w:val="single" w:color="auto" w:sz="4" w:space="0"/>
            </w:tcBorders>
            <w:tcW w:w="1405"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120</w:t>
            </w:r>
            <w:r/>
          </w:p>
        </w:tc>
      </w:tr>
    </w:tbl>
    <w:p>
      <w:pPr>
        <w:ind w:firstLine="0"/>
        <w:rPr>
          <w:rFonts w:hint="eastAsia" w:ascii="宋体" w:hAnsi="宋体" w:eastAsia="宋体" w:cs="宋体"/>
          <w:sz w:val="28"/>
          <w:szCs w:val="28"/>
        </w:rPr>
      </w:pPr>
      <w:r>
        <w:rPr>
          <w:rFonts w:hint="eastAsia" w:ascii="宋体" w:hAnsi="宋体" w:eastAsia="宋体" w:cs="宋体"/>
          <w:sz w:val="28"/>
          <w:szCs w:val="28"/>
        </w:rPr>
      </w:r>
      <w:r/>
    </w:p>
    <w:p>
      <w:pPr>
        <w:ind w:firstLine="0"/>
        <w:rPr>
          <w:rFonts w:hint="eastAsia" w:ascii="宋体" w:hAnsi="宋体" w:eastAsia="宋体" w:cs="宋体"/>
          <w:sz w:val="28"/>
          <w:szCs w:val="28"/>
        </w:rPr>
      </w:pPr>
      <w:r>
        <w:rPr>
          <w:rFonts w:hint="eastAsia" w:ascii="宋体" w:hAnsi="宋体" w:eastAsia="宋体" w:cs="宋体"/>
          <w:sz w:val="28"/>
          <w:szCs w:val="28"/>
        </w:rPr>
      </w:r>
      <w:r/>
    </w:p>
    <w:p>
      <w:pPr>
        <w:ind w:firstLine="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（2）云主机网络需求：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考虑到院内系统全部是内网环境，云资源提供商需要提供</w:t>
      </w:r>
      <w:r>
        <w:rPr>
          <w:rFonts w:hint="eastAsia" w:ascii="宋体" w:hAnsi="宋体" w:eastAsia="宋体" w:cs="宋体"/>
          <w:b/>
          <w:bCs/>
          <w:sz w:val="28"/>
          <w:szCs w:val="28"/>
        </w:rPr>
        <w:t xml:space="preserve">2条万兆内网</w:t>
      </w:r>
      <w:r>
        <w:rPr>
          <w:rFonts w:hint="eastAsia" w:ascii="宋体" w:hAnsi="宋体" w:eastAsia="宋体" w:cs="宋体"/>
          <w:sz w:val="28"/>
          <w:szCs w:val="28"/>
        </w:rPr>
        <w:t xml:space="preserve">线路连通云资源池和金坛区中医医院核心。当任意一条线路出现故障时，剩余线路必须自动切换，保证业务运行不受影响。</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（3）安全需求：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为保证云主机安全性，需要为每一台云主机配套</w:t>
      </w:r>
      <w:r>
        <w:rPr>
          <w:rFonts w:hint="eastAsia" w:ascii="宋体" w:hAnsi="宋体" w:eastAsia="宋体" w:cs="宋体"/>
          <w:b/>
          <w:bCs/>
          <w:sz w:val="28"/>
          <w:szCs w:val="28"/>
        </w:rPr>
        <w:t xml:space="preserve">杀毒软件</w:t>
      </w:r>
      <w:r>
        <w:rPr>
          <w:rFonts w:hint="eastAsia" w:ascii="宋体" w:hAnsi="宋体" w:eastAsia="宋体" w:cs="宋体"/>
          <w:sz w:val="28"/>
          <w:szCs w:val="28"/>
        </w:rPr>
        <w:t xml:space="preserve">并定时更新病毒库。</w:t>
      </w:r>
      <w:r/>
    </w:p>
    <w:p>
      <w:pPr>
        <w:ind w:firstLine="562"/>
        <w:rPr>
          <w:rFonts w:hint="eastAsia" w:ascii="宋体" w:hAnsi="宋体" w:eastAsia="宋体" w:cs="宋体"/>
          <w:sz w:val="28"/>
          <w:szCs w:val="28"/>
        </w:rPr>
      </w:pPr>
      <w:r>
        <w:rPr>
          <w:rFonts w:hint="eastAsia" w:ascii="宋体" w:hAnsi="宋体" w:eastAsia="宋体" w:cs="宋体"/>
          <w:b/>
          <w:sz w:val="28"/>
          <w:szCs w:val="28"/>
        </w:rPr>
        <w:t xml:space="preserve">2</w:t>
      </w:r>
      <w:r>
        <w:rPr>
          <w:rFonts w:hint="eastAsia" w:ascii="宋体" w:hAnsi="宋体" w:eastAsia="宋体" w:cs="宋体"/>
          <w:b/>
          <w:sz w:val="28"/>
          <w:szCs w:val="28"/>
          <w:lang w:val="en-US" w:eastAsia="zh-CN"/>
        </w:rPr>
        <w:t xml:space="preserve">.</w:t>
      </w:r>
      <w:r>
        <w:rPr>
          <w:rFonts w:hint="eastAsia" w:ascii="宋体" w:hAnsi="宋体" w:eastAsia="宋体" w:cs="宋体"/>
          <w:b/>
          <w:sz w:val="28"/>
          <w:szCs w:val="28"/>
        </w:rPr>
        <w:t xml:space="preserve">云桌面需求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随着信息化的推进和业务规模的扩张，PC这种分散化、固定式的桌面模式，使得业务数据难管控、运营成本不断攀升、办公位置受限，已经难以满足医院对信息安全、高效运维和移动办公的要求。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为缓解中医院信息科运维压力，提高数据安全，本次拟采购以下云桌面：</w:t>
      </w:r>
      <w:r/>
    </w:p>
    <w:tbl>
      <w:tblPr>
        <w:tblStyle w:val="11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6"/>
        <w:gridCol w:w="5964"/>
        <w:gridCol w:w="1950"/>
      </w:tblGrid>
      <w:tr>
        <w:trPr/>
        <w:tc>
          <w:tcPr>
            <w:tcW w:w="1896" w:type="dxa"/>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名称</w:t>
            </w:r>
            <w:r/>
          </w:p>
        </w:tc>
        <w:tc>
          <w:tcPr>
            <w:tcW w:w="5964" w:type="dxa"/>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配置（每台）</w:t>
            </w:r>
            <w:r/>
          </w:p>
        </w:tc>
        <w:tc>
          <w:tcPr>
            <w:tcW w:w="1950" w:type="dxa"/>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台数</w:t>
            </w:r>
            <w:r/>
          </w:p>
        </w:tc>
      </w:tr>
      <w:tr>
        <w:trPr/>
        <w:tc>
          <w:tcPr>
            <w:tcW w:w="189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云桌面服务</w:t>
            </w:r>
            <w:r/>
          </w:p>
        </w:tc>
        <w:tc>
          <w:tcPr>
            <w:tcW w:w="5964" w:type="dxa"/>
            <w:vAlign w:val="center"/>
            <w:textDirection w:val="lrTb"/>
            <w:noWrap w:val="false"/>
          </w:tcPr>
          <w:p>
            <w:pPr>
              <w:numPr>
                <w:ilvl w:val="0"/>
                <w:numId w:val="0"/>
              </w:numPr>
              <w:ind w:left="0" w:right="0"/>
              <w:jc w:val="left"/>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配置：4C/8G/200G,分配的资源满足中医医院未来一年的业务需求；</w:t>
            </w:r>
            <w:r/>
          </w:p>
          <w:p>
            <w:pPr>
              <w:numPr>
                <w:ilvl w:val="0"/>
                <w:numId w:val="0"/>
              </w:numPr>
              <w:ind w:left="0" w:right="0"/>
              <w:jc w:val="left"/>
              <w:keepLines w:val="0"/>
              <w:keepNext w:val="0"/>
              <w:spacing w:before="0" w:beforeAutospacing="0" w:after="0" w:afterAutospacing="0"/>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配套杀毒软件并定时更新病毒库</w:t>
            </w:r>
            <w:r>
              <w:rPr>
                <w:rFonts w:hint="eastAsia" w:ascii="宋体" w:hAnsi="宋体" w:eastAsia="宋体" w:cs="宋体"/>
                <w:sz w:val="28"/>
                <w:szCs w:val="28"/>
                <w:lang w:eastAsia="zh-CN"/>
              </w:rPr>
              <w:t xml:space="preserve">；</w:t>
            </w:r>
            <w:r/>
          </w:p>
        </w:tc>
        <w:tc>
          <w:tcPr>
            <w:tcW w:w="195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640</w:t>
            </w:r>
            <w:r/>
          </w:p>
        </w:tc>
      </w:tr>
    </w:tbl>
    <w:p>
      <w:pPr>
        <w:ind w:firstLine="562"/>
        <w:rPr>
          <w:rFonts w:hint="eastAsia" w:ascii="宋体" w:hAnsi="宋体" w:eastAsia="宋体" w:cs="宋体"/>
          <w:sz w:val="28"/>
          <w:szCs w:val="28"/>
        </w:rPr>
      </w:pP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云备份需求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对于HIS、PACS、LIS等重要应用系统，若是中断，可能会造成医疗事故。为保证在服务器出现故障时，重要应用系统能正常运行，本次拟租赁1年云备份服务,备份空间30T。</w:t>
      </w:r>
      <w:r/>
    </w:p>
    <w:p>
      <w:pPr>
        <w:ind w:firstLine="562"/>
        <w:rPr>
          <w:rFonts w:hint="eastAsia" w:ascii="宋体" w:hAnsi="宋体" w:eastAsia="宋体" w:cs="宋体"/>
          <w:sz w:val="28"/>
          <w:szCs w:val="28"/>
        </w:rPr>
      </w:pPr>
      <w:r>
        <w:rPr>
          <w:rFonts w:hint="eastAsia" w:ascii="宋体" w:hAnsi="宋体" w:eastAsia="宋体" w:cs="宋体"/>
          <w:b/>
          <w:sz w:val="28"/>
          <w:szCs w:val="28"/>
          <w:lang w:val="en-US" w:eastAsia="zh-CN"/>
        </w:rPr>
        <w:t xml:space="preserve">4.</w:t>
      </w:r>
      <w:r>
        <w:rPr>
          <w:rFonts w:hint="eastAsia" w:ascii="宋体" w:hAnsi="宋体" w:eastAsia="宋体" w:cs="宋体"/>
          <w:b/>
          <w:sz w:val="28"/>
          <w:szCs w:val="28"/>
        </w:rPr>
        <w:t xml:space="preserve">云存储需求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目前，常州市金坛区中医医院本地有PACS影片存储系统。但由于PACS系统数据增量大、历史数据访问量小、数据全生命周期管理复杂等特点，针对冰数据及冷数据，采用租赁分布式云存储系统更能降本增效。考虑未来1年的数据增量，本次拟租赁180TB云存储服务。</w:t>
      </w:r>
      <w:r/>
    </w:p>
    <w:p>
      <w:pPr>
        <w:ind w:firstLine="562"/>
        <w:rPr>
          <w:rFonts w:hint="eastAsia" w:ascii="宋体" w:hAnsi="宋体" w:eastAsia="宋体" w:cs="宋体"/>
          <w:sz w:val="28"/>
          <w:szCs w:val="28"/>
        </w:rPr>
      </w:pPr>
      <w:r>
        <w:rPr>
          <w:rFonts w:hint="eastAsia" w:ascii="宋体" w:hAnsi="宋体" w:eastAsia="宋体" w:cs="宋体"/>
          <w:b/>
          <w:sz w:val="28"/>
          <w:szCs w:val="28"/>
          <w:lang w:val="en-US" w:eastAsia="zh-CN"/>
        </w:rPr>
        <w:t xml:space="preserve">5.</w:t>
      </w:r>
      <w:r>
        <w:rPr>
          <w:rFonts w:hint="eastAsia" w:ascii="宋体" w:hAnsi="宋体" w:eastAsia="宋体" w:cs="宋体"/>
          <w:b/>
          <w:sz w:val="28"/>
          <w:szCs w:val="28"/>
        </w:rPr>
        <w:t xml:space="preserve">无线AP需求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为保证院内无线WIFI的正常运行，本次拟租赁以下无线服务：</w:t>
      </w:r>
      <w:r/>
    </w:p>
    <w:tbl>
      <w:tblPr>
        <w:tblStyle w:val="1127"/>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5344"/>
        <w:gridCol w:w="3105"/>
      </w:tblGrid>
      <w:tr>
        <w:trPr/>
        <w:tc>
          <w:tcPr>
            <w:tcW w:w="1346" w:type="dxa"/>
            <w:textDirection w:val="lrTb"/>
            <w:noWrap w:val="false"/>
          </w:tcPr>
          <w:p>
            <w:pPr>
              <w:ind w:left="0" w:right="0" w:firstLine="2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5344"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类别</w:t>
            </w:r>
            <w:r/>
          </w:p>
        </w:tc>
        <w:tc>
          <w:tcPr>
            <w:tcW w:w="3105"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数量(个）</w:t>
            </w:r>
            <w:r/>
          </w:p>
        </w:tc>
      </w:tr>
      <w:tr>
        <w:trPr/>
        <w:tc>
          <w:tcPr>
            <w:tcW w:w="1346" w:type="dxa"/>
            <w:textDirection w:val="lrTb"/>
            <w:noWrap w:val="false"/>
          </w:tcPr>
          <w:p>
            <w:pPr>
              <w:ind w:left="0" w:right="0" w:firstLine="4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5344"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无线吸顶AP</w:t>
            </w:r>
            <w:r/>
          </w:p>
        </w:tc>
        <w:tc>
          <w:tcPr>
            <w:tcW w:w="3105"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504</w:t>
            </w:r>
            <w:r/>
          </w:p>
        </w:tc>
      </w:tr>
      <w:tr>
        <w:trPr/>
        <w:tc>
          <w:tcPr>
            <w:tcW w:w="1346" w:type="dxa"/>
            <w:textDirection w:val="lrTb"/>
            <w:noWrap w:val="false"/>
          </w:tcPr>
          <w:p>
            <w:pPr>
              <w:ind w:left="0" w:right="0" w:firstLine="4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5344"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高密AP</w:t>
            </w:r>
            <w:r/>
          </w:p>
        </w:tc>
        <w:tc>
          <w:tcPr>
            <w:tcW w:w="3105"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9</w:t>
            </w:r>
            <w:r/>
          </w:p>
        </w:tc>
      </w:tr>
      <w:tr>
        <w:trPr/>
        <w:tc>
          <w:tcPr>
            <w:tcW w:w="1346" w:type="dxa"/>
            <w:textDirection w:val="lrTb"/>
            <w:noWrap w:val="false"/>
          </w:tcPr>
          <w:p>
            <w:pPr>
              <w:ind w:left="0" w:right="0" w:firstLine="48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5344"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无线POE交换机</w:t>
            </w:r>
            <w:r/>
          </w:p>
        </w:tc>
        <w:tc>
          <w:tcPr>
            <w:tcW w:w="3105" w:type="dxa"/>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45</w:t>
            </w:r>
            <w:r/>
          </w:p>
        </w:tc>
      </w:tr>
    </w:tbl>
    <w:p>
      <w:pPr>
        <w:numPr>
          <w:ilvl w:val="0"/>
          <w:numId w:val="0"/>
        </w:numPr>
        <w:rPr>
          <w:rFonts w:hint="eastAsia" w:ascii="宋体" w:hAnsi="宋体" w:eastAsia="宋体" w:cs="宋体"/>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基础参数</w:t>
      </w:r>
      <w:r/>
    </w:p>
    <w:p>
      <w:pPr>
        <w:ind w:firstLine="562"/>
        <w:rPr>
          <w:rFonts w:hint="eastAsia" w:ascii="宋体" w:hAnsi="宋体" w:eastAsia="宋体" w:cs="宋体"/>
          <w:sz w:val="28"/>
          <w:szCs w:val="28"/>
        </w:rPr>
      </w:pPr>
      <w:r>
        <w:rPr>
          <w:rFonts w:hint="eastAsia" w:ascii="宋体" w:hAnsi="宋体" w:eastAsia="宋体" w:cs="宋体"/>
          <w:b/>
          <w:sz w:val="28"/>
          <w:szCs w:val="28"/>
          <w:lang w:val="en-US" w:eastAsia="zh-CN"/>
        </w:rPr>
        <w:t xml:space="preserve">1.</w:t>
      </w:r>
      <w:r>
        <w:rPr>
          <w:rFonts w:hint="eastAsia" w:ascii="宋体" w:hAnsi="宋体" w:eastAsia="宋体" w:cs="宋体"/>
          <w:b/>
          <w:sz w:val="28"/>
          <w:szCs w:val="28"/>
        </w:rPr>
        <w:t xml:space="preserve">云主机基础参数</w:t>
      </w:r>
      <w:r/>
    </w:p>
    <w:p>
      <w:pPr>
        <w:ind w:firstLine="840"/>
        <w:rPr>
          <w:rFonts w:hint="eastAsia" w:ascii="宋体" w:hAnsi="宋体" w:eastAsia="宋体" w:cs="宋体"/>
          <w:b w:val="0"/>
          <w:bCs/>
          <w:sz w:val="28"/>
          <w:szCs w:val="28"/>
        </w:rPr>
      </w:pPr>
      <w:r>
        <w:rPr>
          <w:rFonts w:hint="eastAsia" w:ascii="宋体" w:hAnsi="宋体" w:eastAsia="宋体" w:cs="宋体"/>
          <w:b w:val="0"/>
          <w:bCs/>
          <w:sz w:val="28"/>
          <w:szCs w:val="28"/>
        </w:rPr>
        <w:t xml:space="preserve">云主机需要满足以下要求：</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（1）可以随时生成不同配置的云服务器，适配国产化、windows操作系统；</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（2）通过隧道技术实现100%二层网络隔离，满足不同行业客户的安全隔离需要；</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（3）基于安全组和访问ACL进行三层以上网络双重访问控制，满足用户的网络安全规范；</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（4）自定义子网网段划分、IP地址及路由策略，按需配置，即开即通；</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（5）支持专线、VPN等多种方式接入云端。</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（6）高达99.9999999%的数据持久性；</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（7）云硬盘采用三副本技术，支持云硬盘自动备份，进一步保障数据安全性；</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（8）支持Linux、Windows、国产化操作系统等多种公有镜像；</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（9）支持用户上传私有镜像，也可以将云主机导成私有镜像，实现业务的自定义与批量快速部署；</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（10）覆盖多款英特尔芯片以及鲲鹏、飞腾、海光等主流国产芯片。</w:t>
      </w:r>
      <w:r/>
    </w:p>
    <w:p>
      <w:pPr>
        <w:ind w:firstLine="560"/>
        <w:rPr>
          <w:rFonts w:hint="eastAsia" w:ascii="宋体" w:hAnsi="宋体" w:eastAsia="宋体" w:cs="宋体"/>
          <w:b w:val="0"/>
          <w:bCs/>
          <w:sz w:val="28"/>
          <w:szCs w:val="28"/>
        </w:rPr>
      </w:pPr>
      <w:r>
        <w:rPr>
          <w:rFonts w:hint="eastAsia" w:ascii="宋体" w:hAnsi="宋体" w:eastAsia="宋体" w:cs="宋体"/>
          <w:b w:val="0"/>
          <w:bCs/>
          <w:sz w:val="28"/>
          <w:szCs w:val="28"/>
        </w:rPr>
        <w:t xml:space="preserve">（11）多种模型：提供基于CPU芯片具备通用计算能力的云主机规格，也提供基于GPU芯片具备的异构计算能力的云主机规格，能满足不同的计算模型需求。</w:t>
      </w:r>
      <w:r/>
    </w:p>
    <w:p>
      <w:pPr>
        <w:ind w:firstLine="562"/>
        <w:rPr>
          <w:rFonts w:hint="eastAsia" w:ascii="宋体" w:hAnsi="宋体" w:eastAsia="宋体" w:cs="宋体"/>
          <w:sz w:val="28"/>
          <w:szCs w:val="28"/>
        </w:rPr>
      </w:pPr>
      <w:r>
        <w:rPr>
          <w:rFonts w:hint="eastAsia" w:ascii="宋体" w:hAnsi="宋体" w:eastAsia="宋体" w:cs="宋体"/>
          <w:b/>
          <w:sz w:val="28"/>
          <w:szCs w:val="28"/>
        </w:rPr>
        <w:t xml:space="preserve">2.云桌面基础参数</w:t>
      </w:r>
      <w:r/>
    </w:p>
    <w:p>
      <w:pPr>
        <w:ind w:firstLine="0"/>
        <w:rPr>
          <w:rFonts w:hint="eastAsia" w:ascii="宋体" w:hAnsi="宋体" w:eastAsia="宋体" w:cs="宋体"/>
          <w:b w:val="0"/>
          <w:bCs/>
          <w:sz w:val="28"/>
          <w:szCs w:val="28"/>
        </w:rPr>
      </w:pPr>
      <w:r>
        <w:rPr>
          <w:rFonts w:hint="eastAsia" w:ascii="宋体" w:hAnsi="宋体" w:eastAsia="宋体" w:cs="宋体"/>
          <w:b w:val="0"/>
          <w:bCs/>
          <w:sz w:val="28"/>
          <w:szCs w:val="28"/>
        </w:rPr>
        <w:t xml:space="preserve">   </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 xml:space="preserve">云桌面服务的底层硬件需满足以下要求：</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桌面云软件部署模式中要求本项目集群中服务器的添加支持热添加，在添加过程中不影响运行中的虚拟机。</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桌面云软件配置要求中要求本项目提供640个桌面云用户授权支持发布专有桌面、还原桌面资源，满足不同场景的应用需求。</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桌面云软件功能参数中要求支持个人盘加密技术，对云桌面个人数据进行加密保存，保障个人隐私安全。</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所投产品支持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桌面云软件功能参数中要求本项目所投产品支持集群模式，在不增加第三方负载均衡的情况下，可实现宕机切换会话不中断。</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所投产品支持客户端准入检测，可根据用户接入的终端类型、操作系统版本、接入IP和时间、软件安装情况等条件设置接入访问策略，如客户端不满足安全检测要求则不允许接入。</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7</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所投产品支持自助快照恢复，当用户自己误操作导致云桌面卡慢、蓝屏、死机或者中病毒的时候，用户通过导航条按钮，可以自助进行系统盘快照还原操作，支持安卓桌面云终端、PC客户端。</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所投产品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桌面云软件功能参数中要求本项目所投产品内置防火墙，包括设置过滤规则、NAT设置、访问监控、防DOS攻击</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桌面云软件功能参数中要求本项目支持根据特定的使用场景批量进行策略设置，场景可基于IP范围、终端类型等</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本项目要求所投产品厂商拥有ITSS私有云服务能力符合性评估一级认证。</w:t>
      </w:r>
      <w:r/>
    </w:p>
    <w:p>
      <w:pPr>
        <w:numPr>
          <w:ilvl w:val="0"/>
          <w:numId w:val="0"/>
        </w:numPr>
        <w:ind w:firstLine="560"/>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针对640台桌面云终端产品提供一年原厂硬件质保、软件升级</w:t>
      </w:r>
      <w:r/>
    </w:p>
    <w:p>
      <w:pPr>
        <w:ind w:firstLine="562"/>
        <w:rPr>
          <w:rFonts w:hint="eastAsia" w:ascii="宋体" w:hAnsi="宋体" w:eastAsia="宋体" w:cs="宋体"/>
          <w:sz w:val="28"/>
          <w:szCs w:val="28"/>
        </w:rPr>
      </w:pPr>
      <w:r>
        <w:rPr>
          <w:rFonts w:hint="eastAsia" w:ascii="宋体" w:hAnsi="宋体" w:eastAsia="宋体" w:cs="宋体"/>
          <w:b/>
          <w:sz w:val="28"/>
          <w:szCs w:val="28"/>
        </w:rPr>
        <w:t xml:space="preserve">3</w:t>
      </w:r>
      <w:r>
        <w:rPr>
          <w:rFonts w:hint="eastAsia" w:ascii="宋体" w:hAnsi="宋体" w:eastAsia="宋体" w:cs="宋体"/>
          <w:b/>
          <w:sz w:val="28"/>
          <w:szCs w:val="28"/>
          <w:lang w:val="en-US" w:eastAsia="zh-CN"/>
        </w:rPr>
        <w:t xml:space="preserve">.</w:t>
      </w:r>
      <w:r>
        <w:rPr>
          <w:rFonts w:hint="eastAsia" w:ascii="宋体" w:hAnsi="宋体" w:eastAsia="宋体" w:cs="宋体"/>
          <w:b/>
          <w:sz w:val="28"/>
          <w:szCs w:val="28"/>
        </w:rPr>
        <w:t xml:space="preserve">云备份服务基础参数</w:t>
      </w:r>
      <w:r/>
    </w:p>
    <w:p>
      <w:pPr>
        <w:ind w:firstLine="840"/>
        <w:rPr>
          <w:rFonts w:hint="eastAsia" w:ascii="宋体" w:hAnsi="宋体" w:eastAsia="宋体" w:cs="宋体"/>
          <w:sz w:val="28"/>
          <w:szCs w:val="28"/>
        </w:rPr>
      </w:pPr>
      <w:r>
        <w:rPr>
          <w:rFonts w:hint="eastAsia" w:ascii="宋体" w:hAnsi="宋体" w:eastAsia="宋体" w:cs="宋体"/>
          <w:sz w:val="28"/>
          <w:szCs w:val="28"/>
        </w:rPr>
        <w:t xml:space="preserve">云备份服务底层设备需要满足以下条件：</w:t>
      </w:r>
      <w:r/>
    </w:p>
    <w:tbl>
      <w:tblPr>
        <w:tblStyle w:val="1111"/>
        <w:tblW w:w="9622" w:type="dxa"/>
        <w:tblInd w:w="98" w:type="dxa"/>
        <w:tblLayout w:type="autofit"/>
        <w:tblCellMar>
          <w:left w:w="108" w:type="dxa"/>
          <w:top w:w="0" w:type="dxa"/>
          <w:right w:w="108" w:type="dxa"/>
          <w:bottom w:w="0" w:type="dxa"/>
        </w:tblCellMar>
        <w:tblLook w:val="04A0" w:firstRow="1" w:lastRow="0" w:firstColumn="1" w:lastColumn="0" w:noHBand="0" w:noVBand="1"/>
      </w:tblPr>
      <w:tblGrid>
        <w:gridCol w:w="1297"/>
        <w:gridCol w:w="8325"/>
      </w:tblGrid>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数据备份与恢复系统</w:t>
            </w:r>
            <w:r/>
          </w:p>
        </w:tc>
        <w:tc>
          <w:tcPr>
            <w:shd w:val="clear" w:color="auto" w:fill="auto"/>
            <w:tcBorders>
              <w:top w:val="single" w:color="000000" w:sz="4" w:space="0"/>
              <w:left w:val="single" w:color="000000" w:sz="4" w:space="0"/>
              <w:bottom w:val="single" w:color="000000" w:sz="4" w:space="0"/>
              <w:right w:val="single" w:color="000000" w:sz="4" w:space="0"/>
            </w:tcBorders>
            <w:tcW w:w="8325"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硬件：2U（含导轨），双高速 480G SSD，8个SAS热插拔盘位，支持raid1，raid5；标配1G Cache阵列卡，可扩展掉电保护；Xeon八核CPU，32GB DDR4的RDIMM内存，冗余电源，2个千兆网口。</w:t>
            </w:r>
            <w:r>
              <w:rPr>
                <w:rFonts w:hint="eastAsia" w:ascii="宋体" w:hAnsi="宋体" w:eastAsia="宋体" w:cs="宋体"/>
                <w:color w:val="000000"/>
                <w:sz w:val="28"/>
                <w:szCs w:val="28"/>
              </w:rPr>
              <w:br/>
            </w:r>
            <w:r>
              <w:rPr>
                <w:rFonts w:hint="eastAsia" w:ascii="宋体" w:hAnsi="宋体" w:eastAsia="宋体" w:cs="宋体"/>
                <w:color w:val="000000"/>
                <w:sz w:val="28"/>
                <w:szCs w:val="28"/>
              </w:rPr>
              <w:t xml:space="preserve">软件：64bit企业级Linux内核，基于WEB界面的容灾备份系统软件，标配LAN-Free功能，标配文件/数据库/Windows/Linux/虚拟化定时备份功能，可选配实时备份、应急接管、副本数据管理等功能。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支持文件、系统（Windows、Linux、AIX、HP-Unix、Solaris、中标麒麟、凝思磐石、银河麒麟、普华系统、红旗Linux等）、数据库（Oracle、SQL Server、MySQL、DB2、Sybase、达梦、人大金仓、南大通用、神通数据库）、虚拟机（VMware、Hyper-V、华为、华三、深信服）的定时备份。支持常见公有云、私有云、混合云数据保护。</w:t>
            </w:r>
            <w:r/>
          </w:p>
        </w:tc>
      </w:tr>
    </w:tbl>
    <w:p>
      <w:pPr>
        <w:ind w:firstLine="562"/>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4.</w:t>
      </w:r>
      <w:r>
        <w:rPr>
          <w:rFonts w:hint="eastAsia" w:ascii="宋体" w:hAnsi="宋体" w:eastAsia="宋体" w:cs="宋体"/>
          <w:b/>
          <w:sz w:val="28"/>
          <w:szCs w:val="28"/>
        </w:rPr>
        <w:t xml:space="preserve">云存储基础参数</w:t>
      </w:r>
      <w:r/>
    </w:p>
    <w:p>
      <w:pPr>
        <w:numPr>
          <w:ilvl w:val="0"/>
          <w:numId w:val="2"/>
        </w:numPr>
        <w:ind w:firstLine="480"/>
        <w:rPr>
          <w:rFonts w:hint="eastAsia" w:ascii="宋体" w:hAnsi="宋体" w:eastAsia="宋体" w:cs="宋体"/>
          <w:b w:val="0"/>
          <w:bCs/>
          <w:sz w:val="28"/>
          <w:szCs w:val="28"/>
        </w:rPr>
      </w:pPr>
      <w:r>
        <w:rPr>
          <w:rFonts w:hint="eastAsia" w:ascii="宋体" w:hAnsi="宋体" w:eastAsia="宋体" w:cs="宋体"/>
          <w:b w:val="0"/>
          <w:bCs/>
          <w:sz w:val="28"/>
          <w:szCs w:val="28"/>
        </w:rPr>
        <w:t xml:space="preserve">云存储需采用分布式架构，每节点支持60PB单一文件系统扩展，同时支持按需扩展存储节点，支持3节点到288节点的平滑扩展，一分钟即可完成节点在线扩容。</w:t>
      </w:r>
      <w:r/>
    </w:p>
    <w:p>
      <w:pPr>
        <w:numPr>
          <w:ilvl w:val="0"/>
          <w:numId w:val="2"/>
        </w:numPr>
        <w:ind w:firstLine="480"/>
        <w:rPr>
          <w:rFonts w:hint="eastAsia" w:ascii="宋体" w:hAnsi="宋体" w:eastAsia="宋体" w:cs="宋体"/>
          <w:b w:val="0"/>
          <w:bCs/>
          <w:sz w:val="28"/>
          <w:szCs w:val="28"/>
        </w:rPr>
      </w:pPr>
      <w:r>
        <w:rPr>
          <w:rFonts w:hint="eastAsia" w:ascii="宋体" w:hAnsi="宋体" w:eastAsia="宋体" w:cs="宋体"/>
          <w:b w:val="0"/>
          <w:bCs/>
          <w:sz w:val="28"/>
          <w:szCs w:val="28"/>
        </w:rPr>
        <w:t xml:space="preserve">利用PACS系统的数据归档功能，支持将历史数据从在线存储中迁移到云存储系统中。</w:t>
      </w:r>
      <w:r/>
    </w:p>
    <w:p>
      <w:pPr>
        <w:numPr>
          <w:ilvl w:val="0"/>
          <w:numId w:val="2"/>
        </w:numPr>
        <w:ind w:firstLine="480"/>
        <w:rPr>
          <w:rFonts w:hint="eastAsia" w:ascii="宋体" w:hAnsi="宋体" w:eastAsia="宋体" w:cs="宋体"/>
          <w:b w:val="0"/>
          <w:bCs/>
          <w:sz w:val="28"/>
          <w:szCs w:val="28"/>
        </w:rPr>
      </w:pPr>
      <w:r>
        <w:rPr>
          <w:rFonts w:hint="eastAsia" w:ascii="宋体" w:hAnsi="宋体" w:eastAsia="宋体" w:cs="宋体"/>
          <w:b w:val="0"/>
          <w:bCs/>
          <w:sz w:val="28"/>
          <w:szCs w:val="28"/>
        </w:rPr>
        <w:t xml:space="preserve">支持历史数据能够实时被业务系统访问。迁移后对医院PACS系统以及医生原有操作无影响。</w:t>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5</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无线AP基础参数</w:t>
      </w:r>
      <w:r/>
    </w:p>
    <w:tbl>
      <w:tblPr>
        <w:tblStyle w:val="1111"/>
        <w:tblpPr w:horzAnchor="text" w:tblpXSpec="center" w:vertAnchor="text" w:tblpY="1" w:leftFromText="180" w:topFromText="0" w:rightFromText="180" w:bottomFromText="0"/>
        <w:tblW w:w="48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612"/>
        <w:gridCol w:w="6699"/>
      </w:tblGrid>
      <w:tr>
        <w:trPr/>
        <w:tc>
          <w:tcPr>
            <w:shd w:val="clear" w:color="auto" w:fill="bfbfbf"/>
            <w:tcBorders>
              <w:top w:val="single" w:color="auto" w:sz="4" w:space="0"/>
              <w:left w:val="single" w:color="auto" w:sz="4" w:space="0"/>
              <w:bottom w:val="single" w:color="auto" w:sz="4" w:space="0"/>
              <w:right w:val="single" w:color="auto" w:sz="4" w:space="0"/>
            </w:tcBorders>
            <w:tcW w:w="673" w:type="pc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839" w:type="pc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类别</w:t>
            </w:r>
            <w:r/>
          </w:p>
        </w:tc>
        <w:tc>
          <w:tcPr>
            <w:shd w:val="clear" w:color="auto" w:fill="bfbfbf"/>
            <w:tcBorders>
              <w:top w:val="single" w:color="auto" w:sz="4" w:space="0"/>
              <w:left w:val="single" w:color="auto" w:sz="4" w:space="0"/>
              <w:bottom w:val="single" w:color="auto" w:sz="4" w:space="0"/>
              <w:right w:val="single" w:color="auto" w:sz="4" w:space="0"/>
            </w:tcBorders>
            <w:tcW w:w="3487"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参数要求</w:t>
            </w:r>
            <w:r/>
          </w:p>
        </w:tc>
      </w:tr>
      <w:tr>
        <w:trPr>
          <w:trHeight w:val="388"/>
        </w:trPr>
        <w:tc>
          <w:tcPr>
            <w:tcBorders>
              <w:top w:val="single" w:color="auto" w:sz="4" w:space="0"/>
              <w:left w:val="single" w:color="auto" w:sz="4" w:space="0"/>
              <w:bottom w:val="single" w:color="auto" w:sz="4" w:space="0"/>
              <w:right w:val="single" w:color="auto" w:sz="4" w:space="0"/>
            </w:tcBorders>
            <w:tcW w:w="673" w:type="pct"/>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协议</w:t>
            </w:r>
            <w:r/>
          </w:p>
        </w:tc>
        <w:tc>
          <w:tcPr>
            <w:tcBorders>
              <w:top w:val="single" w:color="auto" w:sz="4" w:space="0"/>
              <w:left w:val="single" w:color="auto" w:sz="4" w:space="0"/>
              <w:bottom w:val="single" w:color="auto" w:sz="4" w:space="0"/>
              <w:right w:val="single" w:color="auto" w:sz="4" w:space="0"/>
            </w:tcBorders>
            <w:tcW w:w="3487"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单频单天线最大传输速率1.2Gbps</w:t>
            </w:r>
            <w:r/>
          </w:p>
        </w:tc>
      </w:tr>
      <w:tr>
        <w:trPr>
          <w:trHeight w:val="473"/>
        </w:trPr>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数量要求</w:t>
            </w:r>
            <w:r/>
          </w:p>
        </w:tc>
        <w:tc>
          <w:tcPr>
            <w:tcBorders>
              <w:top w:val="single" w:color="auto" w:sz="4" w:space="0"/>
              <w:left w:val="single" w:color="auto" w:sz="4" w:space="0"/>
              <w:bottom w:val="single" w:color="auto" w:sz="4" w:space="0"/>
              <w:right w:val="single" w:color="auto" w:sz="4" w:space="0"/>
            </w:tcBorders>
            <w:tcW w:w="3487"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最大支持8天线</w:t>
            </w:r>
            <w:r/>
          </w:p>
        </w:tc>
      </w:tr>
      <w:tr>
        <w:trPr>
          <w:trHeight w:val="778"/>
        </w:trPr>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管理运维</w:t>
            </w:r>
            <w:r/>
          </w:p>
        </w:tc>
        <w:tc>
          <w:tcPr>
            <w:tcBorders>
              <w:top w:val="single" w:color="auto" w:sz="4" w:space="0"/>
              <w:left w:val="single" w:color="auto" w:sz="4" w:space="0"/>
              <w:bottom w:val="single" w:color="auto" w:sz="4" w:space="0"/>
              <w:right w:val="single" w:color="auto" w:sz="4" w:space="0"/>
            </w:tcBorders>
            <w:tcW w:w="3487"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本项目要求支持分组管理、批量移动、删除、关闭瘦终端，支持配置定时开关机计划及加电自启动功能，支持自定义开机画面、配置自动登录和保存密码。</w:t>
            </w:r>
            <w:r/>
          </w:p>
        </w:tc>
      </w:tr>
      <w:tr>
        <w:trPr>
          <w:trHeight w:val="400"/>
        </w:trPr>
        <w:tc>
          <w:tcPr>
            <w:tcBorders>
              <w:top w:val="single" w:color="auto" w:sz="4" w:space="0"/>
              <w:left w:val="single" w:color="auto" w:sz="4" w:space="0"/>
              <w:bottom w:val="single" w:color="auto" w:sz="4" w:space="0"/>
              <w:right w:val="single" w:color="auto" w:sz="4" w:space="0"/>
            </w:tcBorders>
            <w:tcW w:w="673" w:type="pct"/>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协议</w:t>
            </w:r>
            <w:r/>
          </w:p>
        </w:tc>
        <w:tc>
          <w:tcPr>
            <w:tcBorders>
              <w:top w:val="single" w:color="auto" w:sz="4" w:space="0"/>
              <w:left w:val="single" w:color="auto" w:sz="4" w:space="0"/>
              <w:bottom w:val="single" w:color="auto" w:sz="4" w:space="0"/>
              <w:right w:val="single" w:color="auto" w:sz="4" w:space="0"/>
            </w:tcBorders>
            <w:tcW w:w="3487"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支持UL MU-MIMO协议</w:t>
            </w:r>
            <w:r/>
          </w:p>
        </w:tc>
      </w:tr>
    </w:tbl>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6</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云主机、云桌面杀毒软件基础参数</w:t>
      </w:r>
      <w:r/>
    </w:p>
    <w:p>
      <w:pPr>
        <w:ind w:firstLine="0"/>
        <w:rPr>
          <w:rFonts w:hint="eastAsia" w:ascii="宋体" w:hAnsi="宋体" w:eastAsia="宋体" w:cs="宋体"/>
          <w:sz w:val="28"/>
          <w:szCs w:val="28"/>
        </w:rPr>
      </w:pPr>
      <w:r>
        <w:rPr>
          <w:rFonts w:hint="eastAsia" w:ascii="宋体" w:hAnsi="宋体" w:eastAsia="宋体" w:cs="宋体"/>
          <w:sz w:val="28"/>
          <w:szCs w:val="28"/>
        </w:rPr>
        <w:t xml:space="preserve">   为确保网络安全，每一台云主机、云桌面都需要配套杀毒软件，其中，杀毒软件需要满足以下要求：</w:t>
      </w:r>
      <w:r/>
    </w:p>
    <w:tbl>
      <w:tblPr>
        <w:tblStyle w:val="1111"/>
        <w:tblW w:w="4878" w:type="pct"/>
        <w:tblInd w:w="120" w:type="dxa"/>
        <w:tblLayout w:type="autofit"/>
        <w:tblCellMar>
          <w:left w:w="108" w:type="dxa"/>
          <w:top w:w="0" w:type="dxa"/>
          <w:right w:w="108" w:type="dxa"/>
          <w:bottom w:w="0" w:type="dxa"/>
        </w:tblCellMar>
        <w:tblLook w:val="04A0" w:firstRow="1" w:lastRow="0" w:firstColumn="1" w:lastColumn="0" w:noHBand="0" w:noVBand="1"/>
      </w:tblPr>
      <w:tblGrid>
        <w:gridCol w:w="1219"/>
        <w:gridCol w:w="8395"/>
      </w:tblGrid>
      <w:tr>
        <w:trPr>
          <w:trHeight w:val="801"/>
        </w:trPr>
        <w:tc>
          <w:tcPr>
            <w:shd w:val="clear" w:color="000000" w:fill="a5a5a5"/>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功能项</w:t>
            </w:r>
            <w:r/>
          </w:p>
        </w:tc>
        <w:tc>
          <w:tcPr>
            <w:shd w:val="clear" w:color="000000" w:fill="a5a5a5"/>
            <w:tcBorders>
              <w:top w:val="singl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t xml:space="preserve">详细描述</w:t>
            </w:r>
            <w:r/>
          </w:p>
        </w:tc>
      </w:tr>
      <w:tr>
        <w:trPr>
          <w:trHeight w:val="669"/>
        </w:trPr>
        <w:tc>
          <w:tcPr>
            <w:shd w:val="clear" w:color="auto" w:fill="auto"/>
            <w:tcBorders>
              <w:top w:val="none" w:color="000000" w:sz="4" w:space="0"/>
              <w:left w:val="single" w:color="000000" w:sz="4" w:space="0"/>
              <w:bottom w:val="single" w:color="000000" w:sz="4" w:space="0"/>
              <w:right w:val="single" w:color="000000" w:sz="4" w:space="0"/>
            </w:tcBorders>
            <w:tcW w:w="634" w:type="pct"/>
            <w:vAlign w:val="center"/>
            <w:vMerge w:val="restart"/>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管理</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产品采用B/S架构，支持通过HTTPS方式登录管理控制台，管理控制台访问需进行加密访问；</w:t>
            </w:r>
            <w:r/>
          </w:p>
        </w:tc>
      </w:tr>
      <w:tr>
        <w:trPr>
          <w:trHeight w:val="735"/>
        </w:trPr>
        <w:tc>
          <w:tcPr>
            <w:tcBorders>
              <w:top w:val="none" w:color="000000" w:sz="4" w:space="0"/>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产品需要支持根据IP地址（包含IPv6）、操作系统、在线状态、处理器结构、病毒码版本、防火墙状态、爆发阻止状态等条件的组合搜索出符合条件的终端进行管理；</w:t>
            </w:r>
            <w:r/>
          </w:p>
        </w:tc>
      </w:tr>
      <w:tr>
        <w:trPr>
          <w:trHeight w:val="537"/>
        </w:trPr>
        <w:tc>
          <w:tcPr>
            <w:tcBorders>
              <w:top w:val="none" w:color="000000" w:sz="4" w:space="0"/>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产品支持必须自带数据库，安装后可以自行存储各类日志以及相关数据，同时也可以外接MSSQL数据库，保证数据存储的多样性；</w:t>
            </w:r>
            <w:r/>
          </w:p>
        </w:tc>
      </w:tr>
      <w:tr>
        <w:trPr>
          <w:trHeight w:val="151"/>
        </w:trPr>
        <w:tc>
          <w:tcPr>
            <w:tcBorders>
              <w:top w:val="none" w:color="000000" w:sz="4" w:space="0"/>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产品支持管理用户角色，支持用户权限的灵活设定；</w:t>
            </w:r>
            <w:r/>
          </w:p>
        </w:tc>
      </w:tr>
      <w:tr>
        <w:trPr>
          <w:trHeight w:val="1041"/>
        </w:trPr>
        <w:tc>
          <w:tcPr>
            <w:tcBorders>
              <w:top w:val="none" w:color="000000" w:sz="4" w:space="0"/>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为适应配置低的终端需求，不影响生产办公，终端在进行手动以及预设扫描时必须可以设置扫描时CPU占用比例，分高、中、低三个级别。低消耗下不得超过CPU使用率的20%；</w:t>
            </w:r>
            <w:r/>
          </w:p>
        </w:tc>
      </w:tr>
      <w:tr>
        <w:trPr>
          <w:trHeight w:val="2619"/>
        </w:trPr>
        <w:tc>
          <w:tcPr>
            <w:shd w:val="clear" w:color="auto" w:fill="auto"/>
            <w:tcBorders>
              <w:top w:val="non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支持系统</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 Windows XP Professional（x64）SP2版</w:t>
            </w:r>
            <w:r>
              <w:rPr>
                <w:rFonts w:hint="eastAsia" w:ascii="宋体" w:hAnsi="宋体" w:eastAsia="宋体" w:cs="宋体"/>
                <w:color w:val="000000"/>
                <w:sz w:val="28"/>
                <w:szCs w:val="28"/>
              </w:rPr>
              <w:br/>
            </w:r>
            <w:r>
              <w:rPr>
                <w:rFonts w:hint="eastAsia" w:ascii="宋体" w:hAnsi="宋体" w:eastAsia="宋体" w:cs="宋体"/>
                <w:color w:val="000000"/>
                <w:sz w:val="28"/>
                <w:szCs w:val="28"/>
              </w:rPr>
              <w:t xml:space="preserve">• Windows Vista Business、Enterprise、Ultimate、Home Basic、Home Premium、Business for Embedded Systems、Ultimate for Embedded Systems（x86/x64）SP2版</w:t>
            </w:r>
            <w:r>
              <w:rPr>
                <w:rFonts w:hint="eastAsia" w:ascii="宋体" w:hAnsi="宋体" w:eastAsia="宋体" w:cs="宋体"/>
                <w:color w:val="000000"/>
                <w:sz w:val="28"/>
                <w:szCs w:val="28"/>
              </w:rPr>
              <w:br/>
            </w:r>
            <w:r>
              <w:rPr>
                <w:rFonts w:hint="eastAsia" w:ascii="宋体" w:hAnsi="宋体" w:eastAsia="宋体" w:cs="宋体"/>
                <w:color w:val="000000"/>
                <w:sz w:val="28"/>
                <w:szCs w:val="28"/>
              </w:rPr>
              <w:t xml:space="preserve">• Windows 7 Home Basic、Home Premium、Ultimate、Professional、Enterprise、Professional for Embedded Systems、Ultimate for Embedded Systems、Thin PC（x86/x64）包括或者未包括SP1版</w:t>
            </w:r>
            <w:r>
              <w:rPr>
                <w:rFonts w:hint="eastAsia" w:ascii="宋体" w:hAnsi="宋体" w:eastAsia="宋体" w:cs="宋体"/>
                <w:color w:val="000000"/>
                <w:sz w:val="28"/>
                <w:szCs w:val="28"/>
              </w:rPr>
              <w:br/>
            </w:r>
            <w:r>
              <w:rPr>
                <w:rFonts w:hint="eastAsia" w:ascii="宋体" w:hAnsi="宋体" w:eastAsia="宋体" w:cs="宋体"/>
                <w:color w:val="000000"/>
                <w:sz w:val="28"/>
                <w:szCs w:val="28"/>
              </w:rPr>
              <w:t xml:space="preserve">• Windows 8/8.1 Standard、Professional、Enterprise（x86/x64）版</w:t>
            </w:r>
            <w:r>
              <w:rPr>
                <w:rFonts w:hint="eastAsia" w:ascii="宋体" w:hAnsi="宋体" w:eastAsia="宋体" w:cs="宋体"/>
                <w:color w:val="000000"/>
                <w:sz w:val="28"/>
                <w:szCs w:val="28"/>
              </w:rPr>
              <w:br/>
            </w:r>
            <w:r>
              <w:rPr>
                <w:rFonts w:hint="eastAsia" w:ascii="宋体" w:hAnsi="宋体" w:eastAsia="宋体" w:cs="宋体"/>
                <w:color w:val="000000"/>
                <w:sz w:val="28"/>
                <w:szCs w:val="28"/>
              </w:rPr>
              <w:t xml:space="preserve">• Windows 10 Home、Professional、Education、Enterprise（x86/x64）版</w:t>
            </w:r>
            <w:r/>
          </w:p>
        </w:tc>
      </w:tr>
      <w:tr>
        <w:trPr>
          <w:trHeight w:val="657"/>
        </w:trPr>
        <w:tc>
          <w:tcPr>
            <w:shd w:val="clear" w:color="auto" w:fill="auto"/>
            <w:tcBorders>
              <w:top w:val="none" w:color="000000" w:sz="4" w:space="0"/>
              <w:left w:val="single" w:color="000000" w:sz="4" w:space="0"/>
              <w:right w:val="single" w:color="000000" w:sz="4" w:space="0"/>
            </w:tcBorders>
            <w:tcW w:w="634" w:type="pct"/>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安全防护</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产品能够实时监控并清除来自各种途径的病毒、木马、蠕虫、恶意软件、勒索软件、黑客工具等恶意威胁；</w:t>
            </w:r>
            <w:r/>
          </w:p>
        </w:tc>
      </w:tr>
      <w:tr>
        <w:trPr>
          <w:trHeight w:val="54"/>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产品需提供多种扫描引擎不少于五种，针对于机器学习必须使用独立扫描引擎，同时所有防毒引擎必须为自主知识产品非OEM产品； </w:t>
            </w:r>
            <w:r/>
          </w:p>
        </w:tc>
      </w:tr>
      <w:tr>
        <w:trPr>
          <w:trHeight w:val="685"/>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支持对压缩包文件进行扫描，并对常用压缩格式文档中的病毒能有效的进行实时检测和处理。</w:t>
            </w:r>
            <w:r/>
          </w:p>
        </w:tc>
      </w:tr>
      <w:tr>
        <w:trPr>
          <w:trHeight w:val="332"/>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对于文件扫描方式至少支持三种以上，包括所有文件统一措施、推荐扫描措施、以及针对不同类型病毒/恶意软件提供不同扫描措施，同时不同病毒/恶意软件类型不少于7种分类</w:t>
            </w:r>
            <w:r/>
          </w:p>
        </w:tc>
      </w:tr>
      <w:tr>
        <w:trPr>
          <w:trHeight w:val="684"/>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扫描策略必须包含清除、隔离、删除处理措施，同时还应具备对病毒/恶意软件的不予处理（锁定）、监控、更名等措施，以保证对于文件多种处理的可选择性；</w:t>
            </w:r>
            <w:r/>
          </w:p>
        </w:tc>
      </w:tr>
      <w:tr>
        <w:trPr>
          <w:trHeight w:val="212"/>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支持云安全扫描和传统病毒码扫描两种运行方式；</w:t>
            </w:r>
            <w:r/>
          </w:p>
        </w:tc>
      </w:tr>
      <w:tr>
        <w:trPr>
          <w:trHeight w:val="599"/>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支持检测全局可疑站点（C&amp;C)识别，监控可疑站点的连接，并提供记录或者阻止的处理措施；</w:t>
            </w:r>
            <w:r/>
          </w:p>
        </w:tc>
      </w:tr>
      <w:tr>
        <w:trPr>
          <w:trHeight w:val="396"/>
        </w:trPr>
        <w:tc>
          <w:tcPr>
            <w:shd w:val="clear" w:color="auto" w:fill="auto"/>
            <w:tcBorders>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具有分组管理客户端的功能，可对不同的组实施不同的病毒防护策略；</w:t>
            </w:r>
            <w:r/>
          </w:p>
        </w:tc>
      </w:tr>
      <w:tr>
        <w:trPr>
          <w:trHeight w:val="415"/>
        </w:trPr>
        <w:tc>
          <w:tcPr>
            <w:shd w:val="clear" w:color="auto" w:fill="auto"/>
            <w:tcBorders>
              <w:top w:val="none" w:color="000000" w:sz="4" w:space="0"/>
              <w:left w:val="single" w:color="000000" w:sz="4" w:space="0"/>
              <w:right w:val="single" w:color="000000" w:sz="4" w:space="0"/>
            </w:tcBorders>
            <w:tcW w:w="634" w:type="pct"/>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产品需要支持主机入侵检测系统；</w:t>
            </w:r>
            <w:r/>
          </w:p>
        </w:tc>
      </w:tr>
      <w:tr>
        <w:trPr>
          <w:trHeight w:val="407"/>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防病毒软件必须具备个人防火墙功能,有效阻止各种恶意威胁；</w:t>
            </w:r>
            <w:r/>
          </w:p>
        </w:tc>
      </w:tr>
      <w:tr>
        <w:trPr>
          <w:trHeight w:val="474"/>
        </w:trPr>
        <w:tc>
          <w:tcPr>
            <w:shd w:val="clear" w:color="auto" w:fill="auto"/>
            <w:tcBorders>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支持针对终端根据基于源IP（支持IPv6）、目的IP（支持IPv6）、源端口、目的端口、应用程序及注册表项，出站、入站等进行安全配置；</w:t>
            </w:r>
            <w:r/>
          </w:p>
        </w:tc>
      </w:tr>
      <w:tr>
        <w:trPr>
          <w:trHeight w:val="284"/>
        </w:trPr>
        <w:tc>
          <w:tcPr>
            <w:shd w:val="clear" w:color="auto" w:fill="auto"/>
            <w:tcBorders>
              <w:top w:val="none" w:color="000000" w:sz="4" w:space="0"/>
              <w:left w:val="single" w:color="000000" w:sz="4" w:space="0"/>
              <w:right w:val="single" w:color="000000" w:sz="4" w:space="0"/>
            </w:tcBorders>
            <w:tcW w:w="634" w:type="pct"/>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移动设备防护</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支持对USB存储设备、光驱、网络驱动器的使用权限进行控制；</w:t>
            </w:r>
            <w:r/>
          </w:p>
        </w:tc>
      </w:tr>
      <w:tr>
        <w:trPr>
          <w:trHeight w:val="245"/>
        </w:trPr>
        <w:tc>
          <w:tcPr>
            <w:shd w:val="clear" w:color="auto" w:fill="auto"/>
            <w:tcBorders>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可对插入移动存储引导区或者移动设备的所有文件进行扫描设置；</w:t>
            </w:r>
            <w:r/>
          </w:p>
        </w:tc>
      </w:tr>
      <w:tr>
        <w:trPr>
          <w:trHeight w:val="408"/>
        </w:trPr>
        <w:tc>
          <w:tcPr>
            <w:shd w:val="clear" w:color="auto" w:fill="auto"/>
            <w:tcBorders>
              <w:top w:val="none" w:color="000000" w:sz="4" w:space="0"/>
              <w:left w:val="single" w:color="000000" w:sz="4" w:space="0"/>
              <w:right w:val="single" w:color="000000" w:sz="4" w:space="0"/>
            </w:tcBorders>
            <w:tcW w:w="634" w:type="pct"/>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web防护</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支持拦截恶意URL功能，检测并阻止恶意的URL链接，并支持URL地址黑白名单功能；</w:t>
            </w:r>
            <w:r/>
          </w:p>
        </w:tc>
      </w:tr>
      <w:tr>
        <w:trPr>
          <w:trHeight w:val="487"/>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针对于web防护，必须可以区分内部客户端、外部客户端，对于不同的客户端可以实现不同的策略配置；</w:t>
            </w:r>
            <w:r/>
          </w:p>
        </w:tc>
      </w:tr>
      <w:tr>
        <w:trPr>
          <w:trHeight w:val="426"/>
        </w:trPr>
        <w:tc>
          <w:tcPr>
            <w:shd w:val="clear" w:color="auto" w:fill="auto"/>
            <w:tcBorders>
              <w:left w:val="single" w:color="000000" w:sz="4" w:space="0"/>
              <w:bottom w:val="single" w:color="auto"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8"/>
                <w:szCs w:val="28"/>
              </w:rPr>
              <w:t xml:space="preserve">具备Web信誉评估功能，包含HTTPS通信扫描，结合云安全架构自动识别并屏蔽恶意站点，阻止病毒自动更新</w:t>
            </w:r>
            <w:r>
              <w:rPr>
                <w:rFonts w:hint="eastAsia" w:ascii="宋体" w:hAnsi="宋体" w:cs="宋体"/>
                <w:color w:val="000000"/>
                <w:sz w:val="28"/>
                <w:szCs w:val="28"/>
                <w:lang w:eastAsia="zh-CN"/>
              </w:rPr>
              <w:t xml:space="preserve">；</w:t>
            </w:r>
            <w:bookmarkStart w:id="50" w:name="_GoBack"/>
            <w:r/>
            <w:bookmarkEnd w:id="50"/>
            <w:r/>
            <w:r/>
          </w:p>
        </w:tc>
      </w:tr>
      <w:tr>
        <w:trPr>
          <w:trHeight w:val="1072"/>
        </w:trPr>
        <w:tc>
          <w:tcPr>
            <w:shd w:val="clear" w:color="auto" w:fill="auto"/>
            <w:tcBorders>
              <w:top w:val="single" w:color="auto" w:sz="4" w:space="0"/>
              <w:left w:val="single" w:color="auto" w:sz="4" w:space="0"/>
              <w:bottom w:val="single" w:color="auto" w:sz="4" w:space="0"/>
              <w:right w:val="single" w:color="auto" w:sz="4" w:space="0"/>
            </w:tcBorders>
            <w:tcW w:w="634" w:type="pct"/>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客户端</w:t>
            </w:r>
            <w:r/>
          </w:p>
        </w:tc>
        <w:tc>
          <w:tcPr>
            <w:shd w:val="clear" w:color="auto" w:fill="auto"/>
            <w:tcBorders>
              <w:top w:val="none" w:color="000000" w:sz="4" w:space="0"/>
              <w:left w:val="single" w:color="auto"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支持多种安装方式，至少包括下载安装、MSI程序打包安装、共享安装、Web安装、脚本登录安装和域组策略安装，支持通过管理控制台方式进行远程安装，支持通过WEB方式进行远程安装；</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single" w:color="auto"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客户端提供本地语言自适应功能，可以根据客户端系统语言变更操作语言，至少支持中文、英文、日语、韩语等四种语言； </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爆发阻止</w:t>
            </w:r>
            <w:r/>
          </w:p>
        </w:tc>
        <w:tc>
          <w:tcPr>
            <w:shd w:val="clear" w:color="auto" w:fill="auto"/>
            <w:tcBorders>
              <w:top w:val="none" w:color="000000" w:sz="4" w:space="0"/>
              <w:left w:val="single" w:color="auto"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具备病毒爆发防御功能。当最新病毒爆发时，可在病毒代码未完成之前自动对企业网络中的病毒传播端口、共享等进行关闭，切断病毒传播途径，预防最新病毒的攻击； </w:t>
            </w:r>
            <w:r/>
          </w:p>
        </w:tc>
      </w:tr>
      <w:tr>
        <w:trPr>
          <w:trHeight w:val="54"/>
        </w:trPr>
        <w:tc>
          <w:tcPr>
            <w:shd w:val="clear" w:color="auto" w:fill="auto"/>
            <w:tcBorders>
              <w:top w:val="single" w:color="auto" w:sz="4" w:space="0"/>
              <w:left w:val="single" w:color="000000" w:sz="4" w:space="0"/>
              <w:bottom w:val="single" w:color="auto" w:sz="4" w:space="0"/>
              <w:right w:val="single" w:color="000000"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漏洞弱点扫描</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支持CVE漏洞弱点扫描功能，及时防护经由网页/电子邮件下载的文档漏洞利用(CVE) </w:t>
            </w:r>
            <w:r/>
          </w:p>
        </w:tc>
      </w:tr>
      <w:tr>
        <w:trPr>
          <w:trHeight w:val="406"/>
        </w:trPr>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勒索软件防护</w:t>
            </w:r>
            <w:r/>
          </w:p>
        </w:tc>
        <w:tc>
          <w:tcPr>
            <w:shd w:val="clear" w:color="auto" w:fill="auto"/>
            <w:tcBorders>
              <w:top w:val="none" w:color="000000" w:sz="4" w:space="0"/>
              <w:left w:val="single" w:color="auto"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必须具备防勒索软件防护功能，管理界面提供配置，阻止与勒索软件关联的进程，并防止遭受危害的可执行文件感染您的网络</w:t>
            </w:r>
            <w:r/>
          </w:p>
        </w:tc>
      </w:tr>
      <w:tr>
        <w:trPr>
          <w:trHeight w:val="164"/>
        </w:trPr>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机器学习</w:t>
            </w:r>
            <w:r/>
          </w:p>
        </w:tc>
        <w:tc>
          <w:tcPr>
            <w:shd w:val="clear" w:color="auto" w:fill="auto"/>
            <w:tcBorders>
              <w:top w:val="none" w:color="000000" w:sz="4" w:space="0"/>
              <w:left w:val="single" w:color="auto"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具备机器学习能力</w:t>
            </w:r>
            <w:r/>
          </w:p>
        </w:tc>
      </w:tr>
      <w:tr>
        <w:trPr>
          <w:trHeight w:val="153"/>
        </w:trPr>
        <w:tc>
          <w:tcPr>
            <w:shd w:val="clear" w:color="auto" w:fill="auto"/>
            <w:tcBorders>
              <w:top w:val="single" w:color="auto" w:sz="4" w:space="0"/>
              <w:left w:val="single" w:color="000000" w:sz="4" w:space="0"/>
              <w:right w:val="single" w:color="000000" w:sz="4" w:space="0"/>
            </w:tcBorders>
            <w:tcW w:w="634" w:type="pct"/>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升级功能</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支持在线、离线两种更新方式；</w:t>
            </w:r>
            <w:r/>
          </w:p>
        </w:tc>
      </w:tr>
      <w:tr>
        <w:trPr>
          <w:trHeight w:val="195"/>
        </w:trPr>
        <w:tc>
          <w:tcPr>
            <w:shd w:val="clear" w:color="auto" w:fill="auto"/>
            <w:tcBorders>
              <w:left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支持客户端更新代理，支持将任意客户端设置为更新代理，其他客户端从更新代理更新病毒码、策略，避免影响网络使用；</w:t>
            </w:r>
            <w:r/>
          </w:p>
        </w:tc>
      </w:tr>
      <w:tr>
        <w:trPr>
          <w:trHeight w:val="199"/>
        </w:trPr>
        <w:tc>
          <w:tcPr>
            <w:shd w:val="clear" w:color="auto" w:fill="auto"/>
            <w:tcBorders>
              <w:left w:val="single" w:color="000000" w:sz="4" w:space="0"/>
              <w:bottom w:val="single" w:color="000000" w:sz="4" w:space="0"/>
              <w:right w:val="single" w:color="000000" w:sz="4" w:space="0"/>
            </w:tcBorders>
            <w:tcW w:w="634" w:type="pct"/>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支持组件更新还原功能，支持扫描引擎和病毒码回滚机制；</w:t>
            </w:r>
            <w:r/>
          </w:p>
        </w:tc>
      </w:tr>
      <w:tr>
        <w:trPr>
          <w:trHeight w:val="445"/>
        </w:trPr>
        <w:tc>
          <w:tcPr>
            <w:shd w:val="clear" w:color="auto" w:fill="auto"/>
            <w:tcBorders>
              <w:top w:val="non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日志</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具有病毒日志查询与统计功能，可以随时对网络中病毒发生的情况进行查询统计；</w:t>
            </w:r>
            <w:r/>
          </w:p>
        </w:tc>
      </w:tr>
      <w:tr>
        <w:trPr>
          <w:trHeight w:val="346"/>
        </w:trPr>
        <w:tc>
          <w:tcPr>
            <w:shd w:val="clear" w:color="auto" w:fill="auto"/>
            <w:tcBorders>
              <w:top w:val="non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可疑文件提交</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具备将可疑文件提交沙盒设备的联动能力，可自动提交可疑恶意文件，并可接收；</w:t>
            </w:r>
            <w:r/>
          </w:p>
        </w:tc>
      </w:tr>
      <w:tr>
        <w:trPr>
          <w:trHeight w:val="54"/>
        </w:trPr>
        <w:tc>
          <w:tcPr>
            <w:shd w:val="clear" w:color="auto" w:fill="auto"/>
            <w:tcBorders>
              <w:top w:val="non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补丁防护接口</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产品需具备补丁防护接口，必要时可外接补丁防护产品，提供漏洞防护能力。同时补丁防护及补丁更新功能不能和杀毒软件一体化，避免和第三方桌面管理软件冲突。</w:t>
            </w:r>
            <w:r/>
          </w:p>
        </w:tc>
      </w:tr>
      <w:tr>
        <w:trPr>
          <w:trHeight w:val="183"/>
        </w:trPr>
        <w:tc>
          <w:tcPr>
            <w:shd w:val="clear" w:color="auto" w:fill="auto"/>
            <w:tcBorders>
              <w:top w:val="non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插件管理功能</w:t>
            </w:r>
            <w:r/>
          </w:p>
        </w:tc>
        <w:tc>
          <w:tcPr>
            <w:shd w:val="clear" w:color="auto" w:fill="auto"/>
            <w:tcBorders>
              <w:top w:val="none" w:color="000000" w:sz="4" w:space="0"/>
              <w:left w:val="none" w:color="000000" w:sz="4" w:space="0"/>
              <w:bottom w:val="single" w:color="000000" w:sz="4" w:space="0"/>
              <w:right w:val="single" w:color="000000" w:sz="4" w:space="0"/>
            </w:tcBorders>
            <w:tcW w:w="4365"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产品需支持以插件方式集成第三方产品或服务，实现平台化统一管理，并可提供集成接口和规范；</w:t>
            </w:r>
            <w:r/>
          </w:p>
        </w:tc>
      </w:tr>
    </w:tbl>
    <w:p>
      <w:pPr>
        <w:ind w:firstLine="562"/>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售后要求</w:t>
      </w:r>
      <w:r/>
    </w:p>
    <w:p>
      <w:pPr>
        <w:ind w:left="0" w:firstLine="280"/>
        <w:rPr>
          <w:rFonts w:hint="eastAsia" w:ascii="宋体" w:hAnsi="宋体" w:eastAsia="宋体" w:cs="宋体"/>
          <w:sz w:val="28"/>
          <w:szCs w:val="28"/>
        </w:rPr>
      </w:pPr>
      <w:r>
        <w:rPr>
          <w:rFonts w:hint="eastAsia" w:ascii="宋体" w:hAnsi="宋体" w:eastAsia="宋体" w:cs="宋体"/>
          <w:sz w:val="28"/>
          <w:szCs w:val="28"/>
        </w:rPr>
        <w:t xml:space="preserve">（1）安全环境搭建、风险评估和优化要求</w:t>
      </w:r>
      <w:r/>
    </w:p>
    <w:p>
      <w:pPr>
        <w:ind w:firstLine="0"/>
        <w:rPr>
          <w:rFonts w:hint="eastAsia" w:ascii="宋体" w:hAnsi="宋体" w:eastAsia="宋体" w:cs="宋体"/>
          <w:sz w:val="28"/>
          <w:szCs w:val="28"/>
        </w:rPr>
      </w:pPr>
      <w:r>
        <w:rPr>
          <w:rFonts w:hint="eastAsia" w:ascii="宋体" w:hAnsi="宋体" w:eastAsia="宋体" w:cs="宋体"/>
          <w:sz w:val="28"/>
          <w:szCs w:val="28"/>
        </w:rPr>
        <w:t xml:space="preserve">    根据网络和业务的实际情况完成安全持续改进和优化。 </w:t>
      </w:r>
      <w:r/>
    </w:p>
    <w:p>
      <w:pPr>
        <w:ind w:left="0" w:firstLine="280"/>
        <w:rPr>
          <w:rFonts w:hint="eastAsia" w:ascii="宋体" w:hAnsi="宋体" w:eastAsia="宋体" w:cs="宋体"/>
          <w:sz w:val="28"/>
          <w:szCs w:val="28"/>
        </w:rPr>
      </w:pPr>
      <w:r>
        <w:rPr>
          <w:rFonts w:hint="eastAsia" w:ascii="宋体" w:hAnsi="宋体" w:eastAsia="宋体" w:cs="宋体"/>
          <w:sz w:val="28"/>
          <w:szCs w:val="28"/>
        </w:rPr>
        <w:t xml:space="preserve">（2）应急响应要求（30分钟内响应）</w:t>
      </w:r>
      <w:r/>
    </w:p>
    <w:p>
      <w:pPr>
        <w:ind w:firstLine="0"/>
        <w:rPr>
          <w:rFonts w:hint="eastAsia" w:ascii="宋体" w:hAnsi="宋体" w:eastAsia="宋体" w:cs="宋体"/>
          <w:sz w:val="28"/>
          <w:szCs w:val="28"/>
        </w:rPr>
      </w:pPr>
      <w:r>
        <w:rPr>
          <w:rFonts w:hint="eastAsia" w:ascii="宋体" w:hAnsi="宋体" w:eastAsia="宋体" w:cs="宋体"/>
          <w:sz w:val="28"/>
          <w:szCs w:val="28"/>
        </w:rPr>
        <w:t xml:space="preserve">    技术支队团队提供7*24小时全方位、全时空的应急响应和服务支持，提供不间断的安全时间响应服务；对于安全事件提供在线、现场取证与技术支持服务，分析安全事件原因与症结；为我方提供切实可行的整改措施，杜绝类似事件的发生；协助用户确认安全责任并提高安全技能，从而防微杜渐。当安全威胁事件发生后，迅速采取措施和行动，以最快速恢复系统的保密性、完整性和可用性，阻止和降低安全威胁事件带来的严重性影响。</w:t>
      </w:r>
      <w:r/>
    </w:p>
    <w:p>
      <w:pPr>
        <w:ind w:firstLine="280"/>
        <w:rPr>
          <w:rFonts w:hint="eastAsia" w:ascii="宋体" w:hAnsi="宋体" w:eastAsia="宋体" w:cs="宋体"/>
          <w:sz w:val="28"/>
          <w:szCs w:val="28"/>
        </w:rPr>
      </w:pPr>
      <w:r>
        <w:rPr>
          <w:rFonts w:hint="eastAsia" w:ascii="宋体" w:hAnsi="宋体" w:eastAsia="宋体" w:cs="宋体"/>
          <w:sz w:val="28"/>
          <w:szCs w:val="28"/>
        </w:rPr>
        <w:t xml:space="preserve">（3）培训要求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在平台系统安装和验收完毕后，在现场进行基础培训，培训内容主要包括平台基本原理及特性、平台基础维护方法等。现场培训的目的是让采购人维护人员掌握基本运维操作方法，并能进行一些简单的故障处理。现场培训由投标人根据项目进展进行组织。</w:t>
      </w:r>
      <w:r/>
    </w:p>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rPr>
        <w:t xml:space="preserve">、</w:t>
      </w:r>
      <w:r>
        <w:rPr>
          <w:rFonts w:hint="eastAsia" w:ascii="宋体" w:hAnsi="宋体" w:eastAsia="宋体" w:cs="宋体"/>
          <w:b/>
          <w:bCs/>
          <w:color w:val="333333"/>
          <w:spacing w:val="8"/>
          <w:sz w:val="28"/>
          <w:szCs w:val="28"/>
        </w:rPr>
      </w:r>
      <w:r>
        <w:rPr>
          <w:rFonts w:ascii="SimSun" w:hAnsi="SimSun" w:eastAsia="SimSun" w:cs="SimSun"/>
          <w:b/>
          <w:color w:val="333333"/>
          <w:spacing w:val="8"/>
          <w:sz w:val="28"/>
        </w:rPr>
        <w:t xml:space="preserve">云桌面分项报价及控制价：</w:t>
      </w:r>
      <w:r/>
    </w:p>
    <w:tbl>
      <w:tblPr>
        <w:tblStyle w:val="11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00"/>
        <w:gridCol w:w="2070"/>
        <w:gridCol w:w="2224"/>
        <w:gridCol w:w="861"/>
        <w:gridCol w:w="898"/>
        <w:gridCol w:w="2493"/>
      </w:tblGrid>
      <w:tr>
        <w:trPr>
          <w:trHeight w:val="2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控制价（元/年）</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云主机服务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559200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云桌面服务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1124000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云备份服务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130400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云存储服务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86400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无线AP服务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200000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合计控制价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2100000</w:t>
            </w:r>
            <w:r/>
          </w:p>
        </w:tc>
      </w:tr>
    </w:tbl>
    <w:p>
      <w:pPr>
        <w:ind w:left="0" w:right="0" w:firstLine="0"/>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注：分项报价中各单项价格均不能超过以上控制价，否则作无效投标报价处理！</w:t>
      </w:r>
      <w:r/>
      <w:r>
        <w:rPr>
          <w:rFonts w:hint="eastAsia" w:ascii="宋体" w:hAnsi="宋体" w:eastAsia="宋体" w:cs="宋体"/>
          <w:b/>
          <w:bCs/>
          <w:color w:val="333333"/>
          <w:spacing w:val="8"/>
          <w:sz w:val="28"/>
          <w:szCs w:val="28"/>
        </w:rPr>
      </w:r>
      <w:r/>
      <w:r/>
      <w:r>
        <w:rPr>
          <w:sz w:val="28"/>
        </w:rP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106"/>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商务要求</w:t>
      </w:r>
      <w:r/>
    </w:p>
    <w:p>
      <w:pPr>
        <w:numPr>
          <w:ilvl w:val="1"/>
          <w:numId w:val="3"/>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1113"/>
        <w:numPr>
          <w:ilvl w:val="0"/>
          <w:numId w:val="0"/>
        </w:numPr>
        <w:ind w:firstLine="1124"/>
        <w:pageBreakBefore w:val="0"/>
        <w:spacing w:line="360" w:lineRule="auto"/>
        <w:rPr>
          <w:rFonts w:hint="eastAsia" w:ascii="宋体" w:hAnsi="宋体" w:eastAsia="宋体" w:cs="宋体"/>
          <w:b/>
          <w:sz w:val="28"/>
          <w:szCs w:val="28"/>
          <w:lang w:eastAsia="zh-CN"/>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bidi="ar-SA"/>
        </w:rPr>
        <w:t xml:space="preserve">本项目服务期限为一年。</w:t>
      </w:r>
      <w:r/>
    </w:p>
    <w:p>
      <w:pPr>
        <w:pStyle w:val="1114"/>
        <w:ind w:firstLine="1124"/>
        <w:pageBreakBefore w:val="0"/>
        <w:spacing w:line="360" w:lineRule="auto"/>
        <w:rPr>
          <w:rFonts w:hint="default" w:ascii="宋体" w:hAnsi="宋体" w:eastAsia="宋体" w:cs="宋体"/>
          <w:b/>
          <w:bCs/>
          <w:color w:val="1d41d5"/>
          <w:spacing w:val="8"/>
          <w:sz w:val="28"/>
          <w:szCs w:val="28"/>
          <w:u w:val="singl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常州市金坛区中医医院</w:t>
      </w:r>
      <w:r/>
    </w:p>
    <w:p>
      <w:pPr>
        <w:pStyle w:val="1168"/>
        <w:numPr>
          <w:ilvl w:val="1"/>
          <w:numId w:val="3"/>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firstLine="560"/>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val="0"/>
          <w:bCs w:val="0"/>
          <w:color w:val="ff0000"/>
          <w:sz w:val="28"/>
          <w:szCs w:val="28"/>
          <w:lang w:val="en-US" w:eastAsia="zh-CN" w:bidi="ar"/>
        </w:rPr>
        <w:t xml:space="preserve">合同签订后，按照合同价1/12的金额按月根据月度考核结果支付。</w:t>
      </w:r>
      <w:r/>
    </w:p>
    <w:p>
      <w:pPr>
        <w:numPr>
          <w:ilvl w:val="0"/>
          <w:numId w:val="0"/>
        </w:numPr>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numPr>
          <w:ilvl w:val="0"/>
          <w:numId w:val="0"/>
        </w:numPr>
        <w:ind w:firstLine="560"/>
        <w:keepLines w:val="0"/>
        <w:keepNext w:val="0"/>
        <w:pageBreakBefore w:val="0"/>
        <w:spacing w:line="360" w:lineRule="auto"/>
        <w:widowControl w:val="off"/>
        <w:rPr>
          <w:rFonts w:hint="eastAsia" w:ascii="宋体" w:hAnsi="宋体" w:cs="宋体"/>
          <w:szCs w:val="28"/>
        </w:rPr>
      </w:pPr>
      <w:r>
        <w:rPr>
          <w:rFonts w:hint="eastAsia" w:ascii="宋体" w:hAnsi="宋体" w:cs="宋体"/>
          <w:bCs/>
          <w:szCs w:val="28"/>
        </w:rPr>
        <w:t xml:space="preserve">按甲方要求完成考核，</w:t>
      </w:r>
      <w:r>
        <w:rPr>
          <w:rFonts w:hint="eastAsia" w:ascii="宋体" w:hAnsi="宋体" w:cs="宋体"/>
          <w:szCs w:val="28"/>
        </w:rPr>
        <w:t xml:space="preserve">考核标准及要求以投标文件中提供的工作标准为依据。并参照</w:t>
      </w:r>
      <w:r>
        <w:rPr>
          <w:rFonts w:hint="eastAsia" w:ascii="宋体" w:hAnsi="宋体" w:cs="宋体"/>
          <w:b/>
          <w:bCs/>
          <w:szCs w:val="28"/>
        </w:rPr>
        <w:t xml:space="preserve">《江苏省政府采购履约验收管理办法》</w:t>
      </w:r>
      <w:r>
        <w:rPr>
          <w:rFonts w:hint="eastAsia" w:ascii="宋体" w:hAnsi="宋体" w:cs="宋体"/>
          <w:szCs w:val="28"/>
        </w:rPr>
        <w:t xml:space="preserve">《</w:t>
      </w:r>
      <w:r>
        <w:rPr>
          <w:rFonts w:hint="eastAsia" w:ascii="宋体" w:hAnsi="宋体" w:eastAsia="宋体" w:cs="宋体"/>
          <w:b/>
          <w:bCs/>
          <w:sz w:val="28"/>
          <w:szCs w:val="28"/>
        </w:rPr>
        <w:t xml:space="preserve">云服务考核评估表</w:t>
      </w:r>
      <w:r>
        <w:rPr>
          <w:rFonts w:hint="eastAsia" w:ascii="宋体" w:hAnsi="宋体" w:cs="宋体"/>
          <w:szCs w:val="28"/>
        </w:rPr>
        <w:t xml:space="preserve">》</w:t>
      </w:r>
      <w:r>
        <w:rPr>
          <w:rFonts w:hint="eastAsia" w:ascii="宋体" w:hAnsi="宋体" w:eastAsia="宋体" w:cs="宋体"/>
          <w:szCs w:val="28"/>
        </w:rPr>
        <w:t xml:space="preserve">及投标人的投标文件中的实施方案进行综合</w:t>
      </w:r>
      <w:r>
        <w:rPr>
          <w:rFonts w:hint="eastAsia" w:ascii="宋体" w:hAnsi="宋体" w:cs="宋体"/>
          <w:szCs w:val="28"/>
        </w:rPr>
        <w:t xml:space="preserve">考核验收。</w:t>
      </w:r>
      <w:r/>
    </w:p>
    <w:p>
      <w:pPr>
        <w:jc w:val="center"/>
        <w:rPr>
          <w:rFonts w:hint="eastAsia"/>
          <w:b/>
          <w:bCs/>
          <w:lang w:val="en-US" w:eastAsia="zh-CN"/>
        </w:rPr>
      </w:pPr>
      <w:r>
        <w:rPr>
          <w:rFonts w:hint="eastAsia"/>
          <w:b/>
          <w:bCs/>
        </w:rPr>
        <w:t xml:space="preserve">云服务考核评估表</w:t>
      </w:r>
      <w:r/>
    </w:p>
    <w:tbl>
      <w:tblPr>
        <w:tblStyle w:val="1111"/>
        <w:tblW w:w="9981" w:type="dxa"/>
        <w:tblInd w:w="-186" w:type="dxa"/>
        <w:tblLayout w:type="fixed"/>
        <w:tblCellMar>
          <w:left w:w="108" w:type="dxa"/>
          <w:top w:w="0" w:type="dxa"/>
          <w:right w:w="108" w:type="dxa"/>
          <w:bottom w:w="0" w:type="dxa"/>
        </w:tblCellMar>
        <w:tblLook w:val="04A0" w:firstRow="1" w:lastRow="0" w:firstColumn="1" w:lastColumn="0" w:noHBand="0" w:noVBand="1"/>
      </w:tblPr>
      <w:tblGrid>
        <w:gridCol w:w="846"/>
        <w:gridCol w:w="870"/>
        <w:gridCol w:w="824"/>
        <w:gridCol w:w="1704"/>
        <w:gridCol w:w="1636"/>
        <w:gridCol w:w="892"/>
        <w:gridCol w:w="629"/>
        <w:gridCol w:w="1035"/>
        <w:gridCol w:w="1545"/>
      </w:tblGrid>
      <w:tr>
        <w:trPr>
          <w:trHeight w:val="330"/>
        </w:trPr>
        <w:tc>
          <w:tcPr>
            <w:gridSpan w:val="2"/>
            <w:shd w:val="clear" w:color="auto" w:fill="auto"/>
            <w:tcBorders>
              <w:top w:val="single" w:color="auto" w:sz="4" w:space="0"/>
              <w:left w:val="single" w:color="auto" w:sz="4" w:space="0"/>
              <w:bottom w:val="single" w:color="auto" w:sz="4" w:space="0"/>
              <w:right w:val="single" w:color="auto" w:sz="4" w:space="0"/>
            </w:tcBorders>
            <w:tcW w:w="1716"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b/>
                <w:bCs/>
                <w:sz w:val="28"/>
                <w:szCs w:val="28"/>
              </w:rPr>
              <w:t xml:space="preserve">考核单位：</w:t>
            </w:r>
            <w:r>
              <w:rPr>
                <w:rFonts w:hint="eastAsia" w:ascii="宋体" w:hAnsi="宋体" w:eastAsia="宋体" w:cs="宋体"/>
                <w:sz w:val="28"/>
                <w:szCs w:val="28"/>
              </w:rPr>
              <w:t xml:space="preserve">　</w:t>
            </w:r>
            <w:r/>
          </w:p>
        </w:tc>
        <w:tc>
          <w:tcPr>
            <w:gridSpan w:val="2"/>
            <w:shd w:val="clear" w:color="auto" w:fill="auto"/>
            <w:tcBorders>
              <w:top w:val="single" w:color="auto" w:sz="4" w:space="0"/>
              <w:left w:val="single" w:color="auto" w:sz="4" w:space="0"/>
              <w:bottom w:val="single" w:color="auto" w:sz="4" w:space="0"/>
              <w:right w:val="single" w:color="auto" w:sz="4" w:space="0"/>
            </w:tcBorders>
            <w:tcW w:w="2528"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　</w:t>
            </w:r>
            <w:r/>
          </w:p>
        </w:tc>
        <w:tc>
          <w:tcPr>
            <w:gridSpan w:val="2"/>
            <w:shd w:val="clear" w:color="auto" w:fill="auto"/>
            <w:tcBorders>
              <w:top w:val="single" w:color="auto" w:sz="4" w:space="0"/>
              <w:left w:val="single" w:color="auto" w:sz="4" w:space="0"/>
              <w:bottom w:val="single" w:color="auto" w:sz="4" w:space="0"/>
              <w:right w:val="single" w:color="auto" w:sz="4" w:space="0"/>
            </w:tcBorders>
            <w:tcW w:w="2528" w:type="dxa"/>
            <w:vAlign w:val="bottom"/>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b/>
                <w:bCs/>
                <w:sz w:val="28"/>
                <w:szCs w:val="28"/>
              </w:rPr>
              <w:t xml:space="preserve">考核周期：</w:t>
            </w:r>
            <w:r/>
          </w:p>
        </w:tc>
        <w:tc>
          <w:tcPr>
            <w:gridSpan w:val="3"/>
            <w:shd w:val="clear" w:color="auto" w:fill="auto"/>
            <w:tcBorders>
              <w:top w:val="single" w:color="auto" w:sz="4" w:space="0"/>
              <w:left w:val="single" w:color="auto" w:sz="4" w:space="0"/>
              <w:bottom w:val="single" w:color="auto" w:sz="4" w:space="0"/>
              <w:right w:val="single" w:color="auto" w:sz="4" w:space="0"/>
            </w:tcBorders>
            <w:tcW w:w="3209"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r>
      <w:tr>
        <w:trPr>
          <w:trHeight w:val="330"/>
        </w:trPr>
        <w:tc>
          <w:tcPr>
            <w:gridSpan w:val="2"/>
            <w:shd w:val="clear" w:color="auto" w:fill="auto"/>
            <w:tcBorders>
              <w:top w:val="single" w:color="auto" w:sz="4" w:space="0"/>
              <w:left w:val="single" w:color="auto" w:sz="4" w:space="0"/>
              <w:bottom w:val="single" w:color="auto" w:sz="4" w:space="0"/>
              <w:right w:val="single" w:color="auto" w:sz="4" w:space="0"/>
            </w:tcBorders>
            <w:tcW w:w="1716"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b/>
                <w:bCs/>
                <w:sz w:val="28"/>
                <w:szCs w:val="28"/>
              </w:rPr>
              <w:t xml:space="preserve">服务商：</w:t>
            </w:r>
            <w:r/>
          </w:p>
        </w:tc>
        <w:tc>
          <w:tcPr>
            <w:gridSpan w:val="2"/>
            <w:shd w:val="clear" w:color="auto" w:fill="auto"/>
            <w:tcBorders>
              <w:top w:val="single" w:color="auto" w:sz="4" w:space="0"/>
              <w:left w:val="single" w:color="auto" w:sz="4" w:space="0"/>
              <w:bottom w:val="single" w:color="auto" w:sz="4" w:space="0"/>
              <w:right w:val="single" w:color="auto" w:sz="4" w:space="0"/>
            </w:tcBorders>
            <w:tcW w:w="2528"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　</w:t>
            </w:r>
            <w:r/>
          </w:p>
        </w:tc>
        <w:tc>
          <w:tcPr>
            <w:gridSpan w:val="2"/>
            <w:shd w:val="clear" w:color="auto" w:fill="auto"/>
            <w:tcBorders>
              <w:top w:val="single" w:color="auto" w:sz="4" w:space="0"/>
              <w:left w:val="single" w:color="auto" w:sz="4" w:space="0"/>
              <w:bottom w:val="single" w:color="auto" w:sz="4" w:space="0"/>
              <w:right w:val="single" w:color="auto" w:sz="4" w:space="0"/>
            </w:tcBorders>
            <w:tcW w:w="2528" w:type="dxa"/>
            <w:vAlign w:val="bottom"/>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b/>
                <w:bCs/>
                <w:sz w:val="28"/>
                <w:szCs w:val="28"/>
              </w:rPr>
              <w:t xml:space="preserve">考核人员：</w:t>
            </w:r>
            <w:r/>
          </w:p>
        </w:tc>
        <w:tc>
          <w:tcPr>
            <w:gridSpan w:val="3"/>
            <w:shd w:val="clear" w:color="auto" w:fill="auto"/>
            <w:tcBorders>
              <w:top w:val="single" w:color="auto" w:sz="4" w:space="0"/>
              <w:left w:val="single" w:color="auto" w:sz="4" w:space="0"/>
              <w:bottom w:val="single" w:color="auto" w:sz="4" w:space="0"/>
              <w:right w:val="single" w:color="auto" w:sz="4" w:space="0"/>
            </w:tcBorders>
            <w:tcW w:w="3209"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r>
      <w:tr>
        <w:trPr>
          <w:trHeight w:val="600"/>
        </w:trPr>
        <w:tc>
          <w:tcPr>
            <w:shd w:val="clear" w:color="2e75b6" w:fill="2e75b6"/>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序号</w:t>
            </w:r>
            <w:r/>
          </w:p>
        </w:tc>
        <w:tc>
          <w:tcPr>
            <w:gridSpan w:val="2"/>
            <w:shd w:val="clear" w:color="2e75b6" w:fill="2e75b6"/>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考核维度</w:t>
            </w:r>
            <w:r/>
          </w:p>
        </w:tc>
        <w:tc>
          <w:tcPr>
            <w:gridSpan w:val="2"/>
            <w:shd w:val="clear" w:color="2e75b6" w:fill="2e75b6"/>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考核指标</w:t>
            </w:r>
            <w:r/>
          </w:p>
        </w:tc>
        <w:tc>
          <w:tcPr>
            <w:gridSpan w:val="2"/>
            <w:shd w:val="clear" w:color="2e75b6" w:fill="2e75b6"/>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考核标准/要求</w:t>
            </w:r>
            <w:r/>
          </w:p>
        </w:tc>
        <w:tc>
          <w:tcPr>
            <w:shd w:val="clear" w:color="2e75b6" w:fill="2e75b6"/>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评分</w:t>
            </w:r>
            <w:r/>
          </w:p>
        </w:tc>
        <w:tc>
          <w:tcPr>
            <w:shd w:val="clear" w:color="2e75b6" w:fill="2e75b6"/>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ffffff"/>
                <w:sz w:val="28"/>
                <w:szCs w:val="28"/>
              </w:rPr>
              <w:suppressLineNumbers w:val="0"/>
            </w:pPr>
            <w:r>
              <w:rPr>
                <w:rFonts w:hint="eastAsia" w:ascii="宋体" w:hAnsi="宋体" w:eastAsia="宋体" w:cs="宋体"/>
                <w:b/>
                <w:bCs/>
                <w:color w:val="ffffff"/>
                <w:sz w:val="28"/>
                <w:szCs w:val="28"/>
              </w:rPr>
              <w:t xml:space="preserve">备注/说明</w:t>
            </w:r>
            <w:r/>
          </w:p>
        </w:tc>
      </w:tr>
      <w:tr>
        <w:trPr>
          <w:trHeight w:val="300"/>
        </w:trPr>
        <w:tc>
          <w:tcPr>
            <w:gridSpan w:val="9"/>
            <w:shd w:val="clear" w:color="d6e4f0" w:fill="d6e4f0"/>
            <w:tcBorders>
              <w:top w:val="single" w:color="auto" w:sz="4" w:space="0"/>
              <w:left w:val="single" w:color="auto" w:sz="4" w:space="0"/>
              <w:bottom w:val="single" w:color="auto" w:sz="4" w:space="0"/>
              <w:right w:val="single" w:color="auto" w:sz="4" w:space="0"/>
            </w:tcBorders>
            <w:tcW w:w="9981"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一、计算性能</w:t>
            </w:r>
            <w:r/>
          </w:p>
        </w:tc>
      </w:tr>
      <w:tr>
        <w:trPr>
          <w:trHeight w:val="127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CPU性能</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CPU核心数、主频、架构是否符合申请分配要求</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1110"/>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内存配置</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内存容量满足业务需求；内存类型 是否符合申请分配要求</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990"/>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存储性能</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系统盘/数据盘IOPS、吞吐量（MB/s），支持SSD云盘/高效云盘；磁盘扩容能力</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1020"/>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其他</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操作系统版本及激活，符合申请分配要求</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300"/>
        </w:trPr>
        <w:tc>
          <w:tcPr>
            <w:gridSpan w:val="9"/>
            <w:shd w:val="clear" w:color="d6e4f0" w:fill="d6e4f0"/>
            <w:tcBorders>
              <w:top w:val="single" w:color="auto" w:sz="4" w:space="0"/>
              <w:left w:val="single" w:color="auto" w:sz="4" w:space="0"/>
              <w:bottom w:val="single" w:color="auto" w:sz="4" w:space="0"/>
              <w:right w:val="single" w:color="auto" w:sz="4" w:space="0"/>
            </w:tcBorders>
            <w:tcW w:w="9981"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二、网络能力</w:t>
            </w:r>
            <w:r/>
          </w:p>
        </w:tc>
      </w:tr>
      <w:tr>
        <w:trPr>
          <w:trHeight w:val="1159"/>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带宽与网络</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带宽（Mbps）；内网带宽；网络延迟（同区域&lt;1ms，跨区域&lt;5ms）</w:t>
            </w:r>
            <w:r/>
          </w:p>
        </w:tc>
        <w:tc>
          <w:tcPr>
            <w:gridSpan w:val="2"/>
            <w:shd w:val="clear" w:color="f2f7fb" w:fill="f2f7fb"/>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网络隔离</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VPC虚拟私有网络；安全组规则；子网划分能力</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300"/>
        </w:trPr>
        <w:tc>
          <w:tcPr>
            <w:gridSpan w:val="9"/>
            <w:shd w:val="clear" w:color="d6e4f0" w:fill="d6e4f0"/>
            <w:tcBorders>
              <w:top w:val="single" w:color="auto" w:sz="4" w:space="0"/>
              <w:left w:val="single" w:color="auto" w:sz="4" w:space="0"/>
              <w:bottom w:val="single" w:color="auto" w:sz="4" w:space="0"/>
              <w:right w:val="single" w:color="auto" w:sz="4" w:space="0"/>
            </w:tcBorders>
            <w:tcW w:w="9981"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三、高可用与容灾</w:t>
            </w:r>
            <w:r/>
          </w:p>
        </w:tc>
      </w:tr>
      <w:tr>
        <w:trPr>
          <w:trHeight w:val="1320"/>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7</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可用性保障</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单实例SLA≥99.975%；多可用区部署能力</w:t>
            </w:r>
            <w:r/>
          </w:p>
        </w:tc>
        <w:tc>
          <w:tcPr>
            <w:gridSpan w:val="2"/>
            <w:shd w:val="clear" w:color="f2f7fb" w:fill="f2f7fb"/>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备份与恢复</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支持快照策略；数据备份周期；RPO/RTO指标</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300"/>
        </w:trPr>
        <w:tc>
          <w:tcPr>
            <w:gridSpan w:val="9"/>
            <w:shd w:val="clear" w:color="d6e4f0" w:fill="d6e4f0"/>
            <w:tcBorders>
              <w:top w:val="single" w:color="auto" w:sz="4" w:space="0"/>
              <w:left w:val="single" w:color="auto" w:sz="4" w:space="0"/>
              <w:bottom w:val="single" w:color="auto" w:sz="4" w:space="0"/>
              <w:right w:val="single" w:color="auto" w:sz="4" w:space="0"/>
            </w:tcBorders>
            <w:tcW w:w="9981"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四、安全合规</w:t>
            </w:r>
            <w:r/>
          </w:p>
        </w:tc>
      </w:tr>
      <w:tr>
        <w:trPr>
          <w:trHeight w:val="330"/>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9</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安全防护</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DDoS防护；主机安全Agent</w:t>
            </w:r>
            <w:r/>
          </w:p>
        </w:tc>
        <w:tc>
          <w:tcPr>
            <w:gridSpan w:val="2"/>
            <w:shd w:val="clear" w:color="f2f7fb" w:fill="f2f7fb"/>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数据加密</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传输加密 ；存储加密；密钥管理服务 </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300"/>
        </w:trPr>
        <w:tc>
          <w:tcPr>
            <w:gridSpan w:val="9"/>
            <w:shd w:val="clear" w:color="d6e4f0" w:fill="d6e4f0"/>
            <w:tcBorders>
              <w:top w:val="single" w:color="auto" w:sz="4" w:space="0"/>
              <w:left w:val="single" w:color="auto" w:sz="4" w:space="0"/>
              <w:bottom w:val="single" w:color="auto" w:sz="4" w:space="0"/>
              <w:right w:val="single" w:color="auto" w:sz="4" w:space="0"/>
            </w:tcBorders>
            <w:tcW w:w="9981"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五、运维管理</w:t>
            </w:r>
            <w:r/>
          </w:p>
        </w:tc>
      </w:tr>
      <w:tr>
        <w:trPr>
          <w:trHeight w:val="1279"/>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11</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管理控制台</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控制台功能完整性；API/CLI工具支持；批量操作能力</w:t>
            </w:r>
            <w:r/>
          </w:p>
        </w:tc>
        <w:tc>
          <w:tcPr>
            <w:gridSpan w:val="2"/>
            <w:shd w:val="clear" w:color="f2f7fb" w:fill="f2f7fb"/>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监控告警</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CPU/内存/磁盘/网络监控；自定义告警规则 </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300"/>
        </w:trPr>
        <w:tc>
          <w:tcPr>
            <w:gridSpan w:val="9"/>
            <w:shd w:val="clear" w:color="d6e4f0" w:fill="d6e4f0"/>
            <w:tcBorders>
              <w:top w:val="single" w:color="auto" w:sz="4" w:space="0"/>
              <w:left w:val="single" w:color="auto" w:sz="4" w:space="0"/>
              <w:bottom w:val="single" w:color="auto" w:sz="4" w:space="0"/>
              <w:right w:val="single" w:color="auto" w:sz="4" w:space="0"/>
            </w:tcBorders>
            <w:tcW w:w="9981" w:type="dxa"/>
            <w:vAlign w:val="center"/>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六、服务质量</w:t>
            </w:r>
            <w:r/>
          </w:p>
        </w:tc>
      </w:tr>
      <w:tr>
        <w:trPr>
          <w:trHeight w:val="1399"/>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13</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技术支持</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7×24小时技术支持；工单响应时间（紧急&lt;15min）；专属客户经理</w:t>
            </w:r>
            <w:r/>
          </w:p>
        </w:tc>
        <w:tc>
          <w:tcPr>
            <w:gridSpan w:val="2"/>
            <w:shd w:val="clear" w:color="f2f7fb" w:fill="f2f7fb"/>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1200"/>
        </w:trPr>
        <w:tc>
          <w:tcPr>
            <w:shd w:val="clear" w:color="f2f7fb" w:fill="f2f7fb"/>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14</w:t>
            </w:r>
            <w:r/>
          </w:p>
        </w:tc>
        <w:tc>
          <w:tcPr>
            <w:gridSpan w:val="2"/>
            <w:shd w:val="clear" w:color="f2f7fb" w:fill="f2f7fb"/>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生态与集成</w:t>
            </w:r>
            <w:r/>
          </w:p>
        </w:tc>
        <w:tc>
          <w:tcPr>
            <w:gridSpan w:val="2"/>
            <w:shd w:val="clear" w:color="f2f7fb" w:fill="f2f7fb"/>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与主流数据库、中间件、容器服务的集成能力；市场镜像丰富度</w:t>
            </w:r>
            <w:r/>
          </w:p>
        </w:tc>
        <w:tc>
          <w:tcPr>
            <w:gridSpan w:val="2"/>
            <w:shd w:val="clear" w:color="f2f7fb" w:fill="f2f7fb"/>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f2f7fb" w:fill="f2f7fb"/>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f2f7fb" w:fill="f2f7fb"/>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530"/>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15</w:t>
            </w:r>
            <w:r/>
          </w:p>
        </w:tc>
        <w:tc>
          <w:tcPr>
            <w:gridSpan w:val="2"/>
            <w:shd w:val="clear" w:color="auto" w:fill="auto"/>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迁移服务</w:t>
            </w:r>
            <w:r/>
          </w:p>
        </w:tc>
        <w:tc>
          <w:tcPr>
            <w:gridSpan w:val="2"/>
            <w:shd w:val="clear" w:color="auto" w:fill="auto"/>
            <w:tcBorders>
              <w:top w:val="single" w:color="auto" w:sz="4" w:space="0"/>
              <w:left w:val="single" w:color="auto" w:sz="4" w:space="0"/>
              <w:bottom w:val="single" w:color="auto" w:sz="4" w:space="0"/>
              <w:right w:val="single" w:color="auto" w:sz="4" w:space="0"/>
            </w:tcBorders>
            <w:tcW w:w="334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提供迁移工具和方案；支持P2V/V2V迁移；迁移期间业务连续性保障</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846" w:type="dxa"/>
            <w:vAlign w:val="bottom"/>
            <w:textDirection w:val="lrTb"/>
            <w:noWrap/>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4"/>
            <w:shd w:val="clear" w:color="auto" w:fill="auto"/>
            <w:tcBorders>
              <w:top w:val="single" w:color="auto" w:sz="4" w:space="0"/>
              <w:left w:val="single" w:color="auto" w:sz="4" w:space="0"/>
              <w:bottom w:val="single" w:color="auto" w:sz="4" w:space="0"/>
              <w:right w:val="single" w:color="auto" w:sz="4" w:space="0"/>
            </w:tcBorders>
            <w:tcW w:w="5034" w:type="dxa"/>
            <w:vAlign w:val="bottom"/>
            <w:textDirection w:val="lrTb"/>
            <w:noWrap/>
          </w:tcPr>
          <w:p>
            <w:pPr>
              <w:ind w:left="0" w:right="0" w:firstLine="0"/>
              <w:jc w:val="left"/>
              <w:keepLines w:val="0"/>
              <w:keepNext w:val="0"/>
              <w:spacing w:before="0" w:beforeAutospacing="0" w:after="0" w:afterAutospacing="0" w:line="240" w:lineRule="auto"/>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考核总分</w:t>
            </w:r>
            <w:r/>
          </w:p>
        </w:tc>
        <w:tc>
          <w:tcPr>
            <w:gridSpan w:val="2"/>
            <w:shd w:val="clear" w:color="auto" w:fill="auto"/>
            <w:tcBorders>
              <w:top w:val="single" w:color="auto" w:sz="4" w:space="0"/>
              <w:left w:val="single" w:color="auto" w:sz="4" w:space="0"/>
              <w:bottom w:val="single" w:color="auto" w:sz="4" w:space="0"/>
              <w:right w:val="single" w:color="auto" w:sz="4" w:space="0"/>
            </w:tcBorders>
            <w:tcW w:w="1521" w:type="dxa"/>
            <w:vAlign w:val="bottom"/>
            <w:textDirection w:val="lrTb"/>
            <w:noWrap/>
          </w:tcPr>
          <w:p>
            <w:pPr>
              <w:ind w:left="0" w:right="0" w:firstLine="0"/>
              <w:jc w:val="left"/>
              <w:keepLines w:val="0"/>
              <w:keepNext w:val="0"/>
              <w:spacing w:before="0" w:beforeAutospacing="0" w:after="0" w:afterAutospacing="0" w:line="240" w:lineRule="auto"/>
              <w:widowControl/>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c>
          <w:tcPr>
            <w:gridSpan w:val="2"/>
            <w:shd w:val="clear" w:color="auto" w:fill="auto"/>
            <w:tcBorders>
              <w:top w:val="single" w:color="auto" w:sz="4" w:space="0"/>
              <w:left w:val="single" w:color="auto" w:sz="4" w:space="0"/>
              <w:bottom w:val="single" w:color="auto" w:sz="4" w:space="0"/>
              <w:right w:val="single" w:color="auto" w:sz="4" w:space="0"/>
            </w:tcBorders>
            <w:tcW w:w="2580"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300"/>
        </w:trPr>
        <w:tc>
          <w:tcPr>
            <w:gridSpan w:val="9"/>
            <w:shd w:val="clear" w:color="auto" w:fill="auto"/>
            <w:tcBorders>
              <w:top w:val="single" w:color="auto" w:sz="4" w:space="0"/>
              <w:left w:val="single" w:color="auto" w:sz="4" w:space="0"/>
              <w:bottom w:val="single" w:color="auto" w:sz="4" w:space="0"/>
              <w:right w:val="single" w:color="auto" w:sz="4" w:space="0"/>
            </w:tcBorders>
            <w:tcW w:w="9981"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b/>
                <w:bCs/>
                <w:sz w:val="28"/>
                <w:szCs w:val="28"/>
              </w:rPr>
              <w:t xml:space="preserve">评分等级说明：</w:t>
            </w:r>
            <w:r/>
          </w:p>
        </w:tc>
      </w:tr>
      <w:tr>
        <w:trPr>
          <w:trHeight w:val="330"/>
        </w:trPr>
        <w:tc>
          <w:tcPr>
            <w:gridSpan w:val="9"/>
            <w:shd w:val="clear" w:color="auto" w:fill="auto"/>
            <w:tcBorders>
              <w:top w:val="single" w:color="auto" w:sz="4" w:space="0"/>
              <w:left w:val="single" w:color="auto" w:sz="4" w:space="0"/>
              <w:bottom w:val="single" w:color="auto" w:sz="4" w:space="0"/>
              <w:right w:val="single" w:color="auto" w:sz="4" w:space="0"/>
            </w:tcBorders>
            <w:tcW w:w="9981"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月度考核90-100分： 按照月度正常付款；</w:t>
            </w:r>
            <w:r/>
          </w:p>
        </w:tc>
      </w:tr>
      <w:tr>
        <w:trPr>
          <w:trHeight w:val="330"/>
        </w:trPr>
        <w:tc>
          <w:tcPr>
            <w:gridSpan w:val="9"/>
            <w:shd w:val="clear" w:color="auto" w:fill="auto"/>
            <w:tcBorders>
              <w:top w:val="single" w:color="auto" w:sz="4" w:space="0"/>
              <w:left w:val="single" w:color="auto" w:sz="4" w:space="0"/>
              <w:bottom w:val="single" w:color="auto" w:sz="4" w:space="0"/>
              <w:right w:val="single" w:color="auto" w:sz="4" w:space="0"/>
            </w:tcBorders>
            <w:tcW w:w="9981"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月度考核80-89分： 月度付款扣除5000元；</w:t>
            </w:r>
            <w:r/>
          </w:p>
        </w:tc>
      </w:tr>
      <w:tr>
        <w:trPr>
          <w:trHeight w:val="330"/>
        </w:trPr>
        <w:tc>
          <w:tcPr>
            <w:gridSpan w:val="9"/>
            <w:shd w:val="clear" w:color="auto" w:fill="auto"/>
            <w:tcBorders>
              <w:top w:val="single" w:color="auto" w:sz="4" w:space="0"/>
              <w:left w:val="single" w:color="auto" w:sz="4" w:space="0"/>
              <w:bottom w:val="single" w:color="auto" w:sz="4" w:space="0"/>
              <w:right w:val="single" w:color="auto" w:sz="4" w:space="0"/>
            </w:tcBorders>
            <w:tcW w:w="9981"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月度考核60-79分： 月度付款扣除1万元；</w:t>
            </w:r>
            <w:r/>
          </w:p>
        </w:tc>
      </w:tr>
      <w:tr>
        <w:trPr>
          <w:trHeight w:val="330"/>
        </w:trPr>
        <w:tc>
          <w:tcPr>
            <w:gridSpan w:val="9"/>
            <w:shd w:val="clear" w:color="auto" w:fill="auto"/>
            <w:tcBorders>
              <w:top w:val="single" w:color="auto" w:sz="4" w:space="0"/>
              <w:left w:val="single" w:color="auto" w:sz="4" w:space="0"/>
              <w:bottom w:val="single" w:color="auto" w:sz="4" w:space="0"/>
              <w:right w:val="single" w:color="auto" w:sz="4" w:space="0"/>
            </w:tcBorders>
            <w:tcW w:w="9981" w:type="dxa"/>
            <w:vAlign w:val="bottom"/>
            <w:textDirection w:val="lrTb"/>
            <w:noWrap/>
          </w:tcPr>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月度考核60分以下：月度付款不予支付；</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连续两月考核60分以下,立即终止合同；</w:t>
            </w:r>
            <w:r/>
          </w:p>
        </w:tc>
      </w:tr>
    </w:tbl>
    <w:p>
      <w:pPr>
        <w:rPr>
          <w:rFonts w:hint="eastAsia"/>
          <w:lang w:val="en-US" w:eastAsia="zh-CN"/>
        </w:rPr>
      </w:pPr>
      <w:r>
        <w:rPr>
          <w:rFonts w:hint="eastAsia"/>
          <w:lang w:val="en-US" w:eastAsia="zh-CN"/>
        </w:rPr>
      </w:r>
      <w:r/>
    </w:p>
    <w:p>
      <w:pPr>
        <w:pStyle w:val="1106"/>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1113"/>
        <w:ind w:firstLine="523"/>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p>
    <w:p>
      <w:pPr>
        <w:pStyle w:val="1113"/>
        <w:ind w:firstLine="448"/>
        <w:spacing w:before="60" w:after="60"/>
        <w:rPr>
          <w:rFonts w:ascii="宋体" w:hAnsi="宋体"/>
          <w:szCs w:val="21"/>
        </w:rPr>
      </w:pPr>
      <w:r>
        <w:rPr>
          <w:rFonts w:ascii="宋体" w:hAnsi="宋体"/>
          <w:szCs w:val="21"/>
        </w:rPr>
      </w:r>
      <w:r/>
    </w:p>
    <w:p>
      <w:pPr>
        <w:pStyle w:val="1168"/>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r/>
      <w:bookmarkEnd w:id="5"/>
      <w:r/>
      <w:bookmarkEnd w:id="6"/>
      <w:r/>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07"/>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rPr>
          <w:rFonts w:hint="eastAsia"/>
          <w:lang w:val="en-US" w:eastAsia="zh-CN"/>
        </w:rPr>
      </w:pPr>
      <w:r>
        <w:rPr>
          <w:rFonts w:hint="eastAsia"/>
          <w:lang w:val="en-US" w:eastAsia="zh-CN"/>
        </w:rPr>
        <w:t xml:space="preserve"> </w:t>
      </w:r>
      <w:r/>
    </w:p>
    <w:p>
      <w:pPr>
        <w:ind w:firstLine="880"/>
        <w:jc w:val="center"/>
        <w:spacing w:line="570" w:lineRule="exact"/>
        <w:rPr>
          <w:rFonts w:hint="eastAsia" w:ascii="宋体" w:hAnsi="宋体" w:eastAsia="宋体" w:cs="宋体"/>
          <w:color w:val="0d1e0f"/>
          <w:sz w:val="28"/>
          <w:szCs w:val="28"/>
        </w:rPr>
        <w:outlineLvl w:val="0"/>
      </w:pPr>
      <w:r>
        <w:rPr>
          <w:rFonts w:hint="eastAsia" w:ascii="方正小标宋简体" w:hAnsi="宋体" w:eastAsia="方正小标宋简体" w:cs="Times New Roman"/>
          <w:color w:val="0d1e0f"/>
          <w:sz w:val="44"/>
          <w:szCs w:val="44"/>
        </w:rPr>
        <w:t xml:space="preserve">常州市政府采购合同（服务）（合同编号）</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项目名称：</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项目编号：</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甲方：（买方）_________</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乙方：（卖方）_________</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甲、乙双方根据常州市</w:t>
      </w:r>
      <w:r>
        <w:rPr>
          <w:rFonts w:hint="eastAsia" w:ascii="宋体" w:hAnsi="宋体" w:eastAsia="宋体" w:cs="宋体"/>
          <w:color w:val="0d1e0f"/>
          <w:sz w:val="28"/>
          <w:szCs w:val="28"/>
          <w:lang w:val="en-US" w:eastAsia="zh-CN"/>
        </w:rPr>
        <w:t xml:space="preserve">金坛区</w:t>
      </w:r>
      <w:r>
        <w:rPr>
          <w:rFonts w:hint="eastAsia" w:ascii="宋体" w:hAnsi="宋体" w:eastAsia="宋体" w:cs="宋体"/>
          <w:color w:val="0d1e0f"/>
          <w:sz w:val="28"/>
          <w:szCs w:val="28"/>
        </w:rPr>
        <w:t xml:space="preserve">政府采购中心</w:t>
      </w:r>
      <w:r>
        <w:rPr>
          <w:rFonts w:hint="eastAsia" w:ascii="宋体" w:hAnsi="宋体" w:eastAsia="宋体" w:cs="宋体"/>
          <w:color w:val="0d1e0f"/>
          <w:sz w:val="28"/>
          <w:szCs w:val="28"/>
          <w:u w:val="single"/>
          <w:lang w:val="en-US" w:eastAsia="zh-CN"/>
        </w:rPr>
        <w:t xml:space="preserve">                     </w:t>
      </w:r>
      <w:r>
        <w:rPr>
          <w:rFonts w:hint="eastAsia" w:ascii="宋体" w:hAnsi="宋体" w:eastAsia="宋体" w:cs="宋体"/>
          <w:color w:val="0d1e0f"/>
          <w:sz w:val="28"/>
          <w:szCs w:val="28"/>
        </w:rPr>
        <w:t xml:space="preserve">项目公开招标的结果，签署本合同。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一、合同内容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 标的名称：</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1.2标的质量：</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 标的数量（规模）：</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 履行时间（期限）：</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1.5 履行地点：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1.6履行方式：</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二、合同金额</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2.1本合同金额为（大写）：___________________________元整（_______________元）人民币或其他币种。</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三、技术资料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3.1乙方应按招标文件规定的时间向甲方提供服务（包含与服务相关的货物）的有关技术资料。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四、知识产权</w:t>
      </w:r>
      <w:r/>
    </w:p>
    <w:p>
      <w:pPr>
        <w:ind w:firstLine="560"/>
        <w:spacing w:line="570" w:lineRule="exact"/>
        <w:rPr>
          <w:rFonts w:hint="eastAsia" w:ascii="宋体" w:hAnsi="宋体" w:eastAsia="宋体" w:cs="宋体"/>
          <w:i/>
          <w:color w:val="0d1e0f"/>
          <w:sz w:val="28"/>
          <w:szCs w:val="28"/>
        </w:rPr>
      </w:pPr>
      <w:r>
        <w:rPr>
          <w:rFonts w:hint="eastAsia" w:ascii="宋体" w:hAnsi="宋体" w:eastAsia="宋体" w:cs="宋体"/>
          <w:color w:val="0d1e0f"/>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jc w:val="both"/>
        <w:spacing w:line="570" w:lineRule="exact"/>
        <w:widowControl w:val="off"/>
        <w:rPr>
          <w:rFonts w:hint="eastAsia" w:ascii="宋体" w:hAnsi="宋体" w:eastAsia="宋体" w:cs="宋体"/>
          <w:color w:val="0d1e0f"/>
          <w:sz w:val="28"/>
          <w:szCs w:val="28"/>
          <w:u w:val="single"/>
          <w:lang w:val="en-US" w:eastAsia="zh-CN" w:bidi="ar-SA"/>
        </w:rPr>
      </w:pPr>
      <w:r>
        <w:rPr>
          <w:rFonts w:hint="eastAsia" w:ascii="宋体" w:hAnsi="宋体" w:eastAsia="宋体" w:cs="宋体"/>
          <w:color w:val="0d1e0f"/>
          <w:sz w:val="28"/>
          <w:szCs w:val="28"/>
          <w:lang w:val="en-US" w:eastAsia="zh-CN" w:bidi="ar-SA"/>
        </w:rPr>
        <w:t xml:space="preserve">五、产权担保</w:t>
      </w:r>
      <w:r/>
    </w:p>
    <w:p>
      <w:pPr>
        <w:ind w:firstLine="56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5.1 乙方保证所交付的服务（包含与服务相关的货物）的所有权完全属于乙方且无任何抵押、查封等产权瑕疵。</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六、履约保证金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w:t>
      </w:r>
      <w:r>
        <w:rPr>
          <w:rFonts w:hint="eastAsia" w:ascii="宋体" w:hAnsi="宋体" w:eastAsia="宋体" w:cs="宋体"/>
          <w:color w:val="0d1e0f"/>
          <w:sz w:val="28"/>
          <w:szCs w:val="28"/>
          <w:u w:val="single"/>
        </w:rPr>
        <w:t xml:space="preserve">（不收取）</w:t>
      </w:r>
      <w:r>
        <w:rPr>
          <w:rFonts w:hint="eastAsia" w:ascii="宋体" w:hAnsi="宋体" w:eastAsia="宋体" w:cs="宋体"/>
          <w:color w:val="0d1e0f"/>
          <w:sz w:val="28"/>
          <w:szCs w:val="28"/>
        </w:rPr>
        <w:t xml:space="preserve">履约保证金。</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七、合同转包或分包</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7.1 乙方不得将合同标的转包给他人履行。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7.2 乙方不得将合同标的分包给他人履行。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7.3 乙方如有转包或未经甲方同意的分包行为，甲方有权解除合同。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八、合同款项支付</w:t>
      </w:r>
      <w:r/>
    </w:p>
    <w:p>
      <w:pPr>
        <w:ind w:left="0" w:firstLine="560"/>
        <w:keepLines w:val="0"/>
        <w:keepNext w:val="0"/>
        <w:pageBreakBefore w:val="0"/>
        <w:spacing w:line="360" w:lineRule="auto"/>
        <w:widowControl w:val="off"/>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8.1分期付款：</w:t>
      </w:r>
      <w:r>
        <w:rPr>
          <w:rFonts w:hint="eastAsia" w:ascii="宋体" w:hAnsi="宋体" w:eastAsia="宋体" w:cs="宋体"/>
          <w:b w:val="0"/>
          <w:bCs w:val="0"/>
          <w:color w:val="ff0000"/>
          <w:sz w:val="28"/>
          <w:szCs w:val="28"/>
          <w:lang w:val="en-US" w:eastAsia="zh-CN" w:bidi="ar"/>
        </w:rPr>
        <w:t xml:space="preserve">合同签订后，按照合同价1/12的金额按月根据月度考核结果支付。</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九、税费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9.1 本合同执行中相关的一切税费均由乙方负担。</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十、项目验收</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10.1 甲方依法组织履约验收工作。</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10.3对于实际使用人和甲方分离的项目，甲方邀请实际使用人参与验收。</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10.4如有必要，甲方邀请参加本项目的其他供应商或第三方专业机构及专家参与验收，相关意见将作为验收书的参考资料。</w:t>
      </w:r>
      <w:r/>
    </w:p>
    <w:p>
      <w:pPr>
        <w:ind w:firstLine="560"/>
        <w:spacing w:line="360" w:lineRule="auto"/>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10.5甲方成立验收小组，按照采购合同的约定</w:t>
      </w:r>
      <w:r>
        <w:rPr>
          <w:rFonts w:hint="eastAsia" w:ascii="宋体" w:hAnsi="宋体" w:eastAsia="宋体" w:cs="宋体"/>
          <w:sz w:val="28"/>
          <w:szCs w:val="28"/>
          <w:lang w:val="en-US" w:eastAsia="zh-CN"/>
        </w:rPr>
        <w:t xml:space="preserve">及参照《江苏省政府采购履约验收管理办法》</w:t>
      </w:r>
      <w:r>
        <w:rPr>
          <w:rFonts w:ascii="SimSun" w:hAnsi="SimSun" w:eastAsia="SimSun" w:cs="SimSun"/>
          <w:color w:val="000000"/>
          <w:sz w:val="28"/>
        </w:rPr>
        <w:t xml:space="preserve">《</w:t>
      </w:r>
      <w:r>
        <w:rPr>
          <w:rFonts w:ascii="SimSun" w:hAnsi="SimSun" w:eastAsia="SimSun" w:cs="SimSun"/>
          <w:b/>
          <w:color w:val="000000"/>
          <w:sz w:val="28"/>
        </w:rPr>
        <w:t xml:space="preserve">云服务考核评估表</w:t>
      </w:r>
      <w:r>
        <w:rPr>
          <w:rFonts w:ascii="SimSun" w:hAnsi="SimSun" w:eastAsia="SimSun" w:cs="SimSun"/>
          <w:color w:val="000000"/>
          <w:sz w:val="28"/>
        </w:rPr>
        <w:t xml:space="preserve">》及投标人的投标文件中的实施方案</w:t>
      </w:r>
      <w:r>
        <w:rPr>
          <w:rFonts w:hint="eastAsia" w:ascii="宋体" w:hAnsi="宋体" w:eastAsia="宋体" w:cs="宋体"/>
          <w:color w:val="0d1e0f"/>
          <w:sz w:val="28"/>
          <w:szCs w:val="28"/>
        </w:rPr>
        <w:t xml:space="preserve">对乙方的履约情况</w:t>
      </w:r>
      <w:r>
        <w:rPr>
          <w:rFonts w:hint="eastAsia" w:ascii="宋体" w:hAnsi="宋体" w:eastAsia="宋体" w:cs="宋体"/>
          <w:color w:val="0d1e0f"/>
          <w:sz w:val="28"/>
          <w:szCs w:val="28"/>
          <w:lang w:val="en-US" w:eastAsia="zh-CN"/>
        </w:rPr>
        <w:t xml:space="preserve">组织</w:t>
      </w:r>
      <w:r>
        <w:rPr>
          <w:rFonts w:hint="eastAsia" w:ascii="宋体" w:hAnsi="宋体" w:eastAsia="宋体" w:cs="宋体"/>
          <w:color w:val="0d1e0f"/>
          <w:sz w:val="28"/>
          <w:szCs w:val="28"/>
        </w:rPr>
        <w:t xml:space="preserve">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十一、违约责任</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11.1甲方无正当理由拒绝接受乙方提供服务的，甲方向乙方偿付拒绝接受服务合同价款总值的违约金。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11.2甲方无故逾期验收和办理合同款项支付手续的,甲方应按逾期付款总额每日向乙方支付违约金。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11.4乙方所提供服务的标准不符合合同规定及招标文件规定标准的，甲方有权拒绝接受服务，并可单方面解除合同。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十二、不可抗力事件处理</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12.1在合同有效期内，任何一方因不可抗力事件导致不能履行合同，则合同履行期可延长，其延长期与不可抗力影响期相同。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12.2不可抗力事件发生后，应立即通知对方，并寄送有关权威机构出具的证明。</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12.3不可抗力事件延续120天以上，双方应通过友好协商，确定是否继续履行合同。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十三、解决争议的方法</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13.1双方在签订、履行合同中所发生的一切争议，应通过友好协商解决。如协商不成，由甲方住所地人民法院管辖。</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十四、合同生效及其他</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14.1合同经双方法定代表人或授权委托代表人签字并加盖单位公章后生效。</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14.2本合同未尽事宜，遵照《中华人民共和国民法典》《中华人民共和国政府采购法》有关条文执行。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14.3本合同正本一式两份，具有同等法律效力，甲方、乙方各执一份。</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乙方：</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地址：</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地址：</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法定代表人或授权代表：</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法定代表人或授权代表：</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联系电话：</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联系电话：</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签订日期：</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年</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月</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日</w:t>
      </w:r>
      <w:bookmarkStart w:id="42" w:name="_Hlt16619369"/>
      <w:r/>
      <w:bookmarkEnd w:id="42"/>
      <w:r/>
      <w:r/>
    </w:p>
    <w:p>
      <w:pPr>
        <w:ind w:firstLine="1405"/>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firstLine="2811"/>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2811"/>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2811"/>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r/>
    </w:p>
    <w:p>
      <w:pPr>
        <w:pStyle w:val="1107"/>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1108"/>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9364"/>
      <w:r/>
      <w:bookmarkStart w:id="44" w:name="_Toc28025"/>
      <w:r/>
      <w:bookmarkStart w:id="45" w:name="_Toc7710"/>
      <w:r/>
      <w:bookmarkStart w:id="46" w:name="_Toc17140"/>
      <w:r/>
      <w:bookmarkStart w:id="47" w:name="_Toc21548"/>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108"/>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8"/>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25"/>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08"/>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34"/>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2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2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108"/>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中医医院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25"/>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2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25"/>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108"/>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25"/>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2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25"/>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2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2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2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108"/>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10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1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2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2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2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10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11"/>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287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108"/>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1125"/>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常州市金坛区中医医院</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贵单位组织的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11"/>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2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108"/>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25"/>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2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69"/>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2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2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8"/>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08"/>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25"/>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25"/>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108"/>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Fonts w:hint="eastAsia"/>
      </w:rPr>
    </w:pPr>
    <w:r>
      <w:rPr>
        <w:rFonts w:hint="eastAsia"/>
      </w:rPr>
    </w:r>
    <w:r/>
  </w:p>
  <w:p>
    <w:pPr>
      <w:pStyle w:val="1123"/>
      <w:rPr>
        <w:rFonts w:hint="eastAsia"/>
      </w:rPr>
    </w:pPr>
    <w:r>
      <w:rPr>
        <w:rFonts w:hint="eastAsia"/>
      </w:rPr>
    </w:r>
    <w:r/>
  </w:p>
  <w:p>
    <w:pPr>
      <w:pStyle w:val="112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Fonts w:hint="eastAsia"/>
      </w:rPr>
    </w:pPr>
    <w:r>
      <w:rPr>
        <w:rFonts w:hint="eastAsia"/>
      </w:rPr>
    </w:r>
    <w:r/>
  </w:p>
  <w:p>
    <w:pPr>
      <w:pStyle w:val="1123"/>
      <w:rPr>
        <w:rFonts w:hint="eastAsia"/>
      </w:rPr>
    </w:pPr>
    <w:r>
      <w:rPr>
        <w:rFonts w:hint="eastAsia"/>
      </w:rPr>
    </w:r>
    <w:r/>
  </w:p>
  <w:p>
    <w:pPr>
      <w:pStyle w:val="112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9">
    <w:name w:val="Heading 1 Char"/>
    <w:basedOn w:val="1110"/>
    <w:link w:val="1106"/>
    <w:uiPriority w:val="9"/>
    <w:rPr>
      <w:rFonts w:ascii="Arial" w:hAnsi="Arial" w:eastAsia="Arial" w:cs="Arial"/>
      <w:sz w:val="40"/>
      <w:szCs w:val="40"/>
    </w:rPr>
  </w:style>
  <w:style w:type="character" w:styleId="940">
    <w:name w:val="Heading 2 Char"/>
    <w:basedOn w:val="1110"/>
    <w:link w:val="1107"/>
    <w:uiPriority w:val="9"/>
    <w:rPr>
      <w:rFonts w:ascii="Arial" w:hAnsi="Arial" w:eastAsia="Arial" w:cs="Arial"/>
      <w:sz w:val="34"/>
    </w:rPr>
  </w:style>
  <w:style w:type="character" w:styleId="941">
    <w:name w:val="Heading 3 Char"/>
    <w:basedOn w:val="1110"/>
    <w:link w:val="1108"/>
    <w:uiPriority w:val="9"/>
    <w:rPr>
      <w:rFonts w:ascii="Arial" w:hAnsi="Arial" w:eastAsia="Arial" w:cs="Arial"/>
      <w:sz w:val="30"/>
      <w:szCs w:val="30"/>
    </w:rPr>
  </w:style>
  <w:style w:type="character" w:styleId="942">
    <w:name w:val="Heading 4 Char"/>
    <w:basedOn w:val="1110"/>
    <w:link w:val="1109"/>
    <w:uiPriority w:val="9"/>
    <w:rPr>
      <w:rFonts w:ascii="Arial" w:hAnsi="Arial" w:eastAsia="Arial" w:cs="Arial"/>
      <w:b/>
      <w:bCs/>
      <w:sz w:val="26"/>
      <w:szCs w:val="26"/>
    </w:rPr>
  </w:style>
  <w:style w:type="paragraph" w:styleId="943">
    <w:name w:val="Heading 5"/>
    <w:basedOn w:val="1105"/>
    <w:next w:val="1105"/>
    <w:link w:val="944"/>
    <w:uiPriority w:val="9"/>
    <w:unhideWhenUsed/>
    <w:qFormat/>
    <w:pPr>
      <w:keepLines/>
      <w:keepNext/>
      <w:spacing w:before="320" w:after="200"/>
      <w:outlineLvl w:val="4"/>
    </w:pPr>
    <w:rPr>
      <w:rFonts w:ascii="Arial" w:hAnsi="Arial" w:eastAsia="Arial" w:cs="Arial"/>
      <w:b/>
      <w:bCs/>
      <w:sz w:val="24"/>
      <w:szCs w:val="24"/>
    </w:rPr>
  </w:style>
  <w:style w:type="character" w:styleId="944">
    <w:name w:val="Heading 5 Char"/>
    <w:basedOn w:val="1110"/>
    <w:link w:val="943"/>
    <w:uiPriority w:val="9"/>
    <w:rPr>
      <w:rFonts w:ascii="Arial" w:hAnsi="Arial" w:eastAsia="Arial" w:cs="Arial"/>
      <w:b/>
      <w:bCs/>
      <w:sz w:val="24"/>
      <w:szCs w:val="24"/>
    </w:rPr>
  </w:style>
  <w:style w:type="paragraph" w:styleId="945">
    <w:name w:val="Heading 6"/>
    <w:basedOn w:val="1105"/>
    <w:next w:val="1105"/>
    <w:link w:val="946"/>
    <w:uiPriority w:val="9"/>
    <w:unhideWhenUsed/>
    <w:qFormat/>
    <w:pPr>
      <w:keepLines/>
      <w:keepNext/>
      <w:spacing w:before="320" w:after="200"/>
      <w:outlineLvl w:val="5"/>
    </w:pPr>
    <w:rPr>
      <w:rFonts w:ascii="Arial" w:hAnsi="Arial" w:eastAsia="Arial" w:cs="Arial"/>
      <w:b/>
      <w:bCs/>
      <w:sz w:val="22"/>
      <w:szCs w:val="22"/>
    </w:rPr>
  </w:style>
  <w:style w:type="character" w:styleId="946">
    <w:name w:val="Heading 6 Char"/>
    <w:basedOn w:val="1110"/>
    <w:link w:val="945"/>
    <w:uiPriority w:val="9"/>
    <w:rPr>
      <w:rFonts w:ascii="Arial" w:hAnsi="Arial" w:eastAsia="Arial" w:cs="Arial"/>
      <w:b/>
      <w:bCs/>
      <w:sz w:val="22"/>
      <w:szCs w:val="22"/>
    </w:rPr>
  </w:style>
  <w:style w:type="paragraph" w:styleId="947">
    <w:name w:val="Heading 7"/>
    <w:basedOn w:val="1105"/>
    <w:next w:val="1105"/>
    <w:link w:val="948"/>
    <w:uiPriority w:val="9"/>
    <w:unhideWhenUsed/>
    <w:qFormat/>
    <w:pPr>
      <w:keepLines/>
      <w:keepNext/>
      <w:spacing w:before="320" w:after="200"/>
      <w:outlineLvl w:val="6"/>
    </w:pPr>
    <w:rPr>
      <w:rFonts w:ascii="Arial" w:hAnsi="Arial" w:eastAsia="Arial" w:cs="Arial"/>
      <w:b/>
      <w:bCs/>
      <w:i/>
      <w:iCs/>
      <w:sz w:val="22"/>
      <w:szCs w:val="22"/>
    </w:rPr>
  </w:style>
  <w:style w:type="character" w:styleId="948">
    <w:name w:val="Heading 7 Char"/>
    <w:basedOn w:val="1110"/>
    <w:link w:val="947"/>
    <w:uiPriority w:val="9"/>
    <w:rPr>
      <w:rFonts w:ascii="Arial" w:hAnsi="Arial" w:eastAsia="Arial" w:cs="Arial"/>
      <w:b/>
      <w:bCs/>
      <w:i/>
      <w:iCs/>
      <w:sz w:val="22"/>
      <w:szCs w:val="22"/>
    </w:rPr>
  </w:style>
  <w:style w:type="paragraph" w:styleId="949">
    <w:name w:val="Heading 8"/>
    <w:basedOn w:val="1105"/>
    <w:next w:val="1105"/>
    <w:link w:val="950"/>
    <w:uiPriority w:val="9"/>
    <w:unhideWhenUsed/>
    <w:qFormat/>
    <w:pPr>
      <w:keepLines/>
      <w:keepNext/>
      <w:spacing w:before="320" w:after="200"/>
      <w:outlineLvl w:val="7"/>
    </w:pPr>
    <w:rPr>
      <w:rFonts w:ascii="Arial" w:hAnsi="Arial" w:eastAsia="Arial" w:cs="Arial"/>
      <w:i/>
      <w:iCs/>
      <w:sz w:val="22"/>
      <w:szCs w:val="22"/>
    </w:rPr>
  </w:style>
  <w:style w:type="character" w:styleId="950">
    <w:name w:val="Heading 8 Char"/>
    <w:basedOn w:val="1110"/>
    <w:link w:val="949"/>
    <w:uiPriority w:val="9"/>
    <w:rPr>
      <w:rFonts w:ascii="Arial" w:hAnsi="Arial" w:eastAsia="Arial" w:cs="Arial"/>
      <w:i/>
      <w:iCs/>
      <w:sz w:val="22"/>
      <w:szCs w:val="22"/>
    </w:rPr>
  </w:style>
  <w:style w:type="paragraph" w:styleId="951">
    <w:name w:val="Heading 9"/>
    <w:basedOn w:val="1105"/>
    <w:next w:val="1105"/>
    <w:link w:val="952"/>
    <w:uiPriority w:val="9"/>
    <w:unhideWhenUsed/>
    <w:qFormat/>
    <w:pPr>
      <w:keepLines/>
      <w:keepNext/>
      <w:spacing w:before="320" w:after="200"/>
      <w:outlineLvl w:val="8"/>
    </w:pPr>
    <w:rPr>
      <w:rFonts w:ascii="Arial" w:hAnsi="Arial" w:eastAsia="Arial" w:cs="Arial"/>
      <w:i/>
      <w:iCs/>
      <w:sz w:val="21"/>
      <w:szCs w:val="21"/>
    </w:rPr>
  </w:style>
  <w:style w:type="character" w:styleId="952">
    <w:name w:val="Heading 9 Char"/>
    <w:basedOn w:val="1110"/>
    <w:link w:val="951"/>
    <w:uiPriority w:val="9"/>
    <w:rPr>
      <w:rFonts w:ascii="Arial" w:hAnsi="Arial" w:eastAsia="Arial" w:cs="Arial"/>
      <w:i/>
      <w:iCs/>
      <w:sz w:val="21"/>
      <w:szCs w:val="21"/>
    </w:rPr>
  </w:style>
  <w:style w:type="paragraph" w:styleId="953">
    <w:name w:val="No Spacing"/>
    <w:uiPriority w:val="1"/>
    <w:qFormat/>
    <w:pPr>
      <w:spacing w:before="0" w:after="0" w:line="240" w:lineRule="auto"/>
    </w:pPr>
  </w:style>
  <w:style w:type="character" w:styleId="954">
    <w:name w:val="Title Char"/>
    <w:basedOn w:val="1110"/>
    <w:link w:val="1115"/>
    <w:uiPriority w:val="10"/>
    <w:rPr>
      <w:sz w:val="48"/>
      <w:szCs w:val="48"/>
    </w:rPr>
  </w:style>
  <w:style w:type="paragraph" w:styleId="955">
    <w:name w:val="Subtitle"/>
    <w:basedOn w:val="1105"/>
    <w:next w:val="1105"/>
    <w:link w:val="956"/>
    <w:uiPriority w:val="11"/>
    <w:qFormat/>
    <w:pPr>
      <w:spacing w:before="200" w:after="200"/>
    </w:pPr>
    <w:rPr>
      <w:sz w:val="24"/>
      <w:szCs w:val="24"/>
    </w:rPr>
  </w:style>
  <w:style w:type="character" w:styleId="956">
    <w:name w:val="Subtitle Char"/>
    <w:basedOn w:val="1110"/>
    <w:link w:val="955"/>
    <w:uiPriority w:val="11"/>
    <w:rPr>
      <w:sz w:val="24"/>
      <w:szCs w:val="24"/>
    </w:rPr>
  </w:style>
  <w:style w:type="character" w:styleId="957">
    <w:name w:val="Quote Char"/>
    <w:link w:val="1168"/>
    <w:uiPriority w:val="29"/>
    <w:rPr>
      <w:i/>
    </w:rPr>
  </w:style>
  <w:style w:type="paragraph" w:styleId="958">
    <w:name w:val="Intense Quote"/>
    <w:basedOn w:val="1105"/>
    <w:next w:val="1105"/>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character" w:styleId="960">
    <w:name w:val="Header Char"/>
    <w:basedOn w:val="1110"/>
    <w:link w:val="1123"/>
    <w:uiPriority w:val="99"/>
  </w:style>
  <w:style w:type="character" w:styleId="961">
    <w:name w:val="Footer Char"/>
    <w:basedOn w:val="1110"/>
    <w:link w:val="1122"/>
    <w:uiPriority w:val="99"/>
  </w:style>
  <w:style w:type="paragraph" w:styleId="962">
    <w:name w:val="Caption"/>
    <w:basedOn w:val="1105"/>
    <w:next w:val="1105"/>
    <w:uiPriority w:val="35"/>
    <w:semiHidden/>
    <w:unhideWhenUsed/>
    <w:qFormat/>
    <w:pPr>
      <w:spacing w:line="276" w:lineRule="auto"/>
    </w:pPr>
    <w:rPr>
      <w:b/>
      <w:bCs/>
      <w:color w:val="4f81bd" w:themeColor="accent1"/>
      <w:sz w:val="18"/>
      <w:szCs w:val="18"/>
    </w:rPr>
  </w:style>
  <w:style w:type="character" w:styleId="963">
    <w:name w:val="Caption Char"/>
    <w:basedOn w:val="962"/>
    <w:link w:val="1122"/>
    <w:uiPriority w:val="99"/>
  </w:style>
  <w:style w:type="table" w:styleId="964">
    <w:name w:val="Table Grid Light"/>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5">
    <w:name w:val="Plain Table 1"/>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basedOn w:val="11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basedOn w:val="11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1 Light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2">
    <w:name w:val="Grid Table 1 Light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3">
    <w:name w:val="Grid Table 1 Light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4">
    <w:name w:val="Grid Table 1 Light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5">
    <w:name w:val="Grid Table 1 Light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6">
    <w:name w:val="Grid Table 1 Light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7">
    <w:name w:val="Grid Table 2"/>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8">
    <w:name w:val="Grid Table 2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9">
    <w:name w:val="Grid Table 2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2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2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2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3">
    <w:name w:val="Grid Table 2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4">
    <w:name w:val="Grid Table 3"/>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4"/>
    <w:basedOn w:val="11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name w:val="Grid Table 4 - Accent 1"/>
    <w:basedOn w:val="11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3">
    <w:name w:val="Grid Table 4 - Accent 2"/>
    <w:basedOn w:val="11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4">
    <w:name w:val="Grid Table 4 - Accent 3"/>
    <w:basedOn w:val="11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5">
    <w:name w:val="Grid Table 4 - Accent 4"/>
    <w:basedOn w:val="11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6">
    <w:name w:val="Grid Table 4 - Accent 5"/>
    <w:basedOn w:val="11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7">
    <w:name w:val="Grid Table 4 - Accent 6"/>
    <w:basedOn w:val="11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8">
    <w:name w:val="Grid Table 5 Dark"/>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9">
    <w:name w:val="Grid Table 5 Dark- Accent 1"/>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0">
    <w:name w:val="Grid Table 5 Dark - Accent 2"/>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1">
    <w:name w:val="Grid Table 5 Dark - Accent 3"/>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2">
    <w:name w:val="Grid Table 5 Dark- Accent 4"/>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3">
    <w:name w:val="Grid Table 5 Dark - Accent 5"/>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4">
    <w:name w:val="Grid Table 5 Dark - Accent 6"/>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5">
    <w:name w:val="Grid Table 6 Colorful"/>
    <w:basedOn w:val="11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6">
    <w:name w:val="Grid Table 6 Colorful - Accent 1"/>
    <w:basedOn w:val="11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7">
    <w:name w:val="Grid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8">
    <w:name w:val="Grid Table 6 Colorful - Accent 3"/>
    <w:basedOn w:val="11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9">
    <w:name w:val="Grid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0">
    <w:name w:val="Grid Table 6 Colorful - Accent 5"/>
    <w:basedOn w:val="11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1">
    <w:name w:val="Grid Table 6 Colorful - Accent 6"/>
    <w:basedOn w:val="11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2">
    <w:name w:val="Grid Table 7 Colorful"/>
    <w:basedOn w:val="11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3">
    <w:name w:val="Grid Table 7 Colorful - Accent 1"/>
    <w:basedOn w:val="11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4">
    <w:name w:val="Grid Table 7 Colorful - Accent 2"/>
    <w:basedOn w:val="11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5">
    <w:name w:val="Grid Table 7 Colorful - Accent 3"/>
    <w:basedOn w:val="11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6">
    <w:name w:val="Grid Table 7 Colorful - Accent 4"/>
    <w:basedOn w:val="11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7">
    <w:name w:val="Grid Table 7 Colorful - Accent 5"/>
    <w:basedOn w:val="11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8">
    <w:name w:val="Grid Table 7 Colorful - Accent 6"/>
    <w:basedOn w:val="11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9">
    <w:name w:val="List Table 1 Light"/>
    <w:basedOn w:val="11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name w:val="List Table 1 Light - Accent 1"/>
    <w:basedOn w:val="11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1">
    <w:name w:val="List Table 1 Light - Accent 2"/>
    <w:basedOn w:val="11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2">
    <w:name w:val="List Table 1 Light - Accent 3"/>
    <w:basedOn w:val="11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3">
    <w:name w:val="List Table 1 Light - Accent 4"/>
    <w:basedOn w:val="11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4">
    <w:name w:val="List Table 1 Light - Accent 5"/>
    <w:basedOn w:val="11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5">
    <w:name w:val="List Table 1 Light - Accent 6"/>
    <w:basedOn w:val="11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6">
    <w:name w:val="List Table 2"/>
    <w:basedOn w:val="11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7">
    <w:name w:val="List Table 2 - Accent 1"/>
    <w:basedOn w:val="11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8">
    <w:name w:val="List Table 2 - Accent 2"/>
    <w:basedOn w:val="11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9">
    <w:name w:val="List Table 2 - Accent 3"/>
    <w:basedOn w:val="11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0">
    <w:name w:val="List Table 2 - Accent 4"/>
    <w:basedOn w:val="11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1">
    <w:name w:val="List Table 2 - Accent 5"/>
    <w:basedOn w:val="11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2">
    <w:name w:val="List Table 2 - Accent 6"/>
    <w:basedOn w:val="11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3">
    <w:name w:val="List Table 3"/>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3 - Accent 1"/>
    <w:basedOn w:val="11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3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6">
    <w:name w:val="List Table 3 - Accent 3"/>
    <w:basedOn w:val="11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7">
    <w:name w:val="List Table 3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8">
    <w:name w:val="List Table 3 - Accent 5"/>
    <w:basedOn w:val="11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9">
    <w:name w:val="List Table 3 - Accent 6"/>
    <w:basedOn w:val="11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0">
    <w:name w:val="List Table 4"/>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4 - Accent 1"/>
    <w:basedOn w:val="11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2">
    <w:name w:val="List Table 4 - Accent 2"/>
    <w:basedOn w:val="11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3">
    <w:name w:val="List Table 4 - Accent 3"/>
    <w:basedOn w:val="11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4">
    <w:name w:val="List Table 4 - Accent 4"/>
    <w:basedOn w:val="11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5">
    <w:name w:val="List Table 4 - Accent 5"/>
    <w:basedOn w:val="11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6">
    <w:name w:val="List Table 4 - Accent 6"/>
    <w:basedOn w:val="11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7">
    <w:name w:val="List Table 5 Dark"/>
    <w:basedOn w:val="11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1"/>
    <w:basedOn w:val="11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2"/>
    <w:basedOn w:val="11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3"/>
    <w:basedOn w:val="11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4"/>
    <w:basedOn w:val="11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5"/>
    <w:basedOn w:val="11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6"/>
    <w:basedOn w:val="11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6 Colorful"/>
    <w:basedOn w:val="11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5">
    <w:name w:val="List Table 6 Colorful - Accent 1"/>
    <w:basedOn w:val="11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6">
    <w:name w:val="List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7">
    <w:name w:val="List Table 6 Colorful - Accent 3"/>
    <w:basedOn w:val="11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8">
    <w:name w:val="List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9">
    <w:name w:val="List Table 6 Colorful - Accent 5"/>
    <w:basedOn w:val="11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0">
    <w:name w:val="List Table 6 Colorful - Accent 6"/>
    <w:basedOn w:val="11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1">
    <w:name w:val="List Table 7 Colorful"/>
    <w:basedOn w:val="11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2">
    <w:name w:val="List Table 7 Colorful - Accent 1"/>
    <w:basedOn w:val="11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3">
    <w:name w:val="List Table 7 Colorful - Accent 2"/>
    <w:basedOn w:val="11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4">
    <w:name w:val="List Table 7 Colorful - Accent 3"/>
    <w:basedOn w:val="11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5">
    <w:name w:val="List Table 7 Colorful - Accent 4"/>
    <w:basedOn w:val="11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6">
    <w:name w:val="List Table 7 Colorful - Accent 5"/>
    <w:basedOn w:val="11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7">
    <w:name w:val="List Table 7 Colorful - Accent 6"/>
    <w:basedOn w:val="11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8">
    <w:name w:val="Lined - Accent"/>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Lined - Accent 1"/>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Lined - Accent 2"/>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Lined - Accent 3"/>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Lined - Accent 4"/>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Lined - Accent 5"/>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Lined - Accent 6"/>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amp; Lined - Accent"/>
    <w:basedOn w:val="11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6">
    <w:name w:val="Bordered &amp; Lined - Accent 1"/>
    <w:basedOn w:val="11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7">
    <w:name w:val="Bordered &amp; Lined - Accent 2"/>
    <w:basedOn w:val="11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8">
    <w:name w:val="Bordered &amp; Lined - Accent 3"/>
    <w:basedOn w:val="11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9">
    <w:name w:val="Bordered &amp; Lined - Accent 4"/>
    <w:basedOn w:val="11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0">
    <w:name w:val="Bordered &amp; Lined - Accent 5"/>
    <w:basedOn w:val="11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1">
    <w:name w:val="Bordered &amp; Lined - Accent 6"/>
    <w:basedOn w:val="11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2">
    <w:name w:val="Bordered"/>
    <w:basedOn w:val="11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3">
    <w:name w:val="Bordered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4">
    <w:name w:val="Bordered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5">
    <w:name w:val="Bordered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6">
    <w:name w:val="Bordered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7">
    <w:name w:val="Bordered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8">
    <w:name w:val="Bordered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9">
    <w:name w:val="footnote text"/>
    <w:basedOn w:val="1105"/>
    <w:link w:val="1090"/>
    <w:uiPriority w:val="99"/>
    <w:semiHidden/>
    <w:unhideWhenUsed/>
    <w:pPr>
      <w:spacing w:after="40" w:line="240" w:lineRule="auto"/>
    </w:pPr>
    <w:rPr>
      <w:sz w:val="18"/>
    </w:rPr>
  </w:style>
  <w:style w:type="character" w:styleId="1090">
    <w:name w:val="Footnote Text Char"/>
    <w:link w:val="1089"/>
    <w:uiPriority w:val="99"/>
    <w:rPr>
      <w:sz w:val="18"/>
    </w:rPr>
  </w:style>
  <w:style w:type="character" w:styleId="1091">
    <w:name w:val="footnote reference"/>
    <w:basedOn w:val="1110"/>
    <w:uiPriority w:val="99"/>
    <w:unhideWhenUsed/>
    <w:rPr>
      <w:vertAlign w:val="superscript"/>
    </w:rPr>
  </w:style>
  <w:style w:type="paragraph" w:styleId="1092">
    <w:name w:val="endnote text"/>
    <w:basedOn w:val="1105"/>
    <w:link w:val="1093"/>
    <w:uiPriority w:val="99"/>
    <w:semiHidden/>
    <w:unhideWhenUsed/>
    <w:pPr>
      <w:spacing w:after="0" w:line="240" w:lineRule="auto"/>
    </w:pPr>
    <w:rPr>
      <w:sz w:val="20"/>
    </w:rPr>
  </w:style>
  <w:style w:type="character" w:styleId="1093">
    <w:name w:val="Endnote Text Char"/>
    <w:link w:val="1092"/>
    <w:uiPriority w:val="99"/>
    <w:rPr>
      <w:sz w:val="20"/>
    </w:rPr>
  </w:style>
  <w:style w:type="character" w:styleId="1094">
    <w:name w:val="endnote reference"/>
    <w:basedOn w:val="1110"/>
    <w:uiPriority w:val="99"/>
    <w:semiHidden/>
    <w:unhideWhenUsed/>
    <w:rPr>
      <w:vertAlign w:val="superscript"/>
    </w:rPr>
  </w:style>
  <w:style w:type="paragraph" w:styleId="1095">
    <w:name w:val="toc 2"/>
    <w:basedOn w:val="1105"/>
    <w:next w:val="1105"/>
    <w:uiPriority w:val="39"/>
    <w:unhideWhenUsed/>
    <w:pPr>
      <w:ind w:left="283" w:right="0" w:firstLine="0"/>
      <w:spacing w:after="57"/>
    </w:pPr>
  </w:style>
  <w:style w:type="paragraph" w:styleId="1096">
    <w:name w:val="toc 3"/>
    <w:basedOn w:val="1105"/>
    <w:next w:val="1105"/>
    <w:uiPriority w:val="39"/>
    <w:unhideWhenUsed/>
    <w:pPr>
      <w:ind w:left="567" w:right="0" w:firstLine="0"/>
      <w:spacing w:after="57"/>
    </w:pPr>
  </w:style>
  <w:style w:type="paragraph" w:styleId="1097">
    <w:name w:val="toc 4"/>
    <w:basedOn w:val="1105"/>
    <w:next w:val="1105"/>
    <w:uiPriority w:val="39"/>
    <w:unhideWhenUsed/>
    <w:pPr>
      <w:ind w:left="850" w:right="0" w:firstLine="0"/>
      <w:spacing w:after="57"/>
    </w:pPr>
  </w:style>
  <w:style w:type="paragraph" w:styleId="1098">
    <w:name w:val="toc 5"/>
    <w:basedOn w:val="1105"/>
    <w:next w:val="1105"/>
    <w:uiPriority w:val="39"/>
    <w:unhideWhenUsed/>
    <w:pPr>
      <w:ind w:left="1134" w:right="0" w:firstLine="0"/>
      <w:spacing w:after="57"/>
    </w:pPr>
  </w:style>
  <w:style w:type="paragraph" w:styleId="1099">
    <w:name w:val="toc 6"/>
    <w:basedOn w:val="1105"/>
    <w:next w:val="1105"/>
    <w:uiPriority w:val="39"/>
    <w:unhideWhenUsed/>
    <w:pPr>
      <w:ind w:left="1417" w:right="0" w:firstLine="0"/>
      <w:spacing w:after="57"/>
    </w:pPr>
  </w:style>
  <w:style w:type="paragraph" w:styleId="1100">
    <w:name w:val="toc 7"/>
    <w:basedOn w:val="1105"/>
    <w:next w:val="1105"/>
    <w:uiPriority w:val="39"/>
    <w:unhideWhenUsed/>
    <w:pPr>
      <w:ind w:left="1701" w:right="0" w:firstLine="0"/>
      <w:spacing w:after="57"/>
    </w:pPr>
  </w:style>
  <w:style w:type="paragraph" w:styleId="1101">
    <w:name w:val="toc 8"/>
    <w:basedOn w:val="1105"/>
    <w:next w:val="1105"/>
    <w:uiPriority w:val="39"/>
    <w:unhideWhenUsed/>
    <w:pPr>
      <w:ind w:left="1984" w:right="0" w:firstLine="0"/>
      <w:spacing w:after="57"/>
    </w:pPr>
  </w:style>
  <w:style w:type="paragraph" w:styleId="1102">
    <w:name w:val="toc 9"/>
    <w:basedOn w:val="1105"/>
    <w:next w:val="1105"/>
    <w:uiPriority w:val="39"/>
    <w:unhideWhenUsed/>
    <w:pPr>
      <w:ind w:left="2268" w:right="0" w:firstLine="0"/>
      <w:spacing w:after="57"/>
    </w:pPr>
  </w:style>
  <w:style w:type="paragraph" w:styleId="1103">
    <w:name w:val="TOC Heading"/>
    <w:uiPriority w:val="39"/>
    <w:unhideWhenUsed/>
  </w:style>
  <w:style w:type="paragraph" w:styleId="1104">
    <w:name w:val="table of figures"/>
    <w:basedOn w:val="1105"/>
    <w:next w:val="1105"/>
    <w:uiPriority w:val="99"/>
    <w:unhideWhenUsed/>
    <w:pPr>
      <w:spacing w:after="0" w:afterAutospacing="0"/>
    </w:pPr>
  </w:style>
  <w:style w:type="paragraph" w:styleId="1105" w:default="1">
    <w:name w:val="Normal"/>
    <w:next w:val="1108"/>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06">
    <w:name w:val="Heading 1"/>
    <w:basedOn w:val="1105"/>
    <w:next w:val="1105"/>
    <w:link w:val="1133"/>
    <w:uiPriority w:val="9"/>
    <w:qFormat/>
    <w:pPr>
      <w:jc w:val="center"/>
      <w:keepNext/>
      <w:tabs>
        <w:tab w:val="left" w:pos="200" w:leader="none"/>
      </w:tabs>
      <w:outlineLvl w:val="0"/>
    </w:pPr>
    <w:rPr>
      <w:rFonts w:ascii="宋体" w:hAnsi="宋体" w:eastAsia="黑体" w:cs="Times New Roman"/>
      <w:b/>
      <w:sz w:val="84"/>
      <w:szCs w:val="20"/>
    </w:rPr>
  </w:style>
  <w:style w:type="paragraph" w:styleId="1107">
    <w:name w:val="Heading 2"/>
    <w:basedOn w:val="1108"/>
    <w:next w:val="1109"/>
    <w:link w:val="1136"/>
    <w:uiPriority w:val="9"/>
    <w:qFormat/>
    <w:pPr>
      <w:jc w:val="center"/>
      <w:keepNext/>
      <w:outlineLvl w:val="1"/>
    </w:pPr>
    <w:rPr>
      <w:rFonts w:ascii="Times New Roman" w:hAnsi="Times New Roman" w:eastAsia="黑体" w:cs="Times New Roman"/>
      <w:sz w:val="44"/>
      <w:szCs w:val="28"/>
    </w:rPr>
  </w:style>
  <w:style w:type="paragraph" w:styleId="1108">
    <w:name w:val="Heading 3"/>
    <w:basedOn w:val="1105"/>
    <w:next w:val="1105"/>
    <w:link w:val="1134"/>
    <w:uiPriority w:val="9"/>
    <w:qFormat/>
    <w:pPr>
      <w:jc w:val="center"/>
      <w:keepLines/>
      <w:keepNext/>
      <w:outlineLvl w:val="2"/>
    </w:pPr>
    <w:rPr>
      <w:rFonts w:ascii="Times New Roman" w:hAnsi="Times New Roman" w:eastAsia="黑体" w:cs="Times New Roman"/>
      <w:szCs w:val="32"/>
    </w:rPr>
  </w:style>
  <w:style w:type="paragraph" w:styleId="1109">
    <w:name w:val="Heading 4"/>
    <w:basedOn w:val="1105"/>
    <w:next w:val="1105"/>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10" w:default="1">
    <w:name w:val="Default Paragraph Font"/>
    <w:uiPriority w:val="0"/>
    <w:semiHidden/>
    <w:qFormat/>
  </w:style>
  <w:style w:type="table" w:styleId="111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12">
    <w:name w:val="table of authorities"/>
    <w:basedOn w:val="1105"/>
    <w:next w:val="1105"/>
    <w:uiPriority w:val="99"/>
    <w:qFormat/>
    <w:pPr>
      <w:ind w:left="420"/>
    </w:pPr>
    <w:rPr>
      <w:szCs w:val="20"/>
    </w:rPr>
  </w:style>
  <w:style w:type="paragraph" w:styleId="1113">
    <w:name w:val="Normal Indent"/>
    <w:basedOn w:val="1105"/>
    <w:next w:val="1114"/>
    <w:uiPriority w:val="0"/>
    <w:qFormat/>
    <w:pPr>
      <w:ind w:firstLine="420"/>
    </w:pPr>
    <w:rPr>
      <w:rFonts w:ascii="Calibri" w:hAnsi="Calibri" w:cs="Times New Roman"/>
      <w:sz w:val="24"/>
      <w:szCs w:val="20"/>
    </w:rPr>
  </w:style>
  <w:style w:type="paragraph" w:styleId="1114">
    <w:name w:val="Body Text"/>
    <w:basedOn w:val="1105"/>
    <w:next w:val="1115"/>
    <w:uiPriority w:val="0"/>
    <w:qFormat/>
    <w:rPr>
      <w:rFonts w:ascii="楷体_GB2312" w:hAnsi="Arial" w:eastAsia="楷体_GB2312" w:cs="Times New Roman"/>
      <w:sz w:val="28"/>
      <w:szCs w:val="20"/>
    </w:rPr>
  </w:style>
  <w:style w:type="paragraph" w:styleId="1115">
    <w:name w:val="Title"/>
    <w:basedOn w:val="1105"/>
    <w:next w:val="1105"/>
    <w:uiPriority w:val="99"/>
    <w:qFormat/>
    <w:pPr>
      <w:jc w:val="center"/>
      <w:spacing w:before="240" w:after="60"/>
      <w:outlineLvl w:val="0"/>
    </w:pPr>
    <w:rPr>
      <w:rFonts w:ascii="Cambria" w:hAnsi="Cambria" w:eastAsia="宋体"/>
      <w:b/>
      <w:bCs/>
      <w:sz w:val="32"/>
      <w:szCs w:val="32"/>
    </w:rPr>
  </w:style>
  <w:style w:type="paragraph" w:styleId="1116">
    <w:name w:val="annotation text"/>
    <w:basedOn w:val="1105"/>
    <w:uiPriority w:val="99"/>
    <w:qFormat/>
    <w:pPr>
      <w:jc w:val="left"/>
      <w:spacing w:line="280" w:lineRule="atLeast"/>
      <w:widowControl/>
      <w:tabs>
        <w:tab w:val="left" w:pos="1134" w:leader="none"/>
      </w:tabs>
    </w:pPr>
    <w:rPr>
      <w:rFonts w:eastAsia="PMingLiU"/>
      <w:sz w:val="24"/>
      <w:szCs w:val="20"/>
      <w:lang w:eastAsia="zh-TW"/>
    </w:rPr>
  </w:style>
  <w:style w:type="paragraph" w:styleId="1117">
    <w:name w:val="Body Text Indent"/>
    <w:basedOn w:val="1105"/>
    <w:uiPriority w:val="99"/>
    <w:qFormat/>
    <w:pPr>
      <w:ind w:left="960"/>
      <w:spacing w:line="700" w:lineRule="exact"/>
    </w:pPr>
    <w:rPr>
      <w:sz w:val="44"/>
    </w:rPr>
  </w:style>
  <w:style w:type="paragraph" w:styleId="1118">
    <w:name w:val="Block Text"/>
    <w:basedOn w:val="1105"/>
    <w:uiPriority w:val="0"/>
    <w:qFormat/>
    <w:pPr>
      <w:ind w:left="1440" w:right="1440"/>
      <w:spacing w:after="120"/>
    </w:pPr>
  </w:style>
  <w:style w:type="paragraph" w:styleId="1119">
    <w:name w:val="Plain Text"/>
    <w:basedOn w:val="1105"/>
    <w:uiPriority w:val="0"/>
    <w:qFormat/>
    <w:rPr>
      <w:rFonts w:ascii="宋体" w:hAnsi="Courier New" w:cs="Times New Roman"/>
      <w:sz w:val="20"/>
      <w:szCs w:val="20"/>
    </w:rPr>
  </w:style>
  <w:style w:type="paragraph" w:styleId="1120">
    <w:name w:val="Date"/>
    <w:basedOn w:val="1105"/>
    <w:next w:val="1105"/>
    <w:uiPriority w:val="0"/>
    <w:qFormat/>
    <w:rPr>
      <w:rFonts w:ascii="Times New Roman" w:hAnsi="Times New Roman"/>
      <w:szCs w:val="20"/>
    </w:rPr>
  </w:style>
  <w:style w:type="paragraph" w:styleId="1121">
    <w:name w:val="Body Text Indent 2"/>
    <w:basedOn w:val="1105"/>
    <w:uiPriority w:val="0"/>
    <w:qFormat/>
    <w:pPr>
      <w:ind w:firstLine="480"/>
      <w:spacing w:line="360" w:lineRule="exact"/>
    </w:pPr>
    <w:rPr>
      <w:rFonts w:ascii="宋体" w:hAnsi="宋体" w:cs="宋体"/>
      <w:sz w:val="24"/>
    </w:rPr>
  </w:style>
  <w:style w:type="paragraph" w:styleId="1122">
    <w:name w:val="Footer"/>
    <w:basedOn w:val="1105"/>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23">
    <w:name w:val="Header"/>
    <w:basedOn w:val="110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24">
    <w:name w:val="toc 1"/>
    <w:basedOn w:val="1105"/>
    <w:next w:val="1105"/>
    <w:uiPriority w:val="0"/>
    <w:qFormat/>
    <w:pPr>
      <w:spacing w:line="300" w:lineRule="exact"/>
    </w:pPr>
    <w:rPr>
      <w:rFonts w:ascii="宋体" w:hAnsi="宋体"/>
      <w:szCs w:val="21"/>
    </w:rPr>
  </w:style>
  <w:style w:type="paragraph" w:styleId="1125">
    <w:name w:val="Normal (Web)"/>
    <w:basedOn w:val="1105"/>
    <w:uiPriority w:val="99"/>
    <w:unhideWhenUsed/>
    <w:qFormat/>
    <w:pPr>
      <w:jc w:val="left"/>
      <w:spacing w:before="100" w:beforeAutospacing="1" w:after="100" w:afterAutospacing="1"/>
      <w:widowControl/>
    </w:pPr>
    <w:rPr>
      <w:rFonts w:ascii="宋体" w:hAnsi="宋体"/>
      <w:sz w:val="24"/>
    </w:rPr>
  </w:style>
  <w:style w:type="paragraph" w:styleId="1126">
    <w:name w:val="Body Text First Indent 2"/>
    <w:basedOn w:val="1105"/>
    <w:next w:val="1105"/>
    <w:uiPriority w:val="0"/>
    <w:qFormat/>
    <w:pPr>
      <w:ind w:left="420" w:firstLine="420"/>
      <w:spacing w:after="120" w:line="240" w:lineRule="auto"/>
    </w:pPr>
    <w:rPr>
      <w:sz w:val="21"/>
    </w:rPr>
  </w:style>
  <w:style w:type="table" w:styleId="1127">
    <w:name w:val="Table Grid"/>
    <w:basedOn w:val="111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8">
    <w:name w:val="Strong"/>
    <w:basedOn w:val="1110"/>
    <w:uiPriority w:val="0"/>
    <w:qFormat/>
    <w:rPr>
      <w:b/>
    </w:rPr>
  </w:style>
  <w:style w:type="character" w:styleId="1129">
    <w:name w:val="page number"/>
    <w:basedOn w:val="1110"/>
    <w:uiPriority w:val="0"/>
    <w:qFormat/>
    <w:rPr>
      <w:rFonts w:ascii="Times New Roman" w:hAnsi="Times New Roman" w:eastAsia="宋体" w:cs="Times New Roman"/>
    </w:rPr>
  </w:style>
  <w:style w:type="character" w:styleId="1130">
    <w:name w:val="FollowedHyperlink"/>
    <w:uiPriority w:val="0"/>
    <w:qFormat/>
    <w:rPr>
      <w:color w:val="333333"/>
      <w:u w:val="none"/>
    </w:rPr>
  </w:style>
  <w:style w:type="character" w:styleId="1131">
    <w:name w:val="Emphasis"/>
    <w:uiPriority w:val="0"/>
    <w:qFormat/>
    <w:rPr>
      <w:i/>
    </w:rPr>
  </w:style>
  <w:style w:type="character" w:styleId="1132">
    <w:name w:val="Hyperlink"/>
    <w:uiPriority w:val="99"/>
    <w:unhideWhenUsed/>
    <w:qFormat/>
    <w:rPr>
      <w:color w:val="333333"/>
      <w:u w:val="none"/>
    </w:rPr>
  </w:style>
  <w:style w:type="character" w:styleId="1133" w:customStyle="1">
    <w:name w:val="标题 1 Char"/>
    <w:link w:val="1106"/>
    <w:uiPriority w:val="9"/>
    <w:qFormat/>
    <w:rPr>
      <w:rFonts w:ascii="宋体" w:hAnsi="宋体" w:eastAsia="黑体" w:cs="Times New Roman"/>
      <w:b/>
      <w:sz w:val="84"/>
      <w:szCs w:val="20"/>
    </w:rPr>
  </w:style>
  <w:style w:type="character" w:styleId="1134" w:customStyle="1">
    <w:name w:val="标题 3 Char"/>
    <w:link w:val="1108"/>
    <w:uiPriority w:val="9"/>
    <w:qFormat/>
    <w:rPr>
      <w:rFonts w:ascii="Times New Roman" w:hAnsi="Times New Roman" w:eastAsia="黑体" w:cs="Times New Roman"/>
      <w:b/>
      <w:bCs/>
      <w:szCs w:val="32"/>
    </w:rPr>
  </w:style>
  <w:style w:type="paragraph" w:styleId="1135" w:customStyle="1">
    <w:name w:val="正文文本11"/>
    <w:basedOn w:val="1105"/>
    <w:next w:val="1105"/>
    <w:uiPriority w:val="0"/>
    <w:qFormat/>
    <w:rPr>
      <w:rFonts w:ascii="楷体_GB2312" w:hAnsi="Arial" w:eastAsia="楷体_GB2312" w:cs="Times New Roman"/>
      <w:sz w:val="28"/>
      <w:szCs w:val="20"/>
    </w:rPr>
  </w:style>
  <w:style w:type="character" w:styleId="1136" w:customStyle="1">
    <w:name w:val="标题 2 Char"/>
    <w:link w:val="1107"/>
    <w:uiPriority w:val="9"/>
    <w:qFormat/>
    <w:rPr>
      <w:rFonts w:ascii="Times New Roman" w:hAnsi="Times New Roman" w:eastAsia="黑体" w:cs="Times New Roman"/>
      <w:b/>
      <w:bCs/>
      <w:sz w:val="44"/>
      <w:szCs w:val="28"/>
    </w:rPr>
  </w:style>
  <w:style w:type="character" w:styleId="1137" w:customStyle="1">
    <w:name w:val="font11"/>
    <w:basedOn w:val="1110"/>
    <w:uiPriority w:val="0"/>
    <w:qFormat/>
    <w:rPr>
      <w:rFonts w:hint="eastAsia" w:ascii="宋体" w:hAnsi="宋体" w:eastAsia="宋体" w:cs="宋体"/>
      <w:color w:val="000000"/>
      <w:sz w:val="18"/>
      <w:szCs w:val="18"/>
      <w:u w:val="none"/>
    </w:rPr>
  </w:style>
  <w:style w:type="character" w:styleId="1138" w:customStyle="1">
    <w:name w:val="l-btn-left"/>
    <w:basedOn w:val="1110"/>
    <w:uiPriority w:val="0"/>
    <w:qFormat/>
  </w:style>
  <w:style w:type="character" w:styleId="1139" w:customStyle="1">
    <w:name w:val="font71"/>
    <w:uiPriority w:val="0"/>
    <w:qFormat/>
    <w:rPr>
      <w:rFonts w:hint="eastAsia" w:ascii="宋体" w:hAnsi="宋体" w:eastAsia="宋体" w:cs="宋体"/>
      <w:color w:val="000000"/>
      <w:sz w:val="22"/>
      <w:szCs w:val="22"/>
      <w:u w:val="none"/>
    </w:rPr>
  </w:style>
  <w:style w:type="character" w:styleId="1140" w:customStyle="1">
    <w:name w:val="font21"/>
    <w:basedOn w:val="1110"/>
    <w:uiPriority w:val="0"/>
    <w:qFormat/>
    <w:rPr>
      <w:rFonts w:hint="eastAsia" w:ascii="宋体" w:hAnsi="宋体" w:eastAsia="宋体" w:cs="宋体"/>
      <w:color w:val="000000"/>
      <w:sz w:val="18"/>
      <w:szCs w:val="18"/>
      <w:u w:val="none"/>
    </w:rPr>
  </w:style>
  <w:style w:type="character" w:styleId="1141" w:customStyle="1">
    <w:name w:val="font41"/>
    <w:uiPriority w:val="0"/>
    <w:qFormat/>
    <w:rPr>
      <w:rFonts w:hint="eastAsia" w:ascii="宋体" w:hAnsi="宋体" w:eastAsia="宋体" w:cs="宋体"/>
      <w:b/>
      <w:color w:val="000000"/>
      <w:sz w:val="24"/>
      <w:szCs w:val="24"/>
      <w:u w:val="none"/>
    </w:rPr>
  </w:style>
  <w:style w:type="character" w:styleId="1142" w:customStyle="1">
    <w:name w:val="current"/>
    <w:basedOn w:val="1110"/>
    <w:uiPriority w:val="0"/>
    <w:qFormat/>
    <w:rPr>
      <w:b/>
      <w:color w:val="05a7d8"/>
      <w:sz w:val="14"/>
      <w:szCs w:val="14"/>
    </w:rPr>
  </w:style>
  <w:style w:type="character" w:styleId="1143" w:customStyle="1">
    <w:name w:val="l-btn-text36"/>
    <w:basedOn w:val="1110"/>
    <w:uiPriority w:val="0"/>
    <w:qFormat/>
  </w:style>
  <w:style w:type="character" w:styleId="1144" w:customStyle="1">
    <w:name w:val="tree-title3"/>
    <w:basedOn w:val="1110"/>
    <w:uiPriority w:val="0"/>
    <w:qFormat/>
  </w:style>
  <w:style w:type="character" w:styleId="1145" w:customStyle="1">
    <w:name w:val="font31"/>
    <w:basedOn w:val="1110"/>
    <w:uiPriority w:val="0"/>
    <w:qFormat/>
    <w:rPr>
      <w:rFonts w:hint="default" w:ascii="Arial Narrow" w:hAnsi="Arial Narrow" w:eastAsia="Arial Narrow" w:cs="Arial Narrow"/>
      <w:color w:val="000000"/>
      <w:sz w:val="18"/>
      <w:szCs w:val="18"/>
      <w:u w:val="none"/>
    </w:rPr>
  </w:style>
  <w:style w:type="paragraph" w:styleId="1146" w:customStyle="1">
    <w:name w:val="正文字缩2字"/>
    <w:basedOn w:val="1105"/>
    <w:uiPriority w:val="0"/>
    <w:qFormat/>
    <w:pPr>
      <w:ind w:left="200" w:firstLine="200"/>
      <w:jc w:val="both"/>
      <w:spacing w:before="60" w:after="60" w:line="360" w:lineRule="auto"/>
    </w:pPr>
    <w:rPr>
      <w:szCs w:val="24"/>
    </w:rPr>
  </w:style>
  <w:style w:type="paragraph" w:styleId="1147">
    <w:name w:val="List Paragraph"/>
    <w:basedOn w:val="1105"/>
    <w:uiPriority w:val="99"/>
    <w:qFormat/>
    <w:pPr>
      <w:ind w:firstLine="420"/>
    </w:pPr>
    <w:rPr>
      <w:rFonts w:ascii="Calibri" w:hAnsi="Calibri" w:cs="Times New Roman"/>
      <w:sz w:val="21"/>
      <w:szCs w:val="22"/>
    </w:rPr>
  </w:style>
  <w:style w:type="paragraph" w:styleId="114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49" w:customStyle="1">
    <w:name w:val="图例"/>
    <w:basedOn w:val="1105"/>
    <w:uiPriority w:val="0"/>
    <w:qFormat/>
    <w:pPr>
      <w:jc w:val="center"/>
      <w:spacing w:before="120" w:after="120" w:line="360" w:lineRule="auto"/>
    </w:pPr>
    <w:rPr>
      <w:rFonts w:eastAsia="仿宋_GB2312"/>
      <w:b/>
      <w:sz w:val="24"/>
      <w:szCs w:val="20"/>
    </w:rPr>
  </w:style>
  <w:style w:type="paragraph" w:styleId="1150" w:customStyle="1">
    <w:name w:val="样式 标题 4 + 段前: 5 磅 段后: 5 磅 行距: 单倍行距"/>
    <w:basedOn w:val="1109"/>
    <w:uiPriority w:val="0"/>
    <w:qFormat/>
    <w:pPr>
      <w:spacing w:before="100" w:after="100" w:line="240" w:lineRule="auto"/>
    </w:pPr>
    <w:rPr>
      <w:rFonts w:cs="宋体"/>
      <w:szCs w:val="20"/>
    </w:rPr>
  </w:style>
  <w:style w:type="paragraph" w:styleId="115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52" w:customStyle="1">
    <w:name w:val="纯文本1"/>
    <w:basedOn w:val="1105"/>
    <w:uiPriority w:val="0"/>
    <w:qFormat/>
    <w:rPr>
      <w:rFonts w:ascii="宋体" w:hAnsi="Courier New" w:eastAsia="楷体_GB2312"/>
      <w:sz w:val="26"/>
    </w:rPr>
  </w:style>
  <w:style w:type="paragraph" w:styleId="1153" w:customStyle="1">
    <w:name w:val="WPSOffice手动目录 1"/>
    <w:uiPriority w:val="0"/>
    <w:qFormat/>
    <w:rPr>
      <w:rFonts w:ascii="Times New Roman" w:hAnsi="Times New Roman" w:eastAsia="宋体" w:cs="Times New Roman"/>
      <w:sz w:val="20"/>
      <w:szCs w:val="20"/>
    </w:rPr>
  </w:style>
  <w:style w:type="paragraph" w:styleId="1154" w:customStyle="1">
    <w:name w:val="Í¼±íÕýÎÄ"/>
    <w:basedOn w:val="1105"/>
    <w:next w:val="1113"/>
    <w:uiPriority w:val="0"/>
    <w:qFormat/>
    <w:pPr>
      <w:ind w:firstLine="420"/>
    </w:pPr>
    <w:rPr>
      <w:rFonts w:ascii="Times New Roman" w:hAnsi="Times New Roman" w:cs="Times New Roman"/>
      <w:sz w:val="24"/>
      <w:szCs w:val="20"/>
    </w:rPr>
  </w:style>
  <w:style w:type="paragraph" w:styleId="1155" w:customStyle="1">
    <w:name w:val="Plain Text"/>
    <w:basedOn w:val="1105"/>
    <w:uiPriority w:val="0"/>
    <w:qFormat/>
    <w:rPr>
      <w:rFonts w:ascii="宋体" w:hAnsi="Courier New" w:eastAsia="楷体_GB2312" w:cs="Times New Roman"/>
      <w:sz w:val="28"/>
      <w:szCs w:val="20"/>
    </w:rPr>
  </w:style>
  <w:style w:type="paragraph" w:styleId="1156" w:customStyle="1">
    <w:name w:val="TOC Heading1"/>
    <w:basedOn w:val="1106"/>
    <w:next w:val="1105"/>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7" w:customStyle="1">
    <w:name w:val="表格标题"/>
    <w:basedOn w:val="1105"/>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58" w:customStyle="1">
    <w:name w:val="Í¼¡À¡¡¡¡ì¬ªÕýÎÄ"/>
    <w:basedOn w:val="1105"/>
    <w:next w:val="1113"/>
    <w:uiPriority w:val="99"/>
    <w:qFormat/>
    <w:pPr>
      <w:ind w:firstLine="420"/>
    </w:pPr>
    <w:rPr>
      <w:rFonts w:ascii="Times New Roman" w:hAnsi="Times New Roman" w:cs="Times New Roman"/>
      <w:sz w:val="24"/>
      <w:szCs w:val="20"/>
    </w:rPr>
  </w:style>
  <w:style w:type="paragraph" w:styleId="1159" w:customStyle="1">
    <w:name w:val="目录 11"/>
    <w:basedOn w:val="1105"/>
    <w:next w:val="1105"/>
    <w:uiPriority w:val="39"/>
    <w:unhideWhenUsed/>
    <w:qFormat/>
    <w:pPr>
      <w:jc w:val="left"/>
      <w:spacing w:after="100" w:line="259" w:lineRule="auto"/>
      <w:widowControl/>
    </w:pPr>
    <w:rPr>
      <w:rFonts w:ascii="Calibri" w:hAnsi="Calibri" w:eastAsia="宋体"/>
      <w:sz w:val="22"/>
      <w:szCs w:val="22"/>
    </w:rPr>
  </w:style>
  <w:style w:type="paragraph" w:styleId="1160" w:customStyle="1">
    <w:name w:val="列出段落1"/>
    <w:basedOn w:val="1105"/>
    <w:uiPriority w:val="0"/>
    <w:qFormat/>
    <w:pPr>
      <w:ind w:firstLine="420"/>
    </w:pPr>
    <w:rPr>
      <w:color w:val="595959"/>
    </w:rPr>
  </w:style>
  <w:style w:type="paragraph" w:styleId="1161" w:customStyle="1">
    <w:name w:val=" Char1"/>
    <w:basedOn w:val="1105"/>
    <w:uiPriority w:val="0"/>
    <w:qFormat/>
    <w:pPr>
      <w:ind w:left="432" w:hanging="432"/>
      <w:tabs>
        <w:tab w:val="left" w:pos="432" w:leader="none"/>
      </w:tabs>
    </w:pPr>
    <w:rPr>
      <w:rFonts w:ascii="仿宋_GB2312" w:hAnsi="Tahoma" w:eastAsia="仿宋_GB2312"/>
      <w:color w:val="000000"/>
      <w:sz w:val="30"/>
      <w:szCs w:val="30"/>
    </w:rPr>
  </w:style>
  <w:style w:type="paragraph" w:styleId="1162" w:customStyle="1">
    <w:name w:val="样式1"/>
    <w:basedOn w:val="1105"/>
    <w:uiPriority w:val="0"/>
    <w:qFormat/>
    <w:pPr>
      <w:numPr>
        <w:ilvl w:val="0"/>
        <w:numId w:val="1"/>
      </w:numPr>
      <w:jc w:val="both"/>
      <w:spacing w:line="240" w:lineRule="auto"/>
    </w:pPr>
    <w:rPr>
      <w:rFonts w:ascii="宋体" w:hAnsi="宋体"/>
      <w:sz w:val="21"/>
      <w:szCs w:val="21"/>
    </w:rPr>
  </w:style>
  <w:style w:type="paragraph" w:styleId="1163" w:customStyle="1">
    <w:name w:val="Í¼¡À¡¡¡¡¡¡¨¬¬¬ªÕýÎÄ"/>
    <w:basedOn w:val="1105"/>
    <w:next w:val="1113"/>
    <w:uiPriority w:val="99"/>
    <w:qFormat/>
    <w:pPr>
      <w:ind w:firstLine="420"/>
    </w:pPr>
    <w:rPr>
      <w:rFonts w:ascii="Times New Roman" w:hAnsi="Times New Roman"/>
      <w:sz w:val="24"/>
      <w:szCs w:val="20"/>
    </w:rPr>
  </w:style>
  <w:style w:type="paragraph" w:styleId="1164" w:customStyle="1">
    <w:name w:val="段标题"/>
    <w:basedOn w:val="1105"/>
    <w:next w:val="1113"/>
    <w:uiPriority w:val="0"/>
    <w:qFormat/>
    <w:pPr>
      <w:jc w:val="left"/>
    </w:pPr>
    <w:rPr>
      <w:rFonts w:ascii="黑体" w:hAnsi="宋体" w:eastAsia="黑体"/>
    </w:rPr>
  </w:style>
  <w:style w:type="paragraph" w:styleId="1165" w:customStyle="1">
    <w:name w:val="样式 标题 1 + 宋体 居中 段前: 17 磅 段后: 16.5 磅"/>
    <w:basedOn w:val="1106"/>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6" w:customStyle="1">
    <w:name w:val="列出段落2"/>
    <w:basedOn w:val="1105"/>
    <w:uiPriority w:val="0"/>
    <w:qFormat/>
    <w:pPr>
      <w:ind w:firstLine="420"/>
    </w:pPr>
  </w:style>
  <w:style w:type="table" w:styleId="1167" w:customStyle="1">
    <w:name w:val="网格型1"/>
    <w:basedOn w:val="1111"/>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8">
    <w:name w:val="Quote"/>
    <w:next w:val="1105"/>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69" w:customStyle="1">
    <w:name w:val="普通(网站)11"/>
    <w:basedOn w:val="1105"/>
    <w:uiPriority w:val="99"/>
    <w:unhideWhenUsed/>
    <w:qFormat/>
    <w:pPr>
      <w:jc w:val="left"/>
      <w:spacing w:before="100" w:beforeAutospacing="1" w:after="100" w:afterAutospacing="1"/>
      <w:widowControl/>
    </w:pPr>
    <w:rPr>
      <w:rFonts w:ascii="宋体" w:hAnsi="宋体"/>
      <w:sz w:val="24"/>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2026-07-27T03:13:33Z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