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spacing w:before="120" w:beforeAutospacing="0" w:after="120" w:afterAutospacing="0" w:line="360" w:lineRule="auto"/>
        <w:rPr>
          <w:highlight w:val="none"/>
        </w:rPr>
      </w:pPr>
      <w:r>
        <w:rPr>
          <w:highlight w:val="none"/>
        </w:rPr>
        <w:t xml:space="preserve"> </w:t>
      </w:r>
      <w:r/>
    </w:p>
    <w:p>
      <w:pPr>
        <w:pStyle w:val="74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7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42"/>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Arial" w:hAnsi="Arial" w:cs="Arial"/>
          <w:b/>
          <w:color w:val="000000" w:themeColor="text1"/>
          <w:sz w:val="32"/>
          <w:szCs w:val="32"/>
          <w:highlight w:val="none"/>
          <w14:textFill>
            <w14:solidFill>
              <w14:schemeClr w14:val="tx1"/>
            </w14:solidFill>
          </w14:textFill>
        </w:rPr>
        <w:t xml:space="preserve">滨海县市场监督管理局202</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6</w:t>
      </w:r>
      <w:r>
        <w:rPr>
          <w:rFonts w:hint="eastAsia" w:ascii="Arial" w:hAnsi="Arial" w:cs="Arial"/>
          <w:b/>
          <w:color w:val="000000" w:themeColor="text1"/>
          <w:sz w:val="32"/>
          <w:szCs w:val="32"/>
          <w:highlight w:val="none"/>
          <w14:textFill>
            <w14:solidFill>
              <w14:schemeClr w14:val="tx1"/>
            </w14:solidFill>
          </w14:textFill>
        </w:rPr>
        <w:t xml:space="preserve">-202</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7</w:t>
      </w:r>
      <w:r>
        <w:rPr>
          <w:rFonts w:hint="eastAsia" w:ascii="Arial" w:hAnsi="Arial" w:cs="Arial"/>
          <w:b/>
          <w:color w:val="000000" w:themeColor="text1"/>
          <w:sz w:val="32"/>
          <w:szCs w:val="32"/>
          <w:highlight w:val="none"/>
          <w14:textFill>
            <w14:solidFill>
              <w14:schemeClr w14:val="tx1"/>
            </w14:solidFill>
          </w14:textFill>
        </w:rPr>
        <w:t xml:space="preserve">年度农贸（</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农</w:t>
      </w:r>
      <w:r>
        <w:rPr>
          <w:rFonts w:hint="eastAsia" w:ascii="Arial" w:hAnsi="Arial" w:cs="Arial"/>
          <w:b/>
          <w:color w:val="000000" w:themeColor="text1"/>
          <w:sz w:val="32"/>
          <w:szCs w:val="32"/>
          <w:highlight w:val="none"/>
          <w14:textFill>
            <w14:solidFill>
              <w14:schemeClr w14:val="tx1"/>
            </w14:solidFill>
          </w14:textFill>
        </w:rPr>
        <w:t xml:space="preserve">批）市场</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快检</w:t>
      </w:r>
      <w:r>
        <w:rPr>
          <w:rFonts w:hint="eastAsia" w:ascii="Arial" w:hAnsi="Arial" w:cs="Arial"/>
          <w:b/>
          <w:color w:val="000000" w:themeColor="text1"/>
          <w:sz w:val="32"/>
          <w:szCs w:val="32"/>
          <w:highlight w:val="none"/>
          <w14:textFill>
            <w14:solidFill>
              <w14:schemeClr w14:val="tx1"/>
            </w14:solidFill>
          </w14:textFill>
        </w:rPr>
        <w:t xml:space="preserve">运维服务项目</w:t>
      </w:r>
      <w:r/>
    </w:p>
    <w:p>
      <w:pPr>
        <w:pStyle w:val="742"/>
        <w:ind w:left="2100" w:firstLine="161"/>
        <w:jc w:val="both"/>
        <w:spacing w:beforeAutospacing="0" w:afterAutospacing="0"/>
        <w:rPr>
          <w:rFonts w:ascii="Times New Roman" w:hAnsi="Times New Roman"/>
          <w:b/>
          <w:color w:val="000000"/>
          <w:sz w:val="32"/>
          <w:szCs w:val="32"/>
          <w:highlight w:val="none"/>
        </w:rPr>
      </w:pPr>
      <w:r>
        <w:rPr>
          <w:rFonts w:ascii="Times New Roman" w:hAnsi="Times New Roman"/>
          <w:b/>
          <w:color w:val="000000"/>
          <w:sz w:val="32"/>
          <w:szCs w:val="32"/>
          <w:highlight w:val="none"/>
        </w:rPr>
      </w:r>
      <w:r/>
    </w:p>
    <w:p>
      <w:pPr>
        <w:pStyle w:val="742"/>
        <w:ind w:left="2100" w:firstLine="161"/>
        <w:jc w:val="both"/>
        <w:spacing w:beforeAutospacing="0" w:afterAutospacing="0"/>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742"/>
        <w:jc w:val="center"/>
        <w:spacing w:beforeAutospacing="0" w:afterAutospacing="0"/>
        <w:rPr>
          <w:color w:val="auto"/>
          <w:highlight w:val="black"/>
        </w:rPr>
      </w:pPr>
      <w:r>
        <w:rPr>
          <w:rFonts w:ascii="Times New Roman" w:hAnsi="Times New Roman"/>
          <w:b/>
          <w:color w:val="auto"/>
          <w:sz w:val="32"/>
          <w:szCs w:val="32"/>
          <w:highlight w:val="none"/>
        </w:rPr>
        <w:t xml:space="preserve">项目编</w:t>
      </w:r>
      <w:r>
        <w:rPr>
          <w:rFonts w:hint="eastAsia" w:ascii="Arial" w:hAnsi="Arial" w:eastAsia="宋体" w:cs="Arial"/>
          <w:b/>
          <w:color w:val="000000" w:themeColor="text1"/>
          <w:sz w:val="32"/>
          <w:szCs w:val="32"/>
          <w:highlight w:val="none"/>
          <w:lang w:val="en-US" w:eastAsia="zh-CN"/>
          <w14:textFill>
            <w14:solidFill>
              <w14:schemeClr w14:val="tx1"/>
            </w14:solidFill>
          </w14:textFill>
        </w:rPr>
        <w:t xml:space="preserve">号：JSZC-320922-JSEW-G2026-0002</w:t>
      </w:r>
      <w:r/>
    </w:p>
    <w:p>
      <w:pPr>
        <w:pStyle w:val="742"/>
        <w:spacing w:beforeAutospacing="0" w:afterAutospacing="0" w:line="360" w:lineRule="auto"/>
        <w:rPr>
          <w:highlight w:val="none"/>
        </w:rPr>
      </w:pPr>
      <w:r>
        <w:rPr>
          <w:highlight w:val="none"/>
        </w:rPr>
        <w:t xml:space="preserve"> </w:t>
      </w:r>
      <w:r/>
    </w:p>
    <w:p>
      <w:pPr>
        <w:pStyle w:val="742"/>
        <w:spacing w:beforeAutospacing="0" w:afterAutospacing="0" w:line="360" w:lineRule="auto"/>
        <w:rPr>
          <w:highlight w:val="none"/>
        </w:rPr>
      </w:pPr>
      <w:r>
        <w:rPr>
          <w:highlight w:val="none"/>
        </w:rPr>
        <w:t xml:space="preserve"> </w:t>
      </w:r>
      <w:r/>
    </w:p>
    <w:p>
      <w:pPr>
        <w:pStyle w:val="742"/>
        <w:spacing w:beforeAutospacing="0" w:afterAutospacing="0" w:line="360" w:lineRule="auto"/>
        <w:rPr>
          <w:highlight w:val="none"/>
        </w:rPr>
      </w:pPr>
      <w:r>
        <w:rPr>
          <w:highlight w:val="none"/>
        </w:rPr>
        <w:t xml:space="preserve"> </w:t>
      </w:r>
      <w:r/>
    </w:p>
    <w:p>
      <w:pPr>
        <w:pStyle w:val="742"/>
        <w:spacing w:beforeAutospacing="0" w:afterAutospacing="0" w:line="360" w:lineRule="auto"/>
        <w:rPr>
          <w:highlight w:val="none"/>
        </w:rPr>
      </w:pPr>
      <w:r>
        <w:rPr>
          <w:highlight w:val="none"/>
        </w:rPr>
        <w:t xml:space="preserve"> </w:t>
      </w:r>
      <w:r/>
    </w:p>
    <w:p>
      <w:pPr>
        <w:pStyle w:val="742"/>
        <w:spacing w:beforeAutospacing="0" w:afterAutospacing="0" w:line="360" w:lineRule="auto"/>
        <w:rPr>
          <w:highlight w:val="none"/>
        </w:rPr>
      </w:pPr>
      <w:r>
        <w:rPr>
          <w:highlight w:val="none"/>
        </w:rPr>
        <w:t xml:space="preserve"> </w:t>
      </w:r>
      <w:r/>
    </w:p>
    <w:p>
      <w:pPr>
        <w:pStyle w:val="742"/>
        <w:spacing w:beforeAutospacing="0" w:afterAutospacing="0" w:line="360" w:lineRule="auto"/>
        <w:rPr>
          <w:highlight w:val="none"/>
        </w:rPr>
      </w:pPr>
      <w:r>
        <w:rPr>
          <w:highlight w:val="none"/>
        </w:rPr>
        <w:t xml:space="preserve"> </w:t>
      </w:r>
      <w:r/>
    </w:p>
    <w:p>
      <w:pPr>
        <w:pStyle w:val="742"/>
        <w:spacing w:beforeAutospacing="0" w:afterAutospacing="0" w:line="360" w:lineRule="auto"/>
        <w:rPr>
          <w:highlight w:val="none"/>
        </w:rPr>
      </w:pPr>
      <w:r>
        <w:rPr>
          <w:highlight w:val="none"/>
        </w:rPr>
        <w:t xml:space="preserve"> </w:t>
      </w:r>
      <w:r/>
    </w:p>
    <w:p>
      <w:pPr>
        <w:pStyle w:val="742"/>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val="en-US" w:eastAsia="zh-CN"/>
        </w:rPr>
        <w:t xml:space="preserve">  滨海县市场监督管理局</w:t>
      </w:r>
      <w:r/>
    </w:p>
    <w:p>
      <w:pPr>
        <w:pStyle w:val="742"/>
        <w:jc w:val="center"/>
        <w:spacing w:before="120" w:beforeAutospacing="0" w:after="120" w:afterAutospacing="0" w:line="360" w:lineRule="auto"/>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lang w:val="en-US" w:eastAsia="zh-CN"/>
          <w14:textFill>
            <w14:solidFill>
              <w14:schemeClr w14:val="tx1"/>
            </w14:solidFill>
          </w14:textFill>
        </w:rPr>
        <w:t xml:space="preserve">2026</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lang w:val="en-US" w:eastAsia="zh-CN"/>
          <w14:textFill>
            <w14:solidFill>
              <w14:schemeClr w14:val="tx1"/>
            </w14:solidFill>
          </w14:textFill>
        </w:rPr>
        <w:t xml:space="preserve">07</w:t>
      </w:r>
      <w:r>
        <w:rPr>
          <w:rFonts w:ascii="Arial" w:hAnsi="Arial" w:cs="Arial"/>
          <w:b/>
          <w:color w:val="000000" w:themeColor="text1"/>
          <w:sz w:val="32"/>
          <w:szCs w:val="32"/>
          <w:highlight w:val="none"/>
          <w14:textFill>
            <w14:solidFill>
              <w14:schemeClr w14:val="tx1"/>
            </w14:solidFill>
          </w14:textFill>
        </w:rPr>
        <w:t xml:space="preserve">月</w:t>
      </w:r>
      <w:r/>
    </w:p>
    <w:p>
      <w:pPr>
        <w:pStyle w:val="742"/>
        <w:spacing w:before="120" w:beforeAutospacing="0" w:after="120" w:afterAutospacing="0" w:line="360" w:lineRule="auto"/>
        <w:rPr>
          <w:highlight w:val="none"/>
        </w:rPr>
      </w:pPr>
      <w:r>
        <w:rPr>
          <w:rFonts w:ascii="Arial" w:hAnsi="Arial" w:cs="Arial"/>
          <w:color w:val="000000"/>
          <w:highlight w:val="none"/>
        </w:rPr>
        <w:t xml:space="preserve">                        </w:t>
      </w:r>
      <w:r/>
    </w:p>
    <w:p>
      <w:pPr>
        <w:pStyle w:val="742"/>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bookmarkStart w:id="0" w:name="_Toc513029200"/>
      <w:r/>
      <w:bookmarkStart w:id="1" w:name="_Toc523127445"/>
      <w:r/>
      <w:bookmarkStart w:id="2" w:name="_Toc479757206"/>
      <w:r/>
      <w:bookmarkStart w:id="3" w:name="_Toc120614210"/>
      <w:r/>
      <w:bookmarkStart w:id="4" w:name="_Toc20823272"/>
      <w:r/>
      <w:bookmarkStart w:id="5" w:name="_Toc16938516"/>
      <w:r>
        <w:rPr>
          <w:rFonts w:ascii="Times New Roman" w:hAnsi="Times New Roman"/>
          <w:color w:val="000000"/>
          <w:sz w:val="21"/>
          <w:szCs w:val="21"/>
          <w:highlight w:val="none"/>
        </w:rPr>
        <w:t xml:space="preserve"> </w:t>
      </w:r>
      <w:r/>
    </w:p>
    <w:p>
      <w:pPr>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p>
    <w:p>
      <w:pPr>
        <w:pStyle w:val="742"/>
        <w:jc w:val="center"/>
        <w:spacing w:beforeAutospacing="0" w:afterAutospacing="0" w:line="480" w:lineRule="auto"/>
        <w:rPr>
          <w:rFonts w:ascii="黑体" w:hAnsi="宋体" w:eastAsia="黑体" w:cs="黑体"/>
          <w:b/>
          <w:color w:val="000000"/>
          <w:sz w:val="44"/>
          <w:szCs w:val="44"/>
          <w:highlight w:val="none"/>
        </w:rPr>
      </w:pPr>
      <w:r>
        <w:rPr>
          <w:rFonts w:ascii="黑体" w:hAnsi="宋体" w:eastAsia="黑体" w:cs="黑体"/>
          <w:b/>
          <w:color w:val="000000"/>
          <w:sz w:val="44"/>
          <w:szCs w:val="44"/>
          <w:highlight w:val="none"/>
        </w:rPr>
      </w:r>
      <w:r/>
    </w:p>
    <w:p>
      <w:pPr>
        <w:pStyle w:val="742"/>
        <w:jc w:val="center"/>
        <w:spacing w:beforeAutospacing="0" w:afterAutospacing="0" w:line="480" w:lineRule="auto"/>
        <w:rPr>
          <w:rFonts w:ascii="黑体" w:hAnsi="宋体" w:eastAsia="黑体" w:cs="黑体"/>
          <w:b/>
          <w:color w:val="000000"/>
          <w:sz w:val="44"/>
          <w:szCs w:val="44"/>
          <w:highlight w:val="none"/>
        </w:rPr>
      </w:pPr>
      <w:r>
        <w:rPr>
          <w:rFonts w:ascii="黑体" w:hAnsi="宋体" w:eastAsia="黑体" w:cs="黑体"/>
          <w:b/>
          <w:color w:val="000000"/>
          <w:sz w:val="44"/>
          <w:szCs w:val="44"/>
          <w:highlight w:val="none"/>
        </w:rPr>
      </w:r>
      <w:r/>
    </w:p>
    <w:p>
      <w:pPr>
        <w:pStyle w:val="742"/>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742"/>
        <w:jc w:val="both"/>
        <w:spacing w:beforeAutospacing="0" w:afterAutospacing="0" w:line="480" w:lineRule="auto"/>
        <w:rPr>
          <w:highlight w:val="none"/>
        </w:rPr>
      </w:pPr>
      <w:r>
        <w:rPr>
          <w:highlight w:val="none"/>
        </w:rPr>
        <w:t xml:space="preserve"> </w:t>
      </w:r>
      <w:r/>
    </w:p>
    <w:p>
      <w:pPr>
        <w:pStyle w:val="74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74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74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74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74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74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74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742"/>
        <w:ind w:firstLine="480"/>
        <w:jc w:val="both"/>
        <w:spacing w:beforeAutospacing="0" w:afterAutospacing="0"/>
        <w:rPr>
          <w:rFonts w:hint="eastAsia" w:ascii="宋体" w:hAnsi="宋体" w:eastAsia="宋体" w:cs="宋体"/>
          <w:sz w:val="24"/>
          <w:szCs w:val="24"/>
          <w:highlight w:val="yellow"/>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滨海县市场监督管理局202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年度农贸（</w:t>
      </w:r>
      <w:r>
        <w:rPr>
          <w:rFonts w:hint="eastAsia" w:ascii="宋体" w:hAnsi="宋体" w:eastAsia="宋体" w:cs="宋体"/>
          <w:color w:val="auto"/>
          <w:sz w:val="24"/>
          <w:szCs w:val="24"/>
          <w:highlight w:val="none"/>
          <w:u w:val="single"/>
          <w:lang w:val="en-US" w:eastAsia="zh-CN"/>
        </w:rPr>
        <w:t xml:space="preserve">农</w:t>
      </w:r>
      <w:r>
        <w:rPr>
          <w:rFonts w:hint="eastAsia" w:ascii="宋体" w:hAnsi="宋体" w:eastAsia="宋体" w:cs="宋体"/>
          <w:color w:val="auto"/>
          <w:sz w:val="24"/>
          <w:szCs w:val="24"/>
          <w:highlight w:val="none"/>
          <w:u w:val="single"/>
        </w:rPr>
        <w:t xml:space="preserve">批）市场快检运维服务项目</w:t>
      </w:r>
      <w:r>
        <w:rPr>
          <w:rFonts w:hint="eastAsia" w:ascii="宋体" w:hAnsi="宋体" w:eastAsia="宋体" w:cs="宋体"/>
          <w:color w:val="auto"/>
          <w:sz w:val="24"/>
          <w:szCs w:val="24"/>
          <w:highlight w:val="none"/>
        </w:rPr>
        <w:t xml:space="preserve">招</w:t>
      </w:r>
      <w:r>
        <w:rPr>
          <w:rFonts w:hint="eastAsia" w:ascii="宋体" w:hAnsi="宋体" w:eastAsia="宋体" w:cs="宋体"/>
          <w:color w:val="000000"/>
          <w:sz w:val="24"/>
          <w:szCs w:val="24"/>
          <w:highlight w:val="none"/>
        </w:rPr>
        <w:t xml:space="preserve">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2026年8月5日9点00分（北京时间</w:t>
      </w:r>
      <w:r>
        <w:rPr>
          <w:rFonts w:hint="eastAsia" w:ascii="宋体" w:hAnsi="宋体" w:eastAsia="宋体" w:cs="宋体"/>
          <w:color w:val="auto"/>
          <w:sz w:val="24"/>
          <w:szCs w:val="24"/>
          <w:highlight w:val="none"/>
          <w:u w:val="none"/>
          <w:lang w:val="en-US" w:eastAsia="zh-CN"/>
        </w:rPr>
        <w:t xml:space="preserve">）前递交投标文件。</w:t>
      </w:r>
      <w:r/>
    </w:p>
    <w:p>
      <w:pPr>
        <w:pStyle w:val="7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742"/>
        <w:ind w:firstLine="480"/>
        <w:jc w:val="both"/>
        <w:spacing w:beforeAutospacing="0" w:afterAutospacing="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u w:val="single"/>
          <w:lang w:val="en-US" w:eastAsia="zh-CN"/>
        </w:rPr>
        <w:t xml:space="preserve">JSZC-320922-JSEW-G2026-0002</w:t>
      </w:r>
      <w:r/>
    </w:p>
    <w:p>
      <w:pPr>
        <w:pStyle w:val="74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u w:val="single"/>
        </w:rPr>
        <w:t xml:space="preserve">滨海县市场监督管理局202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年度农贸（</w:t>
      </w:r>
      <w:r>
        <w:rPr>
          <w:rFonts w:hint="eastAsia" w:ascii="宋体" w:hAnsi="宋体" w:eastAsia="宋体" w:cs="宋体"/>
          <w:color w:val="auto"/>
          <w:sz w:val="24"/>
          <w:szCs w:val="24"/>
          <w:highlight w:val="none"/>
          <w:u w:val="single"/>
          <w:lang w:val="en-US" w:eastAsia="zh-CN"/>
        </w:rPr>
        <w:t xml:space="preserve">农</w:t>
      </w:r>
      <w:r>
        <w:rPr>
          <w:rFonts w:hint="eastAsia" w:ascii="宋体" w:hAnsi="宋体" w:eastAsia="宋体" w:cs="宋体"/>
          <w:color w:val="auto"/>
          <w:sz w:val="24"/>
          <w:szCs w:val="24"/>
          <w:highlight w:val="none"/>
          <w:u w:val="single"/>
        </w:rPr>
        <w:t xml:space="preserve">批）市场快检运维服务项目</w:t>
      </w:r>
      <w:r/>
    </w:p>
    <w:p>
      <w:pPr>
        <w:pStyle w:val="742"/>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42"/>
        <w:ind w:firstLine="480"/>
        <w:jc w:val="both"/>
        <w:spacing w:beforeAutospacing="0" w:afterAutospacing="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298万元</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u w:val="single"/>
          <w:lang w:val="en-US" w:eastAsia="zh-CN"/>
        </w:rPr>
        <w:t xml:space="preserve">快检运维服务最高限价：298万元 </w:t>
      </w:r>
      <w:r/>
    </w:p>
    <w:p>
      <w:pPr>
        <w:ind w:firstLine="480"/>
        <w:spacing w:line="360" w:lineRule="auto"/>
        <w:rPr>
          <w:rFonts w:hint="eastAsia" w:ascii="宋体" w:hAnsi="宋体" w:eastAsia="宋体" w:cs="宋体"/>
          <w:color w:val="auto"/>
          <w:sz w:val="24"/>
          <w:szCs w:val="24"/>
          <w:highlight w:val="yellow"/>
          <w:lang w:bidi="ar"/>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u w:val="single"/>
        </w:rPr>
        <w:t xml:space="preserve">滨海县市场监督管理局202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年度农贸（</w:t>
      </w:r>
      <w:r>
        <w:rPr>
          <w:rFonts w:hint="eastAsia" w:ascii="宋体" w:hAnsi="宋体" w:eastAsia="宋体" w:cs="宋体"/>
          <w:color w:val="auto"/>
          <w:sz w:val="24"/>
          <w:szCs w:val="24"/>
          <w:highlight w:val="none"/>
          <w:u w:val="single"/>
          <w:lang w:val="en-US" w:eastAsia="zh-CN"/>
        </w:rPr>
        <w:t xml:space="preserve">农</w:t>
      </w:r>
      <w:r>
        <w:rPr>
          <w:rFonts w:hint="eastAsia" w:ascii="宋体" w:hAnsi="宋体" w:eastAsia="宋体" w:cs="宋体"/>
          <w:color w:val="auto"/>
          <w:sz w:val="24"/>
          <w:szCs w:val="24"/>
          <w:highlight w:val="none"/>
          <w:u w:val="single"/>
        </w:rPr>
        <w:t xml:space="preserve">批）市场快检运维服务项目</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bidi="ar"/>
        </w:rPr>
        <w:t xml:space="preserve">负责</w:t>
      </w:r>
      <w:r>
        <w:rPr>
          <w:rFonts w:hint="eastAsia" w:ascii="宋体" w:hAnsi="宋体" w:eastAsia="宋体" w:cs="宋体"/>
          <w:b/>
          <w:bCs/>
          <w:color w:val="auto"/>
          <w:sz w:val="24"/>
          <w:szCs w:val="24"/>
          <w:highlight w:val="none"/>
          <w:u w:val="single"/>
          <w:lang w:val="en-US" w:eastAsia="zh-CN" w:bidi="ar"/>
        </w:rPr>
        <w:t xml:space="preserve">27个农贸（农批）市场</w:t>
      </w:r>
      <w:r>
        <w:rPr>
          <w:rFonts w:hint="eastAsia" w:ascii="宋体" w:hAnsi="宋体" w:eastAsia="宋体" w:cs="宋体"/>
          <w:b/>
          <w:bCs/>
          <w:color w:val="auto"/>
          <w:sz w:val="24"/>
          <w:szCs w:val="24"/>
          <w:highlight w:val="none"/>
          <w:u w:val="single"/>
          <w:lang w:bidi="ar"/>
        </w:rPr>
        <w:t xml:space="preserve">快检室正常运维工作。</w:t>
      </w:r>
      <w:r>
        <w:rPr>
          <w:rFonts w:hint="eastAsia" w:ascii="宋体" w:hAnsi="宋体" w:eastAsia="宋体" w:cs="宋体"/>
          <w:color w:val="auto"/>
          <w:sz w:val="24"/>
          <w:highlight w:val="none"/>
        </w:rPr>
        <w:t xml:space="preserve">主要负责</w:t>
      </w:r>
      <w:r>
        <w:rPr>
          <w:rFonts w:hint="eastAsia" w:ascii="宋体" w:hAnsi="宋体" w:eastAsia="宋体" w:cs="宋体"/>
          <w:color w:val="auto"/>
          <w:sz w:val="24"/>
          <w:highlight w:val="none"/>
          <w:lang w:val="en-US" w:eastAsia="zh-CN"/>
        </w:rPr>
        <w:t xml:space="preserve">27个</w:t>
      </w:r>
      <w:r>
        <w:rPr>
          <w:rFonts w:hint="eastAsia" w:ascii="宋体" w:hAnsi="宋体" w:eastAsia="宋体" w:cs="宋体"/>
          <w:color w:val="auto"/>
          <w:sz w:val="24"/>
          <w:highlight w:val="none"/>
        </w:rPr>
        <w:t xml:space="preserve">农贸（</w:t>
      </w:r>
      <w:r>
        <w:rPr>
          <w:rFonts w:hint="eastAsia" w:ascii="宋体" w:hAnsi="宋体" w:eastAsia="宋体" w:cs="宋体"/>
          <w:color w:val="auto"/>
          <w:sz w:val="24"/>
          <w:highlight w:val="none"/>
          <w:lang w:val="en-US" w:eastAsia="zh-CN"/>
        </w:rPr>
        <w:t xml:space="preserve">农</w:t>
      </w:r>
      <w:r>
        <w:rPr>
          <w:rFonts w:hint="eastAsia" w:ascii="宋体" w:hAnsi="宋体" w:eastAsia="宋体" w:cs="宋体"/>
          <w:color w:val="auto"/>
          <w:sz w:val="24"/>
          <w:highlight w:val="none"/>
        </w:rPr>
        <w:t xml:space="preserve">批）市场快检室的日常</w:t>
      </w:r>
      <w:r>
        <w:rPr>
          <w:rFonts w:hint="eastAsia" w:ascii="宋体" w:hAnsi="宋体" w:eastAsia="宋体" w:cs="宋体"/>
          <w:color w:val="auto"/>
          <w:sz w:val="24"/>
          <w:highlight w:val="none"/>
          <w:lang w:val="en-US" w:eastAsia="zh-CN"/>
        </w:rPr>
        <w:t xml:space="preserve">快检</w:t>
      </w:r>
      <w:r>
        <w:rPr>
          <w:rFonts w:hint="eastAsia" w:ascii="宋体" w:hAnsi="宋体" w:eastAsia="宋体" w:cs="宋体"/>
          <w:color w:val="auto"/>
          <w:sz w:val="24"/>
          <w:highlight w:val="none"/>
        </w:rPr>
        <w:t xml:space="preserve">、快检室水电费用、快检室网络费用、检测工具设备投入、样品购买、检测耗材、检测试剂、检测人员工资、检测数据公示、检测数据传输与储存</w:t>
      </w:r>
      <w:r>
        <w:rPr>
          <w:rFonts w:hint="eastAsia" w:ascii="宋体" w:hAnsi="宋体" w:eastAsia="宋体" w:cs="宋体"/>
          <w:color w:val="auto"/>
          <w:sz w:val="24"/>
          <w:highlight w:val="none"/>
          <w:lang w:val="en-US" w:eastAsia="zh-CN"/>
        </w:rPr>
        <w:t xml:space="preserve">及相关温控设备工作</w:t>
      </w:r>
      <w:r>
        <w:rPr>
          <w:rFonts w:hint="eastAsia" w:ascii="宋体" w:hAnsi="宋体" w:eastAsia="宋体" w:cs="宋体"/>
          <w:color w:val="auto"/>
          <w:sz w:val="24"/>
          <w:highlight w:val="none"/>
        </w:rPr>
        <w:t xml:space="preserve">等，</w:t>
      </w:r>
      <w:r>
        <w:rPr>
          <w:rFonts w:hint="eastAsia" w:ascii="宋体" w:hAnsi="宋体" w:eastAsia="宋体" w:cs="宋体"/>
          <w:color w:val="auto"/>
          <w:sz w:val="24"/>
          <w:szCs w:val="24"/>
          <w:highlight w:val="none"/>
          <w:lang w:bidi="ar"/>
        </w:rPr>
        <w:t xml:space="preserve">协助滨海县市场监督管理局做好相关快检结果后续处理工作，实现从样品抽取到完成后续处理的全周期服务</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服</w:t>
      </w:r>
      <w:r>
        <w:rPr>
          <w:rFonts w:hint="eastAsia" w:ascii="宋体" w:hAnsi="宋体" w:eastAsia="宋体" w:cs="宋体"/>
          <w:color w:val="auto"/>
          <w:sz w:val="24"/>
          <w:szCs w:val="24"/>
          <w:highlight w:val="none"/>
          <w:lang w:eastAsia="zh-CN" w:bidi="ar"/>
        </w:rPr>
        <w:t xml:space="preserve">务期内重点问题食用农产品检测样本数量不少于</w:t>
      </w:r>
      <w:r>
        <w:rPr>
          <w:rFonts w:hint="eastAsia" w:ascii="宋体" w:hAnsi="宋体" w:eastAsia="宋体" w:cs="宋体"/>
          <w:color w:val="auto"/>
          <w:sz w:val="24"/>
          <w:szCs w:val="24"/>
          <w:highlight w:val="none"/>
          <w:lang w:val="en-US" w:eastAsia="zh-CN" w:bidi="ar"/>
        </w:rPr>
        <w:t xml:space="preserve">63600</w:t>
      </w:r>
      <w:r>
        <w:rPr>
          <w:rFonts w:hint="eastAsia" w:ascii="宋体" w:hAnsi="宋体" w:eastAsia="宋体" w:cs="宋体"/>
          <w:color w:val="auto"/>
          <w:sz w:val="24"/>
          <w:szCs w:val="24"/>
          <w:highlight w:val="none"/>
          <w:lang w:eastAsia="zh-CN" w:bidi="ar"/>
        </w:rPr>
        <w:t xml:space="preserve">个</w:t>
      </w:r>
      <w:r>
        <w:rPr>
          <w:rFonts w:hint="eastAsia" w:ascii="宋体" w:hAnsi="宋体" w:eastAsia="宋体" w:cs="宋体"/>
          <w:color w:val="auto"/>
          <w:sz w:val="24"/>
          <w:szCs w:val="24"/>
          <w:highlight w:val="none"/>
          <w:u w:val="none"/>
          <w:lang w:val="en-US" w:eastAsia="zh-CN"/>
        </w:rPr>
        <w:t xml:space="preserve">（其中</w:t>
      </w:r>
      <w:r>
        <w:rPr>
          <w:rFonts w:hint="default" w:ascii="宋体" w:hAnsi="宋体" w:eastAsia="宋体" w:cs="宋体"/>
          <w:color w:val="auto"/>
          <w:sz w:val="24"/>
          <w:szCs w:val="24"/>
          <w:highlight w:val="none"/>
          <w:u w:val="none"/>
          <w:lang w:val="en-US" w:eastAsia="zh-CN"/>
        </w:rPr>
        <w:t xml:space="preserve">“七条鱼</w:t>
      </w:r>
      <w:r>
        <w:rPr>
          <w:rFonts w:hint="eastAsia" w:ascii="宋体" w:hAnsi="宋体" w:eastAsia="宋体" w:cs="宋体"/>
          <w:color w:val="auto"/>
          <w:sz w:val="24"/>
          <w:szCs w:val="24"/>
          <w:highlight w:val="none"/>
          <w:u w:val="none"/>
          <w:lang w:val="en-US" w:eastAsia="zh-CN"/>
        </w:rPr>
        <w:t xml:space="preserve">与海参</w:t>
      </w:r>
      <w:r>
        <w:rPr>
          <w:rFonts w:hint="default"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zh-CN"/>
        </w:rPr>
        <w:t xml:space="preserve">样本不少于31600个），总检测参数不少于127000个</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highlight w:val="none"/>
        </w:rPr>
        <w:t xml:space="preserve">所有检测数据信息归采购方所有，不得外传并需为采购方保存检测数据至少2年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bidi="ar"/>
        </w:rPr>
        <w:t xml:space="preserve">具体需求见招标文件</w:t>
      </w:r>
      <w:r>
        <w:rPr>
          <w:rFonts w:hint="eastAsia" w:ascii="宋体" w:hAnsi="宋体" w:eastAsia="宋体" w:cs="宋体"/>
          <w:color w:val="auto"/>
          <w:sz w:val="24"/>
          <w:szCs w:val="24"/>
          <w:highlight w:val="none"/>
          <w:lang w:val="en-US" w:eastAsia="zh-CN" w:bidi="ar"/>
        </w:rPr>
        <w:t xml:space="preserve">项目需求</w:t>
      </w:r>
      <w:r>
        <w:rPr>
          <w:rFonts w:hint="eastAsia" w:ascii="宋体" w:hAnsi="宋体" w:eastAsia="宋体" w:cs="宋体"/>
          <w:color w:val="auto"/>
          <w:sz w:val="24"/>
          <w:szCs w:val="24"/>
          <w:highlight w:val="none"/>
          <w:lang w:bidi="ar"/>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27个市场运营服务期自2026年8月16日至2027年8月15日</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sz w:val="24"/>
          <w:szCs w:val="24"/>
          <w:highlight w:val="none"/>
        </w:rPr>
        <w:t xml:space="preserve">服务要求：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（1）滨海农贸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农批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市场：</w:t>
      </w:r>
      <w:r>
        <w:rPr>
          <w:rFonts w:hint="eastAsia" w:ascii="宋体" w:hAnsi="宋体" w:eastAsia="宋体" w:cs="宋体"/>
          <w:color w:val="auto"/>
          <w:sz w:val="24"/>
          <w:highlight w:val="none"/>
          <w:lang w:val="en-US" w:eastAsia="zh-CN"/>
        </w:rPr>
        <w:t xml:space="preserve">本项目中标单位与前中标单位做好工作衔接，无相关检测仪器及前处理设备的市场，</w:t>
      </w:r>
      <w:r>
        <w:rPr>
          <w:rFonts w:hint="eastAsia" w:ascii="宋体" w:hAnsi="宋体" w:eastAsia="宋体" w:cs="宋体"/>
          <w:color w:val="auto"/>
          <w:sz w:val="24"/>
          <w:highlight w:val="none"/>
        </w:rPr>
        <w:t xml:space="preserve">由</w:t>
      </w:r>
      <w:r>
        <w:rPr>
          <w:rFonts w:hint="eastAsia" w:ascii="宋体" w:hAnsi="宋体" w:eastAsia="宋体" w:cs="宋体"/>
          <w:color w:val="auto"/>
          <w:sz w:val="24"/>
          <w:highlight w:val="none"/>
          <w:lang w:val="en-US" w:eastAsia="zh-CN"/>
        </w:rPr>
        <w:t xml:space="preserve">本项目中标单位自行携带满足检测及公示需求的设施设备（设备租赁费用包含在中标价中）</w:t>
      </w:r>
      <w:r>
        <w:rPr>
          <w:rFonts w:hint="eastAsia" w:ascii="宋体" w:hAnsi="宋体" w:eastAsia="宋体" w:cs="宋体"/>
          <w:color w:val="auto"/>
          <w:sz w:val="24"/>
          <w:highlight w:val="none"/>
        </w:rPr>
        <w:t xml:space="preserve">，设置显示终端（检测结果公示在显示屏），在农贸市场合适位置摆放或安装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且能正常使用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）质量要求：运营期内按照采购人要求保质保量完成每一份检测，一年运营期满后投标人须将所有快检室</w:t>
      </w:r>
      <w:r>
        <w:rPr>
          <w:rFonts w:hint="eastAsia" w:ascii="宋体" w:hAnsi="宋体" w:eastAsia="宋体" w:cs="宋体"/>
          <w:color w:val="auto"/>
          <w:sz w:val="24"/>
          <w:szCs w:val="24"/>
          <w:highlight w:val="none"/>
          <w:lang w:val="en-US" w:eastAsia="zh-CN"/>
        </w:rPr>
        <w:t xml:space="preserve">原有的</w:t>
      </w:r>
      <w:r>
        <w:rPr>
          <w:rFonts w:hint="eastAsia" w:ascii="宋体" w:hAnsi="宋体" w:eastAsia="宋体" w:cs="宋体"/>
          <w:color w:val="auto"/>
          <w:sz w:val="24"/>
          <w:szCs w:val="24"/>
          <w:highlight w:val="none"/>
        </w:rPr>
        <w:t xml:space="preserve">固定资产、配套软件台账等无偿移交给采购人且能保证正常使用。</w:t>
      </w:r>
      <w:r/>
    </w:p>
    <w:p>
      <w:pPr>
        <w:pStyle w:val="744"/>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合同签订后，向中标单位支付合同金额的30%作为预付款。运维服务期限满后，按照具体参数结合月度考核、年度考评后一次性结算，参数单价以23.6元/个为标准进行结算。（招标人在中标单位提供正式发票20个工作日内</w:t>
      </w:r>
      <w:r>
        <w:rPr>
          <w:rFonts w:hint="default" w:ascii="宋体" w:hAnsi="宋体" w:eastAsia="宋体" w:cs="宋体"/>
          <w:color w:val="auto"/>
          <w:sz w:val="24"/>
          <w:szCs w:val="24"/>
          <w:highlight w:val="none"/>
          <w:lang w:val="en-US" w:eastAsia="zh-CN" w:bidi="ar-SA"/>
        </w:rPr>
        <w:t xml:space="preserve">向政府采购支付部门提出办理财政支付申请手续，</w:t>
      </w:r>
      <w:r>
        <w:rPr>
          <w:rFonts w:hint="eastAsia" w:ascii="宋体" w:hAnsi="宋体" w:eastAsia="宋体" w:cs="宋体"/>
          <w:color w:val="auto"/>
          <w:sz w:val="24"/>
          <w:szCs w:val="24"/>
          <w:highlight w:val="none"/>
          <w:lang w:val="en-US" w:eastAsia="zh-CN" w:bidi="ar-SA"/>
        </w:rPr>
        <w:t xml:space="preserve">收到拨付资金后及时支付给中标单位</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因故无法按时支付费用的，招标人应及时告知中标单位原因）</w:t>
      </w:r>
      <w:r/>
    </w:p>
    <w:p>
      <w:pPr>
        <w:ind w:left="0" w:right="1470" w:firstLine="48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9.项目地点：滨海县境内农贸（农批）市场。</w:t>
      </w:r>
      <w:r/>
    </w:p>
    <w:p>
      <w:pPr>
        <w:ind w:left="0" w:right="1470" w:firstLine="48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10.标段划分：本项目共为一个标段。</w:t>
      </w:r>
      <w:r/>
    </w:p>
    <w:p>
      <w:pPr>
        <w:ind w:left="0" w:right="1470" w:firstLine="480"/>
        <w:jc w:val="both"/>
        <w:spacing w:after="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11.本项目（是/否）接受联合体参与招标：否。</w:t>
      </w:r>
      <w:r/>
    </w:p>
    <w:p>
      <w:pPr>
        <w:pStyle w:val="7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 w:name="_Toc28359003"/>
      <w:r/>
      <w:bookmarkStart w:id="13" w:name="_Toc38985264"/>
      <w:r/>
      <w:bookmarkStart w:id="14" w:name="_Toc28359080"/>
      <w:r/>
      <w:bookmarkStart w:id="15" w:name="_Toc35393791"/>
      <w:r/>
      <w:bookmarkStart w:id="16" w:name="_Toc35393622"/>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74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74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74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74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74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w:t>
      </w:r>
      <w:r>
        <w:rPr>
          <w:rFonts w:hint="eastAsia" w:ascii="宋体" w:hAnsi="宋体" w:eastAsia="宋体" w:cs="宋体"/>
          <w:color w:val="auto"/>
          <w:sz w:val="24"/>
          <w:szCs w:val="24"/>
          <w:highlight w:val="none"/>
        </w:rPr>
        <w:t xml:space="preserve">法享受缓缴、免缴税收、社会保障资金的提供证明材料）；</w:t>
      </w:r>
      <w:r/>
    </w:p>
    <w:p>
      <w:pPr>
        <w:pStyle w:val="742"/>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4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74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（响应文件中无需提供证明材料）</w:t>
      </w:r>
      <w:r/>
    </w:p>
    <w:p>
      <w:pPr>
        <w:pStyle w:val="742"/>
        <w:ind w:firstLine="480"/>
        <w:jc w:val="both"/>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eastAsia="zh-CN"/>
        </w:rPr>
        <w:t xml:space="preserve">；</w:t>
      </w:r>
      <w:r/>
    </w:p>
    <w:p>
      <w:pPr>
        <w:ind w:left="-360" w:right="0" w:firstLine="720"/>
        <w:spacing w:before="0" w:after="0" w:line="312"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ascii="SimSun" w:hAnsi="SimSun" w:eastAsia="SimSun" w:cs="SimSun"/>
          <w:color w:val="000000"/>
          <w:sz w:val="24"/>
        </w:rPr>
        <w:t xml:space="preserve">本项目专门面向中小企业采购。采购标的的所属行业为</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，供应商需按照招标文件的要求提供相应的《中小企业声明函》。企业标准请参照《关于印发中小企业划型标准规定的通知》（工信部联企业[2011]300号）文件规定自行填写。</w:t>
      </w:r>
      <w:r/>
    </w:p>
    <w:p>
      <w:pPr>
        <w:pStyle w:val="74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2"/>
        <w:ind w:right="0" w:firstLine="48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无</w:t>
      </w:r>
      <w:r/>
    </w:p>
    <w:p>
      <w:pPr>
        <w:pStyle w:val="7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17" w:name="_Toc38985266"/>
      <w:r/>
      <w:bookmarkStart w:id="18" w:name="_Toc35393624"/>
      <w:r/>
      <w:bookmarkStart w:id="19" w:name="_Toc35393793"/>
      <w:r/>
      <w:bookmarkStart w:id="20" w:name="_Toc28359005"/>
      <w:r/>
      <w:bookmarkStart w:id="21" w:name="_Toc28359082"/>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7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1.时间：2026年8月5日 9点00分（北京时间）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7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35393625"/>
      <w:r/>
      <w:bookmarkStart w:id="23" w:name="_Toc28359007"/>
      <w:r/>
      <w:bookmarkStart w:id="24" w:name="_Toc28359084"/>
      <w:r/>
      <w:bookmarkStart w:id="25" w:name="_Toc35393794"/>
      <w:r/>
      <w:bookmarkStart w:id="26" w:name="_Toc38985267"/>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ind w:firstLine="480"/>
        <w:jc w:val="left"/>
        <w:keepLines w:val="0"/>
        <w:keepNext w:val="0"/>
        <w:widowControl/>
        <w:rPr>
          <w:rFonts w:hint="eastAsia" w:ascii="宋体" w:hAnsi="宋体" w:eastAsia="宋体" w:cs="宋体"/>
          <w:b/>
          <w:color w:val="000000"/>
          <w:sz w:val="24"/>
          <w:szCs w:val="24"/>
          <w:highlight w:val="none"/>
          <w:lang w:val="en-US" w:eastAsia="zh-CN" w:bidi="ar-SA"/>
        </w:rPr>
        <w:suppressLineNumbers w:val="0"/>
      </w:pPr>
      <w:r>
        <w:rPr>
          <w:rFonts w:hint="eastAsia" w:ascii="宋体" w:hAnsi="宋体" w:eastAsia="宋体" w:cs="宋体"/>
          <w:b/>
          <w:color w:val="000000"/>
          <w:sz w:val="24"/>
          <w:szCs w:val="24"/>
          <w:highlight w:val="none"/>
          <w:lang w:val="en-US" w:eastAsia="zh-CN" w:bidi="ar-SA"/>
        </w:rPr>
        <w:t xml:space="preserve">六、其他补充事宜</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3.有关本次招标的事项若存在变动或修改，敬请及时关注江苏二维项目管理有限公司在“中国政府采购网”“江苏政府采购网”“盐城市政府采购网”发布的更正公告。</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712"/>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称：滨海县市场监督管理局 </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地址：江苏省盐城市滨海县永宁路6号  </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联系人：王女士              </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联系方式：15861918352            </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742"/>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highlight w:val="none"/>
          <w:lang w:val="en-US" w:eastAsia="zh-CN" w:bidi="ar-SA"/>
        </w:rPr>
        <w:t xml:space="preserve">江苏二维项目管理有限公司</w:t>
      </w:r>
      <w:r/>
    </w:p>
    <w:p>
      <w:pPr>
        <w:pStyle w:val="742"/>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址：滨海县富康路西侧华德名人苑H05栋111室</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联系人：李先生                     </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18994845959       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742"/>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项目联系人：李先生</w:t>
      </w:r>
      <w:r/>
    </w:p>
    <w:p>
      <w:pPr>
        <w:pStyle w:val="7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话：18994845959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742"/>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p>
    <w:p>
      <w:pPr>
        <w:pStyle w:val="742"/>
        <w:ind w:firstLine="2429"/>
        <w:jc w:val="both"/>
        <w:keepLines/>
        <w:keepNext/>
        <w:spacing w:before="260" w:beforeAutospacing="0" w:after="260" w:afterAutospacing="0" w:line="415" w:lineRule="auto"/>
        <w:rPr>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513029202"/>
      <w:r/>
      <w:bookmarkStart w:id="37" w:name="_Toc120614213"/>
      <w:r/>
      <w:bookmarkStart w:id="38" w:name="_Toc20823274"/>
      <w:r/>
      <w:bookmarkStart w:id="39" w:name="_Toc16938518"/>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7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16938519"/>
      <w:r/>
      <w:bookmarkStart w:id="41" w:name="_Toc120614214"/>
      <w:r/>
      <w:bookmarkStart w:id="42" w:name="_Toc513029203"/>
      <w:r/>
      <w:bookmarkStart w:id="43" w:name="_Toc20823275"/>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742"/>
        <w:ind w:firstLine="420"/>
        <w:jc w:val="both"/>
        <w:keepLines/>
        <w:keepNext/>
        <w:spacing w:beforeAutospacing="0" w:afterAutospacing="0"/>
        <w:rPr>
          <w:rFonts w:hint="eastAsia" w:ascii="宋体" w:hAnsi="宋体" w:eastAsia="宋体" w:cs="宋体"/>
          <w:sz w:val="24"/>
          <w:szCs w:val="24"/>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742"/>
        <w:ind w:firstLine="420"/>
        <w:jc w:val="both"/>
        <w:keepLines/>
        <w:keepNext/>
        <w:spacing w:beforeAutospacing="0" w:afterAutospacing="0"/>
        <w:rPr>
          <w:rFonts w:hint="eastAsia" w:ascii="宋体" w:hAnsi="宋体" w:eastAsia="宋体" w:cs="宋体"/>
          <w:sz w:val="24"/>
          <w:szCs w:val="24"/>
          <w:highlight w:val="none"/>
        </w:rPr>
      </w:pPr>
      <w:r/>
      <w:bookmarkStart w:id="49" w:name="_Toc16938521"/>
      <w:r/>
      <w:bookmarkStart w:id="50" w:name="_Toc20823277"/>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742"/>
        <w:ind w:firstLine="420"/>
        <w:jc w:val="both"/>
        <w:keepLines/>
        <w:keepNext/>
        <w:spacing w:beforeAutospacing="0" w:afterAutospacing="0"/>
        <w:rPr>
          <w:rFonts w:hint="eastAsia" w:ascii="宋体" w:hAnsi="宋体" w:eastAsia="宋体" w:cs="宋体"/>
          <w:sz w:val="24"/>
          <w:szCs w:val="24"/>
          <w:highlight w:val="none"/>
        </w:rPr>
      </w:pPr>
      <w:r/>
      <w:bookmarkStart w:id="52" w:name="_Toc16938522"/>
      <w:r/>
      <w:bookmarkStart w:id="53" w:name="_Toc20823278"/>
      <w:r/>
      <w:bookmarkStart w:id="54" w:name="_Toc513029206"/>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742"/>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742"/>
        <w:ind w:firstLine="420"/>
        <w:jc w:val="both"/>
        <w:keepLines/>
        <w:keepNext/>
        <w:spacing w:beforeAutospacing="0" w:afterAutospacing="0"/>
        <w:rPr>
          <w:rFonts w:hint="eastAsia" w:ascii="宋体" w:hAnsi="宋体" w:eastAsia="宋体" w:cs="宋体"/>
          <w:sz w:val="24"/>
          <w:szCs w:val="24"/>
          <w:highlight w:val="none"/>
        </w:rPr>
      </w:pPr>
      <w:r/>
      <w:bookmarkStart w:id="55" w:name="_Toc16938523"/>
      <w:r/>
      <w:bookmarkStart w:id="56" w:name="_Toc20823279"/>
      <w:r/>
      <w:bookmarkStart w:id="57" w:name="_Toc513029207"/>
      <w:r/>
      <w:bookmarkStart w:id="58" w:name="_Toc462564067"/>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江苏二维项目管理有限公司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代理公司</w:t>
      </w:r>
      <w:r>
        <w:rPr>
          <w:rFonts w:hint="eastAsia" w:ascii="宋体" w:hAnsi="宋体" w:eastAsia="宋体" w:cs="宋体"/>
          <w:color w:val="000000"/>
          <w:sz w:val="24"/>
          <w:szCs w:val="24"/>
          <w:highlight w:val="none"/>
        </w:rPr>
        <w:t xml:space="preserve">）在任何情况下均无义务和责任承担这些费用。</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和采购人不收取标书工本费。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4.3招标代理服务费:</w:t>
      </w:r>
      <w:r>
        <w:rPr>
          <w:rFonts w:hint="eastAsia" w:ascii="宋体" w:hAnsi="宋体" w:eastAsia="宋体" w:cs="宋体"/>
          <w:color w:val="auto"/>
          <w:sz w:val="24"/>
          <w:szCs w:val="24"/>
          <w:highlight w:val="none"/>
        </w:rPr>
        <w:t xml:space="preserve">本项目招标代理服务费按《江苏省政府采购代理服务收费指导意见》苏政采协【2024】20号文件执行，招标代理服务费为：</w:t>
      </w:r>
      <w:r>
        <w:rPr>
          <w:rFonts w:hint="eastAsia" w:ascii="宋体" w:hAnsi="宋体" w:eastAsia="宋体" w:cs="宋体"/>
          <w:color w:val="auto"/>
          <w:sz w:val="24"/>
          <w:szCs w:val="24"/>
          <w:highlight w:val="none"/>
          <w:u w:val="none"/>
          <w:lang w:val="en-US" w:eastAsia="zh-CN"/>
        </w:rPr>
        <w:t xml:space="preserve">44700</w:t>
      </w:r>
      <w:r>
        <w:rPr>
          <w:rFonts w:hint="eastAsia" w:ascii="宋体" w:hAnsi="宋体" w:eastAsia="宋体" w:cs="宋体"/>
          <w:b/>
          <w:bCs/>
          <w:color w:val="auto"/>
          <w:sz w:val="24"/>
          <w:szCs w:val="24"/>
          <w:highlight w:val="none"/>
          <w:u w:val="none"/>
        </w:rPr>
        <w:t xml:space="preserve">元</w:t>
      </w:r>
      <w:r>
        <w:rPr>
          <w:rFonts w:hint="eastAsia" w:ascii="宋体" w:hAnsi="宋体" w:eastAsia="宋体" w:cs="宋体"/>
          <w:color w:val="auto"/>
          <w:sz w:val="24"/>
          <w:szCs w:val="24"/>
          <w:highlight w:val="none"/>
          <w:u w:val="none"/>
        </w:rPr>
        <w:t xml:space="preserve">整</w:t>
      </w:r>
      <w:r>
        <w:rPr>
          <w:rFonts w:hint="eastAsia" w:ascii="宋体" w:hAnsi="宋体" w:eastAsia="宋体" w:cs="宋体"/>
          <w:color w:val="auto"/>
          <w:sz w:val="24"/>
          <w:szCs w:val="24"/>
          <w:highlight w:val="none"/>
        </w:rPr>
        <w:t xml:space="preserve">，中标单位在领取中标通知书前向招标代理方一次性支付招标代理服务费，请投标人将此纳入投标报价，招标人不另行支付。</w:t>
      </w:r>
      <w:r/>
    </w:p>
    <w:p>
      <w:pPr>
        <w:pStyle w:val="742"/>
        <w:ind w:firstLine="482"/>
        <w:jc w:val="both"/>
        <w:keepLines/>
        <w:keepNext/>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742"/>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120614215"/>
      <w:r/>
      <w:bookmarkStart w:id="60" w:name="_Toc16938525"/>
      <w:r/>
      <w:bookmarkStart w:id="61" w:name="_Toc20823281"/>
      <w:r/>
      <w:bookmarkStart w:id="62" w:name="_Toc513029209"/>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63" w:name="_Toc513029210"/>
      <w:r/>
      <w:bookmarkStart w:id="64" w:name="_Toc20823282"/>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742"/>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4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74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4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42"/>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4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66" w:name="_Toc20823283"/>
      <w:r/>
      <w:bookmarkStart w:id="67" w:name="_Toc16938527"/>
      <w:r/>
      <w:bookmarkStart w:id="68" w:name="_Toc462564070"/>
      <w:r/>
      <w:bookmarkStart w:id="69" w:name="_Toc513029211"/>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pStyle w:val="742"/>
        <w:ind w:firstLine="480"/>
        <w:jc w:val="both"/>
        <w:keepLines/>
        <w:keepNext/>
        <w:spacing w:beforeAutospacing="0" w:afterAutospacing="0"/>
        <w:rPr>
          <w:rFonts w:hint="default" w:ascii="宋体" w:hAnsi="宋体" w:eastAsia="宋体" w:cs="宋体"/>
          <w:sz w:val="24"/>
          <w:szCs w:val="24"/>
          <w:highlight w:val="none"/>
          <w:lang w:val="en-US" w:eastAsia="zh-CN"/>
        </w:rPr>
      </w:pPr>
      <w:r/>
      <w:bookmarkStart w:id="70" w:name="_Toc513029212"/>
      <w:r/>
      <w:bookmarkStart w:id="71" w:name="_Toc462564071"/>
      <w:r/>
      <w:bookmarkStart w:id="72" w:name="_Toc20823284"/>
      <w:r/>
      <w:bookmarkStart w:id="73" w:name="_Toc16938528"/>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可以对招标文件进行修改。</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7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462564072"/>
      <w:r/>
      <w:bookmarkStart w:id="75" w:name="_Toc20823285"/>
      <w:r/>
      <w:bookmarkStart w:id="76" w:name="_Toc120614216"/>
      <w:r/>
      <w:bookmarkStart w:id="77" w:name="_Toc513029213"/>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79" w:name="_Toc513029214"/>
      <w:r/>
      <w:bookmarkStart w:id="80" w:name="_Toc462564073"/>
      <w:r/>
      <w:bookmarkStart w:id="81" w:name="_Toc20823286"/>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83" w:name="_Toc513029215"/>
      <w:r/>
      <w:bookmarkStart w:id="84" w:name="_Toc16938531"/>
      <w:r/>
      <w:bookmarkStart w:id="85" w:name="_Toc20823287"/>
      <w:r/>
      <w:bookmarkStart w:id="86" w:name="_Toc462564074"/>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87" w:name="_Toc513029219"/>
      <w:r/>
      <w:bookmarkStart w:id="88" w:name="_Toc14577354"/>
      <w:r/>
      <w:bookmarkStart w:id="89" w:name="_Toc513029216"/>
      <w:r/>
      <w:bookmarkStart w:id="90" w:name="_Toc49090509"/>
      <w:r/>
      <w:bookmarkStart w:id="91" w:name="_Toc14577357"/>
      <w:r/>
      <w:bookmarkStart w:id="92" w:name="_Toc49090507"/>
      <w:r/>
      <w:bookmarkStart w:id="93" w:name="_Hlt26954838"/>
      <w:r/>
      <w:bookmarkStart w:id="94" w:name="_Hlt26668975"/>
      <w:r/>
      <w:bookmarkStart w:id="95" w:name="_Hlt26670360"/>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742"/>
        <w:jc w:val="both"/>
        <w:spacing w:beforeAutospacing="0" w:afterAutospacing="0" w:line="0" w:lineRule="atLeast"/>
        <w:rPr>
          <w:rFonts w:hint="eastAsia" w:ascii="宋体" w:hAnsi="宋体" w:eastAsia="宋体" w:cs="宋体"/>
          <w:sz w:val="24"/>
          <w:szCs w:val="24"/>
          <w:highlight w:val="none"/>
        </w:rPr>
      </w:pPr>
      <w:r/>
      <w:bookmarkStart w:id="96" w:name="_Toc14577355"/>
      <w:r/>
      <w:bookmarkStart w:id="97" w:name="_Toc4909050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42"/>
        <w:ind w:firstLine="480"/>
        <w:jc w:val="both"/>
        <w:keepLines/>
        <w:keepNext/>
        <w:spacing w:beforeAutospacing="0" w:afterAutospacing="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本项目无需填写分项报价表</w:t>
      </w:r>
      <w:r>
        <w:rPr>
          <w:rFonts w:hint="eastAsia" w:ascii="宋体" w:hAnsi="宋体" w:eastAsia="宋体" w:cs="宋体"/>
          <w:color w:val="000000"/>
          <w:sz w:val="24"/>
          <w:szCs w:val="24"/>
          <w:highlight w:val="none"/>
          <w:lang w:eastAsia="zh-CN"/>
        </w:rPr>
        <w:t xml:space="preserve">）</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01" w:name="_Hlt26954848"/>
      <w:r/>
      <w:bookmarkStart w:id="102" w:name="_Hlt26954842"/>
      <w:r/>
      <w:bookmarkStart w:id="103" w:name="_Hlt26670482"/>
      <w:r/>
      <w:bookmarkStart w:id="104" w:name="_Hlt26954844"/>
      <w:r/>
      <w:bookmarkStart w:id="105" w:name="_Hlt26954731"/>
      <w:r/>
      <w:bookmarkStart w:id="106" w:name="_Hlt26670403"/>
      <w:r/>
      <w:bookmarkStart w:id="107" w:name="_Hlt26670425"/>
      <w:r/>
      <w:bookmarkStart w:id="108" w:name="_Hlt26670486"/>
      <w:r/>
      <w:bookmarkStart w:id="109" w:name="_Hlt26954846"/>
      <w:r/>
      <w:bookmarkStart w:id="110" w:name="_Hlt26668983"/>
      <w:r>
        <w:rPr>
          <w:rFonts w:hint="eastAsia" w:ascii="宋体" w:hAnsi="宋体" w:eastAsia="宋体" w:cs="宋体"/>
          <w:color w:val="000000"/>
          <w:sz w:val="24"/>
          <w:szCs w:val="24"/>
          <w:highlight w:val="none"/>
        </w:rPr>
        <w:t xml:space="preserve">13、技术要求响应及偏离表、商务要求响应及偏离表</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742"/>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11" w:name="_Toc14577359"/>
      <w:r/>
      <w:bookmarkStart w:id="112" w:name="_Toc49090510"/>
      <w:r>
        <w:rPr>
          <w:rFonts w:hint="eastAsia" w:ascii="宋体" w:hAnsi="宋体" w:eastAsia="宋体" w:cs="宋体"/>
          <w:color w:val="000000"/>
          <w:sz w:val="24"/>
          <w:szCs w:val="24"/>
          <w:highlight w:val="none"/>
        </w:rPr>
        <w:t xml:space="preserve">14、投标函和开标一览表</w:t>
      </w:r>
      <w:bookmarkEnd w:id="111"/>
      <w:r/>
      <w:bookmarkEnd w:id="112"/>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13" w:name="_Toc49090511"/>
      <w:r/>
      <w:bookmarkStart w:id="114" w:name="_Toc14577360"/>
      <w:r/>
      <w:bookmarkStart w:id="115" w:name="_Hlt26954850"/>
      <w:r/>
      <w:bookmarkStart w:id="116" w:name="_Hlt26670489"/>
      <w:r/>
      <w:bookmarkStart w:id="117" w:name="_Hlt26954734"/>
      <w:r>
        <w:rPr>
          <w:rFonts w:hint="eastAsia" w:ascii="宋体" w:hAnsi="宋体" w:eastAsia="宋体" w:cs="宋体"/>
          <w:color w:val="000000"/>
          <w:sz w:val="24"/>
          <w:szCs w:val="24"/>
          <w:highlight w:val="none"/>
        </w:rPr>
        <w:t xml:space="preserve">15、投标有效期</w:t>
      </w:r>
      <w:bookmarkEnd w:id="113"/>
      <w:r/>
      <w:bookmarkEnd w:id="114"/>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74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742"/>
        <w:ind w:firstLine="482"/>
        <w:jc w:val="both"/>
        <w:keepLines/>
        <w:keepNext/>
        <w:spacing w:before="145" w:beforeAutospacing="0" w:after="145" w:afterAutospacing="0" w:line="360" w:lineRule="auto"/>
        <w:rPr>
          <w:rFonts w:hint="eastAsia" w:ascii="宋体" w:hAnsi="宋体" w:eastAsia="宋体" w:cs="宋体"/>
          <w:sz w:val="24"/>
          <w:szCs w:val="24"/>
          <w:highlight w:val="yellow"/>
        </w:rPr>
      </w:pPr>
      <w:r/>
      <w:bookmarkStart w:id="118" w:name="_Toc513029224"/>
      <w:r/>
      <w:bookmarkStart w:id="119" w:name="_Toc16938540"/>
      <w:r/>
      <w:bookmarkStart w:id="120" w:name="_Toc120614217"/>
      <w:r/>
      <w:bookmarkStart w:id="121" w:name="_Toc20823296"/>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24" w:name="_Toc513029225"/>
      <w:r/>
      <w:bookmarkStart w:id="125" w:name="_Toc16938541"/>
      <w:r/>
      <w:bookmarkStart w:id="126" w:name="_Toc20823297"/>
      <w:r/>
      <w:bookmarkStart w:id="127" w:name="_Toc462564084"/>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742"/>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742"/>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31" w:name="_Toc16938543"/>
      <w:r/>
      <w:bookmarkStart w:id="132" w:name="_Toc513029227"/>
      <w:r/>
      <w:bookmarkStart w:id="133" w:name="_Toc20823299"/>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34" w:name="_Toc16938544"/>
      <w:r/>
      <w:bookmarkStart w:id="135" w:name="_Toc513029228"/>
      <w:r/>
      <w:bookmarkStart w:id="136" w:name="_Toc20823300"/>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7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7" w:name="_Toc16938545"/>
      <w:r/>
      <w:bookmarkStart w:id="138" w:name="_Toc20823301"/>
      <w:r/>
      <w:bookmarkStart w:id="139" w:name="_Toc120614218"/>
      <w:r/>
      <w:bookmarkStart w:id="140" w:name="_Toc513029229"/>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742"/>
        <w:ind w:firstLine="480"/>
        <w:jc w:val="both"/>
        <w:keepLines/>
        <w:keepNext/>
        <w:spacing w:beforeAutospacing="0" w:afterAutospacing="0"/>
        <w:rPr>
          <w:rFonts w:hint="eastAsia" w:ascii="宋体" w:hAnsi="宋体" w:eastAsia="宋体" w:cs="宋体"/>
          <w:color w:val="auto"/>
          <w:sz w:val="24"/>
          <w:szCs w:val="24"/>
          <w:highlight w:val="none"/>
        </w:rPr>
      </w:pPr>
      <w:r/>
      <w:bookmarkStart w:id="141" w:name="_Toc20823302"/>
      <w:r/>
      <w:bookmarkStart w:id="142" w:name="_Toc513029230"/>
      <w:r/>
      <w:bookmarkStart w:id="143" w:name="_Toc16938546"/>
      <w:r>
        <w:rPr>
          <w:rFonts w:hint="eastAsia" w:ascii="宋体" w:hAnsi="宋体" w:eastAsia="宋体" w:cs="宋体"/>
          <w:color w:val="auto"/>
          <w:sz w:val="24"/>
          <w:szCs w:val="24"/>
          <w:highlight w:val="none"/>
        </w:rPr>
        <w:t xml:space="preserve">21、开标</w:t>
      </w:r>
      <w:bookmarkEnd w:id="141"/>
      <w:r/>
      <w:bookmarkEnd w:id="142"/>
      <w:r/>
      <w:bookmarkEnd w:id="143"/>
      <w:r/>
      <w:r/>
    </w:p>
    <w:p>
      <w:pPr>
        <w:pStyle w:val="742"/>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42"/>
        <w:ind w:firstLine="480"/>
        <w:jc w:val="both"/>
        <w:keepLines/>
        <w:keepNext/>
        <w:spacing w:beforeAutospacing="0" w:afterAutospacing="0"/>
        <w:rPr>
          <w:rFonts w:hint="eastAsia" w:ascii="宋体" w:hAnsi="宋体" w:eastAsia="宋体" w:cs="宋体"/>
          <w:color w:val="auto"/>
          <w:sz w:val="24"/>
          <w:szCs w:val="24"/>
          <w:highlight w:val="none"/>
        </w:rPr>
      </w:pPr>
      <w:r/>
      <w:bookmarkStart w:id="144" w:name="_Toc16938547"/>
      <w:r/>
      <w:bookmarkStart w:id="145" w:name="_Toc20823303"/>
      <w:r/>
      <w:bookmarkStart w:id="146" w:name="_Toc513029231"/>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742"/>
        <w:ind w:firstLine="480"/>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22.2评委会由有关技术、经济等方面的专家组成，且人员构成符合政府采购有关规定。</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4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47" w:name="_Toc20823304"/>
      <w:r/>
      <w:bookmarkStart w:id="148" w:name="_Toc513029232"/>
      <w:r/>
      <w:bookmarkStart w:id="149" w:name="_Toc16938548"/>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74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50" w:name="_Toc20823305"/>
      <w:r/>
      <w:bookmarkStart w:id="151" w:name="_Toc16938549"/>
      <w:r/>
      <w:bookmarkStart w:id="152" w:name="_Toc513029233"/>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评委会将首先审查每份投标文件是否实质性响应了招标文件的要求。实质性响应的投标应该是与招标文件要求的全部条款、条件和规格相符，没有重大偏离或保留的投标。</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42"/>
        <w:ind w:firstLine="420"/>
        <w:jc w:val="both"/>
        <w:spacing w:beforeAutospacing="0" w:afterAutospacing="0" w:line="0" w:lineRule="atLeast"/>
        <w:rPr>
          <w:rFonts w:hint="eastAsia" w:ascii="宋体" w:hAnsi="宋体" w:eastAsia="宋体" w:cs="宋体"/>
          <w:color w:val="auto"/>
          <w:sz w:val="24"/>
          <w:szCs w:val="24"/>
          <w:highlight w:val="none"/>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742"/>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bookmarkStart w:id="156" w:name="_Toc16938551"/>
      <w:r/>
      <w:bookmarkStart w:id="157" w:name="_Toc513029235"/>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 的，即投标报价&lt;采购项目预算×50%；</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 的，即投标报价&lt;采购项目最高限价×45%；</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4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42"/>
        <w:ind w:firstLine="482"/>
        <w:jc w:val="both"/>
        <w:keepLines/>
        <w:keepNext/>
        <w:spacing w:before="145" w:beforeAutospacing="0" w:after="145" w:afterAutospacing="0" w:line="360" w:lineRule="auto"/>
        <w:rPr>
          <w:rFonts w:hint="eastAsia" w:ascii="宋体" w:hAnsi="宋体" w:eastAsia="宋体" w:cs="宋体"/>
          <w:sz w:val="24"/>
          <w:szCs w:val="24"/>
          <w:highlight w:val="yellow"/>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60" w:name="_Toc20823310"/>
      <w:r/>
      <w:bookmarkStart w:id="161" w:name="_Toc513029238"/>
      <w:r/>
      <w:bookmarkStart w:id="162" w:name="_Toc16938554"/>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742"/>
        <w:ind w:firstLine="480"/>
        <w:jc w:val="both"/>
        <w:spacing w:beforeAutospacing="0" w:afterAutospacing="0" w:line="0" w:lineRule="atLeast"/>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74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42"/>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采购代理机构及采购人只接收以纸质原件形式送达的质疑,采购人和采购代理机构不接受未填写快递运单的快件。质疑接收部门为江苏二维项目管理有限公司，联系地址：滨海县富康路西侧华德名人苑H05栋111室 ，联系电话：0515-84121888。</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742"/>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74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74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7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4" w:name="_Toc120614220"/>
      <w:r/>
      <w:bookmarkStart w:id="165" w:name="_Toc16938552"/>
      <w:r/>
      <w:bookmarkStart w:id="166" w:name="_Toc20823308"/>
      <w:r/>
      <w:bookmarkStart w:id="167" w:name="_Toc513029236"/>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742"/>
        <w:ind w:firstLine="480"/>
        <w:jc w:val="both"/>
        <w:keepLines/>
        <w:keepNext/>
        <w:spacing w:beforeAutospacing="0" w:afterAutospacing="0"/>
        <w:rPr>
          <w:rFonts w:hint="eastAsia" w:ascii="宋体" w:hAnsi="宋体" w:eastAsia="宋体" w:cs="宋体"/>
          <w:sz w:val="24"/>
          <w:szCs w:val="24"/>
          <w:highlight w:val="none"/>
        </w:rPr>
      </w:pPr>
      <w:r/>
      <w:bookmarkStart w:id="168" w:name="_Toc20823309"/>
      <w:r/>
      <w:bookmarkStart w:id="169" w:name="_Toc16938553"/>
      <w:r/>
      <w:bookmarkStart w:id="170" w:name="_Toc513029237"/>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42"/>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74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2"/>
        <w:ind w:firstLine="48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742"/>
        <w:ind w:firstLine="48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2"/>
        <w:ind w:firstLine="480"/>
        <w:jc w:val="both"/>
        <w:spacing w:beforeAutospacing="0" w:afterAutospacing="0" w:line="0" w:lineRule="atLeast"/>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742"/>
        <w:ind w:firstLine="48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履约保证金金额不得超过合同金额的10%，采购人对第三方信用服务机构依据标准规范评定为AA 级及以上的政府采购供应商（需在签订采购合同前提供信用管理部门备案的第三方信用报告，且信用报告通过“信用盐城网”可查实），免收履约保证金或降低履约保证金缴纳比例。</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74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br w:type="page" w:clear="all"/>
      </w:r>
      <w:r/>
    </w:p>
    <w:p>
      <w:pPr>
        <w:jc w:val="center"/>
        <w:keepLines w:val="0"/>
        <w:keepNext w:val="0"/>
        <w:pageBreakBefore w:val="0"/>
        <w:spacing w:line="500" w:lineRule="exact"/>
        <w:widowControl w:val="off"/>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742"/>
        <w:ind w:firstLine="480"/>
        <w:jc w:val="both"/>
        <w:keepLines w:val="0"/>
        <w:keepNext w:val="0"/>
        <w:pageBreakBefore w:val="0"/>
        <w:spacing w:beforeAutospacing="0" w:afterAutospacing="0" w:line="500" w:lineRule="exact"/>
        <w:widowControl w:val="off"/>
        <w:rPr>
          <w:sz w:val="24"/>
          <w:szCs w:val="24"/>
          <w:highlight w:val="none"/>
        </w:rPr>
      </w:pPr>
      <w:r/>
      <w:bookmarkStart w:id="171" w:name="_Toc513029243"/>
      <w:r/>
      <w:bookmarkStart w:id="172" w:name="_Toc20823315"/>
      <w:r/>
      <w:bookmarkStart w:id="173" w:name="_Toc1693855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742"/>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742"/>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7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项目名称：滨海县市场监督管理局202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年度农贸（</w:t>
      </w:r>
      <w:r>
        <w:rPr>
          <w:rFonts w:hint="eastAsia" w:ascii="宋体" w:hAnsi="宋体" w:eastAsia="宋体" w:cs="宋体"/>
          <w:color w:val="auto"/>
          <w:sz w:val="24"/>
          <w:szCs w:val="24"/>
          <w:highlight w:val="none"/>
          <w:lang w:val="en-US" w:eastAsia="zh-CN"/>
        </w:rPr>
        <w:t xml:space="preserve">农</w:t>
      </w:r>
      <w:r>
        <w:rPr>
          <w:rFonts w:hint="eastAsia" w:ascii="宋体" w:hAnsi="宋体" w:eastAsia="宋体" w:cs="宋体"/>
          <w:color w:val="auto"/>
          <w:sz w:val="24"/>
          <w:szCs w:val="24"/>
          <w:highlight w:val="none"/>
        </w:rPr>
        <w:t xml:space="preserve">批）市场快检运维服务项目</w:t>
      </w:r>
      <w:r/>
    </w:p>
    <w:p>
      <w:pPr>
        <w:pStyle w:val="74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sz w:val="24"/>
          <w:szCs w:val="24"/>
          <w:highlight w:val="none"/>
        </w:rPr>
        <w:t xml:space="preserve">滨海县市场监督管理局</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742"/>
        <w:jc w:val="both"/>
        <w:keepLines w:val="0"/>
        <w:keepNext w:val="0"/>
        <w:pageBreakBefore w:val="0"/>
        <w:spacing w:before="120" w:beforeAutospacing="0" w:after="120" w:afterAutospacing="0" w:line="500" w:lineRule="exact"/>
        <w:widowControl w:val="off"/>
        <w:rPr>
          <w:color w:val="ff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甲、乙双方根据滨海县市场监督管理局202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年度农贸（</w:t>
      </w:r>
      <w:r>
        <w:rPr>
          <w:rFonts w:hint="eastAsia" w:ascii="宋体" w:hAnsi="宋体" w:eastAsia="宋体" w:cs="宋体"/>
          <w:color w:val="auto"/>
          <w:sz w:val="24"/>
          <w:szCs w:val="24"/>
          <w:highlight w:val="none"/>
          <w:lang w:val="en-US" w:eastAsia="zh-CN"/>
        </w:rPr>
        <w:t xml:space="preserve">农</w:t>
      </w:r>
      <w:r>
        <w:rPr>
          <w:rFonts w:hint="eastAsia" w:ascii="宋体" w:hAnsi="宋体" w:eastAsia="宋体" w:cs="宋体"/>
          <w:color w:val="auto"/>
          <w:sz w:val="24"/>
          <w:szCs w:val="24"/>
          <w:highlight w:val="none"/>
        </w:rPr>
        <w:t xml:space="preserve">批）市场快检运维服务项目公开招标的结果，签署本合同。</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标的质量：</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 标的数量（规模）：</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履行方式：</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7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2.1本合同金额为（大写）：____________________________________圆（_______________元）人民币或其他币种。</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7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7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2"/>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742"/>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742"/>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7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742"/>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7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42"/>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42"/>
        <w:jc w:val="both"/>
        <w:keepLines w:val="0"/>
        <w:keepNext w:val="0"/>
        <w:pageBreakBefore w:val="0"/>
        <w:spacing w:before="145" w:beforeAutospacing="0" w:after="145" w:afterAutospacing="0" w:line="500" w:lineRule="exact"/>
        <w:widowControl w:val="off"/>
        <w:rPr>
          <w:rFonts w:hint="default" w:eastAsia="宋体"/>
          <w:sz w:val="24"/>
          <w:szCs w:val="24"/>
          <w:highlight w:val="none"/>
          <w:lang w:val="en-US" w:eastAsia="zh-CN"/>
        </w:rPr>
      </w:pPr>
      <w:r>
        <w:rPr>
          <w:rFonts w:hint="eastAsia" w:ascii="宋体" w:hAnsi="宋体" w:eastAsia="宋体" w:cs="宋体"/>
          <w:b/>
          <w:color w:val="000000"/>
          <w:sz w:val="24"/>
          <w:szCs w:val="24"/>
          <w:highlight w:val="none"/>
        </w:rPr>
        <w:t xml:space="preserve">七、合同转包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分包</w:t>
      </w:r>
      <w:r>
        <w:rPr>
          <w:rFonts w:hint="eastAsia" w:ascii="宋体" w:hAnsi="宋体" w:eastAsia="宋体" w:cs="宋体"/>
          <w:b/>
          <w:color w:val="000000"/>
          <w:sz w:val="24"/>
          <w:szCs w:val="24"/>
          <w:highlight w:val="none"/>
          <w:lang w:val="en-US" w:eastAsia="zh-CN"/>
        </w:rPr>
        <w:t xml:space="preserve">或追加</w:t>
      </w:r>
      <w:r/>
    </w:p>
    <w:p>
      <w:pPr>
        <w:pStyle w:val="7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7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742"/>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7.3乙方如有转包或未经甲方同意的分包行为，甲方有权解除合同。服务（包含与服务相关的货物）的追加</w:t>
      </w:r>
      <w:r>
        <w:rPr>
          <w:rFonts w:hint="eastAsia" w:ascii="宋体" w:hAnsi="宋体" w:eastAsia="宋体" w:cs="宋体"/>
          <w:color w:val="000000"/>
          <w:sz w:val="24"/>
          <w:szCs w:val="24"/>
          <w:highlight w:val="none"/>
          <w:lang w:eastAsia="zh-CN"/>
        </w:rPr>
        <w:t xml:space="preserve">。</w:t>
      </w:r>
      <w:r/>
    </w:p>
    <w:p>
      <w:pPr>
        <w:pStyle w:val="742"/>
        <w:jc w:val="both"/>
        <w:keepLines w:val="0"/>
        <w:keepNext w:val="0"/>
        <w:pageBreakBefore w:val="0"/>
        <w:spacing w:before="145" w:beforeAutospacing="0" w:after="145" w:afterAutospacing="0" w:line="500" w:lineRule="exact"/>
        <w:widowControl w:val="off"/>
        <w:rPr>
          <w:b/>
          <w:bCs/>
          <w:sz w:val="24"/>
          <w:szCs w:val="24"/>
          <w:highlight w:val="none"/>
          <w:u w:val="single"/>
        </w:rPr>
      </w:pPr>
      <w:r>
        <w:rPr>
          <w:rFonts w:hint="eastAsia" w:ascii="宋体" w:hAnsi="宋体" w:eastAsia="宋体" w:cs="宋体"/>
          <w:b/>
          <w:bCs/>
          <w:color w:val="000000"/>
          <w:sz w:val="24"/>
          <w:szCs w:val="24"/>
          <w:highlight w:val="none"/>
          <w:u w:val="single"/>
          <w:lang w:val="en-US" w:eastAsia="zh-CN"/>
        </w:rPr>
        <w:t xml:space="preserve">7.4</w:t>
      </w:r>
      <w:r>
        <w:rPr>
          <w:rFonts w:hint="eastAsia" w:ascii="宋体" w:hAnsi="宋体" w:eastAsia="宋体" w:cs="宋体"/>
          <w:b/>
          <w:bCs/>
          <w:color w:val="000000"/>
          <w:sz w:val="24"/>
          <w:szCs w:val="24"/>
          <w:highlight w:val="none"/>
          <w:u w:val="singl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2"/>
        <w:numPr>
          <w:ilvl w:val="0"/>
          <w:numId w:val="1"/>
        </w:numPr>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合同款项支付</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903"/>
        <w:numPr>
          <w:ilvl w:val="0"/>
          <w:numId w:val="0"/>
        </w:numPr>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u w:val="none"/>
        </w:rPr>
        <w:t xml:space="preserve">8.1.1 预付款支付时间：</w:t>
      </w:r>
      <w:r>
        <w:rPr>
          <w:rFonts w:hint="eastAsia" w:ascii="宋体" w:hAnsi="宋体" w:eastAsia="宋体" w:cs="宋体"/>
          <w:color w:val="auto"/>
          <w:sz w:val="24"/>
          <w:szCs w:val="24"/>
          <w:highlight w:val="none"/>
          <w:u w:val="none"/>
        </w:rPr>
        <w:t xml:space="preserve">合</w:t>
      </w:r>
      <w:r>
        <w:rPr>
          <w:rFonts w:hint="eastAsia" w:ascii="宋体" w:hAnsi="宋体" w:eastAsia="宋体" w:cs="宋体"/>
          <w:color w:val="auto"/>
          <w:sz w:val="24"/>
          <w:szCs w:val="24"/>
          <w:highlight w:val="none"/>
        </w:rPr>
        <w:t xml:space="preserve">同签订后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招标人在</w:t>
      </w:r>
      <w:r>
        <w:rPr>
          <w:rFonts w:hint="eastAsia"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单位提供正式发票20个工作日内</w:t>
      </w:r>
      <w:r>
        <w:rPr>
          <w:rFonts w:hint="default" w:ascii="宋体" w:hAnsi="宋体" w:eastAsia="宋体" w:cs="宋体"/>
          <w:color w:val="auto"/>
          <w:sz w:val="24"/>
          <w:szCs w:val="24"/>
          <w:highlight w:val="none"/>
          <w:lang w:val="en-US" w:eastAsia="zh-CN"/>
        </w:rPr>
        <w:t xml:space="preserve">向政府采购支付部门提出办理财政支付申请手续，</w:t>
      </w:r>
      <w:r>
        <w:rPr>
          <w:rFonts w:hint="eastAsia" w:ascii="宋体" w:hAnsi="宋体" w:eastAsia="宋体" w:cs="宋体"/>
          <w:color w:val="auto"/>
          <w:sz w:val="24"/>
          <w:szCs w:val="24"/>
          <w:highlight w:val="none"/>
          <w:lang w:val="en-US" w:eastAsia="zh-CN"/>
        </w:rPr>
        <w:t xml:space="preserve">收到拨付资金后及时支付</w:t>
      </w:r>
      <w:r>
        <w:rPr>
          <w:rFonts w:hint="eastAsia" w:eastAsia="宋体" w:cs="宋体"/>
          <w:color w:val="auto"/>
          <w:sz w:val="24"/>
          <w:szCs w:val="24"/>
          <w:highlight w:val="none"/>
          <w:lang w:val="en-US" w:eastAsia="zh-CN"/>
        </w:rPr>
        <w:t xml:space="preserve">给中标</w:t>
      </w:r>
      <w:r>
        <w:rPr>
          <w:rFonts w:hint="eastAsia" w:ascii="宋体" w:hAnsi="宋体" w:eastAsia="宋体" w:cs="宋体"/>
          <w:color w:val="auto"/>
          <w:sz w:val="24"/>
          <w:szCs w:val="24"/>
          <w:highlight w:val="none"/>
          <w:lang w:val="en-US" w:eastAsia="zh-CN"/>
        </w:rPr>
        <w:t xml:space="preserve">单位</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因故无法按时支付费用的，招标人应及时告知</w:t>
      </w:r>
      <w:r>
        <w:rPr>
          <w:rFonts w:hint="eastAsia"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单位原因。</w:t>
      </w:r>
      <w:r/>
    </w:p>
    <w:p>
      <w:pPr>
        <w:pStyle w:val="742"/>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8.1.2 结算方式：</w:t>
      </w:r>
      <w:r/>
    </w:p>
    <w:p>
      <w:pPr>
        <w:spacing w:line="48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快检运维服务结算方式：合同签订后，招标人向中标单位支付合同金额的30%作为预付款。运维服务期限满后，按照具体参数结合月度考核、年度考评后一次性结算，参数单价以23.6元/个为标准进行结算。（招标人在中标单位提供正式发票20个工作日内</w:t>
      </w:r>
      <w:r>
        <w:rPr>
          <w:rFonts w:hint="default" w:ascii="宋体" w:hAnsi="宋体" w:eastAsia="宋体" w:cs="宋体"/>
          <w:color w:val="000000"/>
          <w:sz w:val="24"/>
          <w:szCs w:val="24"/>
          <w:highlight w:val="none"/>
          <w:lang w:val="en-US" w:eastAsia="zh-CN" w:bidi="ar-SA"/>
        </w:rPr>
        <w:t xml:space="preserve">向政府采购支付部门提出办理财政支付申请手续，</w:t>
      </w:r>
      <w:r>
        <w:rPr>
          <w:rFonts w:hint="eastAsia" w:ascii="宋体" w:hAnsi="宋体" w:eastAsia="宋体" w:cs="宋体"/>
          <w:color w:val="000000"/>
          <w:sz w:val="24"/>
          <w:szCs w:val="24"/>
          <w:highlight w:val="none"/>
          <w:lang w:val="en-US" w:eastAsia="zh-CN" w:bidi="ar-SA"/>
        </w:rPr>
        <w:t xml:space="preserve">收到拨付资金后及时支付给中标单位</w:t>
      </w:r>
      <w:r>
        <w:rPr>
          <w:rFonts w:hint="default"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因故无法按时支付费用的，招标人应及时告知中标单位原因）</w:t>
      </w:r>
      <w:r/>
    </w:p>
    <w:p>
      <w:pPr>
        <w:spacing w:line="480" w:lineRule="exact"/>
        <w:rPr>
          <w:rFonts w:hint="eastAsia" w:ascii="宋体" w:hAnsi="宋体" w:eastAsia="宋体" w:cs="Times New Roman"/>
          <w:sz w:val="24"/>
          <w:szCs w:val="24"/>
          <w:highlight w:val="none"/>
          <w:u w:val="none"/>
        </w:rPr>
      </w:pPr>
      <w:r>
        <w:rPr>
          <w:rFonts w:hint="eastAsia" w:ascii="宋体" w:hAnsi="宋体" w:eastAsia="宋体" w:cs="Times New Roman"/>
          <w:sz w:val="24"/>
          <w:szCs w:val="24"/>
          <w:highlight w:val="none"/>
          <w:u w:val="none"/>
        </w:rPr>
        <w:t xml:space="preserve">注：（结算时，乙方须提供税务发票）</w:t>
      </w:r>
      <w:r/>
    </w:p>
    <w:p>
      <w:pPr>
        <w:pStyle w:val="7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7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742"/>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b/>
          <w:color w:val="000000"/>
          <w:sz w:val="24"/>
          <w:szCs w:val="24"/>
          <w:highlight w:val="none"/>
        </w:rPr>
        <w:t xml:space="preserve">十、项目</w:t>
      </w:r>
      <w:r>
        <w:rPr>
          <w:rFonts w:hint="eastAsia" w:ascii="宋体" w:hAnsi="宋体" w:eastAsia="宋体" w:cs="宋体"/>
          <w:b/>
          <w:color w:val="000000"/>
          <w:sz w:val="24"/>
          <w:szCs w:val="24"/>
          <w:highlight w:val="none"/>
          <w:lang w:val="en-US" w:eastAsia="zh-CN"/>
        </w:rPr>
        <w:t xml:space="preserve">考核</w:t>
      </w:r>
      <w:r/>
    </w:p>
    <w:p>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1、考核原则：考核原则上分为月度考核及年度考评。</w:t>
      </w:r>
      <w:r/>
    </w:p>
    <w:p>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2、考核重点：月度考核重点在快检室人员出勤等规范化运行情况、快检批次完成、项目覆盖等情况；年度考评侧重快检能力验证、上级局考核等情况。</w:t>
      </w:r>
      <w:r/>
    </w:p>
    <w:p>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3、考核频次：月度考核每月全覆盖。</w:t>
      </w:r>
      <w:r/>
    </w:p>
    <w:p>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4、考核内容：《滨海县农贸（农批）市场食品安全快检服务月度考核表》《滨海县农贸（农批）市场食品安全快检服务年度考评表》。（根据需求考核内容会作动态调整）</w:t>
      </w:r>
      <w:r/>
    </w:p>
    <w:p>
      <w:pPr>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5、结果应用</w:t>
      </w:r>
      <w:r/>
    </w:p>
    <w:p>
      <w:pPr>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（1）月度考核：每个农贸市场考核总分为100分。考核得分大于等于90分为合格；考核得分小于90分大于等于85分，扣500元；考核得分小于85分大于等于80分，扣1000元；考核得分小于80分，扣1500元。考核可累计扣除。</w:t>
      </w:r>
      <w:r/>
    </w:p>
    <w:p>
      <w:pPr>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（2）年度考评：在上级局组织的年度快检能力验证考核中不合格的扣合同总价5%，在县局组织的年度快检能力验证考核中不合格的扣合同总价3%，可以累计扣除，等等。</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7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w:t>
      </w:r>
      <w:r>
        <w:rPr>
          <w:rFonts w:hint="eastAsia" w:ascii="宋体" w:hAnsi="宋体" w:eastAsia="宋体" w:cs="宋体"/>
          <w:color w:val="000000" w:themeColor="text1"/>
          <w:sz w:val="24"/>
          <w:szCs w:val="24"/>
          <w:highlight w:val="none"/>
          <w14:textFill>
            <w14:solidFill>
              <w14:schemeClr w14:val="tx1"/>
            </w14:solidFill>
          </w14:textFill>
        </w:rPr>
        <w:t xml:space="preserve">总值</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rPr>
          <w:rFonts w:hint="eastAsia" w:ascii="宋体" w:hAnsi="宋体" w:eastAsia="宋体" w:cs="宋体"/>
          <w:color w:val="000000"/>
          <w:sz w:val="24"/>
          <w:szCs w:val="24"/>
          <w:highlight w:val="none"/>
        </w:rPr>
        <w:t xml:space="preserve">。</w:t>
      </w:r>
      <w:r/>
    </w:p>
    <w:p>
      <w:pPr>
        <w:pStyle w:val="7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w:t>
      </w:r>
      <w:r>
        <w:rPr>
          <w:rFonts w:hint="eastAsia" w:ascii="宋体" w:hAnsi="宋体" w:eastAsia="宋体" w:cs="宋体"/>
          <w:color w:val="000000" w:themeColor="text1"/>
          <w:sz w:val="24"/>
          <w:szCs w:val="24"/>
          <w:highlight w:val="none"/>
          <w14:textFill>
            <w14:solidFill>
              <w14:schemeClr w14:val="tx1"/>
            </w14:solidFill>
          </w14:textFill>
        </w:rPr>
        <w:t xml:space="preserve">总额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default" w:ascii="Arial" w:hAnsi="Arial" w:eastAsia="宋体" w:cs="Arial"/>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每日</w:t>
      </w:r>
      <w:r>
        <w:rPr>
          <w:rFonts w:hint="eastAsia" w:ascii="宋体" w:hAnsi="宋体" w:eastAsia="宋体" w:cs="宋体"/>
          <w:color w:val="000000"/>
          <w:sz w:val="24"/>
          <w:szCs w:val="24"/>
          <w:highlight w:val="none"/>
        </w:rPr>
        <w:t xml:space="preserve">向乙方支付违约金。</w:t>
      </w:r>
      <w:r/>
    </w:p>
    <w:p>
      <w:pPr>
        <w:pStyle w:val="7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w:t>
      </w:r>
      <w:r>
        <w:rPr>
          <w:rFonts w:hint="eastAsia" w:ascii="宋体" w:hAnsi="宋体" w:eastAsia="宋体" w:cs="宋体"/>
          <w:color w:val="000000" w:themeColor="text1"/>
          <w:sz w:val="24"/>
          <w:szCs w:val="24"/>
          <w:highlight w:val="none"/>
          <w14:textFill>
            <w14:solidFill>
              <w14:schemeClr w14:val="tx1"/>
            </w14:solidFill>
          </w14:textFill>
        </w:rPr>
        <w:t xml:space="preserve">总额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rPr>
          <w:rFonts w:hint="eastAsia" w:ascii="宋体" w:hAnsi="宋体" w:eastAsia="宋体" w:cs="宋体"/>
          <w:color w:val="000000"/>
          <w:sz w:val="24"/>
          <w:szCs w:val="24"/>
          <w:highlight w:val="none"/>
        </w:rPr>
        <w:t xml:space="preserve">如造成甲方损失超过违约金的，超出部分由乙方继续承担赔偿责任。 </w:t>
      </w:r>
      <w:r/>
    </w:p>
    <w:p>
      <w:pPr>
        <w:jc w:val="both"/>
        <w:keepLines/>
        <w:keepNext/>
        <w:spacing w:beforeAutospacing="0" w:afterAutospacing="0"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jc w:val="both"/>
        <w:keepLines/>
        <w:keepNext/>
        <w:spacing w:beforeAutospacing="0" w:afterAutospacing="0" w:line="360" w:lineRule="auto"/>
        <w:widowControl w:val="off"/>
        <w:rPr>
          <w:sz w:val="24"/>
          <w:szCs w:val="24"/>
          <w:highlight w:val="none"/>
        </w:rPr>
        <w:outlineLvl w:val="1"/>
      </w:pPr>
      <w:r>
        <w:rPr>
          <w:rFonts w:hint="eastAsia" w:ascii="宋体" w:hAnsi="宋体" w:eastAsia="宋体" w:cs="宋体"/>
          <w:b/>
          <w:color w:val="000000"/>
          <w:sz w:val="24"/>
          <w:szCs w:val="24"/>
          <w:highlight w:val="none"/>
        </w:rPr>
        <w:t xml:space="preserve">十二、不可抗力事件处理</w:t>
      </w:r>
      <w:r/>
    </w:p>
    <w:p>
      <w:pPr>
        <w:pStyle w:val="7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w:t>
      </w:r>
      <w:r>
        <w:rPr>
          <w:rFonts w:hint="eastAsia" w:ascii="宋体" w:hAnsi="宋体" w:eastAsia="宋体" w:cs="宋体"/>
          <w:color w:val="000000"/>
          <w:sz w:val="24"/>
          <w:szCs w:val="24"/>
          <w:highlight w:val="none"/>
          <w:lang w:val="en-US" w:eastAsia="zh-CN"/>
        </w:rPr>
        <w:t xml:space="preserve">滨海县</w:t>
      </w:r>
      <w:r>
        <w:rPr>
          <w:rFonts w:hint="eastAsia" w:ascii="宋体" w:hAnsi="宋体" w:eastAsia="宋体" w:cs="宋体"/>
          <w:color w:val="000000"/>
          <w:sz w:val="24"/>
          <w:szCs w:val="24"/>
          <w:highlight w:val="none"/>
        </w:rPr>
        <w:t xml:space="preserve">人民法院管辖。</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民法典》、《政府采购法》有关条文执行。</w:t>
      </w:r>
      <w:r/>
    </w:p>
    <w:p>
      <w:pPr>
        <w:pStyle w:val="7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eastAsia="zh-CN"/>
        </w:rPr>
        <w:t xml:space="preserve">陆</w:t>
      </w:r>
      <w:r>
        <w:rPr>
          <w:rFonts w:hint="eastAsia" w:ascii="宋体" w:hAnsi="宋体" w:eastAsia="宋体" w:cs="宋体"/>
          <w:color w:val="000000"/>
          <w:sz w:val="24"/>
          <w:szCs w:val="24"/>
          <w:highlight w:val="none"/>
        </w:rPr>
        <w:t xml:space="preserve">份，具有同等法律效力，甲方、乙方各执</w:t>
      </w:r>
      <w:r>
        <w:rPr>
          <w:rFonts w:hint="eastAsia" w:ascii="宋体" w:hAnsi="宋体" w:eastAsia="宋体" w:cs="宋体"/>
          <w:color w:val="000000"/>
          <w:sz w:val="24"/>
          <w:szCs w:val="24"/>
          <w:highlight w:val="none"/>
          <w:lang w:eastAsia="zh-CN"/>
        </w:rPr>
        <w:t xml:space="preserve">贰份，代理公司贰</w:t>
      </w:r>
      <w:r>
        <w:rPr>
          <w:rFonts w:hint="eastAsia" w:ascii="宋体" w:hAnsi="宋体" w:eastAsia="宋体" w:cs="宋体"/>
          <w:color w:val="000000"/>
          <w:sz w:val="24"/>
          <w:szCs w:val="24"/>
          <w:highlight w:val="none"/>
        </w:rPr>
        <w:t xml:space="preserve">份。</w:t>
      </w:r>
      <w:r/>
    </w:p>
    <w:p>
      <w:pPr>
        <w:pStyle w:val="74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7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7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742"/>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744"/>
        <w:rPr>
          <w:rFonts w:hint="default"/>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24"/>
          <w:szCs w:val="24"/>
          <w:highlight w:val="none"/>
        </w:rPr>
        <w:t xml:space="preserve">                                          签订日期：      年    月   日</w:t>
      </w:r>
      <w:r>
        <w:rPr>
          <w:rFonts w:hint="eastAsia" w:ascii="黑体" w:hAnsi="宋体" w:eastAsia="黑体" w:cs="黑体"/>
          <w:color w:val="000000"/>
          <w:sz w:val="24"/>
          <w:szCs w:val="24"/>
          <w:highlight w:val="none"/>
        </w:rPr>
        <w:br w:type="page" w:clear="all"/>
      </w:r>
      <w:r/>
    </w:p>
    <w:p>
      <w:pPr>
        <w:pStyle w:val="742"/>
        <w:jc w:val="both"/>
        <w:spacing w:before="120" w:beforeAutospacing="0" w:after="120" w:afterAutospacing="0" w:line="500" w:lineRule="exact"/>
      </w:pPr>
      <w:r/>
      <w:bookmarkStart w:id="174" w:name="_Toc479757211"/>
      <w:r/>
      <w:bookmarkStart w:id="175" w:name="_Toc462564139"/>
      <w:r/>
      <w:bookmarkStart w:id="176" w:name="_Hlt16619350"/>
      <w:r/>
      <w:bookmarkStart w:id="177" w:name="_Toc20823346"/>
      <w:r/>
      <w:bookmarkStart w:id="178" w:name="_Toc16938590"/>
      <w:r/>
      <w:bookmarkStart w:id="179" w:name="_Toc120614244"/>
      <w:r/>
      <w:bookmarkStart w:id="180" w:name="_Hlt16619369"/>
      <w:r>
        <w:rPr>
          <w:rFonts w:hint="eastAsia" w:ascii="黑体" w:hAnsi="宋体" w:eastAsia="黑体" w:cs="黑体"/>
          <w:color w:val="000000"/>
          <w:sz w:val="44"/>
          <w:szCs w:val="44"/>
          <w:highlight w:val="none"/>
        </w:rPr>
        <w:t xml:space="preserve"> </w:t>
      </w:r>
      <w:bookmarkEnd w:id="174"/>
      <w:r/>
      <w:bookmarkEnd w:id="175"/>
      <w:r/>
      <w:bookmarkEnd w:id="176"/>
      <w:r/>
      <w:bookmarkEnd w:id="177"/>
      <w:r/>
      <w:bookmarkEnd w:id="178"/>
      <w:r/>
      <w:bookmarkEnd w:id="179"/>
      <w:r/>
      <w:bookmarkStart w:id="181" w:name="_Toc120614281"/>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rPr>
        <w:t xml:space="preserve">第四章 采购需求</w:t>
      </w:r>
      <w:r/>
    </w:p>
    <w:p>
      <w:pPr>
        <w:rPr>
          <w:rFonts w:hint="eastAsia" w:ascii="宋体" w:hAnsi="宋体" w:cs="宋体"/>
          <w:sz w:val="24"/>
        </w:rPr>
      </w:pPr>
      <w:r>
        <w:rPr>
          <w:rFonts w:hint="eastAsia" w:ascii="宋体" w:hAnsi="宋体" w:cs="宋体"/>
          <w:sz w:val="24"/>
        </w:rPr>
      </w:r>
      <w:r/>
    </w:p>
    <w:p>
      <w:pPr>
        <w:keepLines/>
        <w:keepNext/>
        <w:spacing w:line="360" w:lineRule="auto"/>
        <w:rPr>
          <w:rFonts w:hint="eastAsia"/>
          <w:b/>
          <w:sz w:val="28"/>
        </w:rPr>
        <w:outlineLvl w:val="1"/>
      </w:pPr>
      <w:r>
        <w:rPr>
          <w:rFonts w:hint="eastAsia" w:ascii="宋体" w:hAnsi="宋体" w:cs="宋体"/>
          <w:b/>
          <w:sz w:val="28"/>
        </w:rPr>
        <w:t xml:space="preserve">（一）食品快检运维服务</w:t>
      </w:r>
      <w:r/>
    </w:p>
    <w:p>
      <w:pPr>
        <w:keepLines/>
        <w:keepNext/>
        <w:spacing w:line="360" w:lineRule="auto"/>
        <w:rPr>
          <w:rFonts w:hint="eastAsia"/>
          <w:b/>
          <w:sz w:val="28"/>
        </w:rPr>
        <w:outlineLvl w:val="2"/>
      </w:pPr>
      <w:r>
        <w:rPr>
          <w:rFonts w:hint="eastAsia"/>
          <w:b/>
          <w:sz w:val="28"/>
        </w:rPr>
        <w:t xml:space="preserve">1、</w:t>
      </w:r>
      <w:r>
        <w:rPr>
          <w:rFonts w:hint="eastAsia"/>
          <w:b/>
          <w:color w:val="auto"/>
          <w:sz w:val="28"/>
        </w:rPr>
        <w:t xml:space="preserve">农贸（农批）市场快</w:t>
      </w:r>
      <w:r>
        <w:rPr>
          <w:rFonts w:hint="eastAsia"/>
          <w:b/>
          <w:sz w:val="28"/>
        </w:rPr>
        <w:t xml:space="preserve">检服务总体要求</w:t>
      </w:r>
      <w:r/>
    </w:p>
    <w:p>
      <w:pPr>
        <w:ind w:firstLine="480"/>
        <w:jc w:val="left"/>
        <w:spacing w:line="360" w:lineRule="auto"/>
        <w:widowControl/>
        <w:rPr>
          <w:rFonts w:hint="eastAsia" w:ascii="宋体" w:hAnsi="宋体" w:cs="宋体"/>
          <w:color w:val="000000"/>
          <w:sz w:val="24"/>
          <w:lang w:bidi="ar"/>
        </w:rPr>
      </w:pPr>
      <w:r>
        <w:rPr>
          <w:rFonts w:hint="eastAsia" w:ascii="宋体" w:hAnsi="宋体" w:cs="宋体"/>
          <w:sz w:val="24"/>
        </w:rPr>
        <w:t xml:space="preserve">围绕保障食品安全这一中心任务，全面促进全县食品安全监管工作和提高全县食品安全水平，发挥好食品安全快检作为食品安全监管工作宣传阵地的作用，根据《食品安全法》、《食用农产品市场销售质量安全监督管理办法》、《市场监管总局关于规范食品快速检测使用的意见》等相关法律法规的要求，采购人拟组织对全县各类食品开展快速检测，目的是排查食品安全隐患，防控食品安全风险，提升农贸（批）市场食品安全管理水平，保障全县人民群众饮食安全</w:t>
      </w:r>
      <w:r>
        <w:rPr>
          <w:rFonts w:hint="eastAsia" w:ascii="仿宋" w:hAnsi="仿宋" w:eastAsia="仿宋" w:cs="仿宋"/>
          <w:sz w:val="28"/>
          <w:szCs w:val="28"/>
        </w:rPr>
        <w:t xml:space="preserve">。</w:t>
      </w:r>
      <w:r/>
    </w:p>
    <w:p>
      <w:pPr>
        <w:ind w:firstLine="480"/>
        <w:jc w:val="left"/>
        <w:spacing w:line="360" w:lineRule="auto"/>
        <w:widowControl/>
        <w:rPr>
          <w:rFonts w:hint="eastAsia" w:ascii="宋体" w:hAnsi="宋体" w:cs="宋体"/>
          <w:sz w:val="24"/>
          <w:u w:val="single"/>
          <w:lang w:val="zh-CN"/>
        </w:rPr>
      </w:pPr>
      <w:r>
        <w:rPr>
          <w:rFonts w:hint="eastAsia" w:ascii="宋体" w:hAnsi="宋体" w:cs="宋体"/>
          <w:color w:val="auto"/>
          <w:sz w:val="24"/>
          <w:lang w:bidi="ar"/>
        </w:rPr>
        <w:t xml:space="preserve">投标人需根据滨海县市场监督局食品快速检测工作计划安排，承担滨海县市场监督管理局2026-2027年食品安全快</w:t>
      </w:r>
      <w:r>
        <w:rPr>
          <w:rFonts w:hint="eastAsia" w:ascii="宋体" w:hAnsi="宋体" w:cs="宋体"/>
          <w:color w:val="000000"/>
          <w:sz w:val="24"/>
          <w:lang w:bidi="ar"/>
        </w:rPr>
        <w:t xml:space="preserve">检服务工作。</w:t>
      </w:r>
      <w:r>
        <w:rPr>
          <w:rFonts w:hint="eastAsia" w:ascii="宋体" w:hAnsi="宋体" w:cs="宋体"/>
          <w:sz w:val="24"/>
        </w:rPr>
        <w:t xml:space="preserve">为滨海县区域内的农贸（农批）市场，通过派驻专职检测人员的方式，提供市场内食用农产品抽样、快速检测、结果公示</w:t>
      </w:r>
      <w:r>
        <w:rPr>
          <w:rFonts w:hint="eastAsia" w:ascii="宋体" w:hAnsi="宋体" w:eastAsia="宋体" w:cs="宋体"/>
          <w:sz w:val="24"/>
          <w:lang w:val="en-US" w:eastAsia="zh-CN"/>
        </w:rPr>
        <w:t xml:space="preserve">等</w:t>
      </w:r>
      <w:r>
        <w:rPr>
          <w:rFonts w:hint="eastAsia" w:ascii="宋体" w:hAnsi="宋体" w:cs="宋体"/>
          <w:sz w:val="24"/>
        </w:rPr>
        <w:t xml:space="preserve">服务。</w:t>
      </w:r>
      <w:r>
        <w:rPr>
          <w:rFonts w:hint="eastAsia" w:ascii="宋体" w:hAnsi="宋体" w:cs="宋体"/>
          <w:sz w:val="24"/>
          <w:lang w:val="zh-CN"/>
        </w:rPr>
        <w:t xml:space="preserve">服务期</w:t>
      </w:r>
      <w:r>
        <w:rPr>
          <w:rFonts w:hint="eastAsia" w:ascii="宋体" w:hAnsi="宋体" w:cs="宋体"/>
          <w:sz w:val="24"/>
        </w:rPr>
        <w:t xml:space="preserve">内</w:t>
      </w:r>
      <w:r>
        <w:rPr>
          <w:rFonts w:hint="eastAsia" w:ascii="宋体" w:hAnsi="宋体" w:cs="宋体"/>
          <w:sz w:val="24"/>
          <w:lang w:val="zh-CN"/>
        </w:rPr>
        <w:t xml:space="preserve">重点问题食用农产品检测</w:t>
      </w:r>
      <w:r>
        <w:rPr>
          <w:rFonts w:hint="eastAsia" w:ascii="宋体" w:hAnsi="宋体" w:cs="宋体"/>
          <w:sz w:val="24"/>
        </w:rPr>
        <w:t xml:space="preserve">样本数量</w:t>
      </w:r>
      <w:r>
        <w:rPr>
          <w:rFonts w:hint="eastAsia" w:ascii="宋体" w:hAnsi="宋体" w:cs="宋体"/>
          <w:color w:val="auto"/>
          <w:sz w:val="24"/>
          <w:highlight w:val="none"/>
        </w:rPr>
        <w:t xml:space="preserve">不少于63</w:t>
      </w:r>
      <w:r>
        <w:rPr>
          <w:rFonts w:hint="eastAsia" w:ascii="宋体" w:hAnsi="宋体" w:eastAsia="宋体" w:cs="宋体"/>
          <w:color w:val="auto"/>
          <w:sz w:val="24"/>
          <w:highlight w:val="none"/>
          <w:lang w:val="en-US" w:eastAsia="zh-CN"/>
        </w:rPr>
        <w:t xml:space="preserve">600</w:t>
      </w:r>
      <w:r>
        <w:rPr>
          <w:rFonts w:hint="eastAsia" w:ascii="宋体" w:hAnsi="宋体" w:cs="宋体"/>
          <w:color w:val="auto"/>
          <w:sz w:val="24"/>
          <w:highlight w:val="none"/>
        </w:rPr>
        <w:t xml:space="preserve">个（其中</w:t>
      </w:r>
      <w:r>
        <w:rPr>
          <w:rFonts w:ascii="宋体" w:hAnsi="宋体" w:cs="宋体"/>
          <w:color w:val="auto"/>
          <w:sz w:val="24"/>
          <w:highlight w:val="none"/>
        </w:rPr>
        <w:t xml:space="preserve">“七条鱼</w:t>
      </w:r>
      <w:r>
        <w:rPr>
          <w:rFonts w:hint="eastAsia" w:ascii="宋体" w:hAnsi="宋体" w:cs="宋体"/>
          <w:color w:val="auto"/>
          <w:sz w:val="24"/>
          <w:highlight w:val="none"/>
        </w:rPr>
        <w:t xml:space="preserve">与海参</w:t>
      </w:r>
      <w:r>
        <w:rPr>
          <w:rFonts w:ascii="宋体" w:hAnsi="宋体" w:cs="宋体"/>
          <w:color w:val="auto"/>
          <w:sz w:val="24"/>
          <w:highlight w:val="none"/>
        </w:rPr>
        <w:t xml:space="preserve">”</w:t>
      </w:r>
      <w:r>
        <w:rPr>
          <w:rFonts w:hint="eastAsia" w:ascii="宋体" w:hAnsi="宋体" w:cs="宋体"/>
          <w:color w:val="auto"/>
          <w:sz w:val="24"/>
          <w:highlight w:val="none"/>
        </w:rPr>
        <w:t xml:space="preserve">样本不少于31</w:t>
      </w:r>
      <w:r>
        <w:rPr>
          <w:rFonts w:hint="eastAsia" w:ascii="宋体" w:hAnsi="宋体" w:eastAsia="宋体" w:cs="宋体"/>
          <w:color w:val="auto"/>
          <w:sz w:val="24"/>
          <w:highlight w:val="none"/>
          <w:lang w:val="en-US" w:eastAsia="zh-CN"/>
        </w:rPr>
        <w:t xml:space="preserve">600</w:t>
      </w:r>
      <w:r>
        <w:rPr>
          <w:rFonts w:hint="eastAsia" w:ascii="宋体" w:hAnsi="宋体" w:cs="宋体"/>
          <w:color w:val="auto"/>
          <w:sz w:val="24"/>
          <w:highlight w:val="none"/>
        </w:rPr>
        <w:t xml:space="preserve">个），总检测参数不少于12</w:t>
      </w:r>
      <w:r>
        <w:rPr>
          <w:rFonts w:hint="eastAsia" w:ascii="宋体" w:hAnsi="宋体" w:eastAsia="宋体" w:cs="宋体"/>
          <w:color w:val="auto"/>
          <w:sz w:val="24"/>
          <w:highlight w:val="none"/>
          <w:lang w:val="en-US" w:eastAsia="zh-CN"/>
        </w:rPr>
        <w:t xml:space="preserve">7000个</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同时按照</w:t>
      </w:r>
      <w:r>
        <w:rPr>
          <w:rFonts w:hint="eastAsia" w:ascii="宋体" w:hAnsi="宋体" w:cs="宋体"/>
          <w:sz w:val="24"/>
          <w:lang w:val="zh-CN"/>
        </w:rPr>
        <w:t xml:space="preserve">要求上传、报送快检数据，协助</w:t>
      </w:r>
      <w:r>
        <w:rPr>
          <w:rFonts w:hint="eastAsia" w:ascii="宋体" w:hAnsi="宋体" w:cs="宋体"/>
          <w:sz w:val="24"/>
        </w:rPr>
        <w:t xml:space="preserve">滨海县</w:t>
      </w:r>
      <w:r>
        <w:rPr>
          <w:rFonts w:hint="eastAsia" w:ascii="宋体" w:hAnsi="宋体" w:cs="宋体"/>
          <w:sz w:val="24"/>
          <w:lang w:val="zh-CN"/>
        </w:rPr>
        <w:t xml:space="preserve">市场监督管理局做好相关快检结果后续处理工作，实现从样品抽取到完成后续处理的全周期服务。</w:t>
      </w:r>
      <w:r/>
    </w:p>
    <w:p>
      <w:pPr>
        <w:keepLines/>
        <w:keepNext/>
        <w:spacing w:line="360" w:lineRule="auto"/>
        <w:rPr>
          <w:rFonts w:hint="eastAsia"/>
          <w:b/>
          <w:sz w:val="28"/>
        </w:rPr>
        <w:outlineLvl w:val="2"/>
      </w:pPr>
      <w:r>
        <w:rPr>
          <w:rFonts w:hint="eastAsia"/>
          <w:b/>
          <w:sz w:val="28"/>
        </w:rPr>
        <w:t xml:space="preserve">2、服务范围</w:t>
      </w:r>
      <w:r/>
    </w:p>
    <w:p>
      <w:pPr>
        <w:ind w:firstLine="480"/>
        <w:rPr>
          <w:rFonts w:ascii="宋体" w:hAnsi="宋体" w:cs="宋体"/>
          <w:sz w:val="24"/>
        </w:rPr>
      </w:pPr>
      <w:r>
        <w:rPr>
          <w:rFonts w:hint="eastAsia" w:ascii="宋体" w:hAnsi="宋体" w:cs="宋体"/>
          <w:sz w:val="24"/>
        </w:rPr>
        <w:t xml:space="preserve">滨海县区域内27个农贸（农批）市场：1个批发市场、26个农贸市场</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若新增市场，根据甲方要求作检测调整</w:t>
      </w:r>
      <w:r>
        <w:rPr>
          <w:rFonts w:hint="eastAsia" w:ascii="宋体" w:hAnsi="宋体" w:eastAsia="宋体" w:cs="宋体"/>
          <w:sz w:val="24"/>
          <w:lang w:eastAsia="zh-CN"/>
        </w:rPr>
        <w:t xml:space="preserve">）</w:t>
      </w:r>
      <w:r>
        <w:rPr>
          <w:rFonts w:hint="eastAsia" w:ascii="宋体" w:hAnsi="宋体" w:cs="宋体"/>
          <w:sz w:val="24"/>
        </w:rPr>
        <w:t xml:space="preserve">。具体名单如下：</w:t>
      </w:r>
      <w:r/>
    </w:p>
    <w:p>
      <w:pPr>
        <w:jc w:val="center"/>
        <w:spacing w:line="360" w:lineRule="auto"/>
        <w:rPr>
          <w:rFonts w:hint="eastAsia" w:ascii="宋体" w:hAnsi="宋体" w:cs="宋体"/>
          <w:b/>
          <w:bCs/>
          <w:sz w:val="24"/>
        </w:rPr>
      </w:pPr>
      <w:r>
        <w:rPr>
          <w:rFonts w:hint="eastAsia" w:ascii="宋体" w:hAnsi="宋体" w:cs="宋体"/>
          <w:b/>
          <w:bCs/>
          <w:sz w:val="24"/>
        </w:rPr>
        <w:t xml:space="preserve">滨海县农贸（农批）市场名单</w:t>
      </w:r>
      <w:r/>
    </w:p>
    <w:tbl>
      <w:tblPr>
        <w:tblStyle w:val="721"/>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832"/>
        <w:gridCol w:w="1814"/>
        <w:gridCol w:w="3809"/>
        <w:gridCol w:w="1560"/>
        <w:gridCol w:w="1913"/>
      </w:tblGrid>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所属分局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市场名称</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是否配套快检室</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类型</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开发区分局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滨海新农批市场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highlight w:val="none"/>
              </w:rPr>
              <w:t xml:space="preserve">农批</w:t>
            </w:r>
            <w:r>
              <w:rPr>
                <w:rFonts w:hint="eastAsia" w:ascii="宋体" w:hAnsi="宋体" w:cs="宋体"/>
                <w:b/>
                <w:bCs/>
                <w:sz w:val="24"/>
              </w:rPr>
              <w:t xml:space="preserve">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开发区分局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eastAsia" w:asciiTheme="minorHAnsi" w:hAnsiTheme="minorHAnsi" w:eastAsiaTheme="minorEastAsia" w:cstheme="minorBidi"/>
                <w:sz w:val="21"/>
                <w:szCs w:val="24"/>
                <w:lang w:val="en-US" w:eastAsia="zh-CN" w:bidi="ar-SA"/>
              </w:rPr>
            </w:pPr>
            <w:r>
              <w:rPr>
                <w:rFonts w:hint="eastAsia" w:ascii="宋体" w:hAnsi="宋体" w:cs="宋体"/>
                <w:b/>
                <w:bCs/>
                <w:sz w:val="24"/>
              </w:rPr>
              <w:t xml:space="preserve">坎北农贸市场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开发区分局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农业园区农贸市场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五汛分局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滨海县乡村资产经营有限公司北坍农贸市场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五汛分局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滨海县街中街综合农贸市场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五汛分局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蔡桥农贸市场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农贸市场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正红分局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滨海县四季红农贸市场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正红分局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陈铸农贸市场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城南分局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臻园农贸市场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Height w:val="342"/>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城南分局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新建农贸市场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城南分局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坎园农贸市场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ind w:firstLine="240"/>
              <w:rPr>
                <w:rFonts w:ascii="宋体" w:hAnsi="宋体" w:cs="宋体"/>
                <w:b/>
                <w:bCs/>
                <w:color w:val="auto"/>
                <w:sz w:val="24"/>
              </w:rPr>
            </w:pPr>
            <w:r>
              <w:rPr>
                <w:rFonts w:hint="eastAsia" w:ascii="宋体" w:hAnsi="宋体" w:cs="宋体"/>
                <w:b/>
                <w:bCs/>
                <w:color w:val="auto"/>
                <w:sz w:val="24"/>
              </w:rPr>
              <w:t xml:space="preserve">城南分局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人民南路农贸市场（宝顺）（含坎南商业街水产经营者）</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城南分局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玉龙农贸市场（含立新桥水产经营者）</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城南分局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城南农贸市场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城中分局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ind w:firstLine="723"/>
              <w:rPr>
                <w:rFonts w:ascii="宋体" w:hAnsi="宋体" w:cs="宋体"/>
                <w:b/>
                <w:bCs/>
                <w:sz w:val="24"/>
              </w:rPr>
            </w:pPr>
            <w:r>
              <w:rPr>
                <w:rFonts w:hint="eastAsia" w:ascii="宋体" w:hAnsi="宋体" w:cs="宋体"/>
                <w:b/>
                <w:bCs/>
                <w:sz w:val="24"/>
              </w:rPr>
              <w:t xml:space="preserve">滨海县城中农贸市场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b/>
                <w:bCs/>
                <w:sz w:val="24"/>
                <w:lang w:val="en-US" w:eastAsia="zh-CN"/>
              </w:rPr>
            </w:pPr>
            <w:r>
              <w:rPr>
                <w:rFonts w:hint="eastAsia" w:ascii="宋体" w:hAnsi="宋体" w:cs="宋体"/>
                <w:b/>
                <w:bCs/>
                <w:sz w:val="24"/>
              </w:rPr>
              <w:t xml:space="preserve">1</w:t>
            </w:r>
            <w:r>
              <w:rPr>
                <w:rFonts w:hint="eastAsia" w:ascii="宋体" w:hAnsi="宋体" w:eastAsia="宋体" w:cs="宋体"/>
                <w:b/>
                <w:bCs/>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城中分局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pPr>
            <w:r>
              <w:rPr>
                <w:rFonts w:hint="eastAsia" w:ascii="宋体" w:hAnsi="宋体" w:cs="宋体"/>
                <w:b/>
                <w:bCs/>
                <w:sz w:val="24"/>
              </w:rPr>
              <w:t xml:space="preserve">滨海县城北农贸市场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b/>
                <w:bCs/>
                <w:sz w:val="24"/>
                <w:lang w:val="en-US" w:eastAsia="zh-CN"/>
              </w:rPr>
            </w:pPr>
            <w:r>
              <w:rPr>
                <w:rFonts w:hint="eastAsia" w:ascii="宋体" w:hAnsi="宋体" w:cs="宋体"/>
                <w:b/>
                <w:bCs/>
                <w:sz w:val="24"/>
              </w:rPr>
              <w:t xml:space="preserve">1</w:t>
            </w:r>
            <w:r>
              <w:rPr>
                <w:rFonts w:hint="eastAsia" w:ascii="宋体" w:hAnsi="宋体" w:eastAsia="宋体" w:cs="宋体"/>
                <w:b/>
                <w:bCs/>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ind w:firstLine="240"/>
              <w:rPr>
                <w:rFonts w:ascii="宋体" w:hAnsi="宋体" w:cs="宋体"/>
                <w:b/>
                <w:bCs/>
                <w:sz w:val="24"/>
              </w:rPr>
            </w:pPr>
            <w:r>
              <w:rPr>
                <w:rFonts w:hint="eastAsia" w:ascii="宋体" w:hAnsi="宋体" w:cs="宋体"/>
                <w:b/>
                <w:bCs/>
                <w:sz w:val="24"/>
              </w:rPr>
              <w:t xml:space="preserve">城中分局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pPr>
            <w:r>
              <w:rPr>
                <w:rFonts w:hint="eastAsia" w:ascii="宋体" w:hAnsi="宋体" w:cs="宋体"/>
                <w:b/>
                <w:bCs/>
                <w:sz w:val="24"/>
              </w:rPr>
              <w:t xml:space="preserve">滨海县孟舍农贸市场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城中分局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滨海县西街农贸市场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ind w:firstLine="241"/>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城中分局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滨海县清水湖农贸市场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界牌分局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界牌农贸市场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21</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陈涛分局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陈涛农贸市场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22</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陈涛分局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八巨农贸市场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23</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八滩分局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八滩富源农贸市场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ind w:firstLine="241"/>
              <w:rPr>
                <w:rFonts w:ascii="宋体" w:hAnsi="宋体" w:cs="宋体"/>
                <w:b/>
                <w:bCs/>
                <w:sz w:val="24"/>
              </w:rPr>
            </w:pPr>
            <w:r>
              <w:rPr>
                <w:rFonts w:hint="eastAsia" w:ascii="宋体" w:hAnsi="宋体" w:cs="宋体"/>
                <w:b/>
                <w:bCs/>
                <w:sz w:val="24"/>
              </w:rPr>
              <w:t xml:space="preserve">八滩分局</w:t>
            </w:r>
            <w:r/>
          </w:p>
        </w:tc>
        <w:tc>
          <w:tcPr>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ascii="宋体" w:hAnsi="宋体" w:cs="宋体"/>
                <w:b/>
                <w:bCs/>
                <w:sz w:val="24"/>
              </w:rPr>
            </w:pPr>
            <w:r>
              <w:rPr>
                <w:rFonts w:hint="eastAsia" w:ascii="宋体" w:hAnsi="宋体" w:cs="宋体"/>
                <w:b/>
                <w:bCs/>
                <w:sz w:val="24"/>
              </w:rPr>
              <w:t xml:space="preserve">振东农贸市场</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是</w:t>
            </w:r>
            <w:r/>
          </w:p>
        </w:tc>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农贸市场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八滩分局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八滩西街菜场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八滩分局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新港农贸市场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滨淮分局</w:t>
            </w:r>
            <w:r/>
          </w:p>
        </w:tc>
        <w:tc>
          <w:tcPr>
            <w:shd w:val="clear" w:color="auto" w:fill="auto"/>
            <w:tcBorders>
              <w:top w:val="single" w:color="auto" w:sz="4" w:space="0"/>
              <w:left w:val="single" w:color="auto" w:sz="4" w:space="0"/>
              <w:bottom w:val="single" w:color="auto" w:sz="4" w:space="0"/>
              <w:right w:val="single" w:color="auto" w:sz="4" w:space="0"/>
            </w:tcBorders>
            <w:tcW w:w="1917"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rPr>
              <w:t xml:space="preserve">滨淮镇东罾农贸市场</w:t>
            </w:r>
            <w:r/>
          </w:p>
        </w:tc>
        <w:tc>
          <w:tcPr>
            <w:shd w:val="clear" w:color="auto" w:fill="auto"/>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rPr>
                <w:rFonts w:hint="default" w:ascii="宋体" w:hAnsi="宋体" w:cs="宋体" w:eastAsiaTheme="minorEastAsia"/>
                <w:b/>
                <w:bCs/>
                <w:sz w:val="24"/>
                <w:szCs w:val="24"/>
                <w:lang w:val="en-US" w:eastAsia="zh-CN" w:bidi="ar-SA"/>
              </w:rPr>
            </w:pPr>
            <w:r>
              <w:rPr>
                <w:rFonts w:hint="eastAsia" w:ascii="宋体" w:hAnsi="宋体" w:cs="宋体"/>
                <w:b/>
                <w:bCs/>
                <w:sz w:val="24"/>
                <w:szCs w:val="24"/>
                <w:lang w:val="en-US" w:eastAsia="zh-CN" w:bidi="ar-SA"/>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center"/>
              <w:rPr>
                <w:rFonts w:hint="eastAsia" w:ascii="宋体" w:hAnsi="宋体" w:cs="宋体" w:eastAsiaTheme="minorEastAsia"/>
                <w:b/>
                <w:bCs/>
                <w:sz w:val="24"/>
                <w:szCs w:val="24"/>
                <w:lang w:val="en-US" w:eastAsia="zh-CN" w:bidi="ar-SA"/>
              </w:rPr>
            </w:pPr>
            <w:r>
              <w:rPr>
                <w:rFonts w:hint="eastAsia" w:ascii="宋体" w:hAnsi="宋体" w:cs="宋体"/>
                <w:b/>
                <w:bCs/>
                <w:sz w:val="24"/>
              </w:rPr>
              <w:t xml:space="preserve">农贸市场</w:t>
            </w:r>
            <w:r/>
          </w:p>
        </w:tc>
      </w:tr>
    </w:tbl>
    <w:p>
      <w:pPr>
        <w:keepLines/>
        <w:keepNext/>
        <w:spacing w:line="360" w:lineRule="auto"/>
        <w:rPr>
          <w:rFonts w:hint="eastAsia"/>
          <w:b/>
          <w:sz w:val="28"/>
        </w:rPr>
        <w:outlineLvl w:val="2"/>
      </w:pPr>
      <w:r>
        <w:rPr>
          <w:rFonts w:hint="eastAsia"/>
          <w:b/>
          <w:sz w:val="28"/>
        </w:rPr>
        <w:t xml:space="preserve">3、检测批次及要求</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投标人须依据农办质〔2025〕10号《农业农村部办公厅 市场监管总局办公厅关于开展重点问题食用农产品专项整治行动的通知》及市局相关要求，</w:t>
      </w:r>
      <w:r>
        <w:rPr>
          <w:rFonts w:hint="eastAsia" w:ascii="宋体" w:hAnsi="宋体" w:cs="宋体"/>
          <w:color w:val="000000"/>
          <w:sz w:val="24"/>
          <w:highlight w:val="none"/>
          <w:lang w:bidi="ar"/>
        </w:rPr>
        <w:t xml:space="preserve">针对重点问题食用农产品，聚焦“7条鱼”(黄鳝、牛蛙、泥鳅、大口黑鲈、 鳊鱼、鲫鱼、乌鳢)、海参、4棵菜(豇豆、芹菜、葱、</w:t>
      </w:r>
      <w:r>
        <w:rPr>
          <w:rFonts w:hint="eastAsia"/>
          <w:sz w:val="24"/>
          <w:highlight w:val="none"/>
        </w:rPr>
        <w:t xml:space="preserve">甘薯</w:t>
      </w:r>
      <w:r>
        <w:rPr>
          <w:rFonts w:hint="eastAsia" w:ascii="宋体" w:hAnsi="宋体" w:cs="宋体"/>
          <w:color w:val="000000"/>
          <w:sz w:val="24"/>
          <w:highlight w:val="none"/>
          <w:lang w:bidi="ar"/>
        </w:rPr>
        <w:t xml:space="preserve">)、鸡蛋、荔枝等上级部门规定重点问题品种开展专项检测。</w:t>
      </w:r>
      <w:r>
        <w:rPr>
          <w:rFonts w:hint="eastAsia" w:ascii="宋体" w:hAnsi="宋体" w:cs="宋体"/>
          <w:color w:val="000000"/>
          <w:sz w:val="24"/>
          <w:lang w:bidi="ar"/>
        </w:rPr>
        <w:t xml:space="preserve">检测根据市县要求作动态调整，具体以实际检验批次及参数结算。</w:t>
      </w:r>
      <w:r/>
    </w:p>
    <w:p>
      <w:pPr>
        <w:rPr>
          <w:rFonts w:hint="eastAsia"/>
        </w:rPr>
        <w:sectPr>
          <w:footerReference w:type="default" r:id="rId9"/>
          <w:footnotePr/>
          <w:endnotePr/>
          <w:type w:val="nextPage"/>
          <w:pgSz w:w="11906" w:h="16838" w:orient="portrait"/>
          <w:pgMar w:top="1440" w:right="1083" w:bottom="1440" w:left="1083" w:header="851" w:footer="850" w:gutter="0"/>
          <w:cols w:num="1" w:sep="0" w:space="720" w:equalWidth="1"/>
          <w:docGrid w:linePitch="360"/>
        </w:sectPr>
      </w:pPr>
      <w:r>
        <w:rPr>
          <w:rFonts w:hint="eastAsia"/>
        </w:rPr>
      </w:r>
      <w:r/>
    </w:p>
    <w:p>
      <w:pPr>
        <w:keepLines/>
        <w:keepNext/>
        <w:spacing w:line="360" w:lineRule="auto"/>
        <w:rPr>
          <w:rFonts w:hint="eastAsia"/>
          <w:b/>
          <w:sz w:val="28"/>
        </w:rPr>
        <w:outlineLvl w:val="2"/>
      </w:pPr>
      <w:r>
        <w:rPr>
          <w:rFonts w:hint="eastAsia"/>
          <w:b/>
          <w:sz w:val="28"/>
        </w:rPr>
        <w:t xml:space="preserve">4、▲人员要求</w:t>
      </w:r>
      <w:r/>
    </w:p>
    <w:p>
      <w:pPr>
        <w:contextualSpacing/>
        <w:ind w:firstLine="480"/>
        <w:spacing w:line="360" w:lineRule="auto"/>
        <w:tabs>
          <w:tab w:val="left" w:pos="1710" w:leader="none"/>
        </w:tabs>
        <w:rPr>
          <w:rFonts w:hint="eastAsia" w:ascii="宋体" w:hAnsi="宋体" w:cs="宋体"/>
          <w:b/>
          <w:bCs/>
          <w:sz w:val="24"/>
        </w:rPr>
      </w:pPr>
      <w:r>
        <w:rPr>
          <w:rFonts w:hint="eastAsia" w:ascii="宋体" w:hAnsi="宋体" w:cs="宋体"/>
          <w:color w:val="000000"/>
          <w:sz w:val="24"/>
          <w:lang w:bidi="ar"/>
        </w:rPr>
        <w:t xml:space="preserve">投标人应为本项目的顺利实施</w:t>
      </w:r>
      <w:r>
        <w:rPr>
          <w:rFonts w:hint="eastAsia" w:ascii="宋体" w:hAnsi="宋体" w:cs="宋体"/>
          <w:b/>
          <w:bCs/>
          <w:color w:val="000000"/>
          <w:sz w:val="24"/>
          <w:u w:val="single"/>
          <w:lang w:bidi="ar"/>
        </w:rPr>
        <w:t xml:space="preserve">指定1名项目负责人</w:t>
      </w:r>
      <w:r>
        <w:rPr>
          <w:rFonts w:hint="eastAsia" w:ascii="宋体" w:hAnsi="宋体" w:cs="宋体"/>
          <w:color w:val="000000"/>
          <w:sz w:val="24"/>
          <w:lang w:bidi="ar"/>
        </w:rPr>
        <w:t xml:space="preserve">，并为每个正常运营的农贸市场快检室提供</w:t>
      </w:r>
      <w:r>
        <w:rPr>
          <w:rFonts w:hint="eastAsia" w:ascii="宋体" w:hAnsi="宋体" w:cs="宋体"/>
          <w:b/>
          <w:bCs/>
          <w:color w:val="000000"/>
          <w:sz w:val="24"/>
          <w:u w:val="single"/>
          <w:lang w:bidi="ar"/>
        </w:rPr>
        <w:t xml:space="preserve">不少于1名符合要求的快检服务人员</w:t>
      </w:r>
      <w:r>
        <w:rPr>
          <w:rFonts w:hint="eastAsia" w:ascii="宋体" w:hAnsi="宋体" w:cs="宋体"/>
          <w:b/>
          <w:bCs/>
          <w:color w:val="auto"/>
          <w:sz w:val="24"/>
          <w:highlight w:val="none"/>
          <w:u w:val="single"/>
          <w:lang w:bidi="ar"/>
        </w:rPr>
        <w:t xml:space="preserve">，其中农批市场提供4名快检服务人员</w:t>
      </w:r>
      <w:r>
        <w:rPr>
          <w:rFonts w:hint="eastAsia" w:ascii="宋体" w:hAnsi="宋体" w:cs="宋体"/>
          <w:color w:val="auto"/>
          <w:sz w:val="24"/>
          <w:highlight w:val="none"/>
          <w:lang w:bidi="ar"/>
        </w:rPr>
        <w:t xml:space="preserve">，总计派驻不少于31名专职检测人员，</w:t>
      </w:r>
      <w:r>
        <w:rPr>
          <w:rFonts w:hint="eastAsia" w:ascii="宋体" w:hAnsi="宋体" w:eastAsia="宋体" w:cs="宋体"/>
          <w:color w:val="000000"/>
          <w:sz w:val="24"/>
          <w:lang w:val="en-US" w:eastAsia="zh-CN" w:bidi="ar"/>
        </w:rPr>
        <w:t xml:space="preserve">从事</w:t>
      </w:r>
      <w:r>
        <w:rPr>
          <w:rFonts w:hint="eastAsia" w:ascii="宋体" w:hAnsi="宋体" w:cs="宋体"/>
          <w:color w:val="000000"/>
          <w:sz w:val="24"/>
          <w:lang w:bidi="ar"/>
        </w:rPr>
        <w:t xml:space="preserve">食用农产品抽样、快速检测、结果公示</w:t>
      </w:r>
      <w:r>
        <w:rPr>
          <w:rFonts w:hint="eastAsia" w:ascii="宋体" w:hAnsi="宋体" w:eastAsia="宋体" w:cs="宋体"/>
          <w:color w:val="000000"/>
          <w:sz w:val="24"/>
          <w:lang w:val="en-US" w:eastAsia="zh-CN" w:bidi="ar"/>
        </w:rPr>
        <w:t xml:space="preserve">等工作</w:t>
      </w:r>
      <w:r>
        <w:rPr>
          <w:rFonts w:hint="eastAsia" w:ascii="宋体" w:hAnsi="宋体" w:cs="宋体"/>
          <w:color w:val="000000"/>
          <w:sz w:val="24"/>
          <w:lang w:bidi="ar"/>
        </w:rPr>
        <w:t xml:space="preserve">，并按照滨海县市场监督管理局的要求，如实、按时上传、报送快检数据，指导、协助市场做好相关快检结果后续处理工作，同时做好台账等基础数据整理，实现从样品抽取到协助完成后续处理的全周期服务。</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投标人为本项目配备的快检服务人员，具体要求如下：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（1）持有有效健康证明，并经培训考核合格后持证上岗，具备食品安全快检工作能力。</w:t>
      </w:r>
      <w:r/>
    </w:p>
    <w:p>
      <w:pPr>
        <w:jc w:val="left"/>
        <w:spacing w:line="360" w:lineRule="auto"/>
        <w:widowControl/>
        <w:rPr>
          <w:rFonts w:hint="eastAsia" w:ascii="宋体" w:hAnsi="宋体" w:cs="宋体"/>
          <w:color w:val="ff0000"/>
          <w:sz w:val="24"/>
          <w:lang w:bidi="ar"/>
        </w:rPr>
      </w:pPr>
      <w:r>
        <w:rPr>
          <w:rFonts w:hint="eastAsia" w:ascii="宋体" w:hAnsi="宋体" w:cs="宋体"/>
          <w:color w:val="000000"/>
          <w:sz w:val="24"/>
          <w:lang w:bidi="ar"/>
        </w:rPr>
        <w:t xml:space="preserve">（2）能熟练操作食品安全快检设备及计算机。</w:t>
      </w:r>
      <w:r/>
    </w:p>
    <w:p>
      <w:pPr>
        <w:spacing w:line="360" w:lineRule="auto"/>
        <w:rPr>
          <w:rFonts w:hint="eastAsia" w:ascii="宋体" w:hAnsi="宋体" w:cs="宋体"/>
          <w:sz w:val="24"/>
          <w:lang w:bidi="ar"/>
        </w:rPr>
      </w:pPr>
      <w:r>
        <w:rPr>
          <w:rFonts w:hint="eastAsia" w:ascii="宋体" w:hAnsi="宋体" w:cs="宋体"/>
          <w:sz w:val="24"/>
          <w:lang w:bidi="ar"/>
        </w:rPr>
        <w:t xml:space="preserve">（3）投标人为保证该项目的顺利实施所配备的工作人员均为本企业员工，日常管理由投标人负责，一切安全责任事故亦由投标人负责。</w:t>
      </w:r>
      <w:r/>
    </w:p>
    <w:p>
      <w:pPr>
        <w:spacing w:line="360" w:lineRule="auto"/>
        <w:rPr>
          <w:rFonts w:hint="eastAsia" w:ascii="宋体" w:hAnsi="宋体" w:cs="宋体"/>
          <w:sz w:val="24"/>
          <w:highlight w:val="none"/>
          <w:lang w:bidi="ar"/>
        </w:rPr>
      </w:pPr>
      <w:r>
        <w:rPr>
          <w:rFonts w:hint="eastAsia" w:ascii="宋体" w:hAnsi="宋体" w:cs="宋体"/>
          <w:sz w:val="24"/>
          <w:lang w:bidi="ar"/>
        </w:rPr>
        <w:t xml:space="preserve">（4）</w:t>
      </w:r>
      <w:r>
        <w:rPr>
          <w:rFonts w:hint="eastAsia" w:ascii="宋体" w:hAnsi="宋体" w:cs="宋体"/>
          <w:color w:val="000000"/>
          <w:sz w:val="24"/>
          <w:lang w:bidi="ar"/>
        </w:rPr>
        <w:t xml:space="preserve">投标人应明确各岗位人员职责，建立各岗位人员考评奖惩制度。</w:t>
      </w:r>
      <w:r>
        <w:rPr>
          <w:rFonts w:hint="eastAsia" w:ascii="宋体" w:hAnsi="宋体" w:cs="宋体"/>
          <w:sz w:val="24"/>
          <w:lang w:bidi="ar"/>
        </w:rPr>
        <w:t xml:space="preserve">须建立内部培训管理制度，对快检服务人员定期组织开展食品安全法律法规、仪器使用与管理、数据处理、质量控制及管理等方面的培训及考核，</w:t>
      </w:r>
      <w:r>
        <w:rPr>
          <w:rFonts w:hint="eastAsia" w:ascii="宋体" w:hAnsi="宋体" w:cs="宋体"/>
          <w:sz w:val="24"/>
          <w:highlight w:val="none"/>
          <w:lang w:bidi="ar"/>
        </w:rPr>
        <w:t xml:space="preserve">每年进行不少于40小时的技术培训。（每季度提供培训记录）。</w:t>
      </w:r>
      <w:r/>
    </w:p>
    <w:p>
      <w:pPr>
        <w:spacing w:line="360" w:lineRule="auto"/>
        <w:rPr>
          <w:rFonts w:hint="eastAsia" w:ascii="宋体" w:hAnsi="宋体" w:cs="宋体"/>
          <w:sz w:val="24"/>
        </w:rPr>
      </w:pPr>
      <w:r>
        <w:rPr>
          <w:rFonts w:hint="eastAsia" w:ascii="宋体" w:hAnsi="宋体" w:cs="宋体"/>
          <w:color w:val="000000"/>
          <w:sz w:val="24"/>
          <w:lang w:bidi="ar"/>
        </w:rPr>
        <w:t xml:space="preserve">（5）快检服务人员工作时应当穿着统一检测工作服。投标人应在采购人建好的食品快检室开展检测工作，上午负责到辖区内农贸</w:t>
      </w:r>
      <w:r>
        <w:rPr>
          <w:rFonts w:hint="eastAsia" w:ascii="宋体" w:hAnsi="宋体" w:eastAsia="宋体" w:cs="宋体"/>
          <w:color w:val="000000"/>
          <w:sz w:val="24"/>
          <w:lang w:eastAsia="zh-CN" w:bidi="ar"/>
        </w:rPr>
        <w:t xml:space="preserve">（</w:t>
      </w:r>
      <w:r>
        <w:rPr>
          <w:rFonts w:hint="eastAsia" w:ascii="宋体" w:hAnsi="宋体" w:eastAsia="宋体" w:cs="宋体"/>
          <w:color w:val="000000"/>
          <w:sz w:val="24"/>
          <w:lang w:val="en-US" w:eastAsia="zh-CN" w:bidi="ar"/>
        </w:rPr>
        <w:t xml:space="preserve">农批</w:t>
      </w:r>
      <w:r>
        <w:rPr>
          <w:rFonts w:hint="eastAsia" w:ascii="宋体" w:hAnsi="宋体" w:eastAsia="宋体" w:cs="宋体"/>
          <w:color w:val="000000"/>
          <w:sz w:val="24"/>
          <w:lang w:eastAsia="zh-CN" w:bidi="ar"/>
        </w:rPr>
        <w:t xml:space="preserve">）</w:t>
      </w:r>
      <w:r>
        <w:rPr>
          <w:rFonts w:hint="eastAsia" w:ascii="宋体" w:hAnsi="宋体" w:cs="宋体"/>
          <w:color w:val="000000"/>
          <w:sz w:val="24"/>
          <w:lang w:bidi="ar"/>
        </w:rPr>
        <w:t xml:space="preserve">市场进行食品抽样并送回检测室检测，汇总数据实时上传，并在当天规定时间内完成所有计划检测项目、归档及数据上传公示，能够协助举办重大活动食品安全保障，包括但不限于中高考保障、食品安全应急处置、基层执法辅助、公益宣传活动（宣传对象主要为交易市场内经营者及相关从业者等）</w:t>
      </w:r>
      <w:r>
        <w:rPr>
          <w:rFonts w:hint="eastAsia" w:ascii="宋体" w:hAnsi="宋体" w:eastAsia="宋体" w:cs="宋体"/>
          <w:color w:val="000000"/>
          <w:sz w:val="24"/>
          <w:lang w:eastAsia="zh-CN" w:bidi="ar"/>
        </w:rPr>
        <w:t xml:space="preserve">、</w:t>
      </w:r>
      <w:r>
        <w:rPr>
          <w:rFonts w:hint="eastAsia" w:ascii="宋体" w:hAnsi="宋体" w:cs="宋体"/>
          <w:color w:val="000000"/>
          <w:sz w:val="24"/>
          <w:lang w:bidi="ar"/>
        </w:rPr>
        <w:t xml:space="preserve">你点我检等工作（详见</w:t>
      </w:r>
      <w:r>
        <w:rPr>
          <w:rFonts w:hint="eastAsia" w:ascii="宋体" w:hAnsi="宋体" w:eastAsia="宋体" w:cs="宋体"/>
          <w:color w:val="000000"/>
          <w:sz w:val="24"/>
          <w:lang w:val="en-US" w:eastAsia="zh-CN" w:bidi="ar"/>
        </w:rPr>
        <w:t xml:space="preserve">检测</w:t>
      </w:r>
      <w:r>
        <w:rPr>
          <w:rFonts w:hint="eastAsia" w:ascii="宋体" w:hAnsi="宋体" w:cs="宋体"/>
          <w:color w:val="000000"/>
          <w:sz w:val="24"/>
          <w:lang w:bidi="ar"/>
        </w:rPr>
        <w:t xml:space="preserve">工作</w:t>
      </w:r>
      <w:r>
        <w:rPr>
          <w:rFonts w:hint="eastAsia" w:ascii="宋体" w:hAnsi="宋体" w:eastAsia="宋体" w:cs="宋体"/>
          <w:color w:val="000000"/>
          <w:sz w:val="24"/>
          <w:lang w:val="en-US" w:eastAsia="zh-CN" w:bidi="ar"/>
        </w:rPr>
        <w:t xml:space="preserve">要求</w:t>
      </w:r>
      <w:r>
        <w:rPr>
          <w:rFonts w:hint="eastAsia" w:ascii="宋体" w:hAnsi="宋体" w:cs="宋体"/>
          <w:color w:val="000000"/>
          <w:sz w:val="24"/>
          <w:lang w:bidi="ar"/>
        </w:rPr>
        <w:t xml:space="preserve">）。</w:t>
      </w:r>
      <w:r/>
    </w:p>
    <w:p>
      <w:pPr>
        <w:jc w:val="center"/>
        <w:rPr>
          <w:rFonts w:hint="eastAsia" w:ascii="宋体" w:hAnsi="宋体" w:eastAsia="宋体" w:cs="宋体"/>
          <w:lang w:val="en-US" w:eastAsia="zh-CN"/>
        </w:rPr>
      </w:pPr>
      <w:r>
        <w:rPr>
          <w:rFonts w:hint="eastAsia" w:ascii="宋体" w:hAnsi="宋体" w:eastAsia="宋体" w:cs="宋体"/>
          <w:lang w:val="en-US" w:eastAsia="zh-CN"/>
        </w:rPr>
        <w:t xml:space="preserve">检测日常</w:t>
      </w:r>
      <w:r>
        <w:rPr>
          <w:rFonts w:hint="eastAsia" w:ascii="宋体" w:hAnsi="宋体" w:cs="宋体"/>
        </w:rPr>
        <w:t xml:space="preserve">工作</w:t>
      </w:r>
      <w:r>
        <w:rPr>
          <w:rFonts w:hint="eastAsia" w:ascii="宋体" w:hAnsi="宋体" w:eastAsia="宋体" w:cs="宋体"/>
          <w:lang w:val="en-US" w:eastAsia="zh-CN"/>
        </w:rPr>
        <w:t xml:space="preserve">要求</w:t>
      </w:r>
      <w:r/>
    </w:p>
    <w:tbl>
      <w:tblPr>
        <w:tblStyle w:val="721"/>
        <w:tblW w:w="48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2"/>
        <w:gridCol w:w="6732"/>
      </w:tblGrid>
      <w:tr>
        <w:trPr>
          <w:jc w:val="center"/>
        </w:trPr>
        <w:tc>
          <w:tcPr>
            <w:tcW w:w="902" w:type="pct"/>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工作时间</w:t>
            </w:r>
            <w:r/>
          </w:p>
        </w:tc>
        <w:tc>
          <w:tcPr>
            <w:tcW w:w="4097" w:type="pct"/>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工作内容</w:t>
            </w:r>
            <w:r/>
          </w:p>
        </w:tc>
      </w:tr>
      <w:tr>
        <w:trPr>
          <w:jc w:val="center"/>
        </w:trPr>
        <w:tc>
          <w:tcPr>
            <w:tcW w:w="902" w:type="pct"/>
            <w:vAlign w:val="center"/>
            <w:vMerge w:val="restart"/>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rPr>
              <w:t xml:space="preserve">6：30-9：30</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根据需要可作适当调整</w:t>
            </w:r>
            <w:r>
              <w:rPr>
                <w:rFonts w:hint="eastAsia" w:ascii="宋体" w:hAnsi="宋体" w:eastAsia="宋体" w:cs="宋体"/>
                <w:color w:val="auto"/>
                <w:szCs w:val="21"/>
                <w:lang w:eastAsia="zh-CN"/>
              </w:rPr>
              <w:t xml:space="preserve">）</w:t>
            </w:r>
            <w:r/>
          </w:p>
        </w:tc>
        <w:tc>
          <w:tcPr>
            <w:tcW w:w="4097" w:type="pct"/>
            <w:vAlign w:val="center"/>
            <w:textDirection w:val="lrTb"/>
            <w:noWrap w:val="false"/>
          </w:tcPr>
          <w:p>
            <w:pPr>
              <w:jc w:val="left"/>
              <w:rPr>
                <w:rFonts w:hint="eastAsia" w:ascii="宋体" w:hAnsi="宋体" w:cs="宋体"/>
                <w:color w:val="auto"/>
                <w:szCs w:val="21"/>
              </w:rPr>
            </w:pPr>
            <w:r>
              <w:rPr>
                <w:rFonts w:hint="eastAsia" w:ascii="宋体" w:hAnsi="宋体" w:cs="宋体"/>
                <w:color w:val="auto"/>
                <w:szCs w:val="21"/>
              </w:rPr>
              <w:t xml:space="preserve">打卡签到。开晨会，总结昨日快检情况 。</w:t>
            </w:r>
            <w:r/>
          </w:p>
        </w:tc>
      </w:tr>
      <w:tr>
        <w:trPr>
          <w:jc w:val="center"/>
        </w:trPr>
        <w:tc>
          <w:tcPr>
            <w:tcW w:w="902"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4097"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1、按照每日工作计划前往对应摊位开展采样工作，同时做好样本保存工作，并于完成商户信息的采集和样本信息的录入。</w:t>
            </w:r>
            <w:r/>
          </w:p>
        </w:tc>
      </w:tr>
      <w:tr>
        <w:trPr>
          <w:jc w:val="center"/>
        </w:trPr>
        <w:tc>
          <w:tcPr>
            <w:tcW w:w="902"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4097"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2、检查检测</w:t>
            </w:r>
            <w:r>
              <w:rPr>
                <w:rFonts w:hint="eastAsia" w:ascii="宋体" w:hAnsi="宋体" w:eastAsia="宋体" w:cs="宋体"/>
                <w:color w:val="auto"/>
                <w:szCs w:val="21"/>
                <w:lang w:val="en-US" w:eastAsia="zh-CN"/>
              </w:rPr>
              <w:t xml:space="preserve">仪器及前处理</w:t>
            </w:r>
            <w:r>
              <w:rPr>
                <w:rFonts w:hint="eastAsia" w:ascii="宋体" w:hAnsi="宋体" w:cs="宋体"/>
                <w:color w:val="auto"/>
                <w:szCs w:val="21"/>
              </w:rPr>
              <w:t xml:space="preserve">设备</w:t>
            </w:r>
            <w:r>
              <w:rPr>
                <w:rFonts w:hint="eastAsia" w:ascii="宋体" w:hAnsi="宋体" w:eastAsia="宋体" w:cs="宋体"/>
                <w:color w:val="auto"/>
                <w:szCs w:val="21"/>
                <w:lang w:val="en-US" w:eastAsia="zh-CN"/>
              </w:rPr>
              <w:t xml:space="preserve">是否</w:t>
            </w:r>
            <w:r>
              <w:rPr>
                <w:rFonts w:hint="eastAsia" w:ascii="宋体" w:hAnsi="宋体" w:cs="宋体"/>
                <w:color w:val="auto"/>
                <w:szCs w:val="21"/>
              </w:rPr>
              <w:t xml:space="preserve">完好</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确保能正常运行</w:t>
            </w:r>
            <w:r>
              <w:rPr>
                <w:rFonts w:hint="eastAsia" w:ascii="宋体" w:hAnsi="宋体" w:cs="宋体"/>
                <w:color w:val="auto"/>
                <w:szCs w:val="21"/>
              </w:rPr>
              <w:t xml:space="preserve">。</w:t>
            </w:r>
            <w:r/>
          </w:p>
        </w:tc>
      </w:tr>
      <w:tr>
        <w:trPr>
          <w:jc w:val="center"/>
        </w:trPr>
        <w:tc>
          <w:tcPr>
            <w:tcW w:w="902"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097"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3、处理采样样品，做好检测前处理工作，并开展检测工作。原则上不晚于8:30前完成所有检测工作并上传公示，（检测量大或其他特殊情况除外）。</w:t>
            </w:r>
            <w:r/>
          </w:p>
        </w:tc>
      </w:tr>
      <w:tr>
        <w:trPr>
          <w:jc w:val="center"/>
        </w:trPr>
        <w:tc>
          <w:tcPr>
            <w:tcW w:w="9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097" w:type="pct"/>
            <w:vAlign w:val="center"/>
            <w:textDirection w:val="lrTb"/>
            <w:noWrap w:val="false"/>
          </w:tcPr>
          <w:p>
            <w:pPr>
              <w:rPr>
                <w:rFonts w:hint="eastAsia" w:ascii="宋体" w:hAnsi="宋体" w:cs="宋体"/>
                <w:szCs w:val="21"/>
              </w:rPr>
            </w:pPr>
            <w:r>
              <w:rPr>
                <w:rFonts w:hint="eastAsia" w:ascii="宋体" w:hAnsi="宋体" w:cs="宋体"/>
                <w:szCs w:val="21"/>
              </w:rPr>
              <w:t xml:space="preserve">4、不符合要求样本后期处理：二次从样品处理到快速检测的复测，复测合格的，以复测结果为准，复测仍不合格的，及时通知送检单位或上报监督部门，并配合做好后续处理工作。</w:t>
            </w:r>
            <w:r/>
          </w:p>
        </w:tc>
      </w:tr>
      <w:tr>
        <w:trPr>
          <w:jc w:val="center"/>
        </w:trPr>
        <w:tc>
          <w:tcPr>
            <w:tcW w:w="9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097"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5、所有检测数据按照滨海县市场监管部门要求上传、报送。</w:t>
            </w:r>
            <w:r/>
          </w:p>
        </w:tc>
      </w:tr>
      <w:tr>
        <w:trPr>
          <w:jc w:val="center"/>
        </w:trPr>
        <w:tc>
          <w:tcPr>
            <w:tcW w:w="9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097"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6、</w:t>
            </w:r>
            <w:r>
              <w:rPr>
                <w:rFonts w:hint="eastAsia" w:ascii="宋体" w:hAnsi="宋体" w:eastAsia="宋体" w:cs="宋体"/>
                <w:color w:val="auto"/>
                <w:szCs w:val="21"/>
                <w:lang w:val="en-US" w:eastAsia="zh-CN"/>
              </w:rPr>
              <w:t xml:space="preserve">做好样本标签填写及样本留样工作</w:t>
            </w:r>
            <w:r>
              <w:rPr>
                <w:rFonts w:hint="eastAsia" w:ascii="宋体" w:hAnsi="宋体" w:cs="宋体"/>
                <w:color w:val="auto"/>
                <w:szCs w:val="21"/>
              </w:rPr>
              <w:t xml:space="preserve">。</w:t>
            </w:r>
            <w:r/>
          </w:p>
        </w:tc>
      </w:tr>
      <w:tr>
        <w:trPr>
          <w:jc w:val="center"/>
        </w:trPr>
        <w:tc>
          <w:tcPr>
            <w:tcW w:w="9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097" w:type="pct"/>
            <w:vAlign w:val="center"/>
            <w:textDirection w:val="lrTb"/>
            <w:noWrap w:val="false"/>
          </w:tcPr>
          <w:p>
            <w:pPr>
              <w:rPr>
                <w:rFonts w:hint="eastAsia" w:ascii="宋体" w:hAnsi="宋体" w:cs="宋体"/>
                <w:szCs w:val="21"/>
              </w:rPr>
            </w:pPr>
            <w:r>
              <w:rPr>
                <w:rFonts w:hint="eastAsia" w:ascii="宋体" w:hAnsi="宋体" w:cs="宋体"/>
                <w:szCs w:val="21"/>
              </w:rPr>
              <w:t xml:space="preserve">7、按照实验室卫生管理制度做好清洁工作，包括固废、液废处理、物品摆放、地面和桌面卫生清洁。</w:t>
            </w:r>
            <w:r/>
          </w:p>
        </w:tc>
      </w:tr>
      <w:tr>
        <w:trPr>
          <w:jc w:val="center"/>
        </w:trPr>
        <w:tc>
          <w:tcPr>
            <w:tcW w:w="90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097" w:type="pct"/>
            <w:vAlign w:val="center"/>
            <w:textDirection w:val="lrTb"/>
            <w:noWrap w:val="false"/>
          </w:tcPr>
          <w:p>
            <w:pPr>
              <w:rPr>
                <w:rFonts w:hint="eastAsia" w:ascii="宋体" w:hAnsi="宋体" w:cs="宋体"/>
                <w:szCs w:val="21"/>
              </w:rPr>
            </w:pPr>
            <w:r>
              <w:rPr>
                <w:rFonts w:hint="eastAsia" w:ascii="宋体" w:hAnsi="宋体" w:cs="宋体"/>
                <w:szCs w:val="21"/>
              </w:rPr>
              <w:t xml:space="preserve">8、关闭电源。</w:t>
            </w:r>
            <w:r/>
          </w:p>
        </w:tc>
      </w:tr>
    </w:tbl>
    <w:p>
      <w:pPr>
        <w:spacing w:line="360" w:lineRule="auto"/>
        <w:rPr>
          <w:rFonts w:hint="eastAsia" w:ascii="宋体" w:hAnsi="宋体" w:cs="宋体"/>
          <w:sz w:val="24"/>
        </w:rPr>
      </w:pPr>
      <w:r>
        <w:rPr>
          <w:rFonts w:hint="eastAsia" w:ascii="宋体" w:hAnsi="宋体" w:cs="宋体"/>
          <w:color w:val="000000"/>
          <w:sz w:val="24"/>
          <w:lang w:bidi="ar"/>
        </w:rPr>
        <w:t xml:space="preserve">。</w:t>
      </w:r>
      <w:r/>
    </w:p>
    <w:p>
      <w:pPr>
        <w:keepLines/>
        <w:keepNext/>
        <w:spacing w:line="360" w:lineRule="auto"/>
        <w:rPr>
          <w:rFonts w:hint="eastAsia"/>
          <w:b/>
          <w:sz w:val="28"/>
        </w:rPr>
        <w:outlineLvl w:val="2"/>
      </w:pPr>
      <w:r>
        <w:rPr>
          <w:rFonts w:hint="eastAsia"/>
          <w:b/>
          <w:sz w:val="28"/>
        </w:rPr>
        <w:t xml:space="preserve">5、▲检测要求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1.批发市场：入场批批检，</w:t>
      </w:r>
      <w:r>
        <w:rPr>
          <w:rFonts w:hint="eastAsia" w:ascii="宋体" w:hAnsi="宋体" w:eastAsia="宋体" w:cs="宋体"/>
          <w:color w:val="auto"/>
          <w:sz w:val="24"/>
          <w:lang w:val="en-US" w:eastAsia="zh-CN"/>
        </w:rPr>
        <w:t xml:space="preserve">检测参数根据甲方要求实施</w:t>
      </w:r>
      <w:r>
        <w:rPr>
          <w:rFonts w:hint="eastAsia" w:ascii="宋体" w:hAnsi="宋体" w:cs="宋体"/>
          <w:color w:val="auto"/>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2.农贸市场：鳊鱼、泥鳅、牛蛙、黄鳝两天检一次，检测参数</w:t>
      </w:r>
      <w:r>
        <w:rPr>
          <w:rFonts w:hint="eastAsia" w:ascii="宋体" w:hAnsi="宋体" w:eastAsia="宋体" w:cs="宋体"/>
          <w:sz w:val="24"/>
          <w:lang w:val="en-US" w:eastAsia="zh-CN"/>
        </w:rPr>
        <w:t xml:space="preserve">常规</w:t>
      </w:r>
      <w:r>
        <w:rPr>
          <w:rFonts w:hint="eastAsia" w:ascii="宋体" w:hAnsi="宋体" w:cs="宋体"/>
          <w:sz w:val="24"/>
        </w:rPr>
        <w:t xml:space="preserve">药物全检，禁</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停</w:t>
      </w:r>
      <w:r>
        <w:rPr>
          <w:rFonts w:hint="eastAsia" w:ascii="宋体" w:hAnsi="宋体" w:eastAsia="宋体" w:cs="宋体"/>
          <w:sz w:val="24"/>
          <w:lang w:eastAsia="zh-CN"/>
        </w:rPr>
        <w:t xml:space="preserve">）</w:t>
      </w:r>
      <w:r>
        <w:rPr>
          <w:rFonts w:hint="eastAsia" w:ascii="宋体" w:hAnsi="宋体" w:cs="宋体"/>
          <w:sz w:val="24"/>
        </w:rPr>
        <w:t xml:space="preserve">用药物周覆盖一个参数，一周覆盖市场内所有经营商户（孟舍市场三天覆盖所有</w:t>
      </w:r>
      <w:r>
        <w:rPr>
          <w:rFonts w:hint="eastAsia" w:ascii="宋体" w:hAnsi="宋体" w:eastAsia="宋体" w:cs="宋体"/>
          <w:sz w:val="24"/>
          <w:lang w:val="en-US" w:eastAsia="zh-CN"/>
        </w:rPr>
        <w:t xml:space="preserve">经营</w:t>
      </w:r>
      <w:r>
        <w:rPr>
          <w:rFonts w:hint="eastAsia" w:ascii="宋体" w:hAnsi="宋体" w:cs="宋体"/>
          <w:sz w:val="24"/>
        </w:rPr>
        <w:t xml:space="preserve">商户）；鲫鱼、大口黑鲈、乌鳢每周检一次，检测参数为恩诺环丙，月覆盖所有</w:t>
      </w:r>
      <w:r>
        <w:rPr>
          <w:rFonts w:hint="eastAsia" w:ascii="宋体" w:hAnsi="宋体" w:eastAsia="宋体" w:cs="宋体"/>
          <w:sz w:val="24"/>
          <w:lang w:val="en-US" w:eastAsia="zh-CN"/>
        </w:rPr>
        <w:t xml:space="preserve">经营</w:t>
      </w:r>
      <w:r>
        <w:rPr>
          <w:rFonts w:hint="eastAsia" w:ascii="宋体" w:hAnsi="宋体" w:cs="宋体"/>
          <w:sz w:val="24"/>
        </w:rPr>
        <w:t xml:space="preserve">商户。豇豆、芹菜、葱天天检，每次检测一个参数，周覆盖所有参数，一周覆盖市场内所有经营商户；蛋天天检，每次检测一个参数，周覆盖所有参数，一周覆盖市场内所有经营商户；甘薯、海参、荔枝每周检一次，每次检测一个参数。</w:t>
      </w:r>
      <w:r/>
    </w:p>
    <w:p>
      <w:pPr>
        <w:ind w:firstLine="480"/>
        <w:jc w:val="left"/>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3.具体检测工作机制按甲方需求作动态调整。</w:t>
      </w:r>
      <w:r/>
    </w:p>
    <w:p>
      <w:pPr>
        <w:ind w:firstLine="480"/>
        <w:jc w:val="left"/>
        <w:spacing w:line="360" w:lineRule="auto"/>
        <w:rPr>
          <w:rFonts w:hint="eastAsia" w:ascii="宋体" w:hAnsi="宋体" w:cs="宋体"/>
          <w:sz w:val="24"/>
        </w:rPr>
      </w:pPr>
      <w:r>
        <w:rPr>
          <w:rFonts w:hint="eastAsia" w:ascii="宋体" w:hAnsi="宋体" w:eastAsia="宋体" w:cs="宋体"/>
          <w:sz w:val="24"/>
          <w:lang w:val="en-US" w:eastAsia="zh-CN"/>
        </w:rPr>
        <w:t xml:space="preserve">4</w:t>
      </w:r>
      <w:r>
        <w:rPr>
          <w:rFonts w:hint="eastAsia" w:ascii="宋体" w:hAnsi="宋体" w:cs="宋体"/>
          <w:sz w:val="24"/>
        </w:rPr>
        <w:t xml:space="preserve">.对各乡镇街道“七鱼”售卖摊点进行飞行抽检，每月80个样本，检测80个参数。</w:t>
      </w:r>
      <w:r/>
    </w:p>
    <w:p>
      <w:pPr>
        <w:ind w:firstLine="480"/>
        <w:jc w:val="left"/>
        <w:spacing w:line="360" w:lineRule="auto"/>
        <w:rPr>
          <w:rFonts w:hint="eastAsia" w:ascii="宋体" w:hAnsi="宋体" w:cs="宋体"/>
          <w:b/>
          <w:bCs/>
          <w:color w:val="000000"/>
          <w:sz w:val="24"/>
          <w:highlight w:val="none"/>
          <w:lang w:bidi="ar"/>
        </w:rPr>
      </w:pPr>
      <w:r>
        <w:rPr>
          <w:rFonts w:hint="eastAsia" w:ascii="宋体" w:hAnsi="宋体" w:cs="宋体"/>
          <w:sz w:val="24"/>
          <w:highlight w:val="none"/>
        </w:rPr>
        <w:t xml:space="preserve">具体</w:t>
      </w:r>
      <w:r>
        <w:rPr>
          <w:rFonts w:hint="eastAsia" w:ascii="宋体" w:hAnsi="宋体" w:eastAsia="宋体" w:cs="宋体"/>
          <w:sz w:val="24"/>
          <w:highlight w:val="none"/>
          <w:lang w:val="en-US" w:eastAsia="zh-CN"/>
        </w:rPr>
        <w:t xml:space="preserve">要求</w:t>
      </w:r>
      <w:r>
        <w:rPr>
          <w:rFonts w:hint="eastAsia" w:ascii="宋体" w:hAnsi="宋体" w:cs="宋体"/>
          <w:sz w:val="24"/>
          <w:highlight w:val="none"/>
        </w:rPr>
        <w:t xml:space="preserve">如下：</w:t>
      </w:r>
      <w:r/>
    </w:p>
    <w:p>
      <w:pPr>
        <w:jc w:val="center"/>
        <w:rPr>
          <w:rFonts w:hint="eastAsia" w:ascii="宋体" w:hAnsi="宋体" w:eastAsia="宋体" w:cs="宋体"/>
          <w:highlight w:val="none"/>
          <w:lang w:eastAsia="zh-CN"/>
        </w:rPr>
      </w:pPr>
      <w:r>
        <w:rPr>
          <w:rFonts w:hint="eastAsia" w:ascii="宋体" w:hAnsi="宋体" w:cs="宋体"/>
          <w:b/>
          <w:bCs/>
          <w:color w:val="000000"/>
          <w:sz w:val="24"/>
          <w:highlight w:val="none"/>
          <w:lang w:bidi="ar"/>
        </w:rPr>
        <w:t xml:space="preserve">重点问题食用农产品检测</w:t>
      </w:r>
      <w:r>
        <w:rPr>
          <w:rFonts w:hint="eastAsia" w:ascii="宋体" w:hAnsi="宋体" w:eastAsia="宋体" w:cs="宋体"/>
          <w:b/>
          <w:bCs/>
          <w:color w:val="000000"/>
          <w:sz w:val="24"/>
          <w:highlight w:val="none"/>
          <w:lang w:val="en-US" w:eastAsia="zh-CN" w:bidi="ar"/>
        </w:rPr>
        <w:t xml:space="preserve">样本</w:t>
      </w:r>
      <w:r>
        <w:rPr>
          <w:rFonts w:hint="eastAsia" w:ascii="宋体" w:hAnsi="宋体" w:cs="宋体"/>
          <w:b/>
          <w:bCs/>
          <w:color w:val="000000"/>
          <w:sz w:val="24"/>
          <w:highlight w:val="none"/>
          <w:lang w:bidi="ar"/>
        </w:rPr>
        <w:t xml:space="preserve">、</w:t>
      </w:r>
      <w:r>
        <w:rPr>
          <w:rFonts w:hint="eastAsia" w:ascii="宋体" w:hAnsi="宋体" w:eastAsia="宋体" w:cs="宋体"/>
          <w:b/>
          <w:bCs/>
          <w:color w:val="000000"/>
          <w:sz w:val="24"/>
          <w:highlight w:val="none"/>
          <w:lang w:val="en-US" w:eastAsia="zh-CN" w:bidi="ar"/>
        </w:rPr>
        <w:t xml:space="preserve">参数</w:t>
      </w:r>
      <w:r/>
    </w:p>
    <w:tbl>
      <w:tblPr>
        <w:tblStyle w:val="721"/>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431"/>
        <w:gridCol w:w="3258"/>
      </w:tblGrid>
      <w:tr>
        <w:trPr>
          <w:trHeight w:val="631"/>
        </w:trPr>
        <w:tc>
          <w:tcPr>
            <w:tcW w:w="1239" w:type="dxa"/>
            <w:vAlign w:val="center"/>
            <w:textDirection w:val="lrTb"/>
            <w:noWrap w:val="false"/>
          </w:tcPr>
          <w:p>
            <w:pPr>
              <w:jc w:val="center"/>
              <w:rPr>
                <w:sz w:val="24"/>
              </w:rPr>
            </w:pPr>
            <w:r>
              <w:rPr>
                <w:rFonts w:hint="eastAsia"/>
                <w:sz w:val="24"/>
              </w:rPr>
              <w:t xml:space="preserve">样本</w:t>
            </w:r>
            <w:r/>
          </w:p>
        </w:tc>
        <w:tc>
          <w:tcPr>
            <w:tcW w:w="4431" w:type="dxa"/>
            <w:vAlign w:val="center"/>
            <w:textDirection w:val="lrTb"/>
            <w:noWrap w:val="false"/>
          </w:tcPr>
          <w:p>
            <w:pPr>
              <w:jc w:val="center"/>
              <w:rPr>
                <w:sz w:val="24"/>
              </w:rPr>
            </w:pPr>
            <w:r>
              <w:rPr>
                <w:rFonts w:hint="eastAsia"/>
                <w:sz w:val="24"/>
              </w:rPr>
              <w:t xml:space="preserve">常规药物</w:t>
            </w:r>
            <w:r>
              <w:rPr>
                <w:rFonts w:hint="eastAsia" w:eastAsia="宋体"/>
                <w:sz w:val="24"/>
                <w:lang w:val="en-US" w:eastAsia="zh-CN"/>
              </w:rPr>
              <w:t xml:space="preserve">检测</w:t>
            </w:r>
            <w:r>
              <w:rPr>
                <w:rFonts w:hint="eastAsia"/>
                <w:sz w:val="24"/>
              </w:rPr>
              <w:t xml:space="preserve">参数</w:t>
            </w:r>
            <w:r/>
          </w:p>
        </w:tc>
        <w:tc>
          <w:tcPr>
            <w:tcW w:w="3258" w:type="dxa"/>
            <w:vAlign w:val="center"/>
            <w:textDirection w:val="lrTb"/>
            <w:noWrap w:val="false"/>
          </w:tcPr>
          <w:p>
            <w:pPr>
              <w:jc w:val="center"/>
              <w:rPr>
                <w:sz w:val="24"/>
              </w:rPr>
            </w:pPr>
            <w:r>
              <w:rPr>
                <w:rFonts w:hint="eastAsia"/>
                <w:sz w:val="24"/>
              </w:rPr>
              <w:t xml:space="preserve">禁（停）用药物检测参数</w:t>
            </w:r>
            <w:r/>
          </w:p>
        </w:tc>
      </w:tr>
      <w:tr>
        <w:trPr/>
        <w:tc>
          <w:tcPr>
            <w:tcW w:w="1239" w:type="dxa"/>
            <w:vAlign w:val="center"/>
            <w:textDirection w:val="lrTb"/>
            <w:noWrap w:val="false"/>
          </w:tcPr>
          <w:p>
            <w:pPr>
              <w:jc w:val="center"/>
              <w:rPr>
                <w:rFonts w:hint="eastAsia"/>
                <w:sz w:val="24"/>
              </w:rPr>
            </w:pPr>
            <w:r>
              <w:rPr>
                <w:rFonts w:hint="eastAsia"/>
                <w:b/>
                <w:bCs/>
                <w:sz w:val="24"/>
              </w:rPr>
              <w:t xml:space="preserve">鳊鱼</w:t>
            </w:r>
            <w:r/>
          </w:p>
        </w:tc>
        <w:tc>
          <w:tcPr>
            <w:tcW w:w="4431" w:type="dxa"/>
            <w:vAlign w:val="center"/>
            <w:textDirection w:val="lrTb"/>
            <w:noWrap w:val="false"/>
          </w:tcPr>
          <w:p>
            <w:pPr>
              <w:jc w:val="center"/>
              <w:rPr>
                <w:sz w:val="24"/>
              </w:rPr>
            </w:pPr>
            <w:r>
              <w:rPr>
                <w:rFonts w:hint="eastAsia"/>
                <w:sz w:val="24"/>
              </w:rPr>
              <w:t xml:space="preserve">恩诺沙星和环丙沙星、磺胺类</w:t>
            </w:r>
            <w:r/>
          </w:p>
        </w:tc>
        <w:tc>
          <w:tcPr>
            <w:tcW w:w="3258" w:type="dxa"/>
            <w:vAlign w:val="center"/>
            <w:textDirection w:val="lrTb"/>
            <w:noWrap w:val="false"/>
          </w:tcPr>
          <w:p>
            <w:pPr>
              <w:jc w:val="center"/>
              <w:rPr>
                <w:rFonts w:hint="eastAsia"/>
                <w:sz w:val="24"/>
              </w:rPr>
            </w:pPr>
            <w:r>
              <w:rPr>
                <w:rFonts w:hint="eastAsia"/>
                <w:sz w:val="24"/>
              </w:rPr>
              <w:t xml:space="preserve">氧氟沙星、</w:t>
            </w:r>
            <w:r>
              <w:rPr>
                <w:sz w:val="24"/>
              </w:rPr>
              <w:t xml:space="preserve">氯霉素</w:t>
            </w:r>
            <w:r>
              <w:rPr>
                <w:rFonts w:hint="eastAsia"/>
                <w:sz w:val="24"/>
              </w:rPr>
              <w:t xml:space="preserve">、</w:t>
            </w:r>
            <w:r>
              <w:rPr>
                <w:sz w:val="24"/>
              </w:rPr>
              <w:t xml:space="preserve">孔雀石绿</w:t>
            </w:r>
            <w:r/>
          </w:p>
        </w:tc>
      </w:tr>
      <w:tr>
        <w:trPr/>
        <w:tc>
          <w:tcPr>
            <w:tcW w:w="1239" w:type="dxa"/>
            <w:vAlign w:val="center"/>
            <w:textDirection w:val="lrTb"/>
            <w:noWrap w:val="false"/>
          </w:tcPr>
          <w:p>
            <w:pPr>
              <w:jc w:val="center"/>
              <w:rPr>
                <w:rFonts w:hint="eastAsia"/>
                <w:sz w:val="24"/>
              </w:rPr>
            </w:pPr>
            <w:r>
              <w:rPr>
                <w:rFonts w:hint="eastAsia"/>
                <w:b/>
                <w:bCs/>
                <w:sz w:val="24"/>
              </w:rPr>
              <w:t xml:space="preserve">黄鳝</w:t>
            </w:r>
            <w:r/>
          </w:p>
        </w:tc>
        <w:tc>
          <w:tcPr>
            <w:tcW w:w="4431" w:type="dxa"/>
            <w:vAlign w:val="center"/>
            <w:textDirection w:val="lrTb"/>
            <w:noWrap w:val="false"/>
          </w:tcPr>
          <w:p>
            <w:pPr>
              <w:jc w:val="center"/>
              <w:rPr>
                <w:sz w:val="24"/>
              </w:rPr>
            </w:pPr>
            <w:r>
              <w:rPr>
                <w:rFonts w:hint="eastAsia"/>
                <w:sz w:val="24"/>
              </w:rPr>
              <w:t xml:space="preserve">恩诺沙星和环丙沙星、磺胺类、氟苯尼考和氟苯尼考胺之和</w:t>
            </w:r>
            <w:r/>
          </w:p>
        </w:tc>
        <w:tc>
          <w:tcPr>
            <w:tcW w:w="3258" w:type="dxa"/>
            <w:vAlign w:val="center"/>
            <w:textDirection w:val="lrTb"/>
            <w:noWrap w:val="false"/>
          </w:tcPr>
          <w:p>
            <w:pPr>
              <w:jc w:val="center"/>
              <w:rPr>
                <w:rFonts w:hint="eastAsia"/>
                <w:sz w:val="24"/>
              </w:rPr>
            </w:pPr>
            <w:r>
              <w:rPr>
                <w:rFonts w:hint="eastAsia"/>
                <w:sz w:val="24"/>
              </w:rPr>
              <w:t xml:space="preserve">氧氟沙星、氯霉素、</w:t>
            </w:r>
            <w:r>
              <w:rPr>
                <w:sz w:val="24"/>
              </w:rPr>
              <w:t xml:space="preserve">孔雀石绿</w:t>
            </w:r>
            <w:r/>
          </w:p>
        </w:tc>
      </w:tr>
      <w:tr>
        <w:trPr/>
        <w:tc>
          <w:tcPr>
            <w:tcW w:w="1239" w:type="dxa"/>
            <w:vAlign w:val="center"/>
            <w:textDirection w:val="lrTb"/>
            <w:noWrap w:val="false"/>
          </w:tcPr>
          <w:p>
            <w:pPr>
              <w:jc w:val="center"/>
              <w:rPr>
                <w:rFonts w:hint="eastAsia"/>
                <w:sz w:val="24"/>
              </w:rPr>
            </w:pPr>
            <w:r>
              <w:rPr>
                <w:rFonts w:hint="eastAsia"/>
                <w:b/>
                <w:bCs/>
                <w:sz w:val="24"/>
              </w:rPr>
              <w:t xml:space="preserve">泥鳅</w:t>
            </w:r>
            <w:r/>
          </w:p>
        </w:tc>
        <w:tc>
          <w:tcPr>
            <w:tcW w:w="4431" w:type="dxa"/>
            <w:vAlign w:val="center"/>
            <w:textDirection w:val="lrTb"/>
            <w:noWrap w:val="false"/>
          </w:tcPr>
          <w:p>
            <w:pPr>
              <w:jc w:val="center"/>
              <w:rPr>
                <w:rFonts w:hint="eastAsia"/>
                <w:sz w:val="24"/>
              </w:rPr>
            </w:pPr>
            <w:r>
              <w:rPr>
                <w:rFonts w:hint="eastAsia"/>
                <w:sz w:val="24"/>
              </w:rPr>
              <w:t xml:space="preserve">恩诺沙星和环丙沙星</w:t>
            </w:r>
            <w:r/>
          </w:p>
        </w:tc>
        <w:tc>
          <w:tcPr>
            <w:tcW w:w="3258" w:type="dxa"/>
            <w:vAlign w:val="center"/>
            <w:textDirection w:val="lrTb"/>
            <w:noWrap w:val="false"/>
          </w:tcPr>
          <w:p>
            <w:pPr>
              <w:jc w:val="center"/>
              <w:rPr>
                <w:sz w:val="24"/>
              </w:rPr>
            </w:pPr>
            <w:r>
              <w:rPr>
                <w:sz w:val="24"/>
              </w:rPr>
              <w:t xml:space="preserve">孔雀石绿</w:t>
            </w:r>
            <w:r/>
          </w:p>
        </w:tc>
      </w:tr>
      <w:tr>
        <w:trPr/>
        <w:tc>
          <w:tcPr>
            <w:tcW w:w="1239" w:type="dxa"/>
            <w:vAlign w:val="center"/>
            <w:textDirection w:val="lrTb"/>
            <w:noWrap w:val="false"/>
          </w:tcPr>
          <w:p>
            <w:pPr>
              <w:jc w:val="center"/>
              <w:rPr>
                <w:rFonts w:hint="eastAsia"/>
                <w:sz w:val="24"/>
              </w:rPr>
            </w:pPr>
            <w:r>
              <w:rPr>
                <w:b/>
                <w:bCs/>
                <w:sz w:val="24"/>
              </w:rPr>
              <w:t xml:space="preserve">牛蛙</w:t>
            </w:r>
            <w:r/>
          </w:p>
        </w:tc>
        <w:tc>
          <w:tcPr>
            <w:tcW w:w="4431" w:type="dxa"/>
            <w:vAlign w:val="center"/>
            <w:textDirection w:val="lrTb"/>
            <w:noWrap w:val="false"/>
          </w:tcPr>
          <w:p>
            <w:pPr>
              <w:jc w:val="center"/>
              <w:rPr>
                <w:rFonts w:hint="eastAsia"/>
                <w:sz w:val="24"/>
              </w:rPr>
            </w:pPr>
            <w:r>
              <w:rPr>
                <w:rFonts w:hint="eastAsia"/>
                <w:sz w:val="24"/>
              </w:rPr>
              <w:t xml:space="preserve">恩诺沙星和环丙沙星、磺胺类、甲硝唑</w:t>
            </w:r>
            <w:r/>
          </w:p>
        </w:tc>
        <w:tc>
          <w:tcPr>
            <w:tcW w:w="3258" w:type="dxa"/>
            <w:vAlign w:val="center"/>
            <w:textDirection w:val="lrTb"/>
            <w:noWrap w:val="false"/>
          </w:tcPr>
          <w:p>
            <w:pPr>
              <w:jc w:val="center"/>
              <w:rPr>
                <w:rFonts w:hint="eastAsia"/>
                <w:sz w:val="24"/>
              </w:rPr>
            </w:pPr>
            <w:r>
              <w:rPr>
                <w:rFonts w:hint="eastAsia"/>
                <w:sz w:val="24"/>
              </w:rPr>
              <w:t xml:space="preserve">氧氟沙星、呋喃唑酮代谢物、</w:t>
            </w:r>
            <w:r>
              <w:rPr>
                <w:sz w:val="24"/>
              </w:rPr>
              <w:t xml:space="preserve">氯霉素</w:t>
            </w:r>
            <w:r>
              <w:rPr>
                <w:rFonts w:hint="eastAsia"/>
                <w:sz w:val="24"/>
              </w:rPr>
              <w:t xml:space="preserve">、呋喃西林代谢物、</w:t>
            </w:r>
            <w:r>
              <w:rPr>
                <w:sz w:val="24"/>
              </w:rPr>
              <w:t xml:space="preserve">孔雀石绿</w:t>
            </w:r>
            <w:r/>
          </w:p>
        </w:tc>
      </w:tr>
      <w:tr>
        <w:trPr/>
        <w:tc>
          <w:tcPr>
            <w:tcW w:w="1239" w:type="dxa"/>
            <w:vAlign w:val="center"/>
            <w:textDirection w:val="lrTb"/>
            <w:noWrap w:val="false"/>
          </w:tcPr>
          <w:p>
            <w:pPr>
              <w:jc w:val="center"/>
              <w:rPr>
                <w:b/>
                <w:bCs/>
                <w:sz w:val="24"/>
              </w:rPr>
            </w:pPr>
            <w:r>
              <w:rPr>
                <w:rFonts w:hint="eastAsia"/>
                <w:b/>
                <w:bCs/>
                <w:sz w:val="24"/>
              </w:rPr>
              <w:t xml:space="preserve">鲫鱼</w:t>
            </w:r>
            <w:r/>
          </w:p>
        </w:tc>
        <w:tc>
          <w:tcPr>
            <w:tcW w:w="4431" w:type="dxa"/>
            <w:vAlign w:val="center"/>
            <w:textDirection w:val="lrTb"/>
            <w:noWrap w:val="false"/>
          </w:tcPr>
          <w:p>
            <w:pPr>
              <w:jc w:val="center"/>
              <w:rPr>
                <w:rFonts w:hint="eastAsia"/>
                <w:sz w:val="24"/>
              </w:rPr>
            </w:pPr>
            <w:r>
              <w:rPr>
                <w:rFonts w:hint="eastAsia"/>
                <w:sz w:val="24"/>
              </w:rPr>
              <w:t xml:space="preserve">恩诺沙星和环丙沙星</w:t>
            </w:r>
            <w:r/>
          </w:p>
        </w:tc>
        <w:tc>
          <w:tcPr>
            <w:tcW w:w="3258" w:type="dxa"/>
            <w:vAlign w:val="center"/>
            <w:textDirection w:val="lrTb"/>
            <w:noWrap w:val="false"/>
          </w:tcPr>
          <w:p>
            <w:pPr>
              <w:jc w:val="center"/>
              <w:rPr>
                <w:rFonts w:hint="eastAsia"/>
                <w:sz w:val="24"/>
              </w:rPr>
            </w:pPr>
            <w:r>
              <w:rPr>
                <w:rFonts w:hint="eastAsia"/>
                <w:sz w:val="24"/>
              </w:rPr>
              <w:t xml:space="preserve">氧氟沙星、呋喃唑酮代谢物、</w:t>
            </w:r>
            <w:r>
              <w:rPr>
                <w:sz w:val="24"/>
              </w:rPr>
              <w:t xml:space="preserve">孔雀石绿</w:t>
            </w:r>
            <w:r/>
          </w:p>
        </w:tc>
      </w:tr>
      <w:tr>
        <w:trPr/>
        <w:tc>
          <w:tcPr>
            <w:tcW w:w="1239" w:type="dxa"/>
            <w:vAlign w:val="center"/>
            <w:textDirection w:val="lrTb"/>
            <w:noWrap w:val="false"/>
          </w:tcPr>
          <w:p>
            <w:pPr>
              <w:jc w:val="center"/>
              <w:rPr>
                <w:b/>
                <w:bCs/>
                <w:sz w:val="24"/>
              </w:rPr>
            </w:pPr>
            <w:r>
              <w:rPr>
                <w:b/>
                <w:bCs/>
                <w:sz w:val="24"/>
              </w:rPr>
              <w:t xml:space="preserve">大口黑鲈</w:t>
            </w:r>
            <w:r/>
          </w:p>
        </w:tc>
        <w:tc>
          <w:tcPr>
            <w:tcW w:w="4431" w:type="dxa"/>
            <w:vAlign w:val="center"/>
            <w:textDirection w:val="lrTb"/>
            <w:noWrap w:val="false"/>
          </w:tcPr>
          <w:p>
            <w:pPr>
              <w:jc w:val="center"/>
              <w:rPr>
                <w:rFonts w:hint="eastAsia"/>
                <w:sz w:val="24"/>
              </w:rPr>
            </w:pPr>
            <w:r>
              <w:rPr>
                <w:rFonts w:hint="eastAsia"/>
                <w:sz w:val="24"/>
              </w:rPr>
              <w:t xml:space="preserve">恩诺沙星和环丙沙星之和、磺胺类、氟苯尼考和氟苯尼考胺</w:t>
            </w:r>
            <w:r/>
          </w:p>
        </w:tc>
        <w:tc>
          <w:tcPr>
            <w:tcW w:w="3258" w:type="dxa"/>
            <w:vAlign w:val="center"/>
            <w:textDirection w:val="lrTb"/>
            <w:noWrap w:val="false"/>
          </w:tcPr>
          <w:p>
            <w:pPr>
              <w:jc w:val="center"/>
              <w:rPr>
                <w:rFonts w:hint="eastAsia"/>
                <w:sz w:val="24"/>
              </w:rPr>
            </w:pPr>
            <w:r>
              <w:rPr>
                <w:rFonts w:hint="eastAsia"/>
                <w:sz w:val="24"/>
              </w:rPr>
              <w:t xml:space="preserve">氧氟沙星、呋喃唑酮代谢物、</w:t>
            </w:r>
            <w:r>
              <w:rPr>
                <w:sz w:val="24"/>
              </w:rPr>
              <w:t xml:space="preserve">孔雀石绿</w:t>
            </w:r>
            <w:r/>
          </w:p>
        </w:tc>
      </w:tr>
      <w:tr>
        <w:trPr/>
        <w:tc>
          <w:tcPr>
            <w:tcW w:w="1239" w:type="dxa"/>
            <w:vAlign w:val="center"/>
            <w:textDirection w:val="lrTb"/>
            <w:noWrap w:val="false"/>
          </w:tcPr>
          <w:p>
            <w:pPr>
              <w:jc w:val="center"/>
              <w:rPr>
                <w:b/>
                <w:bCs/>
                <w:sz w:val="24"/>
              </w:rPr>
            </w:pPr>
            <w:r>
              <w:rPr>
                <w:b/>
                <w:bCs/>
                <w:sz w:val="24"/>
              </w:rPr>
              <w:t xml:space="preserve">乌鳢</w:t>
            </w:r>
            <w:r/>
          </w:p>
        </w:tc>
        <w:tc>
          <w:tcPr>
            <w:tcW w:w="4431" w:type="dxa"/>
            <w:vAlign w:val="center"/>
            <w:textDirection w:val="lrTb"/>
            <w:noWrap w:val="false"/>
          </w:tcPr>
          <w:p>
            <w:pPr>
              <w:jc w:val="center"/>
              <w:rPr>
                <w:rFonts w:hint="eastAsia"/>
                <w:sz w:val="24"/>
              </w:rPr>
            </w:pPr>
            <w:r>
              <w:rPr>
                <w:rFonts w:hint="eastAsia"/>
                <w:sz w:val="24"/>
              </w:rPr>
              <w:t xml:space="preserve">恩诺沙星和环丙沙星之和、磺胺类、氟苯尼考和氟苯尼考胺之和</w:t>
            </w:r>
            <w:r/>
          </w:p>
        </w:tc>
        <w:tc>
          <w:tcPr>
            <w:tcW w:w="3258" w:type="dxa"/>
            <w:vAlign w:val="center"/>
            <w:textDirection w:val="lrTb"/>
            <w:noWrap w:val="false"/>
          </w:tcPr>
          <w:p>
            <w:pPr>
              <w:jc w:val="center"/>
              <w:rPr>
                <w:rFonts w:hint="eastAsia"/>
                <w:sz w:val="24"/>
              </w:rPr>
            </w:pPr>
            <w:r>
              <w:rPr>
                <w:rFonts w:hint="eastAsia"/>
                <w:sz w:val="24"/>
              </w:rPr>
              <w:t xml:space="preserve">氧氟沙星、呋喃唑酮代谢物、</w:t>
            </w:r>
            <w:r>
              <w:rPr>
                <w:sz w:val="24"/>
              </w:rPr>
              <w:t xml:space="preserve">孔雀石绿</w:t>
            </w:r>
            <w:r/>
          </w:p>
        </w:tc>
      </w:tr>
      <w:tr>
        <w:trPr/>
        <w:tc>
          <w:tcPr>
            <w:tcW w:w="1239" w:type="dxa"/>
            <w:vAlign w:val="center"/>
            <w:textDirection w:val="lrTb"/>
            <w:noWrap w:val="false"/>
          </w:tcPr>
          <w:p>
            <w:pPr>
              <w:jc w:val="center"/>
              <w:rPr>
                <w:rFonts w:hint="eastAsia"/>
                <w:b/>
                <w:bCs/>
                <w:sz w:val="24"/>
              </w:rPr>
            </w:pPr>
            <w:r>
              <w:rPr>
                <w:rFonts w:hint="eastAsia"/>
                <w:b/>
                <w:bCs/>
                <w:sz w:val="24"/>
              </w:rPr>
              <w:t xml:space="preserve">海参</w:t>
            </w:r>
            <w:r/>
          </w:p>
        </w:tc>
        <w:tc>
          <w:tcPr>
            <w:tcW w:w="4431" w:type="dxa"/>
            <w:vAlign w:val="center"/>
            <w:textDirection w:val="lrTb"/>
            <w:noWrap w:val="false"/>
          </w:tcPr>
          <w:p>
            <w:pPr>
              <w:jc w:val="center"/>
              <w:rPr>
                <w:rFonts w:hint="eastAsia"/>
                <w:sz w:val="24"/>
              </w:rPr>
            </w:pPr>
            <w:r>
              <w:rPr>
                <w:rFonts w:hint="eastAsia"/>
                <w:sz w:val="24"/>
              </w:rPr>
              <w:t xml:space="preserve">恩诺沙星和环丙沙星、氟苯尼考和氟苯尼考胺之和</w:t>
            </w:r>
            <w:r/>
          </w:p>
        </w:tc>
        <w:tc>
          <w:tcPr>
            <w:tcW w:w="3258" w:type="dxa"/>
            <w:vAlign w:val="center"/>
            <w:textDirection w:val="lrTb"/>
            <w:noWrap w:val="false"/>
          </w:tcPr>
          <w:p>
            <w:pPr>
              <w:jc w:val="center"/>
              <w:rPr>
                <w:rFonts w:hint="eastAsia"/>
                <w:sz w:val="24"/>
              </w:rPr>
            </w:pPr>
            <w:r>
              <w:rPr>
                <w:rFonts w:hint="eastAsia"/>
                <w:sz w:val="24"/>
              </w:rPr>
            </w:r>
            <w:r/>
          </w:p>
        </w:tc>
      </w:tr>
      <w:tr>
        <w:trPr/>
        <w:tc>
          <w:tcPr>
            <w:tcW w:w="1239" w:type="dxa"/>
            <w:vAlign w:val="center"/>
            <w:textDirection w:val="lrTb"/>
            <w:noWrap w:val="false"/>
          </w:tcPr>
          <w:p>
            <w:pPr>
              <w:jc w:val="center"/>
              <w:rPr>
                <w:b/>
                <w:bCs/>
                <w:sz w:val="24"/>
              </w:rPr>
            </w:pPr>
            <w:r>
              <w:rPr>
                <w:rFonts w:hint="eastAsia"/>
                <w:b/>
                <w:bCs/>
                <w:sz w:val="24"/>
              </w:rPr>
              <w:t xml:space="preserve">芹菜</w:t>
            </w:r>
            <w:r/>
          </w:p>
        </w:tc>
        <w:tc>
          <w:tcPr>
            <w:tcW w:w="4431" w:type="dxa"/>
            <w:vAlign w:val="center"/>
            <w:textDirection w:val="lrTb"/>
            <w:noWrap w:val="false"/>
          </w:tcPr>
          <w:p>
            <w:pPr>
              <w:jc w:val="center"/>
              <w:rPr>
                <w:rFonts w:hint="eastAsia"/>
                <w:sz w:val="24"/>
              </w:rPr>
            </w:pPr>
            <w:r>
              <w:rPr>
                <w:rFonts w:hint="eastAsia"/>
                <w:sz w:val="24"/>
              </w:rPr>
            </w:r>
            <w:r/>
          </w:p>
        </w:tc>
        <w:tc>
          <w:tcPr>
            <w:tcW w:w="3258" w:type="dxa"/>
            <w:vAlign w:val="center"/>
            <w:textDirection w:val="lrTb"/>
            <w:noWrap w:val="false"/>
          </w:tcPr>
          <w:p>
            <w:pPr>
              <w:jc w:val="center"/>
              <w:rPr>
                <w:sz w:val="24"/>
              </w:rPr>
            </w:pPr>
            <w:r>
              <w:rPr>
                <w:rFonts w:hint="eastAsia"/>
                <w:sz w:val="24"/>
              </w:rPr>
              <w:t xml:space="preserve">毒死蜱、氟虫腈</w:t>
            </w:r>
            <w:r/>
          </w:p>
        </w:tc>
      </w:tr>
      <w:tr>
        <w:trPr/>
        <w:tc>
          <w:tcPr>
            <w:tcW w:w="1239" w:type="dxa"/>
            <w:vAlign w:val="center"/>
            <w:textDirection w:val="lrTb"/>
            <w:noWrap w:val="false"/>
          </w:tcPr>
          <w:p>
            <w:pPr>
              <w:jc w:val="center"/>
              <w:rPr>
                <w:b/>
                <w:bCs/>
                <w:sz w:val="24"/>
              </w:rPr>
            </w:pPr>
            <w:r>
              <w:rPr>
                <w:rFonts w:hint="eastAsia"/>
                <w:b/>
                <w:bCs/>
                <w:sz w:val="24"/>
              </w:rPr>
              <w:t xml:space="preserve">豇豆</w:t>
            </w:r>
            <w:r/>
          </w:p>
        </w:tc>
        <w:tc>
          <w:tcPr>
            <w:tcW w:w="4431" w:type="dxa"/>
            <w:vAlign w:val="center"/>
            <w:textDirection w:val="lrTb"/>
            <w:noWrap w:val="false"/>
          </w:tcPr>
          <w:p>
            <w:pPr>
              <w:jc w:val="center"/>
              <w:rPr>
                <w:rFonts w:hint="eastAsia"/>
                <w:sz w:val="24"/>
              </w:rPr>
            </w:pPr>
            <w:r>
              <w:rPr>
                <w:rFonts w:hint="eastAsia"/>
                <w:sz w:val="24"/>
              </w:rPr>
            </w:r>
            <w:r/>
          </w:p>
        </w:tc>
        <w:tc>
          <w:tcPr>
            <w:tcW w:w="3258" w:type="dxa"/>
            <w:vAlign w:val="center"/>
            <w:textDirection w:val="lrTb"/>
            <w:noWrap w:val="false"/>
          </w:tcPr>
          <w:p>
            <w:pPr>
              <w:jc w:val="center"/>
              <w:rPr>
                <w:rFonts w:hint="eastAsia"/>
                <w:sz w:val="24"/>
              </w:rPr>
            </w:pPr>
            <w:r>
              <w:rPr>
                <w:rFonts w:hint="eastAsia"/>
                <w:sz w:val="24"/>
              </w:rPr>
              <w:t xml:space="preserve">毒死蜱、氟虫腈</w:t>
            </w:r>
            <w:r/>
          </w:p>
        </w:tc>
      </w:tr>
      <w:tr>
        <w:trPr/>
        <w:tc>
          <w:tcPr>
            <w:tcW w:w="1239" w:type="dxa"/>
            <w:vAlign w:val="center"/>
            <w:textDirection w:val="lrTb"/>
            <w:noWrap w:val="false"/>
          </w:tcPr>
          <w:p>
            <w:pPr>
              <w:jc w:val="center"/>
              <w:rPr>
                <w:b/>
                <w:bCs/>
                <w:sz w:val="24"/>
              </w:rPr>
            </w:pPr>
            <w:r>
              <w:rPr>
                <w:rFonts w:hint="eastAsia"/>
                <w:b/>
                <w:bCs/>
                <w:sz w:val="24"/>
              </w:rPr>
              <w:t xml:space="preserve">鸡蛋</w:t>
            </w:r>
            <w:r/>
          </w:p>
        </w:tc>
        <w:tc>
          <w:tcPr>
            <w:tcW w:w="4431" w:type="dxa"/>
            <w:vAlign w:val="center"/>
            <w:textDirection w:val="lrTb"/>
            <w:noWrap w:val="false"/>
          </w:tcPr>
          <w:p>
            <w:pPr>
              <w:jc w:val="center"/>
              <w:rPr>
                <w:sz w:val="24"/>
              </w:rPr>
            </w:pPr>
            <w:r>
              <w:rPr>
                <w:rFonts w:hint="eastAsia"/>
                <w:sz w:val="24"/>
              </w:rPr>
              <w:t xml:space="preserve">氟苯尼考（禽蛋）、多西环素、恩诺沙星和环丙沙星、沙拉沙星、甲硝唑</w:t>
            </w:r>
            <w:r/>
          </w:p>
        </w:tc>
        <w:tc>
          <w:tcPr>
            <w:tcW w:w="3258" w:type="dxa"/>
            <w:vAlign w:val="center"/>
            <w:textDirection w:val="lrTb"/>
            <w:noWrap w:val="false"/>
          </w:tcPr>
          <w:p>
            <w:pPr>
              <w:jc w:val="center"/>
              <w:rPr>
                <w:rFonts w:hint="eastAsia"/>
                <w:sz w:val="24"/>
              </w:rPr>
            </w:pPr>
            <w:r>
              <w:rPr>
                <w:rFonts w:hint="eastAsia"/>
                <w:sz w:val="24"/>
              </w:rPr>
            </w:r>
            <w:r/>
          </w:p>
        </w:tc>
      </w:tr>
      <w:tr>
        <w:trPr/>
        <w:tc>
          <w:tcPr>
            <w:tcW w:w="1239" w:type="dxa"/>
            <w:vAlign w:val="center"/>
            <w:textDirection w:val="lrTb"/>
            <w:noWrap w:val="false"/>
          </w:tcPr>
          <w:p>
            <w:pPr>
              <w:jc w:val="center"/>
              <w:rPr>
                <w:b/>
                <w:bCs/>
                <w:sz w:val="24"/>
              </w:rPr>
            </w:pPr>
            <w:r>
              <w:rPr>
                <w:rFonts w:hint="eastAsia"/>
                <w:b/>
                <w:bCs/>
                <w:sz w:val="24"/>
              </w:rPr>
              <w:t xml:space="preserve">葱</w:t>
            </w:r>
            <w:r/>
          </w:p>
        </w:tc>
        <w:tc>
          <w:tcPr>
            <w:tcW w:w="4431" w:type="dxa"/>
            <w:vAlign w:val="center"/>
            <w:textDirection w:val="lrTb"/>
            <w:noWrap w:val="false"/>
          </w:tcPr>
          <w:p>
            <w:pPr>
              <w:jc w:val="center"/>
              <w:rPr>
                <w:rFonts w:hint="eastAsia"/>
                <w:sz w:val="24"/>
              </w:rPr>
            </w:pPr>
            <w:r>
              <w:rPr>
                <w:rFonts w:hint="eastAsia"/>
                <w:sz w:val="24"/>
              </w:rPr>
            </w:r>
            <w:r/>
          </w:p>
        </w:tc>
        <w:tc>
          <w:tcPr>
            <w:tcW w:w="3258" w:type="dxa"/>
            <w:vAlign w:val="center"/>
            <w:textDirection w:val="lrTb"/>
            <w:noWrap w:val="false"/>
          </w:tcPr>
          <w:p>
            <w:pPr>
              <w:jc w:val="center"/>
              <w:rPr>
                <w:rFonts w:hint="eastAsia"/>
                <w:sz w:val="24"/>
              </w:rPr>
            </w:pPr>
            <w:r>
              <w:rPr>
                <w:rFonts w:hint="eastAsia"/>
                <w:sz w:val="24"/>
              </w:rPr>
              <w:t xml:space="preserve">毒死蜱、氟虫腈</w:t>
            </w:r>
            <w:r/>
          </w:p>
        </w:tc>
      </w:tr>
      <w:tr>
        <w:trPr>
          <w:trHeight w:val="391"/>
        </w:trPr>
        <w:tc>
          <w:tcPr>
            <w:tcW w:w="1239" w:type="dxa"/>
            <w:vAlign w:val="center"/>
            <w:textDirection w:val="lrTb"/>
            <w:noWrap w:val="false"/>
          </w:tcPr>
          <w:p>
            <w:pPr>
              <w:jc w:val="center"/>
              <w:rPr>
                <w:b/>
                <w:bCs/>
                <w:sz w:val="24"/>
              </w:rPr>
            </w:pPr>
            <w:r>
              <w:rPr>
                <w:rFonts w:hint="eastAsia"/>
                <w:b/>
                <w:bCs/>
                <w:sz w:val="24"/>
              </w:rPr>
              <w:t xml:space="preserve">甘薯</w:t>
            </w:r>
            <w:r/>
          </w:p>
        </w:tc>
        <w:tc>
          <w:tcPr>
            <w:tcW w:w="4431" w:type="dxa"/>
            <w:vAlign w:val="center"/>
            <w:textDirection w:val="lrTb"/>
            <w:noWrap w:val="false"/>
          </w:tcPr>
          <w:p>
            <w:pPr>
              <w:jc w:val="center"/>
              <w:rPr>
                <w:rFonts w:hint="eastAsia"/>
                <w:sz w:val="24"/>
              </w:rPr>
            </w:pPr>
            <w:r>
              <w:rPr>
                <w:rFonts w:hint="eastAsia"/>
                <w:sz w:val="24"/>
              </w:rPr>
              <w:t xml:space="preserve">氟虫腈</w:t>
            </w:r>
            <w:r/>
          </w:p>
        </w:tc>
        <w:tc>
          <w:tcPr>
            <w:tcW w:w="3258" w:type="dxa"/>
            <w:vAlign w:val="center"/>
            <w:textDirection w:val="lrTb"/>
            <w:noWrap w:val="false"/>
          </w:tcPr>
          <w:p>
            <w:pPr>
              <w:jc w:val="center"/>
              <w:rPr>
                <w:rFonts w:hint="eastAsia"/>
                <w:sz w:val="24"/>
              </w:rPr>
            </w:pPr>
            <w:r>
              <w:rPr>
                <w:rFonts w:hint="eastAsia"/>
                <w:sz w:val="24"/>
              </w:rPr>
              <w:t xml:space="preserve">毒死蜱</w:t>
            </w:r>
            <w:r/>
          </w:p>
        </w:tc>
      </w:tr>
      <w:tr>
        <w:trPr>
          <w:trHeight w:val="467"/>
        </w:trPr>
        <w:tc>
          <w:tcPr>
            <w:tcW w:w="1239" w:type="dxa"/>
            <w:vAlign w:val="center"/>
            <w:textDirection w:val="lrTb"/>
            <w:noWrap w:val="false"/>
          </w:tcPr>
          <w:p>
            <w:pPr>
              <w:jc w:val="center"/>
              <w:rPr>
                <w:b/>
                <w:bCs/>
                <w:sz w:val="24"/>
              </w:rPr>
            </w:pPr>
            <w:r>
              <w:rPr>
                <w:rFonts w:hint="eastAsia"/>
                <w:b/>
                <w:bCs/>
                <w:sz w:val="24"/>
              </w:rPr>
              <w:t xml:space="preserve">荔枝</w:t>
            </w:r>
            <w:r/>
          </w:p>
        </w:tc>
        <w:tc>
          <w:tcPr>
            <w:tcW w:w="4431" w:type="dxa"/>
            <w:vAlign w:val="center"/>
            <w:textDirection w:val="lrTb"/>
            <w:noWrap w:val="false"/>
          </w:tcPr>
          <w:p>
            <w:pPr>
              <w:jc w:val="center"/>
              <w:rPr>
                <w:rFonts w:hint="eastAsia"/>
                <w:sz w:val="24"/>
              </w:rPr>
            </w:pPr>
            <w:r>
              <w:rPr>
                <w:rFonts w:hint="eastAsia"/>
                <w:sz w:val="24"/>
              </w:rPr>
            </w:r>
            <w:r/>
          </w:p>
        </w:tc>
        <w:tc>
          <w:tcPr>
            <w:tcW w:w="3258" w:type="dxa"/>
            <w:vAlign w:val="center"/>
            <w:textDirection w:val="lrTb"/>
            <w:noWrap w:val="false"/>
          </w:tcPr>
          <w:p>
            <w:pPr>
              <w:jc w:val="center"/>
              <w:rPr>
                <w:rFonts w:hint="eastAsia"/>
                <w:sz w:val="24"/>
              </w:rPr>
            </w:pPr>
            <w:r>
              <w:rPr>
                <w:sz w:val="24"/>
              </w:rPr>
              <w:t xml:space="preserve">氧乐果、克百威</w:t>
            </w:r>
            <w:r/>
          </w:p>
        </w:tc>
      </w:tr>
    </w:tbl>
    <w:p>
      <w:pPr>
        <w:keepLines/>
        <w:keepNext/>
        <w:spacing w:line="360" w:lineRule="auto"/>
        <w:rPr>
          <w:rFonts w:hint="eastAsia"/>
          <w:b/>
          <w:sz w:val="28"/>
        </w:rPr>
        <w:outlineLvl w:val="2"/>
      </w:pPr>
      <w:r>
        <w:rPr>
          <w:rFonts w:hint="eastAsia"/>
          <w:b/>
          <w:sz w:val="28"/>
        </w:rPr>
        <w:t xml:space="preserve">6、检测数据</w:t>
      </w:r>
      <w:r/>
    </w:p>
    <w:p>
      <w:pPr>
        <w:contextualSpacing/>
        <w:ind w:firstLine="480"/>
        <w:spacing w:line="360" w:lineRule="auto"/>
        <w:tabs>
          <w:tab w:val="left" w:pos="1710" w:leader="none"/>
        </w:tabs>
        <w:rPr>
          <w:rFonts w:hint="eastAsia" w:ascii="宋体" w:hAnsi="宋体" w:cs="宋体"/>
          <w:b/>
          <w:bCs/>
          <w:sz w:val="24"/>
        </w:rPr>
      </w:pPr>
      <w:r>
        <w:rPr>
          <w:rFonts w:hint="eastAsia" w:ascii="宋体" w:hAnsi="宋体" w:cs="宋体"/>
          <w:color w:val="000000"/>
          <w:sz w:val="24"/>
          <w:lang w:bidi="ar"/>
        </w:rPr>
        <w:t xml:space="preserve">投标人</w:t>
      </w:r>
      <w:r>
        <w:rPr>
          <w:rFonts w:hint="eastAsia" w:ascii="宋体" w:hAnsi="宋体" w:cs="宋体"/>
          <w:sz w:val="24"/>
        </w:rPr>
        <w:t xml:space="preserve">需搭建滨海县食品安全检测监管系统平台，并保证一年运营期内将采样信息、检测数据等信息自动实时上传至盐城市市场监督管理局搭建的快检系统平台，并按要求在公示大屏进行公示，所有检测数据信息归采购方所有，不得外传并</w:t>
      </w:r>
      <w:r>
        <w:rPr>
          <w:rFonts w:hint="eastAsia" w:ascii="宋体" w:hAnsi="宋体" w:eastAsia="宋体" w:cs="宋体"/>
          <w:sz w:val="24"/>
          <w:lang w:val="en-US" w:eastAsia="zh-CN"/>
        </w:rPr>
        <w:t xml:space="preserve">须</w:t>
      </w:r>
      <w:r>
        <w:rPr>
          <w:rFonts w:hint="eastAsia" w:ascii="宋体" w:hAnsi="宋体" w:cs="宋体"/>
          <w:sz w:val="24"/>
        </w:rPr>
        <w:t xml:space="preserve">为采购人保存至少两年。</w:t>
      </w:r>
      <w:r/>
    </w:p>
    <w:p>
      <w:pPr>
        <w:keepLines/>
        <w:keepNext/>
        <w:spacing w:line="360" w:lineRule="auto"/>
        <w:rPr>
          <w:rFonts w:hint="eastAsia"/>
          <w:b/>
          <w:color w:val="auto"/>
          <w:sz w:val="28"/>
          <w:highlight w:val="none"/>
        </w:rPr>
        <w:outlineLvl w:val="2"/>
      </w:pPr>
      <w:r>
        <w:rPr>
          <w:rFonts w:hint="eastAsia"/>
          <w:b/>
          <w:color w:val="auto"/>
          <w:sz w:val="28"/>
          <w:highlight w:val="none"/>
        </w:rPr>
        <w:t xml:space="preserve">7、快检标准和方法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严格按照有关规定和标准进行检测。食品快速检测方法按照国家食品药品监督管理总局发布的公告中规定的胶体金层析分析法执行（未发布公告的类别除外）。使用的检测设备和耗材满足现场快速检测需要及相关安全质量技术标准要求，灵敏度高，结果可靠。因投标人使用不合格快速检测设备和耗材造成的后果由投标人负责。</w:t>
      </w:r>
      <w:r/>
    </w:p>
    <w:tbl>
      <w:tblPr>
        <w:tblStyle w:val="721"/>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910"/>
        <w:gridCol w:w="2600"/>
        <w:gridCol w:w="5002"/>
      </w:tblGrid>
      <w:tr>
        <w:trPr>
          <w:tblHeader/>
        </w:trPr>
        <w:tc>
          <w:tcPr>
            <w:tcBorders>
              <w:top w:val="single" w:color="000000" w:sz="8"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8"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检测项目</w:t>
            </w:r>
            <w:r/>
          </w:p>
        </w:tc>
        <w:tc>
          <w:tcPr>
            <w:tcBorders>
              <w:top w:val="single" w:color="000000" w:sz="8" w:space="0"/>
              <w:left w:val="single" w:color="000000" w:sz="4" w:space="0"/>
              <w:bottom w:val="single" w:color="000000" w:sz="4" w:space="0"/>
              <w:right w:val="single" w:color="000000" w:sz="4" w:space="0"/>
            </w:tcBorders>
            <w:tcW w:w="2938" w:type="pct"/>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参照标准/方法</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磺胺类药物</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甲硝唑</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氟苯尼考和氟苯尼考胺</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氟苯尼考</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多西环素</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沙拉沙星</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《GB 31650-2019 食品安全国家标准 食品中兽药最大残留限量》；</w:t>
            </w:r>
            <w:r>
              <w:rPr>
                <w:rFonts w:ascii="Times New Roman" w:hAnsi="Times New Roman"/>
                <w:color w:val="auto"/>
                <w:szCs w:val="21"/>
                <w:highlight w:val="none"/>
              </w:rPr>
              <w:t xml:space="preserve">‌</w:t>
            </w:r>
            <w:r>
              <w:rPr>
                <w:rFonts w:ascii="宋体" w:hAnsi="宋体" w:cs="宋体"/>
                <w:color w:val="auto"/>
                <w:szCs w:val="21"/>
                <w:highlight w:val="none"/>
              </w:rPr>
              <w:t xml:space="preserve">GB 31650.1-2022</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食品中41种兽药最大残留限量</w:t>
            </w: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氟虫腈</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GB 2763-2026 </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食品中农药最大残留限量</w:t>
            </w:r>
            <w:r>
              <w:rPr>
                <w:rFonts w:hint="eastAsia" w:ascii="宋体" w:hAnsi="宋体" w:cs="宋体"/>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氧氟沙星</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KJ 201906动物源性食品中喹诺酮类物质的快速检测 胶体金免疫层析法</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氯霉素</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KJ201905水产品中氯霉素的快速检测 胶体金免疫层析法</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孔雀石绿</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KJ201701水产品中孔雀石绿的快速检测 胶体金免疫层析法</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硝基呋喃类代谢物</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KJ201705水产品中硝基呋喃类代谢物的快速检测 胶体金免疫层析法</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毒死蜱</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GB 2763-2026 </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食品中农药最大残留限量</w:t>
            </w:r>
            <w:r>
              <w:rPr>
                <w:rFonts w:hint="eastAsia" w:ascii="宋体" w:hAnsi="宋体" w:cs="宋体"/>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氧乐果</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GB 2763-2026 </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食品中农药最大残留限量</w:t>
            </w:r>
            <w:r>
              <w:rPr>
                <w:rFonts w:hint="eastAsia" w:ascii="宋体" w:hAnsi="宋体" w:cs="宋体"/>
                <w:color w:val="auto"/>
                <w:szCs w:val="21"/>
                <w:highlight w:val="none"/>
              </w:rPr>
              <w:t xml:space="preserve">》</w:t>
            </w:r>
            <w:r/>
          </w:p>
        </w:tc>
      </w:tr>
      <w:tr>
        <w:trPr/>
        <w:tc>
          <w:tcPr>
            <w:tcBorders>
              <w:top w:val="single" w:color="000000" w:sz="4" w:space="0"/>
              <w:left w:val="single" w:color="000000" w:sz="8"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克百威</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val="false"/>
          </w:tcPr>
          <w:p>
            <w:pPr>
              <w:jc w:val="left"/>
              <w:widowControl/>
              <w:rPr>
                <w:rFonts w:hint="eastAsia" w:ascii="宋体" w:hAnsi="宋体" w:cs="宋体"/>
                <w:color w:val="auto"/>
                <w:szCs w:val="21"/>
                <w:highlight w:val="none"/>
              </w:rPr>
            </w:pPr>
            <w:r>
              <w:rPr>
                <w:rFonts w:ascii="宋体" w:hAnsi="宋体" w:cs="宋体"/>
                <w:color w:val="auto"/>
                <w:szCs w:val="21"/>
                <w:highlight w:val="none"/>
              </w:rPr>
              <w:t xml:space="preserve">GB 2763-2026 </w:t>
            </w:r>
            <w:r>
              <w:rPr>
                <w:rFonts w:hint="eastAsia" w:ascii="宋体" w:hAnsi="宋体" w:cs="宋体"/>
                <w:color w:val="auto"/>
                <w:szCs w:val="21"/>
                <w:highlight w:val="none"/>
              </w:rPr>
              <w:t xml:space="preserve">《</w:t>
            </w:r>
            <w:r>
              <w:rPr>
                <w:rFonts w:ascii="宋体" w:hAnsi="宋体" w:cs="宋体"/>
                <w:color w:val="auto"/>
                <w:szCs w:val="21"/>
                <w:highlight w:val="none"/>
              </w:rPr>
              <w:t xml:space="preserve">食品安全国家标准 食品中农药最大残留限量</w:t>
            </w:r>
            <w:r>
              <w:rPr>
                <w:rFonts w:hint="eastAsia" w:ascii="宋体" w:hAnsi="宋体" w:cs="宋体"/>
                <w:color w:val="auto"/>
                <w:szCs w:val="21"/>
                <w:highlight w:val="none"/>
              </w:rPr>
              <w:t xml:space="preserve">》</w:t>
            </w:r>
            <w:r/>
          </w:p>
        </w:tc>
      </w:tr>
    </w:tbl>
    <w:p>
      <w:pPr>
        <w:keepLines/>
        <w:keepNext/>
        <w:spacing w:line="360" w:lineRule="auto"/>
        <w:rPr>
          <w:rFonts w:hint="eastAsia"/>
          <w:b/>
          <w:sz w:val="28"/>
        </w:rPr>
        <w:outlineLvl w:val="2"/>
      </w:pPr>
      <w:r>
        <w:rPr>
          <w:rFonts w:hint="eastAsia"/>
          <w:b/>
          <w:sz w:val="28"/>
        </w:rPr>
        <w:t xml:space="preserve">8、检测室基本要求</w:t>
      </w:r>
      <w:r/>
    </w:p>
    <w:p>
      <w:pPr>
        <w:ind w:firstLine="480"/>
        <w:jc w:val="left"/>
        <w:spacing w:line="360" w:lineRule="auto"/>
        <w:rPr>
          <w:rFonts w:hint="eastAsia" w:ascii="宋体" w:hAnsi="宋体" w:cs="宋体"/>
          <w:sz w:val="24"/>
        </w:rPr>
      </w:pPr>
      <w:r>
        <w:rPr>
          <w:rFonts w:hint="eastAsia" w:ascii="宋体" w:hAnsi="宋体" w:cs="宋体"/>
          <w:sz w:val="24"/>
        </w:rPr>
        <w:t xml:space="preserve">（1）.投标人可使用各农贸（</w:t>
      </w:r>
      <w:r>
        <w:rPr>
          <w:rFonts w:hint="eastAsia" w:ascii="宋体" w:hAnsi="宋体" w:eastAsia="宋体" w:cs="宋体"/>
          <w:sz w:val="24"/>
          <w:lang w:val="en-US" w:eastAsia="zh-CN"/>
        </w:rPr>
        <w:t xml:space="preserve">农</w:t>
      </w:r>
      <w:r>
        <w:rPr>
          <w:rFonts w:hint="eastAsia" w:ascii="宋体" w:hAnsi="宋体" w:cs="宋体"/>
          <w:sz w:val="24"/>
        </w:rPr>
        <w:t xml:space="preserve">批）市场</w:t>
      </w:r>
      <w:r>
        <w:rPr>
          <w:rFonts w:hint="eastAsia" w:ascii="宋体" w:hAnsi="宋体" w:eastAsia="宋体" w:cs="宋体"/>
          <w:sz w:val="24"/>
          <w:lang w:val="en-US" w:eastAsia="zh-CN"/>
        </w:rPr>
        <w:t xml:space="preserve">现</w:t>
      </w:r>
      <w:r>
        <w:rPr>
          <w:rFonts w:hint="eastAsia" w:ascii="宋体" w:hAnsi="宋体" w:cs="宋体"/>
          <w:sz w:val="24"/>
        </w:rPr>
        <w:t xml:space="preserve">有检测</w:t>
      </w:r>
      <w:r>
        <w:rPr>
          <w:rFonts w:hint="eastAsia" w:ascii="宋体" w:hAnsi="宋体" w:eastAsia="宋体" w:cs="宋体"/>
          <w:sz w:val="24"/>
          <w:lang w:val="en-US" w:eastAsia="zh-CN"/>
        </w:rPr>
        <w:t xml:space="preserve">仪器及前处理</w:t>
      </w:r>
      <w:r>
        <w:rPr>
          <w:rFonts w:hint="eastAsia" w:ascii="宋体" w:hAnsi="宋体" w:cs="宋体"/>
          <w:sz w:val="24"/>
        </w:rPr>
        <w:t xml:space="preserve">设备，也可自带检测仪器及前处理设备，服务期满投标人带走自己的检测仪器和前处理设备（自带设</w:t>
      </w:r>
      <w:r>
        <w:rPr>
          <w:rFonts w:hint="eastAsia" w:ascii="宋体" w:hAnsi="宋体" w:cs="宋体"/>
          <w:color w:val="auto"/>
          <w:sz w:val="24"/>
        </w:rPr>
        <w:t xml:space="preserve">备费用不另行支付，包含在中标价中）。检测仪器和前处理设备不少于30套，满足每个检测</w:t>
      </w:r>
      <w:r>
        <w:rPr>
          <w:rFonts w:hint="eastAsia" w:ascii="宋体" w:hAnsi="宋体" w:cs="宋体"/>
          <w:sz w:val="24"/>
        </w:rPr>
        <w:t xml:space="preserve">室1套</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孟舍市场需2套</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农批市场需提供满足检测需求的检测仪器及前处理设备。另需</w:t>
      </w:r>
      <w:r>
        <w:rPr>
          <w:rFonts w:hint="eastAsia" w:ascii="宋体" w:hAnsi="宋体" w:cs="宋体"/>
          <w:sz w:val="24"/>
        </w:rPr>
        <w:t xml:space="preserve">额外提供1-2套备用设备应急使用。每个检测室配置明细如下（包含</w:t>
      </w:r>
      <w:r>
        <w:rPr>
          <w:rFonts w:hint="eastAsia" w:ascii="宋体" w:hAnsi="宋体" w:eastAsia="宋体" w:cs="宋体"/>
          <w:sz w:val="24"/>
          <w:lang w:val="en-US" w:eastAsia="zh-CN"/>
        </w:rPr>
        <w:t xml:space="preserve">但</w:t>
      </w:r>
      <w:r>
        <w:rPr>
          <w:rFonts w:hint="eastAsia" w:ascii="宋体" w:hAnsi="宋体" w:cs="宋体"/>
          <w:sz w:val="24"/>
        </w:rPr>
        <w:t xml:space="preserve">不限于仅提供以下</w:t>
      </w:r>
      <w:r>
        <w:rPr>
          <w:rFonts w:hint="eastAsia" w:ascii="宋体" w:hAnsi="宋体" w:eastAsia="宋体" w:cs="宋体"/>
          <w:sz w:val="24"/>
          <w:lang w:val="en-US" w:eastAsia="zh-CN"/>
        </w:rPr>
        <w:t xml:space="preserve">快检</w:t>
      </w:r>
      <w:r>
        <w:rPr>
          <w:rFonts w:hint="eastAsia" w:ascii="宋体" w:hAnsi="宋体" w:cs="宋体"/>
          <w:sz w:val="24"/>
        </w:rPr>
        <w:t xml:space="preserve">设备）：</w:t>
      </w:r>
      <w:r/>
    </w:p>
    <w:tbl>
      <w:tblPr>
        <w:tblStyle w:val="721"/>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20"/>
        <w:gridCol w:w="2341"/>
        <w:gridCol w:w="4093"/>
        <w:gridCol w:w="1263"/>
      </w:tblGrid>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用途及技术参数要求</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多功能食品安全分析仪</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可检测非法添加、农兽药残留、抗生素、真菌毒素等检测</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台式离心机</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用于样品的离心</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恒温水浴锅</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用于样品的孵育、加热</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样品浓缩仪</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用于溶液的提取浓缩</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均质机</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通过高转速的剪切刀，把不同质地的东西混合均匀，使原料相互之间更好地融合。</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电子天平</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300G,0.01量程</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漩涡仪</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用于样品前处理中的漩涡混合</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374"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配件箱</w:t>
            </w:r>
            <w:r/>
          </w:p>
        </w:tc>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20-200μl移液器1把，100-1000μl移液器1把，1000-5000μl移液器1把，计时器1个，剪刀等检测配件</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1套</w:t>
            </w:r>
            <w:r/>
          </w:p>
        </w:tc>
      </w:tr>
    </w:tbl>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（2）.系统建设要求</w:t>
      </w:r>
      <w:r/>
    </w:p>
    <w:p>
      <w:pPr>
        <w:ind w:firstLine="480"/>
        <w:spacing w:line="360" w:lineRule="auto"/>
        <w:rPr>
          <w:rFonts w:hint="eastAsia" w:ascii="宋体" w:hAnsi="宋体" w:cs="宋体"/>
          <w:sz w:val="24"/>
          <w:highlight w:val="none"/>
        </w:rPr>
      </w:pPr>
      <w:r>
        <w:rPr>
          <w:rFonts w:hint="eastAsia" w:ascii="宋体" w:hAnsi="宋体" w:cs="宋体"/>
          <w:color w:val="000000"/>
          <w:sz w:val="24"/>
          <w:lang w:bidi="ar"/>
        </w:rPr>
        <w:t xml:space="preserve">投标人须为本项目提供专用快检监管平台系统，该</w:t>
      </w:r>
      <w:r>
        <w:rPr>
          <w:rFonts w:hint="eastAsia" w:ascii="宋体" w:hAnsi="宋体" w:cs="宋体"/>
          <w:sz w:val="24"/>
        </w:rPr>
        <w:t xml:space="preserve">系统应具备良好的软件架构设计，层次分明。</w:t>
      </w:r>
      <w:r>
        <w:rPr>
          <w:rFonts w:hint="eastAsia" w:ascii="宋体" w:hAnsi="宋体" w:cs="宋体"/>
          <w:b/>
          <w:bCs/>
          <w:sz w:val="24"/>
        </w:rPr>
        <w:t xml:space="preserve">系统要有能够统计食用农产品样本数的模块设置，细化到细类如抽取鲫鱼多少样本。</w:t>
      </w:r>
      <w:r>
        <w:rPr>
          <w:rFonts w:hint="eastAsia" w:ascii="宋体" w:hAnsi="宋体" w:cs="宋体"/>
          <w:sz w:val="24"/>
          <w:highlight w:val="none"/>
        </w:rPr>
        <w:t xml:space="preserve">此外应至少包含以下9个子系统：档案信息管理子系统、平台管理子系统、检测监管子系统、快检室运营管理子系统、风险监测子系统、检测员考核子系统、大数据分析子系统、信息公示子系统、溯源管理子系统。各子系统根据监管要求，提供相应Web端监管系统，监管小程序、溯源索证小程序、商户扫码公示H5等用以满足食品安全检测监管功能需求，并可与盐城市市场监管局快检系统平台衔接、融合，具体功能需求如下：</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09"/>
        <w:gridCol w:w="1854"/>
        <w:gridCol w:w="5202"/>
      </w:tblGrid>
      <w:tr>
        <w:trPr/>
        <w:tc>
          <w:tcPr>
            <w:tcW w:w="45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100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子系统名称</w:t>
            </w:r>
            <w:r/>
          </w:p>
        </w:tc>
        <w:tc>
          <w:tcPr>
            <w:tcW w:w="185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子系统功能</w:t>
            </w:r>
            <w:r/>
          </w:p>
        </w:tc>
        <w:tc>
          <w:tcPr>
            <w:tcW w:w="520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功能介绍</w:t>
            </w:r>
            <w:r/>
          </w:p>
        </w:tc>
      </w:tr>
      <w:tr>
        <w:trPr/>
        <w:tc>
          <w:tcPr>
            <w:tcW w:w="457"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1</w:t>
            </w:r>
            <w:r/>
          </w:p>
        </w:tc>
        <w:tc>
          <w:tcPr>
            <w:tcW w:w="1009"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档案信息管理子系统</w:t>
            </w:r>
            <w:r/>
          </w:p>
        </w:tc>
        <w:tc>
          <w:tcPr>
            <w:tcW w:w="1854"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档案信息管理子系统包含各农贸市场及经营户档案信息的维护。</w:t>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1）农贸市场档案管理：农贸市场基本信息，包含主体类型、经营范围主体地址、负责人姓名、负责人联系电话、食安负责人姓名、食安负责人联系电话等。农贸市场监管信息，包含监管责任人、监管责任人联系电话、主体简介。农贸市场相关介绍以及营业执照照片。</w:t>
            </w:r>
            <w:r/>
          </w:p>
        </w:tc>
      </w:tr>
      <w:tr>
        <w:trPr/>
        <w:tc>
          <w:tcPr>
            <w:tcW w:w="457"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009"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8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（2）经营户档案管理：包含经营户名称、摊位号、联系方式、经营种类、商户头像、主营项目、签约期限。</w:t>
            </w:r>
            <w:r/>
          </w:p>
        </w:tc>
      </w:tr>
      <w:tr>
        <w:trPr/>
        <w:tc>
          <w:tcPr>
            <w:tcW w:w="457"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2</w:t>
            </w:r>
            <w:r/>
          </w:p>
        </w:tc>
        <w:tc>
          <w:tcPr>
            <w:tcW w:w="1009"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平台管理子系统</w:t>
            </w:r>
            <w:r/>
          </w:p>
        </w:tc>
        <w:tc>
          <w:tcPr>
            <w:tcW w:w="1854"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平台管理子系统为市场监管部门提供配置和管理功能，实现整个系统的配置以及监管</w:t>
            </w:r>
            <w:r/>
          </w:p>
        </w:tc>
        <w:tc>
          <w:tcPr>
            <w:tcW w:w="5202"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（1）部门管理：维护系统部门信息、包含部门名称、部门负责人、联系电话。</w:t>
            </w:r>
            <w:r/>
          </w:p>
        </w:tc>
      </w:tr>
      <w:tr>
        <w:trPr/>
        <w:tc>
          <w:tcPr>
            <w:tcW w:w="457"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009"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8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（2）用户管理：维护系统账号信息，包含角色、账号、密码、用户姓名、联系电话、所属单位。</w:t>
            </w:r>
            <w:r/>
          </w:p>
        </w:tc>
      </w:tr>
      <w:tr>
        <w:trPr/>
        <w:tc>
          <w:tcPr>
            <w:tcW w:w="457"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009"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8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（3）权限管理：维护系统角色信息。</w:t>
            </w:r>
            <w:r/>
          </w:p>
        </w:tc>
      </w:tr>
      <w:tr>
        <w:trPr/>
        <w:tc>
          <w:tcPr>
            <w:tcW w:w="457"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3</w:t>
            </w:r>
            <w:r/>
          </w:p>
        </w:tc>
        <w:tc>
          <w:tcPr>
            <w:tcW w:w="1009"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检测监管子系统</w:t>
            </w:r>
            <w:r/>
          </w:p>
        </w:tc>
        <w:tc>
          <w:tcPr>
            <w:tcW w:w="1854" w:type="dxa"/>
            <w:vAlign w:val="center"/>
            <w:vMerge w:val="restart"/>
            <w:textDirection w:val="lrTb"/>
            <w:noWrap w:val="false"/>
          </w:tcPr>
          <w:p>
            <w:pPr>
              <w:rPr>
                <w:rFonts w:hint="eastAsia" w:ascii="宋体" w:hAnsi="宋体" w:cs="宋体"/>
                <w:b/>
                <w:bCs/>
                <w:szCs w:val="21"/>
              </w:rPr>
            </w:pPr>
            <w:r>
              <w:rPr>
                <w:rFonts w:hint="eastAsia" w:ascii="宋体" w:hAnsi="宋体" w:cs="宋体"/>
                <w:szCs w:val="21"/>
              </w:rPr>
              <w:t xml:space="preserve">检测监管子系统包含监管系统中检测相关的功能。监管平台对检测数据进行实时统计、分析。</w:t>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（1）监管系统：</w:t>
            </w:r>
            <w:r/>
          </w:p>
          <w:p>
            <w:pPr>
              <w:ind w:firstLine="420"/>
              <w:rPr>
                <w:rFonts w:hint="eastAsia" w:ascii="宋体" w:hAnsi="宋体" w:cs="宋体"/>
                <w:szCs w:val="21"/>
              </w:rPr>
            </w:pPr>
            <w:r>
              <w:rPr>
                <w:rFonts w:hint="eastAsia" w:ascii="宋体" w:hAnsi="宋体" w:cs="宋体"/>
                <w:szCs w:val="21"/>
              </w:rPr>
              <w:t xml:space="preserve">项目运维：包含对各农贸市场检测总量任务的下达。</w:t>
            </w:r>
            <w:r/>
          </w:p>
          <w:p>
            <w:pPr>
              <w:ind w:firstLine="420"/>
              <w:rPr>
                <w:rFonts w:hint="eastAsia" w:ascii="宋体" w:hAnsi="宋体" w:cs="宋体"/>
                <w:szCs w:val="21"/>
              </w:rPr>
            </w:pPr>
            <w:r>
              <w:rPr>
                <w:rFonts w:hint="eastAsia" w:ascii="宋体" w:hAnsi="宋体" w:cs="宋体"/>
                <w:szCs w:val="21"/>
              </w:rPr>
              <w:t xml:space="preserve">样品信息查询：包含按照起止日期、局、所、样品类型、样品名称、检测结果等筛选条件进行样品信息查询。</w:t>
            </w:r>
            <w:r/>
          </w:p>
          <w:p>
            <w:pPr>
              <w:ind w:firstLine="420"/>
              <w:rPr>
                <w:rFonts w:hint="eastAsia" w:ascii="宋体" w:hAnsi="宋体" w:cs="宋体"/>
                <w:szCs w:val="21"/>
              </w:rPr>
            </w:pPr>
            <w:r>
              <w:rPr>
                <w:rFonts w:hint="eastAsia" w:ascii="宋体" w:hAnsi="宋体" w:cs="宋体"/>
                <w:szCs w:val="21"/>
              </w:rPr>
              <w:t xml:space="preserve">检测信息查询：包含按照起止日期、局、所、样品类型、样品名称、检测类别、检测项目、检测结果等筛选条件进行检测信息查询。</w:t>
            </w:r>
            <w:r/>
          </w:p>
          <w:p>
            <w:pPr>
              <w:ind w:firstLine="420"/>
              <w:rPr>
                <w:rFonts w:hint="eastAsia" w:ascii="宋体" w:hAnsi="宋体" w:cs="宋体"/>
                <w:szCs w:val="21"/>
              </w:rPr>
            </w:pPr>
            <w:r>
              <w:rPr>
                <w:rFonts w:hint="eastAsia" w:ascii="宋体" w:hAnsi="宋体" w:cs="宋体"/>
                <w:szCs w:val="21"/>
              </w:rPr>
              <w:t xml:space="preserve">检测数据统计：对检测总量、快检合格率、任务完成率、检测类别、样品类别的数据统计。</w:t>
            </w:r>
            <w:r/>
          </w:p>
          <w:p>
            <w:pPr>
              <w:ind w:firstLine="420"/>
              <w:rPr>
                <w:rFonts w:hint="eastAsia" w:ascii="宋体" w:hAnsi="宋体" w:cs="宋体"/>
                <w:b/>
                <w:bCs/>
                <w:szCs w:val="21"/>
              </w:rPr>
            </w:pPr>
            <w:r>
              <w:rPr>
                <w:rFonts w:hint="eastAsia" w:ascii="宋体" w:hAnsi="宋体" w:cs="宋体"/>
                <w:szCs w:val="21"/>
              </w:rPr>
              <w:t xml:space="preserve">大数据分析：包含任务执行分析。</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（2）监管小程序：</w:t>
            </w:r>
            <w:r/>
          </w:p>
          <w:p>
            <w:pPr>
              <w:ind w:firstLine="420"/>
              <w:rPr>
                <w:rFonts w:hint="eastAsia" w:ascii="宋体" w:hAnsi="宋体" w:cs="宋体"/>
                <w:szCs w:val="21"/>
              </w:rPr>
            </w:pPr>
            <w:r>
              <w:rPr>
                <w:rFonts w:hint="eastAsia" w:ascii="宋体" w:hAnsi="宋体" w:cs="宋体"/>
                <w:szCs w:val="21"/>
              </w:rPr>
              <w:t xml:space="preserve">食品快检：查看辖区内各农贸市场检测执行情况。</w:t>
            </w:r>
            <w:r/>
          </w:p>
          <w:p>
            <w:pPr>
              <w:ind w:firstLine="420"/>
              <w:rPr>
                <w:rFonts w:hint="eastAsia" w:ascii="宋体" w:hAnsi="宋体" w:cs="宋体"/>
                <w:szCs w:val="21"/>
              </w:rPr>
            </w:pPr>
            <w:r>
              <w:rPr>
                <w:rFonts w:hint="eastAsia" w:ascii="宋体" w:hAnsi="宋体" w:cs="宋体"/>
                <w:szCs w:val="21"/>
              </w:rPr>
              <w:t xml:space="preserve">快检分析：查看辖区内各农贸市场检测问题发生情况。</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（3）采样小程序：</w:t>
            </w:r>
            <w:r/>
          </w:p>
          <w:p>
            <w:pPr>
              <w:ind w:firstLine="420"/>
              <w:rPr>
                <w:rFonts w:hint="eastAsia" w:ascii="宋体" w:hAnsi="宋体" w:cs="宋体"/>
                <w:szCs w:val="21"/>
              </w:rPr>
            </w:pPr>
            <w:r>
              <w:rPr>
                <w:rFonts w:hint="eastAsia" w:ascii="宋体" w:hAnsi="宋体" w:cs="宋体"/>
                <w:szCs w:val="21"/>
              </w:rPr>
              <w:t xml:space="preserve">样品采集：包括随机采样、任务采样、客户送检、采样定位、样品种类、经营户名称、摊位号、样品名称、推荐检测项目、数量、采样费用、采样照片、被采样单位签字等。</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（4）检测仪器互联：</w:t>
            </w:r>
            <w:r/>
          </w:p>
          <w:p>
            <w:pPr>
              <w:ind w:firstLine="420"/>
              <w:rPr>
                <w:rFonts w:hint="eastAsia" w:ascii="宋体" w:hAnsi="宋体" w:cs="宋体"/>
                <w:szCs w:val="21"/>
              </w:rPr>
            </w:pPr>
            <w:r>
              <w:rPr>
                <w:rFonts w:hint="eastAsia" w:ascii="宋体" w:hAnsi="宋体" w:cs="宋体"/>
                <w:szCs w:val="21"/>
              </w:rPr>
              <w:t xml:space="preserve">提供检测仪器数据对接端口，检测数据可以通过不同厂家的检测仪器实时上传、汇总、分析。</w:t>
            </w:r>
            <w:r/>
          </w:p>
        </w:tc>
      </w:tr>
      <w:tr>
        <w:trPr/>
        <w:tc>
          <w:tcPr>
            <w:tcW w:w="45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009"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快检室运营管理子系统</w:t>
            </w:r>
            <w:r/>
          </w:p>
        </w:tc>
        <w:tc>
          <w:tcPr>
            <w:tcW w:w="1854"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快检室运营管理子系统包含采样检测管理审核功能、试剂管理功能以及资料库功能。</w:t>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（1）采样检测管理审核功能：</w:t>
            </w:r>
            <w:r/>
          </w:p>
          <w:p>
            <w:pPr>
              <w:ind w:firstLine="420"/>
              <w:rPr>
                <w:rFonts w:hint="eastAsia" w:ascii="宋体" w:hAnsi="宋体" w:cs="宋体"/>
                <w:szCs w:val="21"/>
              </w:rPr>
            </w:pPr>
            <w:r>
              <w:rPr>
                <w:rFonts w:hint="eastAsia" w:ascii="宋体" w:hAnsi="宋体" w:cs="宋体"/>
                <w:szCs w:val="21"/>
              </w:rPr>
              <w:t xml:space="preserve">检测员需使用小程序采样，采样的同时进行定位，后台统计采样时间及地点，在非管辖市场内产生的采样信息需要上级管理人员对该条采样信息审核，从而规范检测员的日常采样工作。</w:t>
            </w:r>
            <w:r/>
          </w:p>
          <w:p>
            <w:pPr>
              <w:ind w:firstLine="420"/>
              <w:rPr>
                <w:rFonts w:hint="eastAsia" w:ascii="宋体" w:hAnsi="宋体" w:cs="宋体"/>
                <w:szCs w:val="21"/>
              </w:rPr>
            </w:pPr>
            <w:r>
              <w:rPr>
                <w:rFonts w:hint="eastAsia" w:ascii="宋体" w:hAnsi="宋体" w:cs="宋体"/>
                <w:szCs w:val="21"/>
              </w:rPr>
              <w:t xml:space="preserve">检测员用仪器进行检测时也需要进行定位，在非管辖市场内产生的检测数据同样需要上级管理人员对该条监测数据审核，从而规范检测员的日常检测工作。</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18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（2）试剂管理功能：</w:t>
            </w:r>
            <w:r/>
          </w:p>
          <w:p>
            <w:pPr>
              <w:ind w:firstLine="420"/>
              <w:rPr>
                <w:rFonts w:hint="eastAsia" w:ascii="宋体" w:hAnsi="宋体" w:cs="宋体"/>
                <w:szCs w:val="21"/>
              </w:rPr>
            </w:pPr>
            <w:r>
              <w:rPr>
                <w:rFonts w:hint="eastAsia" w:ascii="宋体" w:hAnsi="宋体" w:cs="宋体"/>
                <w:szCs w:val="21"/>
              </w:rPr>
              <w:t xml:space="preserve">包括了试剂的申请、供应商管理、供应商所售试剂列表、商品管理、仓库名称、入库管理、入库明细管理、出库管理、调拨管理等功能。</w:t>
            </w:r>
            <w:r/>
          </w:p>
          <w:p>
            <w:pPr>
              <w:ind w:firstLine="420"/>
              <w:rPr>
                <w:rFonts w:hint="eastAsia" w:ascii="宋体" w:hAnsi="宋体" w:cs="宋体"/>
                <w:szCs w:val="21"/>
              </w:rPr>
            </w:pPr>
            <w:r>
              <w:rPr>
                <w:rFonts w:hint="eastAsia" w:ascii="宋体" w:hAnsi="宋体" w:cs="宋体"/>
                <w:szCs w:val="21"/>
              </w:rPr>
              <w:t xml:space="preserve">检测设备可与试剂管理功能联动，设备检测的次数与试剂库存关联，当检测超过试剂批次数之后检测设备则无法进行检测。</w:t>
            </w:r>
            <w:r/>
          </w:p>
        </w:tc>
      </w:tr>
      <w:tr>
        <w:trPr/>
        <w:tc>
          <w:tcPr>
            <w:tcW w:w="45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009"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风险监测子系统</w:t>
            </w:r>
            <w:r/>
          </w:p>
        </w:tc>
        <w:tc>
          <w:tcPr>
            <w:tcW w:w="1854" w:type="dxa"/>
            <w:vAlign w:val="top"/>
            <w:vMerge w:val="restart"/>
            <w:textDirection w:val="lrTb"/>
            <w:noWrap w:val="false"/>
          </w:tcPr>
          <w:p>
            <w:pPr>
              <w:rPr>
                <w:rFonts w:hint="eastAsia" w:ascii="宋体" w:hAnsi="宋体" w:cs="宋体"/>
                <w:szCs w:val="21"/>
              </w:rPr>
            </w:pPr>
            <w:r>
              <w:rPr>
                <w:rFonts w:hint="eastAsia" w:ascii="宋体" w:hAnsi="宋体" w:cs="宋体"/>
                <w:szCs w:val="21"/>
              </w:rPr>
              <w:t xml:space="preserve">风险监测子系统包含通过监管平台实时查看风险情况，并提供风险处理手段。</w:t>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（1）实时风险：查看辖区内各农贸市场风险发生情况及风险详情。</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（2）复核日志：查看历史已经处理过的风险。</w:t>
            </w:r>
            <w:r/>
          </w:p>
        </w:tc>
      </w:tr>
      <w:tr>
        <w:trPr/>
        <w:tc>
          <w:tcPr>
            <w:tcW w:w="45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009"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检测员考核子系统</w:t>
            </w:r>
            <w:r/>
          </w:p>
        </w:tc>
        <w:tc>
          <w:tcPr>
            <w:tcW w:w="1854" w:type="dxa"/>
            <w:vAlign w:val="top"/>
            <w:vMerge w:val="restart"/>
            <w:textDirection w:val="lrTb"/>
            <w:noWrap w:val="false"/>
          </w:tcPr>
          <w:p>
            <w:pPr>
              <w:rPr>
                <w:rFonts w:hint="eastAsia" w:ascii="宋体" w:hAnsi="宋体" w:cs="宋体"/>
                <w:szCs w:val="21"/>
              </w:rPr>
            </w:pPr>
            <w:r>
              <w:rPr>
                <w:rFonts w:hint="eastAsia" w:ascii="宋体" w:hAnsi="宋体" w:cs="宋体"/>
                <w:szCs w:val="21"/>
              </w:rPr>
              <w:t xml:space="preserve">主要为检测员培训考核提供一套完善的机制，包含检测员学习功能，提供统计检测员学习时长功能，保障检测员按照要求完成食品安全知识学习任务，提供检测员模拟答题功能，巩固检测员食安知识，同时提供考试系统，对检测员定期进行知识考核。</w:t>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（1）理论课程：发布食品安全政策法规、专业知识、监管要求等内容；</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（2）资料库能：包括试剂以及设备的操作视频、检测室相关管理文件等。</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（3）模拟考试：提供模拟考试功能；</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（4）错题本：记录错题并加强练习；</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（5）题库：包括快检知识、食品安全管理员、食品安全监管的题目</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（6）正式考试：为检测员提供在线考试功能。</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（7）学习记录：记录检测员在线学习时长、考试情况统计、分析；</w:t>
            </w:r>
            <w:r/>
          </w:p>
        </w:tc>
      </w:tr>
      <w:tr>
        <w:trPr/>
        <w:tc>
          <w:tcPr>
            <w:tcW w:w="45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009"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大数据分析子系统</w:t>
            </w:r>
            <w:r/>
          </w:p>
        </w:tc>
        <w:tc>
          <w:tcPr>
            <w:tcW w:w="1854"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主要运用大数据分析挖掘技术进行多维度数据分析，提供对食品安全工作的决策支持。</w:t>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（1）检测执行分析：</w:t>
            </w:r>
            <w:r/>
          </w:p>
          <w:p>
            <w:pPr>
              <w:ind w:firstLine="420"/>
              <w:rPr>
                <w:rFonts w:hint="eastAsia" w:ascii="宋体" w:hAnsi="宋体" w:cs="宋体"/>
                <w:szCs w:val="21"/>
              </w:rPr>
            </w:pPr>
            <w:r>
              <w:rPr>
                <w:rFonts w:hint="eastAsia" w:ascii="宋体" w:hAnsi="宋体" w:cs="宋体"/>
                <w:szCs w:val="21"/>
              </w:rPr>
              <w:t xml:space="preserve">①计划量、完成量、完成率概况；②计划任务量和实际完成量对比分析；③样品类别检测量分析、覆盖率情况；④不同业态检测量占比分析；⑤检测类别检测量占比分析；⑥快检室检测任务完成率排行；⑦检测量排行；⑧监测覆盖率排行。</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（2）风险监测分析：</w:t>
            </w:r>
            <w:r/>
          </w:p>
          <w:p>
            <w:pPr>
              <w:ind w:firstLine="420"/>
              <w:rPr>
                <w:rFonts w:hint="eastAsia" w:ascii="宋体" w:hAnsi="宋体" w:cs="宋体"/>
                <w:szCs w:val="21"/>
              </w:rPr>
            </w:pPr>
            <w:r>
              <w:rPr>
                <w:rFonts w:hint="eastAsia" w:ascii="宋体" w:hAnsi="宋体" w:cs="宋体"/>
                <w:szCs w:val="21"/>
              </w:rPr>
              <w:t xml:space="preserve">①检测总量、合格量、不合格量、合格率概况；②初检不合格量和复核数量对比分析；③快检室检测合格率排行；④检测类别合格率对比分析；⑤不同业态检测合格率对比分析；⑥初检不合格率排行；⑦农贸市场检测复核率排行；⑧样品检测不合格量排行。</w:t>
            </w:r>
            <w:r/>
          </w:p>
        </w:tc>
      </w:tr>
      <w:tr>
        <w:trPr/>
        <w:tc>
          <w:tcPr>
            <w:tcW w:w="45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009" w:type="dxa"/>
            <w:vAlign w:val="center"/>
            <w:vMerge w:val="restart"/>
            <w:textDirection w:val="lrTb"/>
            <w:noWrap w:val="false"/>
          </w:tcPr>
          <w:p>
            <w:pPr>
              <w:jc w:val="center"/>
              <w:rPr>
                <w:rFonts w:hint="eastAsia" w:ascii="宋体" w:hAnsi="宋体" w:cs="宋体"/>
                <w:szCs w:val="21"/>
              </w:rPr>
            </w:pPr>
            <w:r>
              <w:rPr>
                <w:rFonts w:hint="eastAsia" w:ascii="宋体" w:hAnsi="宋体" w:cs="宋体"/>
                <w:b/>
                <w:bCs/>
                <w:szCs w:val="21"/>
              </w:rPr>
              <w:t xml:space="preserve">信息公示子系统</w:t>
            </w:r>
            <w:r/>
          </w:p>
        </w:tc>
        <w:tc>
          <w:tcPr>
            <w:tcW w:w="1854" w:type="dxa"/>
            <w:vAlign w:val="top"/>
            <w:vMerge w:val="restart"/>
            <w:textDirection w:val="lrTb"/>
            <w:noWrap w:val="false"/>
          </w:tcPr>
          <w:p>
            <w:pPr>
              <w:rPr>
                <w:rFonts w:hint="eastAsia" w:ascii="宋体" w:hAnsi="宋体" w:cs="宋体"/>
                <w:szCs w:val="21"/>
              </w:rPr>
            </w:pPr>
            <w:r>
              <w:rPr>
                <w:rFonts w:hint="eastAsia" w:ascii="宋体" w:hAnsi="宋体" w:cs="宋体"/>
                <w:szCs w:val="21"/>
              </w:rPr>
              <w:t xml:space="preserve">信息公示子系统满足食品安全信息、商品交易公示的需要，包含经营主体二维码。</w:t>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（1）商户二维码H5：</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（2）检：此商户近期检测信息。</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（3）源：此商户溯源信息。</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（4）评：此商户的评价信息，并可对此商户进行评价。</w:t>
            </w:r>
            <w:r/>
          </w:p>
        </w:tc>
      </w:tr>
      <w:tr>
        <w:trPr/>
        <w:tc>
          <w:tcPr>
            <w:tcW w:w="45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1009" w:type="dxa"/>
            <w:vAlign w:val="center"/>
            <w:vMerge w:val="restart"/>
            <w:textDirection w:val="lrTb"/>
            <w:noWrap w:val="false"/>
          </w:tcPr>
          <w:p>
            <w:pPr>
              <w:jc w:val="left"/>
              <w:rPr>
                <w:rFonts w:hint="eastAsia" w:ascii="宋体" w:hAnsi="宋体" w:cs="宋体"/>
                <w:szCs w:val="21"/>
              </w:rPr>
            </w:pPr>
            <w:r>
              <w:rPr>
                <w:rFonts w:hint="eastAsia" w:ascii="宋体" w:hAnsi="宋体" w:cs="宋体"/>
                <w:b/>
                <w:bCs/>
                <w:szCs w:val="21"/>
              </w:rPr>
              <w:t xml:space="preserve">溯源管理子系统</w:t>
            </w:r>
            <w:r/>
          </w:p>
        </w:tc>
        <w:tc>
          <w:tcPr>
            <w:tcW w:w="1854"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溯源管理子系统主要包括进出货管理、农产品合格证、追溯管理等功能</w:t>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1）进出货管理：经营户可以通过小程序建立供应商名录以及对应提供的商品，建立入库、库存、出库的详细信息，确保在经营户这一端上下游追溯链条能够完整。入库的商品可在检测员采样时直接导入进行采样，无需重复填写采样信息。</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（2）农产品合格证：通过扫描农产品合格证或者拍照，保存上游农产品合格证的信息。</w:t>
            </w:r>
            <w:r/>
          </w:p>
        </w:tc>
      </w:tr>
      <w:tr>
        <w:trPr/>
        <w:tc>
          <w:tcPr>
            <w:tcW w:w="45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854" w:type="dxa"/>
            <w:vAlign w:val="top"/>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5202" w:type="dxa"/>
            <w:vAlign w:val="center"/>
            <w:textDirection w:val="lrTb"/>
            <w:noWrap w:val="false"/>
          </w:tcPr>
          <w:p>
            <w:pPr>
              <w:rPr>
                <w:rFonts w:hint="eastAsia" w:ascii="宋体" w:hAnsi="宋体" w:cs="宋体"/>
                <w:szCs w:val="21"/>
              </w:rPr>
            </w:pPr>
            <w:r>
              <w:rPr>
                <w:rFonts w:hint="eastAsia" w:ascii="宋体" w:hAnsi="宋体" w:cs="宋体"/>
                <w:szCs w:val="21"/>
              </w:rPr>
              <w:t xml:space="preserve">（3）追溯管理：该系统可按农产品或经营户查询，以树状图的形式展现每一次流动的痕迹，也可按溯源码查询同一批次农产品的溯源。每批商品进入批发市场后都会生成一个溯源码，一旦发现问题，可及时向上游追溯。</w:t>
            </w:r>
            <w:r/>
          </w:p>
        </w:tc>
      </w:tr>
    </w:tbl>
    <w:p>
      <w:pPr>
        <w:keepLines/>
        <w:keepNext/>
        <w:spacing w:line="360" w:lineRule="auto"/>
        <w:rPr>
          <w:rFonts w:hint="eastAsia"/>
          <w:b/>
          <w:sz w:val="28"/>
        </w:rPr>
        <w:outlineLvl w:val="2"/>
      </w:pPr>
      <w:r>
        <w:rPr>
          <w:rFonts w:hint="eastAsia"/>
          <w:b/>
          <w:sz w:val="28"/>
        </w:rPr>
        <w:t xml:space="preserve">9、日常工作要求</w:t>
      </w:r>
      <w:r/>
    </w:p>
    <w:p>
      <w:pPr>
        <w:spacing w:line="360" w:lineRule="auto"/>
      </w:pPr>
      <w:r>
        <mc:AlternateContent>
          <mc:Choice Requires="wpg">
            <w:drawing>
              <wp:inline xmlns:wp="http://schemas.openxmlformats.org/drawingml/2006/wordprocessingDrawing" distT="0" distB="0" distL="0" distR="0">
                <wp:extent cx="5492750" cy="2098040"/>
                <wp:effectExtent l="0" t="0" r="12700" b="165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rcRect l="4393" t="424" r="10340" b="32409"/>
                        <a:stretch/>
                      </pic:blipFill>
                      <pic:spPr bwMode="auto">
                        <a:xfrm>
                          <a:off x="0" y="0"/>
                          <a:ext cx="5492750" cy="209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5pt;height:165.2pt;mso-wrap-distance-left:0.0pt;mso-wrap-distance-top:0.0pt;mso-wrap-distance-right:0.0pt;mso-wrap-distance-bottom:0.0pt;" stroked="f">
                <v:path textboxrect="0,0,0,0"/>
                <v:imagedata r:id="rId12" o:title=""/>
              </v:shape>
            </w:pict>
          </mc:Fallback>
        </mc:AlternateContent>
      </w:r>
      <w:r/>
    </w:p>
    <w:p>
      <w:pPr>
        <w:jc w:val="left"/>
        <w:spacing w:line="360" w:lineRule="auto"/>
        <w:rPr>
          <w:rFonts w:hint="eastAsia"/>
          <w:b/>
          <w:bCs/>
          <w:color w:val="000000"/>
          <w:sz w:val="22"/>
          <w:szCs w:val="22"/>
        </w:rPr>
      </w:pPr>
      <w:r>
        <w:rPr>
          <w:rFonts w:hint="eastAsia"/>
          <w:b/>
          <w:bCs/>
          <w:color w:val="000000"/>
          <w:sz w:val="22"/>
          <w:szCs w:val="22"/>
        </w:rPr>
        <w:t xml:space="preserve">①下发检测任务；②分配任务；③前往对应区域抽样；④签字生成抽样单；⑤样本送往检测站点检测；⑥不合格样品；⑦复检不合格（通知市场主办方和分局），法检确证阳性⑧上传结果；⑨合格样品，直接上传；⑩结果反馈公示</w:t>
      </w:r>
      <w:r/>
    </w:p>
    <w:p>
      <w:pPr>
        <w:spacing w:line="360" w:lineRule="auto"/>
        <w:rPr>
          <w:rFonts w:hint="eastAsia" w:ascii="宋体" w:hAnsi="宋体"/>
          <w:sz w:val="24"/>
        </w:rPr>
      </w:pPr>
      <w:r>
        <w:rPr>
          <w:rFonts w:hint="eastAsia" w:ascii="宋体" w:hAnsi="宋体"/>
          <w:b/>
          <w:bCs/>
          <w:sz w:val="24"/>
        </w:rPr>
        <w:t xml:space="preserve">1）主动采样或接收样品：</w:t>
      </w:r>
      <w:r>
        <w:rPr>
          <w:rFonts w:hint="eastAsia" w:ascii="宋体" w:hAnsi="宋体"/>
          <w:sz w:val="24"/>
        </w:rPr>
        <w:t xml:space="preserve">负责服务期内的采样工作，应主动采集样品或接收样品进行食品安全快速检测。</w:t>
      </w:r>
      <w:r/>
    </w:p>
    <w:p>
      <w:pPr>
        <w:spacing w:line="360" w:lineRule="auto"/>
        <w:rPr>
          <w:rFonts w:hint="eastAsia" w:ascii="宋体" w:hAnsi="宋体"/>
          <w:sz w:val="24"/>
        </w:rPr>
      </w:pPr>
      <w:r>
        <w:rPr>
          <w:rFonts w:hint="eastAsia" w:ascii="宋体" w:hAnsi="宋体"/>
          <w:b/>
          <w:bCs/>
          <w:sz w:val="24"/>
        </w:rPr>
        <w:t xml:space="preserve">2）快检人员对样品开展食品安全快速检测：</w:t>
      </w:r>
      <w:r>
        <w:rPr>
          <w:rFonts w:hint="eastAsia" w:ascii="宋体" w:hAnsi="宋体"/>
          <w:sz w:val="24"/>
        </w:rPr>
        <w:t xml:space="preserve">投标人负责快检人员食品安全快速检测培训，包括采样、检测操作及结果处理的培训及指导，要进行实操培训，做到人人上机、独立操作、逐个考核、人人过关，确保快检操作人员熟练掌握快检操作技能，顺利完成快检任务。要建立快检人员培训和考核档案，每年培训时间不少于40小时。</w:t>
      </w:r>
      <w:r/>
    </w:p>
    <w:p>
      <w:pPr>
        <w:spacing w:line="360" w:lineRule="auto"/>
        <w:rPr>
          <w:rFonts w:hint="eastAsia" w:ascii="宋体" w:hAnsi="宋体" w:cs="仿宋_GB2312"/>
          <w:sz w:val="24"/>
        </w:rPr>
      </w:pPr>
      <w:r>
        <w:rPr>
          <w:rFonts w:hint="eastAsia" w:ascii="宋体" w:hAnsi="宋体"/>
          <w:b/>
          <w:bCs/>
          <w:sz w:val="24"/>
        </w:rPr>
        <w:t xml:space="preserve">3）检测数据上传、登记、信息反馈：</w:t>
      </w:r>
      <w:r>
        <w:rPr>
          <w:rFonts w:hint="eastAsia" w:ascii="宋体" w:hAnsi="宋体" w:cs="仿宋_GB2312"/>
          <w:sz w:val="24"/>
        </w:rPr>
        <w:t xml:space="preserve">投标人须为本项目提供食品安全信息化监管平台保证服务期内将采样信息、检测数据等信息实时传输保存至该平台并联网公示。</w:t>
      </w:r>
      <w:r/>
    </w:p>
    <w:p>
      <w:pPr>
        <w:spacing w:line="360" w:lineRule="auto"/>
        <w:rPr>
          <w:rFonts w:ascii="宋体" w:hAnsi="宋体"/>
          <w:sz w:val="24"/>
        </w:rPr>
      </w:pPr>
      <w:r>
        <w:rPr>
          <w:rFonts w:hint="eastAsia" w:ascii="宋体" w:hAnsi="宋体"/>
          <w:b/>
          <w:bCs/>
          <w:sz w:val="24"/>
        </w:rPr>
        <w:t xml:space="preserve">4）结果处理及公示：</w:t>
      </w:r>
      <w:r>
        <w:rPr>
          <w:rFonts w:hint="eastAsia" w:ascii="宋体" w:hAnsi="宋体"/>
          <w:sz w:val="24"/>
        </w:rPr>
        <w:t xml:space="preserve">本项目需配备公示系统，将每日快检合格产品信息在相关市场内公示，快检人员在现场快检中发现不合格产品的，需要进行复核处理，复核仍然阳性的，要立即将检测结果通报给采购人，并做好相关通报记录；积极配合采购人对不合格的检测报告及相关产品进行处理。</w:t>
      </w:r>
      <w:r/>
    </w:p>
    <w:p>
      <w:pPr>
        <w:spacing w:line="360" w:lineRule="auto"/>
        <w:rPr>
          <w:rFonts w:hint="eastAsia" w:ascii="宋体" w:hAnsi="宋体"/>
          <w:sz w:val="24"/>
        </w:rPr>
      </w:pPr>
      <w:r/>
      <w:bookmarkStart w:id="182" w:name="OLE_LINK3"/>
      <w:r>
        <w:rPr>
          <w:rFonts w:hint="eastAsia" w:ascii="宋体" w:hAnsi="宋体"/>
          <w:b/>
          <w:bCs/>
          <w:sz w:val="24"/>
        </w:rPr>
        <w:t xml:space="preserve">5）不合格品后续处理：</w:t>
      </w:r>
      <w:bookmarkEnd w:id="182"/>
      <w:r>
        <w:rPr>
          <w:rFonts w:hint="eastAsia" w:ascii="宋体" w:hAnsi="宋体"/>
          <w:sz w:val="24"/>
        </w:rPr>
        <w:t xml:space="preserve">对经快检不合格的食用农产品，投标人要协助采购人及时填写《快检不合格结果告知书》，在30分钟内将结果告知采购人，按采购人要求进行处理。对快检结果无异议的，指导、配合市场开办方对快检不合格食用农产品采取下架、销毁或其他无害化处理措施，防止其再次流入市场，签订《自主承诺下架协议书》，并对现场处置的文件、照片、视频进行留档；对快检结果有异议的，投标人需协助采购人进行法定抽样检验。</w:t>
      </w:r>
      <w:r/>
    </w:p>
    <w:p>
      <w:pPr>
        <w:jc w:val="left"/>
        <w:spacing w:line="360" w:lineRule="auto"/>
        <w:rPr>
          <w:rFonts w:hint="eastAsia" w:ascii="宋体" w:hAnsi="宋体" w:cs="宋体"/>
          <w:sz w:val="24"/>
        </w:rPr>
      </w:pPr>
      <w:r>
        <w:rPr>
          <w:rFonts w:hint="eastAsia" w:ascii="宋体" w:hAnsi="宋体"/>
          <w:b/>
          <w:bCs/>
          <w:sz w:val="24"/>
        </w:rPr>
        <w:t xml:space="preserve">6）档案管理：</w:t>
      </w:r>
      <w:r>
        <w:rPr>
          <w:rFonts w:hint="eastAsia" w:ascii="宋体" w:hAnsi="宋体"/>
          <w:sz w:val="24"/>
        </w:rPr>
        <w:t xml:space="preserve">投标人在区域范围内开展食品快检业务所形成的所有检测原始数据及检测结果，归采购人所有。未经采购人允许，不得对外公示或公布。投标人应同步进行检测数据的收集、整理、归档，并对检测数据进行综合分析和开发利用，为采购人制定监管措施及改进工作提供数据依据投标人按季度将档案资料移交给采购人。</w:t>
      </w:r>
      <w:r/>
    </w:p>
    <w:p>
      <w:pPr>
        <w:keepLines/>
        <w:keepNext/>
        <w:spacing w:line="360" w:lineRule="auto"/>
        <w:rPr>
          <w:rFonts w:hint="eastAsia"/>
          <w:b/>
          <w:sz w:val="28"/>
          <w:highlight w:val="none"/>
        </w:rPr>
        <w:outlineLvl w:val="2"/>
      </w:pPr>
      <w:r>
        <w:rPr>
          <w:rFonts w:hint="eastAsia"/>
          <w:b/>
          <w:sz w:val="28"/>
          <w:highlight w:val="none"/>
        </w:rPr>
        <w:t xml:space="preserve">10、增值服务</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（1）食品安全知识培训宣传和技术咨询：快检人员除了完成每天的检测任务之外，还要配合采购单位进行食品安全的宣传活动、现场快速检测等工作。</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（2）中标单位在一年服务期内须保障县局突发检测任务，根据需要免费提供服务项目如“你点我检”、“你送我检”“中、高考保障”等，响应时间为2小时内。</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（3）中标单位以自身单位项目资源为导向，每月提供阳性数据分析（包括快检品种、检测项目等）形成书面分析报告提交滨海县局，用于与监督抽检联动。</w:t>
      </w:r>
      <w:r/>
    </w:p>
    <w:p>
      <w:pPr>
        <w:jc w:val="left"/>
        <w:rPr>
          <w:color w:val="000000"/>
          <w:sz w:val="24"/>
        </w:rPr>
      </w:pPr>
      <w:r>
        <w:rPr>
          <w:rFonts w:hint="eastAsia" w:ascii="宋体" w:hAnsi="宋体" w:cs="宋体"/>
          <w:color w:val="000000"/>
          <w:sz w:val="24"/>
          <w:lang w:bidi="ar"/>
        </w:rPr>
        <w:t xml:space="preserve">（4）根据省市局要求，需开展相关行动的配合工作。</w:t>
      </w:r>
      <w:r/>
    </w:p>
    <w:p>
      <w:pPr>
        <w:jc w:val="left"/>
        <w:spacing w:line="360" w:lineRule="auto"/>
        <w:rPr>
          <w:rFonts w:hint="eastAsia" w:ascii="宋体" w:hAnsi="宋体" w:cs="宋体"/>
          <w:sz w:val="24"/>
        </w:rPr>
      </w:pPr>
      <w:r>
        <w:rPr>
          <w:rFonts w:hint="eastAsia" w:ascii="宋体" w:hAnsi="宋体" w:cs="宋体"/>
          <w:sz w:val="24"/>
        </w:rPr>
        <w:t xml:space="preserve">（5）服务质量要求：</w:t>
      </w:r>
      <w:r/>
    </w:p>
    <w:p>
      <w:pPr>
        <w:ind w:firstLine="560"/>
        <w:jc w:val="left"/>
        <w:spacing w:line="360" w:lineRule="auto"/>
        <w:rPr>
          <w:rFonts w:hint="eastAsia" w:ascii="宋体" w:hAnsi="宋体" w:cs="宋体"/>
          <w:sz w:val="24"/>
        </w:rPr>
      </w:pPr>
      <w:r>
        <w:rPr>
          <w:rFonts w:hint="eastAsia" w:ascii="宋体" w:hAnsi="宋体" w:cs="宋体"/>
          <w:sz w:val="24"/>
        </w:rPr>
        <w:t xml:space="preserve">1.工作纪律：投标人及其工作人员采购样品</w:t>
      </w:r>
      <w:r>
        <w:rPr>
          <w:rFonts w:hint="eastAsia" w:ascii="宋体" w:hAnsi="宋体" w:cs="宋体"/>
          <w:sz w:val="24"/>
        </w:rPr>
        <w:t xml:space="preserve">必须严格按照采购人采样要求，不得与采购对象勾结、漏采、少采；检测制样须严格遵守采购人要求，保证样品真实性及检测结果有效性；检测结果不得瞒报、谎报、漏报检验数据，检测工作中形成的数据资料、各项制度、检测仪器说明书、统计报表、计算机软件等相关文件要分门别类，指定专人登记，定期存档。对重要的数据、内部材料等未经审批，不得私自外借或复印。不得擅自发布有关快速检测信息，不得在开展抽样工作前事先通知被抽检单位和接受被抽检单位的馈赠，不得利用抽检结果开展有偿活动、牟取不正当利益。对发现的违法违规施检行为将向有关部门报告。</w:t>
      </w:r>
      <w:r/>
    </w:p>
    <w:p>
      <w:pPr>
        <w:ind w:firstLine="560"/>
        <w:jc w:val="left"/>
        <w:spacing w:line="360" w:lineRule="auto"/>
        <w:rPr>
          <w:rFonts w:hint="eastAsia" w:ascii="宋体" w:hAnsi="宋体" w:cs="宋体"/>
          <w:sz w:val="24"/>
        </w:rPr>
      </w:pPr>
      <w:r>
        <w:rPr>
          <w:rFonts w:hint="eastAsia" w:ascii="宋体" w:hAnsi="宋体" w:cs="宋体"/>
          <w:sz w:val="24"/>
        </w:rPr>
        <w:t xml:space="preserve">2.管理制度：投标人按照本项目目标要求，制定包括人员管理、业务培训、检测规程、检测结果公示（上传）规定、档案管理等的管理制度体系，实现全过程、全方位的规范化管理。管理制度应上墙公示，接受公众监督。</w:t>
      </w:r>
      <w:r/>
    </w:p>
    <w:p>
      <w:pPr>
        <w:ind w:firstLine="560"/>
        <w:jc w:val="left"/>
        <w:spacing w:line="360" w:lineRule="auto"/>
        <w:rPr>
          <w:rFonts w:hint="eastAsia" w:ascii="宋体" w:hAnsi="宋体" w:cs="宋体"/>
          <w:sz w:val="24"/>
        </w:rPr>
      </w:pPr>
      <w:r>
        <w:rPr>
          <w:rFonts w:hint="eastAsia" w:ascii="宋体" w:hAnsi="宋体" w:cs="宋体"/>
          <w:sz w:val="24"/>
        </w:rPr>
        <w:t xml:space="preserve">3.快检人员每年进行相应的技术培训，对突发情况要有预案。</w:t>
      </w:r>
      <w:r/>
    </w:p>
    <w:p>
      <w:pPr>
        <w:ind w:firstLine="560"/>
        <w:jc w:val="left"/>
        <w:spacing w:line="360" w:lineRule="auto"/>
        <w:rPr>
          <w:rFonts w:hint="eastAsia" w:ascii="宋体" w:hAnsi="宋体" w:cs="宋体"/>
          <w:sz w:val="24"/>
        </w:rPr>
      </w:pPr>
      <w:r>
        <w:rPr>
          <w:rFonts w:hint="eastAsia" w:ascii="宋体" w:hAnsi="宋体" w:cs="宋体"/>
          <w:sz w:val="24"/>
        </w:rPr>
        <w:t xml:space="preserve">4.采购人对快检服务人员工作不满意，有权要求投标人在3天内更换人员。服务公司还需提供确定的固定储备专职专业技术人员名单，以满足采购人对服务人员的更换需求。</w:t>
      </w:r>
      <w:r/>
    </w:p>
    <w:p>
      <w:pPr>
        <w:keepLines/>
        <w:keepNext/>
        <w:spacing w:line="360" w:lineRule="auto"/>
        <w:rPr>
          <w:rFonts w:hint="eastAsia" w:ascii="宋体" w:hAnsi="宋体" w:cs="宋体"/>
          <w:b/>
          <w:sz w:val="28"/>
        </w:rPr>
        <w:outlineLvl w:val="1"/>
      </w:pPr>
      <w:r>
        <w:rPr>
          <w:rFonts w:hint="eastAsia" w:ascii="宋体" w:hAnsi="宋体" w:cs="宋体"/>
          <w:b/>
          <w:sz w:val="28"/>
        </w:rPr>
        <w:t xml:space="preserve">（二）督查考核</w:t>
      </w:r>
      <w:r/>
    </w:p>
    <w:p>
      <w:pPr>
        <w:ind w:firstLine="560"/>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1、考核原则：考核原则上分为月度考核及年度考评。</w:t>
      </w:r>
      <w:r/>
    </w:p>
    <w:p>
      <w:pPr>
        <w:ind w:firstLine="560"/>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2、考核重点：月度考核重点在快检室人员出勤等规范化运行情况、快检批次完成、项目覆盖等情况；年度考评侧重快检能力验证、上级局考核等情况。</w:t>
      </w:r>
      <w:r/>
    </w:p>
    <w:p>
      <w:pPr>
        <w:ind w:firstLine="560"/>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3、考核频次：月度考核每月全覆盖。</w:t>
      </w:r>
      <w:r/>
    </w:p>
    <w:p>
      <w:pPr>
        <w:ind w:firstLine="560"/>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4、考核内容：《滨海县农贸（农批）市场食品安全快检服务月度考核表》《滨海县农贸（农批）市场食品安全快检服务年度考评表》。（根据需求考核内容会作动态调整）</w:t>
      </w:r>
      <w:r/>
    </w:p>
    <w:p>
      <w:pPr>
        <w:ind w:firstLine="560"/>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5、结果应用</w:t>
      </w:r>
      <w:r/>
    </w:p>
    <w:p>
      <w:pPr>
        <w:ind w:firstLine="560"/>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（1）月度考核：每个农贸市场考核总分为100分。考核得分大于等于90分为合格；考核得分小于90分大于等于85分，扣500元；考核得分小于85分大于等于80分，扣1000元；考核得分小于80分，扣1500元。考核可累计扣除。</w:t>
      </w:r>
      <w:r/>
    </w:p>
    <w:p>
      <w:pPr>
        <w:ind w:firstLine="560"/>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（2）年度考评：在上级局组织的年度快检能力验证考核中不合格的扣合同总价5%，在县局组织的年度快检能力验证考核中不合格的扣合同总价3%，可以累计扣除，等等。</w:t>
      </w:r>
      <w:r/>
    </w:p>
    <w:p>
      <w:pPr>
        <w:pStyle w:val="742"/>
        <w:jc w:val="center"/>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42"/>
        <w:jc w:val="center"/>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742"/>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42"/>
        <w:ind w:firstLine="441"/>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政府采购政策功能落实</w:t>
      </w:r>
      <w:r/>
    </w:p>
    <w:p>
      <w:pPr>
        <w:pStyle w:val="742"/>
        <w:ind w:firstLine="480"/>
        <w:spacing w:before="120" w:beforeAutospacing="0" w:after="12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1、小微型企业价格扣除</w:t>
      </w:r>
      <w:r/>
    </w:p>
    <w:p>
      <w:pPr>
        <w:pStyle w:val="900"/>
        <w:ind w:firstLine="36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（1）本项目若不专门面向中小企业采购，对</w:t>
      </w:r>
      <w:r>
        <w:rPr>
          <w:rFonts w:hint="eastAsia" w:ascii="宋体" w:hAnsi="宋体" w:eastAsia="宋体" w:cs="宋体"/>
          <w:color w:val="000000" w:themeColor="text1"/>
          <w:highlight w:val="none"/>
          <w:lang w:val="en-US" w:eastAsia="zh-CN"/>
          <w14:textFill>
            <w14:solidFill>
              <w14:schemeClr w14:val="tx1"/>
            </w14:solidFill>
          </w14:textFill>
        </w:rPr>
        <w:t xml:space="preserve">符合规定的</w:t>
      </w:r>
      <w:r>
        <w:rPr>
          <w:rFonts w:hint="eastAsia" w:ascii="宋体" w:hAnsi="宋体" w:eastAsia="宋体" w:cs="宋体"/>
          <w:color w:val="000000" w:themeColor="text1"/>
          <w:highlight w:val="none"/>
          <w14:textFill>
            <w14:solidFill>
              <w14:schemeClr w14:val="tx1"/>
            </w14:solidFill>
          </w14:textFill>
        </w:rPr>
        <w:t xml:space="preserve">小型和微型企业</w:t>
      </w:r>
      <w:r>
        <w:rPr>
          <w:rFonts w:hint="eastAsia" w:ascii="宋体" w:hAnsi="宋体" w:eastAsia="宋体" w:cs="宋体"/>
          <w:color w:val="000000" w:themeColor="text1"/>
          <w:highlight w:val="none"/>
          <w:lang w:val="en-US" w:eastAsia="zh-CN"/>
          <w14:textFill>
            <w14:solidFill>
              <w14:schemeClr w14:val="tx1"/>
            </w14:solidFill>
          </w14:textFill>
        </w:rPr>
        <w:t xml:space="preserve">报价</w:t>
      </w:r>
      <w:r>
        <w:rPr>
          <w:rFonts w:hint="eastAsia" w:ascii="宋体" w:hAnsi="宋体" w:eastAsia="宋体" w:cs="宋体"/>
          <w:color w:val="000000" w:themeColor="text1"/>
          <w:highlight w:val="none"/>
          <w14:textFill>
            <w14:solidFill>
              <w14:schemeClr w14:val="tx1"/>
            </w14:solidFill>
          </w14:textFill>
        </w:rPr>
        <w:t xml:space="preserve">给予20%的扣除价格，用扣除后的价格参与评审；若专门面向中小企业采购，不再对小型和微型企业</w:t>
      </w:r>
      <w:r>
        <w:rPr>
          <w:rFonts w:hint="eastAsia" w:ascii="宋体" w:hAnsi="宋体" w:eastAsia="宋体" w:cs="宋体"/>
          <w:color w:val="000000" w:themeColor="text1"/>
          <w:highlight w:val="none"/>
          <w:lang w:val="en-US" w:eastAsia="zh-CN"/>
          <w14:textFill>
            <w14:solidFill>
              <w14:schemeClr w14:val="tx1"/>
            </w14:solidFill>
          </w14:textFill>
        </w:rPr>
        <w:t xml:space="preserve">报价</w:t>
      </w:r>
      <w:r>
        <w:rPr>
          <w:rFonts w:hint="eastAsia" w:ascii="宋体" w:hAnsi="宋体" w:eastAsia="宋体" w:cs="宋体"/>
          <w:color w:val="000000" w:themeColor="text1"/>
          <w:highlight w:val="none"/>
          <w14:textFill>
            <w14:solidFill>
              <w14:schemeClr w14:val="tx1"/>
            </w14:solidFill>
          </w14:textFill>
        </w:rPr>
        <w:t xml:space="preserve">给予价格扣除。</w:t>
      </w:r>
      <w:r/>
    </w:p>
    <w:p>
      <w:pPr>
        <w:pStyle w:val="742"/>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742"/>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74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742"/>
        <w:ind w:left="120" w:firstLine="360"/>
        <w:spacing w:before="120" w:beforeAutospacing="0" w:after="120" w:afterAutospacing="0" w:line="0" w:lineRule="atLeast"/>
        <w:rPr>
          <w:rFonts w:hint="eastAsia" w:ascii="宋体" w:hAnsi="宋体" w:eastAsia="宋体" w:cs="宋体"/>
          <w:color w:val="000000" w:themeColor="text1"/>
          <w:highlight w:val="none"/>
          <w:u w:val="none"/>
          <w:lang w:eastAsia="zh-CN"/>
          <w14:textFill>
            <w14:solidFill>
              <w14:schemeClr w14:val="tx1"/>
            </w14:solidFill>
          </w14:textFill>
        </w:rPr>
      </w:pPr>
      <w:r>
        <w:rPr>
          <w:rFonts w:hint="eastAsia" w:ascii="宋体" w:hAnsi="宋体" w:eastAsia="宋体" w:cs="宋体"/>
          <w:color w:val="000000"/>
          <w:highlight w:val="none"/>
        </w:rPr>
        <w:t xml:space="preserve">（1）本项目对残疾人福利性单位视同小型、微型企业，</w:t>
      </w:r>
      <w:r>
        <w:rPr>
          <w:rFonts w:hint="eastAsia" w:ascii="宋体" w:hAnsi="宋体" w:eastAsia="宋体" w:cs="宋体"/>
          <w:color w:val="000000" w:themeColor="text1"/>
          <w:highlight w:val="none"/>
          <w14:textFill>
            <w14:solidFill>
              <w14:schemeClr w14:val="tx1"/>
            </w14:solidFill>
          </w14:textFill>
        </w:rPr>
        <w:t xml:space="preserve">给予</w:t>
      </w:r>
      <w:r>
        <w:rPr>
          <w:rFonts w:hint="eastAsia" w:ascii="宋体" w:hAnsi="宋体" w:eastAsia="宋体" w:cs="宋体"/>
          <w:color w:val="000000" w:themeColor="text1"/>
          <w:highlight w:val="none"/>
          <w:u w:val="none"/>
          <w14:textFill>
            <w14:solidFill>
              <w14:schemeClr w14:val="tx1"/>
            </w14:solidFill>
          </w14:textFill>
        </w:rPr>
        <w:t xml:space="preserve">20%</w:t>
      </w:r>
      <w:r>
        <w:rPr>
          <w:rFonts w:hint="eastAsia" w:ascii="宋体" w:hAnsi="宋体" w:eastAsia="宋体" w:cs="宋体"/>
          <w:color w:val="000000" w:themeColor="text1"/>
          <w:highlight w:val="none"/>
          <w:u w:val="none"/>
          <w:lang w:eastAsia="zh-CN"/>
          <w14:textFill>
            <w14:solidFill>
              <w14:schemeClr w14:val="tx1"/>
            </w14:solidFill>
          </w14:textFill>
        </w:rPr>
        <w:t xml:space="preserve">的价格扣除。</w:t>
      </w:r>
      <w:r/>
    </w:p>
    <w:p>
      <w:pPr>
        <w:pStyle w:val="742"/>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742"/>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74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742"/>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none"/>
        </w:rPr>
        <w:t xml:space="preserve">20%</w:t>
      </w:r>
      <w:r>
        <w:rPr>
          <w:rFonts w:hint="eastAsia" w:ascii="宋体" w:hAnsi="宋体" w:eastAsia="宋体" w:cs="宋体"/>
          <w:color w:val="000000"/>
          <w:highlight w:val="none"/>
          <w:u w:val="none"/>
          <w:lang w:eastAsia="zh-CN"/>
        </w:rPr>
        <w:t xml:space="preserve">的价格扣除。</w:t>
      </w:r>
      <w:r/>
    </w:p>
    <w:p>
      <w:pPr>
        <w:pStyle w:val="74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74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742"/>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742"/>
        <w:ind w:left="120" w:firstLine="360"/>
        <w:spacing w:before="120" w:beforeAutospacing="0" w:after="120" w:afterAutospacing="0" w:line="0" w:lineRule="atLeast"/>
        <w:rPr>
          <w:rFonts w:hint="eastAsia" w:ascii="宋体" w:hAnsi="宋体" w:eastAsia="宋体" w:cs="宋体"/>
          <w:color w:val="000000"/>
          <w:highlight w:val="none"/>
          <w:u w:val="non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none"/>
        </w:rPr>
        <w:t xml:space="preserve">20%</w:t>
      </w:r>
      <w:r>
        <w:rPr>
          <w:rFonts w:hint="eastAsia" w:ascii="宋体" w:hAnsi="宋体" w:eastAsia="宋体" w:cs="宋体"/>
          <w:color w:val="000000"/>
          <w:highlight w:val="none"/>
          <w:u w:val="none"/>
          <w:lang w:eastAsia="zh-CN"/>
        </w:rPr>
        <w:t xml:space="preserve">的价格扣除。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42"/>
        <w:ind w:firstLine="482"/>
        <w:spacing w:before="120" w:beforeAutospacing="0" w:after="120" w:afterAutospacing="0" w:line="0" w:lineRule="atLeast"/>
        <w:rPr>
          <w:rFonts w:hint="eastAsia" w:ascii="宋体" w:hAnsi="宋体" w:eastAsia="宋体" w:cs="宋体"/>
          <w:highlight w:val="yellow"/>
        </w:rPr>
      </w:pPr>
      <w:r>
        <w:rPr>
          <w:rFonts w:hint="eastAsia" w:ascii="宋体" w:hAnsi="宋体" w:eastAsia="宋体" w:cs="宋体"/>
          <w:b/>
          <w:color w:val="000000"/>
          <w:highlight w:val="none"/>
        </w:rPr>
        <w:t xml:space="preserve">评标方法与评标标准</w:t>
      </w:r>
      <w:r/>
    </w:p>
    <w:tbl>
      <w:tblPr>
        <w:tblStyle w:val="721"/>
        <w:tblW w:w="5141" w:type="pct"/>
        <w:tblInd w:w="-246" w:type="dxa"/>
        <w:tblLayout w:type="autofit"/>
        <w:tblCellMar>
          <w:left w:w="108" w:type="dxa"/>
          <w:top w:w="0" w:type="dxa"/>
          <w:right w:w="108" w:type="dxa"/>
          <w:bottom w:w="0" w:type="dxa"/>
        </w:tblCellMar>
        <w:tblLook w:val="04A0" w:firstRow="1" w:lastRow="0" w:firstColumn="1" w:lastColumn="0" w:noHBand="0" w:noVBand="1"/>
      </w:tblPr>
      <w:tblGrid>
        <w:gridCol w:w="662"/>
        <w:gridCol w:w="926"/>
        <w:gridCol w:w="6448"/>
        <w:gridCol w:w="726"/>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评分项</w:t>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分值</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价格部分（1</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1.有效投标报价：是指通过“投标文件初审”的投标人的经商务性评审（修正、小微企业扣除等）后的评标总价；</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2.评标基准价=有效投标报价中的最低投标报价；</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3.当投标人的评标总价等于评标基准价的得1</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bidi="ar"/>
              </w:rPr>
              <w:t xml:space="preserve">分；</w:t>
            </w:r>
            <w:r/>
          </w:p>
          <w:p>
            <w:pPr>
              <w:jc w:val="left"/>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4.其他投标人的价格分按照下列公式计算：评标总价得分=（评标基准价/评标总价）*1</w:t>
            </w:r>
            <w:r>
              <w:rPr>
                <w:rFonts w:hint="eastAsia" w:ascii="宋体" w:hAnsi="宋体" w:eastAsia="宋体" w:cs="宋体"/>
                <w:color w:val="000000"/>
                <w:sz w:val="18"/>
                <w:szCs w:val="18"/>
                <w:lang w:val="en-US" w:eastAsia="zh-CN" w:bidi="ar"/>
              </w:rPr>
              <w:t xml:space="preserve">5</w:t>
            </w:r>
            <w:r>
              <w:rPr>
                <w:rFonts w:hint="eastAsia" w:ascii="宋体" w:hAnsi="宋体" w:eastAsia="宋体" w:cs="宋体"/>
                <w:color w:val="000000"/>
                <w:sz w:val="18"/>
                <w:szCs w:val="18"/>
                <w:lang w:bidi="ar"/>
              </w:rPr>
              <w:t xml:space="preserve">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lang w:val="en-US" w:eastAsia="zh-CN" w:bidi="ar"/>
              </w:rPr>
              <w:t xml:space="preserve">5</w:t>
            </w:r>
            <w:r/>
          </w:p>
        </w:tc>
      </w:tr>
      <w:tr>
        <w:trPr>
          <w:trHeight w:val="884"/>
        </w:trPr>
        <w:tc>
          <w:tcPr>
            <w:shd w:val="clear" w:color="auto" w:fill="auto"/>
            <w:tcBorders>
              <w:left w:val="single" w:color="000000" w:sz="4" w:space="0"/>
              <w:right w:val="single" w:color="000000" w:sz="4" w:space="0"/>
            </w:tcBorders>
            <w:tcW w:w="378" w:type="pct"/>
            <w:vAlign w:val="center"/>
            <w:vMerge w:val="restart"/>
            <w:textDirection w:val="lrTb"/>
            <w:noWrap w:val="false"/>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w:t>
            </w:r>
            <w:r/>
          </w:p>
        </w:tc>
        <w:tc>
          <w:tcPr>
            <w:shd w:val="clear" w:color="auto" w:fill="auto"/>
            <w:tcBorders>
              <w:top w:val="single" w:color="000000" w:sz="4" w:space="0"/>
              <w:left w:val="single" w:color="000000" w:sz="4" w:space="0"/>
              <w:right w:val="single" w:color="000000" w:sz="4" w:space="0"/>
            </w:tcBorders>
            <w:tcW w:w="528" w:type="pct"/>
            <w:vAlign w:val="center"/>
            <w:vMerge w:val="restart"/>
            <w:textDirection w:val="lrTb"/>
            <w:noWrap w:val="false"/>
          </w:tcPr>
          <w:p>
            <w:pPr>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资质能力（10分）</w:t>
            </w:r>
            <w:r/>
          </w:p>
        </w:tc>
        <w:tc>
          <w:tcPr>
            <w:shd w:val="clear" w:color="auto" w:fill="auto"/>
            <w:tcBorders>
              <w:top w:val="single" w:color="000000" w:sz="4" w:space="0"/>
              <w:left w:val="single" w:color="000000" w:sz="4" w:space="0"/>
              <w:right w:val="none" w:color="000000" w:sz="4" w:space="0"/>
            </w:tcBorders>
            <w:tcW w:w="3678" w:type="pct"/>
            <w:vAlign w:val="center"/>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auto"/>
                <w:sz w:val="18"/>
                <w:szCs w:val="18"/>
                <w:highlight w:val="none"/>
                <w:lang w:bidi="ar"/>
              </w:rPr>
              <w:t xml:space="preserve">投标人</w:t>
            </w:r>
            <w:r>
              <w:rPr>
                <w:rFonts w:hint="eastAsia" w:ascii="宋体" w:hAnsi="宋体" w:eastAsia="宋体" w:cs="宋体"/>
                <w:color w:val="auto"/>
                <w:sz w:val="18"/>
                <w:szCs w:val="18"/>
                <w:highlight w:val="none"/>
                <w:lang w:val="en-US" w:eastAsia="zh-CN" w:bidi="ar"/>
              </w:rPr>
              <w:t xml:space="preserve">所使用的</w:t>
            </w:r>
            <w:r>
              <w:rPr>
                <w:rFonts w:hint="eastAsia" w:ascii="宋体" w:hAnsi="宋体" w:eastAsia="宋体" w:cs="宋体"/>
                <w:color w:val="auto"/>
                <w:sz w:val="18"/>
                <w:szCs w:val="18"/>
                <w:highlight w:val="none"/>
                <w:lang w:bidi="ar"/>
              </w:rPr>
              <w:t xml:space="preserve">快检采样软件、监管系统、公示系统相关软件著作权证书的；每提供1种证书材料得2分，本项最多得6分。</w:t>
            </w:r>
            <w:bookmarkStart w:id="183" w:name="OLE_LINK38"/>
            <w:r>
              <w:rPr>
                <w:rFonts w:hint="eastAsia" w:ascii="宋体" w:hAnsi="宋体" w:eastAsia="宋体" w:cs="宋体"/>
                <w:color w:val="auto"/>
                <w:sz w:val="18"/>
                <w:szCs w:val="18"/>
                <w:highlight w:val="none"/>
                <w:lang w:bidi="ar"/>
              </w:rPr>
              <w:t xml:space="preserve">（</w:t>
            </w:r>
            <w:bookmarkStart w:id="184" w:name="OLE_LINK37"/>
            <w:r/>
            <w:bookmarkStart w:id="185" w:name="OLE_LINK36"/>
            <w:r>
              <w:rPr>
                <w:rFonts w:hint="eastAsia" w:ascii="宋体" w:hAnsi="宋体" w:eastAsia="宋体" w:cs="宋体"/>
                <w:color w:val="auto"/>
                <w:sz w:val="18"/>
                <w:szCs w:val="18"/>
                <w:highlight w:val="none"/>
                <w:lang w:bidi="ar"/>
              </w:rPr>
              <w:t xml:space="preserve">提供相关证书材料原件扫描件并加盖公章，否则不得分。）</w:t>
            </w:r>
            <w:bookmarkEnd w:id="183"/>
            <w:r/>
            <w:bookmarkEnd w:id="184"/>
            <w:r/>
            <w:bookmarkEnd w:id="185"/>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r>
      <w:tr>
        <w:trPr>
          <w:trHeight w:val="1738"/>
        </w:trPr>
        <w:tc>
          <w:tcPr>
            <w:shd w:val="clear" w:color="auto" w:fill="auto"/>
            <w:tcBorders>
              <w:left w:val="single" w:color="000000" w:sz="4" w:space="0"/>
              <w:bottom w:val="single" w:color="000000" w:sz="4" w:space="0"/>
              <w:right w:val="single" w:color="000000" w:sz="4" w:space="0"/>
            </w:tcBorders>
            <w:tcW w:w="378"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jc w:val="left"/>
              <w:widowControl/>
              <w:rPr>
                <w:rFonts w:ascii="宋体" w:hAnsi="宋体" w:eastAsia="宋体" w:cs="宋体"/>
                <w:color w:val="auto"/>
                <w:sz w:val="18"/>
                <w:szCs w:val="18"/>
                <w:lang w:bidi="ar"/>
              </w:rPr>
            </w:pPr>
            <w:r>
              <w:rPr>
                <w:rFonts w:hint="eastAsia" w:ascii="宋体" w:hAnsi="宋体" w:eastAsia="宋体" w:cs="宋体"/>
                <w:color w:val="auto"/>
                <w:sz w:val="18"/>
                <w:szCs w:val="18"/>
                <w:lang w:bidi="ar"/>
              </w:rPr>
              <w:t xml:space="preserve">投标人或投标人所使用的试剂生产厂家作为起草单位每参与过一项食品安全快检技术相关国家标准、行业标准或技术规范（该标准或技术规范已通过备案并公布）的得2分；本项最多加4分；</w:t>
            </w:r>
            <w:r/>
          </w:p>
          <w:p>
            <w:pPr>
              <w:jc w:val="left"/>
              <w:widowControl/>
              <w:rPr>
                <w:rFonts w:ascii="宋体" w:hAnsi="宋体" w:eastAsia="宋体" w:cs="宋体"/>
                <w:color w:val="000000"/>
                <w:sz w:val="18"/>
                <w:szCs w:val="18"/>
                <w:lang w:bidi="ar"/>
              </w:rPr>
            </w:pPr>
            <w:r>
              <w:rPr>
                <w:rFonts w:hint="eastAsia" w:ascii="宋体" w:hAnsi="宋体" w:eastAsia="宋体" w:cs="宋体"/>
                <w:color w:val="auto"/>
                <w:sz w:val="18"/>
                <w:szCs w:val="18"/>
                <w:lang w:bidi="ar"/>
              </w:rPr>
              <w:t xml:space="preserve">评审依据：提供体现起草单位的相关标准或技术规范文本扫描件加盖起草单位公章或提供该标准或技术规范已通过备案并公布的相关证明材料，如投标人为代理商，则提供生产厂家授权书，否则不得分。注：中标后试剂生产厂家不得变更，如变更，取消中标人资格，招标人有权向投标人追索损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r>
      <w:tr>
        <w:trPr>
          <w:trHeight w:val="1080"/>
        </w:trPr>
        <w:tc>
          <w:tcPr>
            <w:shd w:val="clear" w:color="auto" w:fill="auto"/>
            <w:tcBorders>
              <w:top w:val="single" w:color="000000" w:sz="4" w:space="0"/>
              <w:left w:val="single" w:color="000000" w:sz="4" w:space="0"/>
              <w:right w:val="single" w:color="000000" w:sz="4" w:space="0"/>
            </w:tcBorders>
            <w:tcW w:w="378" w:type="pct"/>
            <w:vAlign w:val="center"/>
            <w:vMerge w:val="restart"/>
            <w:textDirection w:val="lrTb"/>
            <w:noWrap w:val="false"/>
          </w:tcPr>
          <w:p>
            <w:pPr>
              <w:jc w:val="center"/>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3</w:t>
            </w:r>
            <w:r/>
          </w:p>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业绩（</w:t>
            </w:r>
            <w:r>
              <w:rPr>
                <w:rFonts w:hint="eastAsia" w:ascii="宋体" w:hAnsi="宋体" w:eastAsia="宋体" w:cs="宋体"/>
                <w:color w:val="000000"/>
                <w:szCs w:val="21"/>
                <w:lang w:val="en-US" w:eastAsia="zh-CN" w:bidi="ar"/>
              </w:rPr>
              <w:t xml:space="preserve">15</w:t>
            </w:r>
            <w:r>
              <w:rPr>
                <w:rFonts w:hint="eastAsia" w:ascii="宋体" w:hAnsi="宋体" w:eastAsia="宋体" w:cs="宋体"/>
                <w:color w:val="000000"/>
                <w:szCs w:val="21"/>
                <w:lang w:bidi="ar"/>
              </w:rPr>
              <w:t xml:space="preserve">分）</w:t>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auto"/>
                <w:sz w:val="18"/>
                <w:szCs w:val="18"/>
                <w:highlight w:val="none"/>
                <w:lang w:bidi="ar"/>
              </w:rPr>
              <w:t xml:space="preserve">202</w:t>
            </w:r>
            <w:r>
              <w:rPr>
                <w:rFonts w:hint="eastAsia" w:ascii="宋体" w:hAnsi="宋体" w:eastAsia="宋体" w:cs="宋体"/>
                <w:color w:val="auto"/>
                <w:sz w:val="18"/>
                <w:szCs w:val="18"/>
                <w:highlight w:val="none"/>
                <w:lang w:val="en-US" w:eastAsia="zh-CN" w:bidi="ar"/>
              </w:rPr>
              <w:t xml:space="preserve">4</w:t>
            </w:r>
            <w:r>
              <w:rPr>
                <w:rFonts w:hint="eastAsia" w:ascii="宋体" w:hAnsi="宋体" w:eastAsia="宋体" w:cs="宋体"/>
                <w:color w:val="auto"/>
                <w:sz w:val="18"/>
                <w:szCs w:val="18"/>
                <w:highlight w:val="none"/>
                <w:lang w:bidi="ar"/>
              </w:rPr>
              <w:t xml:space="preserve">年1月1日以来（以合同签订时间为准），投标人承担过快检室运维服务相关类似业绩的，每提供一项得2分，本项最高得</w:t>
            </w:r>
            <w:r>
              <w:rPr>
                <w:rFonts w:hint="eastAsia" w:ascii="宋体" w:hAnsi="宋体" w:eastAsia="宋体" w:cs="宋体"/>
                <w:color w:val="auto"/>
                <w:sz w:val="18"/>
                <w:szCs w:val="18"/>
                <w:highlight w:val="none"/>
                <w:lang w:val="en-US" w:eastAsia="zh-CN" w:bidi="ar"/>
              </w:rPr>
              <w:t xml:space="preserve">8</w:t>
            </w:r>
            <w:r>
              <w:rPr>
                <w:rFonts w:hint="eastAsia" w:ascii="宋体" w:hAnsi="宋体" w:eastAsia="宋体" w:cs="宋体"/>
                <w:color w:val="auto"/>
                <w:sz w:val="18"/>
                <w:szCs w:val="18"/>
                <w:highlight w:val="none"/>
                <w:lang w:bidi="ar"/>
              </w:rPr>
              <w:t xml:space="preserve">分（提供中标通知书或合同扫描件；中标通知书或合同应能反映上述相关业绩信息，未提供或提供不全不得分）。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8</w:t>
            </w:r>
            <w:r/>
          </w:p>
        </w:tc>
      </w:tr>
      <w:tr>
        <w:trPr>
          <w:trHeight w:val="1260"/>
        </w:trPr>
        <w:tc>
          <w:tcPr>
            <w:shd w:val="clear" w:color="auto" w:fill="auto"/>
            <w:tcBorders>
              <w:left w:val="single" w:color="000000" w:sz="4" w:space="0"/>
              <w:bottom w:val="single" w:color="000000" w:sz="4" w:space="0"/>
              <w:right w:val="single" w:color="000000" w:sz="4" w:space="0"/>
            </w:tcBorders>
            <w:tcW w:w="378"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1、2024年1月1日以来，投标</w:t>
            </w:r>
            <w:r>
              <w:rPr>
                <w:rFonts w:hint="eastAsia" w:ascii="宋体" w:hAnsi="宋体" w:eastAsia="宋体" w:cs="宋体"/>
                <w:i w:val="0"/>
                <w:iCs w:val="0"/>
                <w:color w:val="auto"/>
                <w:sz w:val="18"/>
                <w:szCs w:val="18"/>
                <w:highlight w:val="none"/>
                <w:u w:val="none"/>
                <w:lang w:val="en-US" w:eastAsia="zh-CN" w:bidi="ar"/>
              </w:rPr>
              <w:t xml:space="preserve">人承担过政府主管部门委托的大型活动食品类快速检测任务或重大保障任务（提供合同或证明文件），1次得1分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，最高得4分。</w:t>
            </w:r>
            <w:r/>
          </w:p>
          <w:p>
            <w:pPr>
              <w:widowControl/>
              <w:rPr>
                <w:rFonts w:hint="default"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2、2024年1月1日以来，投标人组织过政府主管部门委托的食品快检结果验证工作的，每提供1个合同得3分，最高得3分；或者投标人参加过政府主管部门组织的食品快检结果验证，且结果</w:t>
            </w:r>
            <w:r>
              <w:rPr>
                <w:rFonts w:hint="eastAsia" w:ascii="宋体" w:hAnsi="宋体" w:eastAsia="宋体" w:cs="宋体"/>
                <w:i w:val="0"/>
                <w:iCs w:val="0"/>
                <w:color w:val="auto"/>
                <w:sz w:val="18"/>
                <w:szCs w:val="18"/>
                <w:highlight w:val="none"/>
                <w:u w:val="none"/>
                <w:lang w:val="en-US" w:eastAsia="zh-CN" w:bidi="ar"/>
              </w:rPr>
              <w:t xml:space="preserve">为合格、通过、符合的，</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每提供1个证明文件得1.5分，最高得3分。（本项最高得3分）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7</w:t>
            </w:r>
            <w:r/>
          </w:p>
        </w:tc>
      </w:tr>
      <w:tr>
        <w:trPr>
          <w:trHeight w:val="1260"/>
        </w:trPr>
        <w:tc>
          <w:tcPr>
            <w:shd w:val="clear" w:color="auto" w:fill="auto"/>
            <w:tcBorders>
              <w:top w:val="single" w:color="000000" w:sz="4" w:space="0"/>
              <w:left w:val="single" w:color="000000" w:sz="4" w:space="0"/>
              <w:right w:val="single" w:color="000000" w:sz="4" w:space="0"/>
            </w:tcBorders>
            <w:tcW w:w="378" w:type="pct"/>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技术能力（</w:t>
            </w:r>
            <w:r>
              <w:rPr>
                <w:rFonts w:hint="eastAsia" w:ascii="宋体" w:hAnsi="宋体" w:eastAsia="宋体" w:cs="宋体"/>
                <w:color w:val="000000"/>
                <w:szCs w:val="21"/>
                <w:lang w:val="en-US" w:eastAsia="zh-CN" w:bidi="ar"/>
              </w:rPr>
              <w:t xml:space="preserve">16</w:t>
            </w:r>
            <w:r>
              <w:rPr>
                <w:rFonts w:hint="eastAsia" w:ascii="宋体" w:hAnsi="宋体" w:eastAsia="宋体" w:cs="宋体"/>
                <w:color w:val="000000"/>
                <w:szCs w:val="21"/>
                <w:lang w:bidi="ar"/>
              </w:rPr>
              <w:t xml:space="preserve">分）</w:t>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投标人拟投入本项目水产品中的孔雀石绿、氯霉素、硝基呋喃类代谢物、氧氟沙星等通过农业部门水产科学研究院评价通过的，每通过一项得2分，本项最</w:t>
            </w:r>
            <w:r>
              <w:rPr>
                <w:rFonts w:hint="eastAsia" w:ascii="宋体" w:hAnsi="宋体" w:eastAsia="宋体" w:cs="宋体"/>
                <w:color w:val="000000"/>
                <w:sz w:val="18"/>
                <w:szCs w:val="18"/>
                <w:lang w:val="en-US" w:eastAsia="zh-CN" w:bidi="ar"/>
              </w:rPr>
              <w:t xml:space="preserve">高得</w:t>
            </w:r>
            <w:r>
              <w:rPr>
                <w:rFonts w:hint="eastAsia" w:ascii="宋体" w:hAnsi="宋体" w:eastAsia="宋体" w:cs="宋体"/>
                <w:color w:val="000000"/>
                <w:sz w:val="18"/>
                <w:szCs w:val="18"/>
                <w:lang w:bidi="ar"/>
              </w:rPr>
              <w:t xml:space="preserve">8分。注：提供农业部门水产科学研究院评价的结果证明材料扫描件，不清晰或未提供全不得分。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r>
      <w:tr>
        <w:trPr>
          <w:trHeight w:val="396"/>
        </w:trPr>
        <w:tc>
          <w:tcPr>
            <w:shd w:val="clear" w:color="auto" w:fill="auto"/>
            <w:tcBorders>
              <w:left w:val="single" w:color="000000" w:sz="4" w:space="0"/>
              <w:right w:val="single" w:color="000000" w:sz="4" w:space="0"/>
            </w:tcBorders>
            <w:tcW w:w="378"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right w:val="none" w:color="000000" w:sz="4" w:space="0"/>
            </w:tcBorders>
            <w:tcW w:w="3678" w:type="pct"/>
            <w:vAlign w:val="center"/>
            <w:textDirection w:val="lrTb"/>
            <w:noWrap w:val="false"/>
          </w:tcPr>
          <w:p>
            <w:pP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所用的试剂需提供试剂生产厂家符合国家总局公告的快检方法经过具有检验资质的第三方机构实验出具的评价报告，评价报告需按《市场监管总局关于规范食品快速检测使用的意见》（国市监食检规〔2023〕1号）或食药监办科[2017]43 号《食品快速检测方法评价技术规范》要求进行盲样测试，评价结果需符合国家食药总局快检方法要求（评价内容至少包括适用范围、灵敏度、特异性、假阳性率、假阴性率指标）每提供1个加0.5分，最高得8分。(提供的评价报告所对应的试剂需为供应商能真实采购，投入使用的，否则不得分）</w:t>
            </w:r>
            <w:r/>
          </w:p>
          <w:p>
            <w:pPr>
              <w:widowControl/>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8</w:t>
            </w:r>
            <w:r/>
          </w:p>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车辆服务（2分）</w:t>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widowControl/>
              <w:rPr>
                <w:rFonts w:ascii="宋体" w:hAnsi="宋体" w:eastAsia="宋体" w:cs="宋体"/>
                <w:color w:val="ff0000"/>
                <w:sz w:val="18"/>
                <w:szCs w:val="18"/>
              </w:rPr>
            </w:pPr>
            <w:r>
              <w:rPr>
                <w:rFonts w:hint="eastAsia" w:ascii="宋体" w:hAnsi="宋体" w:eastAsia="宋体" w:cs="宋体"/>
                <w:i w:val="0"/>
                <w:iCs w:val="0"/>
                <w:color w:val="auto"/>
                <w:sz w:val="18"/>
                <w:szCs w:val="18"/>
                <w:highlight w:val="none"/>
                <w:u w:val="none"/>
                <w:lang w:val="en-US" w:eastAsia="zh-CN" w:bidi="ar"/>
              </w:rPr>
              <w:t xml:space="preserve">投标人能提供食品专用快检车辆的（自有或租赁的），得2分，没有不得分。投标人须提供以下材料：若为自有车辆，提供车辆登记证书（车辆所有人需和投标人一致）、购车发票、车辆行驶证、车辆照片等；若为租赁车辆，还须提供租赁协议，协议期限不得少于服务期限。</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r>
      <w:tr>
        <w:trPr>
          <w:trHeight w:val="3456"/>
        </w:trPr>
        <w:tc>
          <w:tcPr>
            <w:shd w:val="clear" w:color="auto" w:fill="auto"/>
            <w:tcBorders>
              <w:top w:val="single" w:color="000000" w:sz="4" w:space="0"/>
              <w:left w:val="single" w:color="000000" w:sz="4" w:space="0"/>
              <w:right w:val="single" w:color="000000" w:sz="4" w:space="0"/>
            </w:tcBorders>
            <w:tcW w:w="378" w:type="pct"/>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技术人员（10分）</w:t>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widowControl/>
              <w:rPr>
                <w:rFonts w:ascii="宋体" w:hAnsi="宋体" w:eastAsia="宋体" w:cs="宋体"/>
                <w:color w:val="auto"/>
                <w:sz w:val="18"/>
                <w:szCs w:val="18"/>
                <w:lang w:bidi="ar"/>
              </w:rPr>
            </w:pPr>
            <w:r>
              <w:rPr>
                <w:rFonts w:hint="eastAsia" w:ascii="宋体" w:hAnsi="宋体" w:eastAsia="宋体" w:cs="宋体"/>
                <w:color w:val="000000"/>
                <w:sz w:val="18"/>
                <w:szCs w:val="18"/>
                <w:lang w:bidi="ar"/>
              </w:rPr>
              <w:t xml:space="preserve"> 投标人拟为本项目配备专职的项目负责人：</w:t>
            </w:r>
            <w:r>
              <w:rPr>
                <w:rFonts w:hint="eastAsia" w:ascii="宋体" w:hAnsi="宋体" w:eastAsia="宋体" w:cs="宋体"/>
                <w:b/>
                <w:bCs/>
                <w:color w:val="000000"/>
                <w:sz w:val="18"/>
                <w:szCs w:val="18"/>
                <w:u w:val="single"/>
                <w:lang w:bidi="ar"/>
              </w:rPr>
              <w:t xml:space="preserve">（项目负责人必须为同一个人，如不是同一个人，本项不得分）</w:t>
            </w:r>
            <w:r>
              <w:rPr>
                <w:rFonts w:hint="eastAsia" w:ascii="宋体" w:hAnsi="宋体" w:eastAsia="宋体" w:cs="宋体"/>
                <w:b/>
                <w:bCs/>
                <w:color w:val="000000"/>
                <w:sz w:val="18"/>
                <w:szCs w:val="18"/>
                <w:u w:val="single"/>
                <w:lang w:bidi="ar"/>
              </w:rPr>
              <w:br/>
            </w:r>
            <w:r>
              <w:rPr>
                <w:rFonts w:hint="eastAsia" w:ascii="宋体" w:hAnsi="宋体" w:eastAsia="宋体" w:cs="宋体"/>
                <w:color w:val="000000"/>
                <w:sz w:val="18"/>
                <w:szCs w:val="18"/>
                <w:lang w:bidi="ar"/>
              </w:rPr>
              <w:t xml:space="preserve">（1）具有食品或化学或生物或检验类硕士研究生（含）以上学历学位，具有两年（含）以上同类项目工作经验，全部满足得2分。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注：提供项目负责人学历学位证书扫描件、同类项目工作经验年限证明（投标人需提供证明函扫描件）和投</w:t>
            </w:r>
            <w:r>
              <w:rPr>
                <w:rFonts w:hint="eastAsia" w:ascii="宋体" w:hAnsi="宋体" w:eastAsia="宋体" w:cs="宋体"/>
                <w:color w:val="auto"/>
                <w:sz w:val="18"/>
                <w:szCs w:val="18"/>
                <w:lang w:bidi="ar"/>
              </w:rPr>
              <w:t xml:space="preserve">标人2026年</w:t>
            </w:r>
            <w:r>
              <w:rPr>
                <w:rFonts w:hint="eastAsia" w:ascii="宋体" w:hAnsi="宋体" w:eastAsia="宋体" w:cs="宋体"/>
                <w:color w:val="auto"/>
                <w:sz w:val="18"/>
                <w:szCs w:val="18"/>
                <w:highlight w:val="none"/>
                <w:lang w:bidi="ar"/>
              </w:rPr>
              <w:t xml:space="preserve">5</w:t>
            </w:r>
            <w:r>
              <w:rPr>
                <w:rFonts w:hint="eastAsia" w:ascii="宋体" w:hAnsi="宋体" w:eastAsia="宋体" w:cs="宋体"/>
                <w:color w:val="auto"/>
                <w:sz w:val="18"/>
                <w:szCs w:val="18"/>
                <w:lang w:bidi="ar"/>
              </w:rPr>
              <w:t xml:space="preserve">月至投标截止之日起任意一个月投标人为其缴纳的社保记录的证明材料，以上内容未提供或提供不全或不清晰不明确或不符合要求不得分。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w:t>
            </w:r>
            <w:r>
              <w:rPr>
                <w:rFonts w:hint="eastAsia" w:ascii="宋体" w:hAnsi="宋体" w:eastAsia="宋体" w:cs="宋体"/>
                <w:color w:val="auto"/>
                <w:sz w:val="18"/>
                <w:szCs w:val="18"/>
                <w:highlight w:val="none"/>
                <w:lang w:bidi="ar"/>
              </w:rPr>
              <w:t xml:space="preserve">2）具有</w:t>
            </w:r>
            <w:r>
              <w:rPr>
                <w:rFonts w:hint="eastAsia" w:ascii="宋体" w:hAnsi="宋体" w:eastAsia="宋体" w:cs="宋体"/>
                <w:color w:val="auto"/>
                <w:sz w:val="18"/>
                <w:szCs w:val="18"/>
                <w:lang w:bidi="ar"/>
              </w:rPr>
              <w:t xml:space="preserve">食品类、化工类、生物类中级及以上</w:t>
            </w:r>
            <w:r>
              <w:rPr>
                <w:rFonts w:hint="eastAsia" w:ascii="宋体" w:hAnsi="宋体" w:eastAsia="宋体" w:cs="宋体"/>
                <w:color w:val="auto"/>
                <w:sz w:val="18"/>
                <w:szCs w:val="18"/>
                <w:highlight w:val="none"/>
                <w:lang w:bidi="ar"/>
              </w:rPr>
              <w:t xml:space="preserve">职称证书，得2分。</w:t>
            </w:r>
            <w:r/>
          </w:p>
          <w:p>
            <w:pPr>
              <w:widowControl/>
              <w:rPr>
                <w:rFonts w:ascii="宋体" w:hAnsi="宋体" w:eastAsia="宋体" w:cs="宋体"/>
                <w:color w:val="000000"/>
                <w:sz w:val="18"/>
                <w:szCs w:val="18"/>
              </w:rPr>
            </w:pPr>
            <w:r>
              <w:rPr>
                <w:rFonts w:hint="eastAsia" w:ascii="宋体" w:hAnsi="宋体" w:eastAsia="宋体" w:cs="宋体"/>
                <w:color w:val="auto"/>
                <w:sz w:val="18"/>
                <w:szCs w:val="18"/>
                <w:lang w:bidi="ar"/>
              </w:rPr>
              <w:t xml:space="preserve">注：提供中级职称证书扫描件和加盖投标人公章。</w:t>
            </w:r>
            <w:r>
              <w:rPr>
                <w:rFonts w:hint="eastAsia" w:ascii="宋体" w:hAnsi="宋体" w:eastAsia="宋体" w:cs="宋体"/>
                <w:color w:val="auto"/>
                <w:sz w:val="18"/>
                <w:szCs w:val="18"/>
                <w:lang w:bidi="ar"/>
              </w:rPr>
              <w:br/>
            </w:r>
            <w:r>
              <w:rPr>
                <w:rFonts w:hint="eastAsia" w:ascii="宋体" w:hAnsi="宋体" w:eastAsia="宋体" w:cs="宋体"/>
                <w:color w:val="auto"/>
                <w:sz w:val="18"/>
                <w:szCs w:val="18"/>
                <w:highlight w:val="none"/>
                <w:lang w:bidi="ar"/>
              </w:rPr>
              <w:t xml:space="preserve">（3）配备的项目负责人自202</w:t>
            </w:r>
            <w:r>
              <w:rPr>
                <w:rFonts w:hint="eastAsia" w:ascii="宋体" w:hAnsi="宋体" w:eastAsia="宋体" w:cs="宋体"/>
                <w:color w:val="auto"/>
                <w:sz w:val="18"/>
                <w:szCs w:val="18"/>
                <w:highlight w:val="none"/>
                <w:lang w:val="en-US" w:eastAsia="zh-CN" w:bidi="ar"/>
              </w:rPr>
              <w:t xml:space="preserve">4</w:t>
            </w:r>
            <w:r>
              <w:rPr>
                <w:rFonts w:hint="eastAsia" w:ascii="宋体" w:hAnsi="宋体" w:eastAsia="宋体" w:cs="宋体"/>
                <w:color w:val="auto"/>
                <w:sz w:val="18"/>
                <w:szCs w:val="18"/>
                <w:highlight w:val="none"/>
                <w:lang w:bidi="ar"/>
              </w:rPr>
              <w:t xml:space="preserve">年1月1日以来（以合同签订时间为准）承担过类似项目，提供一个得1分，最多得2分。</w:t>
            </w:r>
            <w:r>
              <w:rPr>
                <w:rFonts w:hint="eastAsia" w:ascii="宋体" w:hAnsi="宋体" w:eastAsia="宋体" w:cs="宋体"/>
                <w:color w:val="auto"/>
                <w:sz w:val="18"/>
                <w:szCs w:val="18"/>
                <w:highlight w:val="none"/>
                <w:lang w:bidi="ar"/>
              </w:rPr>
              <w:br/>
            </w:r>
            <w:r>
              <w:rPr>
                <w:rFonts w:hint="eastAsia" w:ascii="宋体" w:hAnsi="宋体" w:eastAsia="宋体" w:cs="宋体"/>
                <w:color w:val="auto"/>
                <w:sz w:val="18"/>
                <w:szCs w:val="18"/>
                <w:highlight w:val="none"/>
                <w:lang w:bidi="ar"/>
              </w:rPr>
              <w:t xml:space="preserve">注：提供合同扫描件及项目负责人参与此</w:t>
            </w:r>
            <w:r>
              <w:rPr>
                <w:rFonts w:hint="eastAsia" w:ascii="宋体" w:hAnsi="宋体" w:eastAsia="宋体" w:cs="宋体"/>
                <w:color w:val="000000"/>
                <w:sz w:val="18"/>
                <w:szCs w:val="18"/>
                <w:highlight w:val="none"/>
                <w:lang w:bidi="ar"/>
              </w:rPr>
              <w:t xml:space="preserve">项目等证明材料，合同需能反映相关类似项目信息。证明材料未提供或提供不全或不清晰不明确或不符合要求不得分。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r>
      <w:tr>
        <w:trPr>
          <w:trHeight w:val="1460"/>
        </w:trPr>
        <w:tc>
          <w:tcPr>
            <w:shd w:val="clear" w:color="auto" w:fill="auto"/>
            <w:tcBorders>
              <w:left w:val="single" w:color="000000" w:sz="4" w:space="0"/>
              <w:bottom w:val="single" w:color="000000" w:sz="4" w:space="0"/>
              <w:right w:val="single" w:color="000000" w:sz="4" w:space="0"/>
            </w:tcBorders>
            <w:tcW w:w="378"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none" w:color="000000" w:sz="4" w:space="0"/>
            </w:tcBorders>
            <w:tcW w:w="3678" w:type="pct"/>
            <w:vAlign w:val="center"/>
            <w:textDirection w:val="lrTb"/>
            <w:noWrap w:val="false"/>
          </w:tcPr>
          <w:p>
            <w:pPr>
              <w:widowControl/>
              <w:rPr>
                <w:rFonts w:ascii="宋体" w:hAnsi="宋体" w:eastAsia="宋体" w:cs="宋体"/>
                <w:color w:val="000000"/>
                <w:sz w:val="20"/>
                <w:szCs w:val="20"/>
              </w:rPr>
            </w:pPr>
            <w:r/>
            <w:bookmarkStart w:id="186" w:name="OLE_LINK1"/>
            <w:r>
              <w:rPr>
                <w:rFonts w:hint="eastAsia" w:ascii="宋体" w:hAnsi="宋体" w:eastAsia="宋体" w:cs="宋体"/>
                <w:color w:val="000000"/>
                <w:sz w:val="18"/>
                <w:szCs w:val="18"/>
                <w:lang w:bidi="ar"/>
              </w:rPr>
              <w:t xml:space="preserve">投标人拟派2名项目检测技</w:t>
            </w:r>
            <w:bookmarkEnd w:id="186"/>
            <w:r>
              <w:rPr>
                <w:rFonts w:hint="eastAsia" w:ascii="宋体" w:hAnsi="宋体" w:eastAsia="宋体" w:cs="宋体"/>
                <w:color w:val="000000"/>
                <w:sz w:val="18"/>
                <w:szCs w:val="18"/>
                <w:lang w:bidi="ar"/>
              </w:rPr>
              <w:t xml:space="preserve">术骨干人员；具有本科及以上学历（生物类、食品类、化学类、检测化验类、高分子材料与工程类等相关专业），每提供1名符合要求的人员证明材料</w:t>
            </w:r>
            <w:r>
              <w:rPr>
                <w:rFonts w:hint="eastAsia" w:ascii="宋体" w:hAnsi="宋体" w:eastAsia="宋体" w:cs="宋体"/>
                <w:color w:val="000000"/>
                <w:sz w:val="18"/>
                <w:szCs w:val="18"/>
                <w:highlight w:val="none"/>
                <w:lang w:bidi="ar"/>
              </w:rPr>
              <w:t xml:space="preserve">得2分</w:t>
            </w:r>
            <w:r>
              <w:rPr>
                <w:rFonts w:hint="eastAsia" w:ascii="宋体" w:hAnsi="宋体" w:eastAsia="宋体" w:cs="宋体"/>
                <w:color w:val="000000"/>
                <w:sz w:val="18"/>
                <w:szCs w:val="18"/>
                <w:lang w:bidi="ar"/>
              </w:rPr>
              <w:t xml:space="preserve">，最高得4分。注：（需提供①毕业证书扫描件、</w:t>
            </w:r>
            <w:r>
              <w:rPr>
                <w:rFonts w:hint="eastAsia" w:ascii="宋体" w:hAnsi="宋体" w:eastAsia="宋体" w:cs="宋体"/>
                <w:color w:val="auto"/>
                <w:sz w:val="18"/>
                <w:szCs w:val="18"/>
                <w:lang w:bidi="ar"/>
              </w:rPr>
              <w:t xml:space="preserve">②2026年</w:t>
            </w:r>
            <w:r>
              <w:rPr>
                <w:rFonts w:hint="eastAsia" w:ascii="宋体" w:hAnsi="宋体" w:eastAsia="宋体" w:cs="宋体"/>
                <w:color w:val="auto"/>
                <w:sz w:val="18"/>
                <w:szCs w:val="18"/>
                <w:highlight w:val="none"/>
                <w:lang w:bidi="ar"/>
              </w:rPr>
              <w:t xml:space="preserve">5</w:t>
            </w:r>
            <w:r>
              <w:rPr>
                <w:rFonts w:hint="eastAsia" w:ascii="宋体" w:hAnsi="宋体" w:eastAsia="宋体" w:cs="宋体"/>
                <w:color w:val="auto"/>
                <w:sz w:val="18"/>
                <w:szCs w:val="18"/>
                <w:lang w:bidi="ar"/>
              </w:rPr>
              <w:t xml:space="preserve">月</w:t>
            </w:r>
            <w:r>
              <w:rPr>
                <w:rFonts w:hint="eastAsia" w:ascii="宋体" w:hAnsi="宋体" w:eastAsia="宋体" w:cs="宋体"/>
                <w:color w:val="000000"/>
                <w:sz w:val="18"/>
                <w:szCs w:val="18"/>
                <w:lang w:bidi="ar"/>
              </w:rPr>
              <w:t xml:space="preserve">至投标截止之日起任意一个月投标人为其缴纳社保的证明文件,未提供或提供不全的不得分。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r>
      <w:tr>
        <w:trPr>
          <w:trHeight w:val="463"/>
        </w:trPr>
        <w:tc>
          <w:tcPr>
            <w:shd w:val="clear" w:color="auto" w:fill="auto"/>
            <w:tcBorders>
              <w:top w:val="single" w:color="000000" w:sz="4" w:space="0"/>
              <w:left w:val="single" w:color="000000" w:sz="4" w:space="0"/>
              <w:right w:val="single" w:color="000000" w:sz="4" w:space="0"/>
            </w:tcBorders>
            <w:tcW w:w="378" w:type="pct"/>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运维技术服务</w:t>
            </w:r>
            <w:r>
              <w:rPr>
                <w:rFonts w:hint="eastAsia" w:ascii="宋体" w:hAnsi="宋体" w:eastAsia="宋体" w:cs="宋体"/>
                <w:color w:val="000000"/>
                <w:sz w:val="22"/>
                <w:szCs w:val="22"/>
                <w:lang w:bidi="ar"/>
              </w:rPr>
              <w:br/>
            </w:r>
            <w:r>
              <w:rPr>
                <w:rFonts w:hint="eastAsia" w:ascii="宋体" w:hAnsi="宋体" w:eastAsia="宋体" w:cs="宋体"/>
                <w:color w:val="000000"/>
                <w:sz w:val="22"/>
                <w:szCs w:val="22"/>
                <w:lang w:bidi="ar"/>
              </w:rPr>
              <w:t xml:space="preserve">（</w:t>
            </w:r>
            <w:r>
              <w:rPr>
                <w:rFonts w:hint="eastAsia" w:ascii="宋体" w:hAnsi="宋体" w:eastAsia="宋体" w:cs="宋体"/>
                <w:color w:val="000000"/>
                <w:sz w:val="22"/>
                <w:szCs w:val="22"/>
                <w:lang w:val="en-US" w:eastAsia="zh-CN" w:bidi="ar"/>
              </w:rPr>
              <w:t xml:space="preserve">32</w:t>
            </w:r>
            <w:r>
              <w:rPr>
                <w:rFonts w:hint="eastAsia" w:ascii="宋体" w:hAnsi="宋体" w:eastAsia="宋体" w:cs="宋体"/>
                <w:color w:val="000000"/>
                <w:sz w:val="22"/>
                <w:szCs w:val="22"/>
                <w:lang w:bidi="ar"/>
              </w:rPr>
              <w:t xml:space="preserve">分）</w:t>
            </w:r>
            <w:r/>
          </w:p>
        </w:tc>
        <w:tc>
          <w:tcPr>
            <w:shd w:val="clear" w:color="auto" w:fill="auto"/>
            <w:tcBorders>
              <w:top w:val="single" w:color="000000" w:sz="4" w:space="0"/>
              <w:left w:val="none" w:color="000000" w:sz="4" w:space="0"/>
              <w:bottom w:val="single" w:color="000000" w:sz="4" w:space="0"/>
              <w:right w:val="none" w:color="000000" w:sz="4" w:space="0"/>
            </w:tcBorders>
            <w:tcW w:w="3678" w:type="pct"/>
            <w:vAlign w:val="bottom"/>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评委根据投标人针对本项目提供的农贸市场快检室食品安全检测服务方案（包括但不限于人力投入计划、服务便利性措施、运营管理和服务质量保障措施等）进行综合评分：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1) 上述方案思路清晰、目标明确、对农贸市场运维服务的各项工作要求理解到位、具有较强的科学性及合理性的得</w:t>
            </w:r>
            <w:r>
              <w:rPr>
                <w:rFonts w:hint="eastAsia" w:ascii="宋体" w:hAnsi="宋体" w:eastAsia="宋体" w:cs="宋体"/>
                <w:color w:val="000000"/>
                <w:sz w:val="18"/>
                <w:szCs w:val="18"/>
                <w:lang w:val="en-US" w:eastAsia="zh-CN" w:bidi="ar"/>
              </w:rPr>
              <w:t xml:space="preserve">10</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 上述方案思路较清晰、目标较明确、对农贸市场运维服务的各项工作要求基本理解、具有科学性及合理性的得</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3) 上述方案思路与目标设置基本符合本项目实际需求、但对农贸市场运维服务各项工作要求的理解有所欠缺、具有的合理性一般的得</w:t>
            </w: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4) 上述方案思路较混乱、目标设置不明确、对农贸市场运维服务的各项工作要求的理解有所偏差、不具有合理性的得1分；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5）其他情况不得分。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
              </w:rPr>
              <w:t xml:space="preserve">10</w:t>
            </w:r>
            <w:r/>
          </w:p>
        </w:tc>
      </w:tr>
      <w:tr>
        <w:trPr>
          <w:trHeight w:val="1728"/>
        </w:trPr>
        <w:tc>
          <w:tcPr>
            <w:shd w:val="clear" w:color="auto" w:fill="auto"/>
            <w:tcBorders>
              <w:left w:val="single" w:color="000000" w:sz="4" w:space="0"/>
              <w:right w:val="single" w:color="000000" w:sz="4" w:space="0"/>
            </w:tcBorders>
            <w:tcW w:w="378"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none" w:color="000000" w:sz="4" w:space="0"/>
              <w:bottom w:val="single" w:color="000000" w:sz="4" w:space="0"/>
              <w:right w:val="none" w:color="000000" w:sz="4" w:space="0"/>
            </w:tcBorders>
            <w:tcW w:w="3678" w:type="pct"/>
            <w:vAlign w:val="bottom"/>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评委根据投标人针对本项目提供的农贸市场快检室运营管理服务方案（包括但不限于技术保障能力、服务响应速度和应急保障措施等）进行综合评分：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1） 上述内容全面完整、科学合理、具有实际可操作性且优于本项目实际需求的得</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 上述内容较全面、较合理、具有一定的可操作性且基本满足本项目实际需求的得3分；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3） 上述内容略有瑕疵、合理性与实际可操作性一般的得</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4） 其他情况不得分。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6</w:t>
            </w:r>
            <w:r/>
          </w:p>
        </w:tc>
      </w:tr>
      <w:tr>
        <w:trPr>
          <w:trHeight w:val="1152"/>
        </w:trPr>
        <w:tc>
          <w:tcPr>
            <w:shd w:val="clear" w:color="auto" w:fill="auto"/>
            <w:tcBorders>
              <w:left w:val="single" w:color="000000" w:sz="4" w:space="0"/>
              <w:right w:val="single" w:color="000000" w:sz="4" w:space="0"/>
            </w:tcBorders>
            <w:tcW w:w="378"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none" w:color="000000" w:sz="4" w:space="0"/>
              <w:bottom w:val="single" w:color="000000" w:sz="4" w:space="0"/>
              <w:right w:val="none" w:color="000000" w:sz="4" w:space="0"/>
            </w:tcBorders>
            <w:tcW w:w="3678" w:type="pct"/>
            <w:vAlign w:val="bottom"/>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评委根据投标人针对本项目提供的农贸市场快检室相关检测设备运行维护服务方案进行综合评分：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1） 上述内容全面完整、科学合理且、具有实际可操作性且优于本项目实际需求的得</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 上述内容较全面完整、较科学合理、具有一定的可操作性且基本满足本项目实际需求的得3分；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3） 上述内容略有瑕疵、合理性与实际可操作性一般的得</w:t>
            </w: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分；</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 其他情况不得分。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6</w:t>
            </w:r>
            <w:r/>
          </w:p>
        </w:tc>
      </w:tr>
      <w:tr>
        <w:trPr>
          <w:trHeight w:val="1020"/>
        </w:trPr>
        <w:tc>
          <w:tcPr>
            <w:shd w:val="clear" w:color="auto" w:fill="auto"/>
            <w:tcBorders>
              <w:left w:val="single" w:color="000000" w:sz="4" w:space="0"/>
              <w:right w:val="single" w:color="000000" w:sz="4" w:space="0"/>
            </w:tcBorders>
            <w:tcW w:w="378"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none" w:color="000000" w:sz="4" w:space="0"/>
              <w:bottom w:val="single" w:color="000000" w:sz="4" w:space="0"/>
              <w:right w:val="none" w:color="000000" w:sz="4" w:space="0"/>
            </w:tcBorders>
            <w:tcW w:w="3678" w:type="pct"/>
            <w:vAlign w:val="bottom"/>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根据投标人提供的检测人员培训、应急处理方案等方面进行评审：</w:t>
            </w:r>
            <w:r/>
          </w:p>
          <w:p>
            <w:pPr>
              <w:numPr>
                <w:ilvl w:val="0"/>
                <w:numId w:val="2"/>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人员培训有效、应急处理措施全面合理的得</w:t>
            </w:r>
            <w:r>
              <w:rPr>
                <w:rFonts w:hint="eastAsia" w:ascii="宋体" w:hAnsi="宋体" w:eastAsia="宋体" w:cs="宋体"/>
                <w:color w:val="000000"/>
                <w:sz w:val="18"/>
                <w:szCs w:val="18"/>
                <w:lang w:val="en-US" w:eastAsia="zh-CN" w:bidi="ar"/>
              </w:rPr>
              <w:t xml:space="preserve">6</w:t>
            </w:r>
            <w:r>
              <w:rPr>
                <w:rFonts w:hint="eastAsia" w:ascii="宋体" w:hAnsi="宋体" w:eastAsia="宋体" w:cs="宋体"/>
                <w:color w:val="000000"/>
                <w:sz w:val="18"/>
                <w:szCs w:val="18"/>
                <w:lang w:bidi="ar"/>
              </w:rPr>
              <w:t xml:space="preserve">分；</w:t>
            </w:r>
            <w:r/>
          </w:p>
          <w:p>
            <w:pPr>
              <w:numPr>
                <w:ilvl w:val="0"/>
                <w:numId w:val="2"/>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人员培训效果一般或方案应急处理措施基本全面合理的得</w:t>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bidi="ar"/>
              </w:rPr>
              <w:t xml:space="preserve">分；</w:t>
            </w:r>
            <w:r/>
          </w:p>
          <w:p>
            <w:pPr>
              <w:numPr>
                <w:ilvl w:val="0"/>
                <w:numId w:val="2"/>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人员培训不贴合实际或应急处理措施不够全面、合理的不得分。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6</w:t>
            </w:r>
            <w:r/>
          </w:p>
        </w:tc>
      </w:tr>
      <w:tr>
        <w:trPr>
          <w:trHeight w:val="864"/>
        </w:trPr>
        <w:tc>
          <w:tcPr>
            <w:shd w:val="clear" w:color="auto" w:fill="auto"/>
            <w:tcBorders>
              <w:left w:val="single" w:color="000000" w:sz="4" w:space="0"/>
              <w:bottom w:val="single" w:color="000000" w:sz="4" w:space="0"/>
              <w:right w:val="single" w:color="000000" w:sz="4" w:space="0"/>
            </w:tcBorders>
            <w:tcW w:w="378"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000000" w:sz="4" w:space="0"/>
              <w:left w:val="none" w:color="000000" w:sz="4" w:space="0"/>
              <w:bottom w:val="single" w:color="000000" w:sz="4" w:space="0"/>
              <w:right w:val="none" w:color="000000" w:sz="4" w:space="0"/>
            </w:tcBorders>
            <w:tcW w:w="3678" w:type="pct"/>
            <w:vAlign w:val="bottom"/>
            <w:textDirection w:val="lrTb"/>
            <w:noWrap w:val="false"/>
          </w:tcPr>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根据投标人提供的针对本项目的增值服务内容（至少包括：提供专家培训、应急检测、宣传活动等内容）从可实施性、丰富性、便民性等方面进行评审：</w:t>
            </w:r>
            <w:r/>
          </w:p>
          <w:p>
            <w:pPr>
              <w:numPr>
                <w:ilvl w:val="0"/>
                <w:numId w:val="3"/>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内容切实可行的得</w:t>
            </w: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分；</w:t>
            </w:r>
            <w:r/>
          </w:p>
          <w:p>
            <w:pPr>
              <w:numPr>
                <w:ilvl w:val="0"/>
                <w:numId w:val="3"/>
              </w:num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内容一般，可行性一般的得2分。</w:t>
            </w:r>
            <w:r/>
          </w:p>
          <w:p>
            <w:pPr>
              <w:jc w:val="left"/>
              <w:widowControl/>
              <w:rPr>
                <w:rFonts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 其他情况不得分。</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bidi="ar"/>
              </w:rPr>
              <w:t xml:space="preserve">4</w:t>
            </w:r>
            <w:r/>
          </w:p>
        </w:tc>
      </w:tr>
    </w:tbl>
    <w:p>
      <w:pPr>
        <w:pStyle w:val="74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4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rFonts w:hint="eastAsia"/>
          <w:highlight w:val="none"/>
        </w:rPr>
      </w:pPr>
      <w:r>
        <w:rPr>
          <w:rFonts w:hint="eastAsia"/>
          <w:highlight w:val="none"/>
        </w:rPr>
      </w:r>
      <w:r/>
    </w:p>
    <w:p>
      <w:pPr>
        <w:pStyle w:val="74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42"/>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42"/>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42"/>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42"/>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42"/>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42"/>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r>
      <w:r/>
    </w:p>
    <w:p>
      <w:pPr>
        <w:pStyle w:val="742"/>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第六章  投标文件格式 </w:t>
      </w:r>
      <w:r/>
    </w:p>
    <w:p>
      <w:pPr>
        <w:pStyle w:val="742"/>
        <w:jc w:val="both"/>
        <w:spacing w:beforeAutospacing="0" w:afterAutospacing="0"/>
        <w:rPr>
          <w:rFonts w:hint="eastAsia" w:ascii="宋体" w:hAnsi="宋体" w:eastAsia="宋体" w:cs="宋体"/>
          <w:b/>
          <w:color w:val="000000"/>
          <w:sz w:val="72"/>
          <w:szCs w:val="72"/>
          <w:highlight w:val="none"/>
        </w:rPr>
      </w:pPr>
      <w:r/>
      <w:bookmarkStart w:id="187" w:name="_Toc26554094"/>
      <w:r/>
      <w:bookmarkEnd w:id="187"/>
      <w:r/>
      <w:bookmarkStart w:id="188" w:name="_Hlt26955039"/>
      <w:r/>
      <w:bookmarkEnd w:id="188"/>
      <w:r/>
      <w:bookmarkStart w:id="189" w:name="_Hlt26671244"/>
      <w:r/>
      <w:bookmarkEnd w:id="189"/>
      <w:r/>
      <w:bookmarkStart w:id="190" w:name="_Toc49090576"/>
      <w:r/>
      <w:bookmarkStart w:id="191" w:name="_Toc120614282"/>
      <w:r/>
      <w:r/>
    </w:p>
    <w:p>
      <w:pPr>
        <w:pStyle w:val="742"/>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42"/>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742"/>
        <w:jc w:val="center"/>
        <w:spacing w:beforeAutospacing="0" w:afterAutospacing="0"/>
        <w:rPr>
          <w:highlight w:val="none"/>
        </w:rPr>
      </w:pPr>
      <w:r>
        <w:rPr>
          <w:highlight w:val="none"/>
        </w:rPr>
        <w:t xml:space="preserve">  </w:t>
      </w:r>
      <w:r/>
    </w:p>
    <w:p>
      <w:pPr>
        <w:pStyle w:val="742"/>
        <w:jc w:val="center"/>
        <w:spacing w:beforeAutospacing="0" w:afterAutospacing="0"/>
        <w:rPr>
          <w:highlight w:val="none"/>
        </w:rPr>
      </w:pPr>
      <w:r>
        <w:rPr>
          <w:highlight w:val="none"/>
        </w:rPr>
        <w:t xml:space="preserve"> </w:t>
      </w:r>
      <w:r/>
    </w:p>
    <w:p>
      <w:pPr>
        <w:pStyle w:val="742"/>
        <w:jc w:val="center"/>
        <w:spacing w:beforeAutospacing="0" w:afterAutospacing="0"/>
        <w:rPr>
          <w:highlight w:val="none"/>
        </w:rPr>
      </w:pPr>
      <w:r>
        <w:rPr>
          <w:highlight w:val="none"/>
        </w:rPr>
        <w:t xml:space="preserve"> </w:t>
      </w:r>
      <w:r/>
    </w:p>
    <w:p>
      <w:pPr>
        <w:pStyle w:val="742"/>
        <w:jc w:val="both"/>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42"/>
        <w:jc w:val="both"/>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42"/>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742"/>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742"/>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p>
    <w:p>
      <w:pPr>
        <w:pStyle w:val="742"/>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both"/>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line="0" w:lineRule="atLeast"/>
        <w:rPr>
          <w:rFonts w:hint="eastAsia" w:ascii="宋体" w:hAnsi="宋体" w:eastAsia="宋体" w:cs="宋体"/>
          <w:b/>
          <w:color w:val="000000"/>
          <w:sz w:val="32"/>
          <w:szCs w:val="32"/>
          <w:highlight w:val="none"/>
        </w:rPr>
      </w:pPr>
      <w:r/>
      <w:bookmarkStart w:id="210" w:name="_GoBack"/>
      <w:r/>
      <w:bookmarkEnd w:id="210"/>
      <w:r/>
      <w:r/>
    </w:p>
    <w:p>
      <w:pPr>
        <w:pStyle w:val="74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742"/>
        <w:jc w:val="center"/>
        <w:spacing w:beforeAutospacing="0" w:afterAutospacing="0" w:line="0" w:lineRule="atLeast"/>
        <w:rPr>
          <w:highlight w:val="none"/>
        </w:rPr>
      </w:pPr>
      <w:r>
        <w:rPr>
          <w:highlight w:val="none"/>
        </w:rPr>
        <w:t xml:space="preserve"> </w:t>
      </w:r>
      <w:r/>
    </w:p>
    <w:p>
      <w:pPr>
        <w:pStyle w:val="74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742"/>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742"/>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742"/>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、技术要求响应及偏离表</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、商务要求响应及偏离表</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、开标一览表</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十四、</w:t>
      </w:r>
      <w:r>
        <w:rPr>
          <w:rFonts w:hint="eastAsia" w:ascii="宋体" w:hAnsi="宋体" w:eastAsia="宋体" w:cs="宋体"/>
          <w:i w:val="0"/>
          <w:iCs/>
          <w:color w:val="000000"/>
          <w:highlight w:val="none"/>
          <w:u w:val="none"/>
        </w:rPr>
        <w:t xml:space="preserve">技术方案、服务承诺、培训承诺等</w:t>
      </w:r>
      <w:r/>
    </w:p>
    <w:p>
      <w:pPr>
        <w:pStyle w:val="74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、盐城市政府采购事前信用承诺书</w:t>
      </w:r>
      <w:r/>
    </w:p>
    <w:p>
      <w:pPr>
        <w:pStyle w:val="74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742"/>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742"/>
        <w:ind w:firstLine="480"/>
        <w:jc w:val="both"/>
        <w:spacing w:beforeAutospacing="0" w:afterAutospacing="0" w:line="0" w:lineRule="atLeast"/>
        <w:rPr>
          <w:highlight w:val="none"/>
        </w:rPr>
      </w:pPr>
      <w:r>
        <w:rPr>
          <w:highlight w:val="none"/>
        </w:rPr>
        <w:t xml:space="preserve"> </w:t>
      </w:r>
      <w:r/>
    </w:p>
    <w:p>
      <w:pPr>
        <w:pStyle w:val="742"/>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74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4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4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4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742"/>
        <w:ind w:firstLine="480"/>
        <w:jc w:val="both"/>
        <w:spacing w:beforeAutospacing="0" w:afterAutospacing="0"/>
        <w:rPr>
          <w:highlight w:val="none"/>
        </w:rPr>
      </w:pPr>
      <w:r/>
      <w:bookmarkStart w:id="192"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2"/>
      <w:r/>
      <w:r/>
    </w:p>
    <w:p>
      <w:pPr>
        <w:pStyle w:val="74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74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74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742"/>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742"/>
        <w:jc w:val="both"/>
        <w:spacing w:beforeAutospacing="0" w:afterAutospacing="0" w:line="0" w:lineRule="atLeast"/>
        <w:rPr>
          <w:highlight w:val="none"/>
        </w:rPr>
      </w:pPr>
      <w:r>
        <w:rPr>
          <w:highlight w:val="none"/>
        </w:rPr>
        <w:t xml:space="preserve"> </w:t>
      </w:r>
      <w:r/>
    </w:p>
    <w:p>
      <w:pPr>
        <w:pStyle w:val="7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7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7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742"/>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742"/>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42"/>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本授权书声明：____________（投标人名称）授权________________（被</w:t>
      </w:r>
      <w:r/>
    </w:p>
    <w:p>
      <w:pPr>
        <w:pStyle w:val="742"/>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42"/>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授权人的姓名）为我方就</w:t>
      </w:r>
      <w:r>
        <w:rPr>
          <w:rFonts w:hint="eastAsia" w:ascii="Times New Roman" w:hAnsi="Times New Roman" w:eastAsia="宋体"/>
          <w:color w:val="000000"/>
          <w:highlight w:val="none"/>
          <w:lang w:val="en-US" w:eastAsia="zh-CN"/>
        </w:rPr>
        <w:t xml:space="preserve">                   （项目编号）</w:t>
      </w:r>
      <w:r>
        <w:rPr>
          <w:rFonts w:ascii="Times New Roman" w:hAnsi="Times New Roman"/>
          <w:color w:val="000000"/>
          <w:highlight w:val="none"/>
        </w:rPr>
        <w:t xml:space="preserve">项目采购活动的合</w:t>
      </w:r>
      <w:r/>
    </w:p>
    <w:p>
      <w:pPr>
        <w:pStyle w:val="742"/>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42"/>
        <w:jc w:val="both"/>
        <w:spacing w:beforeAutospacing="0" w:afterAutospacing="0"/>
        <w:tabs>
          <w:tab w:val="left" w:pos="360" w:leader="none"/>
        </w:tabs>
        <w:rPr>
          <w:highlight w:val="none"/>
        </w:rPr>
      </w:pPr>
      <w:r>
        <w:rPr>
          <w:rFonts w:ascii="Times New Roman" w:hAnsi="Times New Roman"/>
          <w:color w:val="000000"/>
          <w:highlight w:val="none"/>
        </w:rPr>
        <w:t xml:space="preserve">法代理人，以本单位名义全权处理一切与该项目采购有关的事务。</w:t>
      </w:r>
      <w:r/>
    </w:p>
    <w:p>
      <w:pPr>
        <w:pStyle w:val="742"/>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4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742"/>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          </w:t>
      </w:r>
      <w:r/>
    </w:p>
    <w:p>
      <w:pPr>
        <w:pStyle w:val="742"/>
        <w:jc w:val="both"/>
        <w:spacing w:beforeAutospacing="0" w:afterAutospacing="0"/>
        <w:tabs>
          <w:tab w:val="left" w:pos="360" w:leader="none"/>
        </w:tabs>
        <w:rPr>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p>
    <w:p>
      <w:pPr>
        <w:pStyle w:val="742"/>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          </w:t>
      </w:r>
      <w:r/>
    </w:p>
    <w:p>
      <w:pPr>
        <w:pStyle w:val="742"/>
        <w:jc w:val="both"/>
        <w:spacing w:beforeAutospacing="0" w:afterAutospacing="0"/>
        <w:tabs>
          <w:tab w:val="left" w:pos="360" w:leader="none"/>
        </w:tabs>
        <w:rPr>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742"/>
        <w:ind w:firstLine="120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r>
      <w:r/>
    </w:p>
    <w:p>
      <w:pPr>
        <w:pStyle w:val="742"/>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742"/>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      </w:t>
      </w:r>
      <w:r/>
    </w:p>
    <w:p>
      <w:pPr>
        <w:pStyle w:val="742"/>
        <w:jc w:val="both"/>
        <w:spacing w:beforeAutospacing="0" w:afterAutospacing="0"/>
        <w:tabs>
          <w:tab w:val="left" w:pos="360" w:leader="none"/>
        </w:tabs>
        <w:rPr>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742"/>
        <w:ind w:firstLine="480"/>
        <w:jc w:val="both"/>
        <w:spacing w:beforeAutospacing="0" w:afterAutospacing="0"/>
        <w:tabs>
          <w:tab w:val="left" w:pos="360" w:leader="none"/>
        </w:tabs>
        <w:rPr>
          <w:rFonts w:ascii="Times New Roman" w:hAnsi="Times New Roman"/>
          <w:color w:val="000000"/>
          <w:highlight w:val="none"/>
        </w:rPr>
      </w:pPr>
      <w:r>
        <w:rPr>
          <w:rFonts w:ascii="Times New Roman" w:hAnsi="Times New Roman"/>
          <w:color w:val="000000"/>
          <w:highlight w:val="none"/>
        </w:rPr>
        <w:t xml:space="preserve">      </w:t>
      </w:r>
      <w:r/>
    </w:p>
    <w:p>
      <w:pPr>
        <w:pStyle w:val="742"/>
        <w:jc w:val="both"/>
        <w:spacing w:beforeAutospacing="0" w:afterAutospacing="0"/>
        <w:tabs>
          <w:tab w:val="left" w:pos="360" w:leader="none"/>
        </w:tabs>
        <w:rPr>
          <w:highlight w:val="none"/>
        </w:rPr>
      </w:pPr>
      <w:r>
        <w:rPr>
          <w:rFonts w:ascii="Times New Roman" w:hAnsi="Times New Roman"/>
          <w:color w:val="000000"/>
          <w:highlight w:val="none"/>
        </w:rPr>
        <w:t xml:space="preserve">日期：</w:t>
      </w:r>
      <w:bookmarkStart w:id="193" w:name="_格式3__银行出具的资信证明"/>
      <w:r/>
      <w:bookmarkStart w:id="194" w:name="_Hlt26671380"/>
      <w:r/>
      <w:bookmarkStart w:id="195" w:name="_Hlt26955070"/>
      <w:r>
        <w:rPr>
          <w:rFonts w:ascii="Times New Roman" w:hAnsi="Times New Roman"/>
          <w:color w:val="000000"/>
          <w:highlight w:val="none"/>
          <w:u w:val="single"/>
        </w:rPr>
        <w:t xml:space="preserve">                                         </w:t>
      </w:r>
      <w:r/>
    </w:p>
    <w:p>
      <w:pPr>
        <w:pStyle w:val="742"/>
        <w:ind w:firstLine="420"/>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line="0" w:lineRule="atLeast"/>
        <w:rPr>
          <w:highlight w:val="none"/>
        </w:rPr>
      </w:pPr>
      <w:r>
        <w:rPr>
          <w:highlight w:val="none"/>
        </w:rPr>
        <w:t xml:space="preserve"> </w:t>
      </w:r>
      <w:r/>
    </w:p>
    <w:p>
      <w:pPr>
        <w:rPr>
          <w:rFonts w:hint="eastAsia" w:ascii="宋体" w:hAnsi="宋体" w:eastAsia="宋体" w:cs="宋体"/>
          <w:b/>
          <w:color w:val="000000"/>
          <w:highlight w:val="none"/>
        </w:rPr>
      </w:pPr>
      <w:r>
        <w:rPr>
          <w:rFonts w:hint="eastAsia" w:ascii="宋体" w:hAnsi="宋体" w:eastAsia="宋体" w:cs="宋体"/>
          <w:b/>
          <w:color w:val="000000"/>
          <w:highlight w:val="none"/>
        </w:rPr>
        <w:br w:type="page" w:clear="all"/>
      </w:r>
      <w:r/>
    </w:p>
    <w:p>
      <w:pPr>
        <w:pStyle w:val="742"/>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742"/>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采购人</w:t>
      </w:r>
      <w:r/>
    </w:p>
    <w:p>
      <w:pPr>
        <w:pStyle w:val="742"/>
        <w:ind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val="en-US" w:eastAsia="zh-CN"/>
        </w:rPr>
        <w:t xml:space="preserve">             </w:t>
      </w:r>
      <w:r>
        <w:rPr>
          <w:rFonts w:hint="eastAsia" w:ascii="Times New Roman" w:hAnsi="Times New Roman" w:eastAsia="宋体"/>
          <w:color w:val="000000"/>
          <w:highlight w:val="none"/>
          <w:lang w:val="en-US" w:eastAsia="zh-CN"/>
        </w:rPr>
        <w:t xml:space="preserve">（项目编号）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42"/>
        <w:ind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2"/>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742"/>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2"/>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7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编：</w:t>
      </w:r>
      <w:r/>
    </w:p>
    <w:p>
      <w:pPr>
        <w:pStyle w:val="7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话：</w:t>
      </w:r>
      <w:r/>
    </w:p>
    <w:p>
      <w:pPr>
        <w:pStyle w:val="7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真：</w:t>
      </w:r>
      <w:r/>
    </w:p>
    <w:p>
      <w:pPr>
        <w:pStyle w:val="7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7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7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742"/>
        <w:ind w:firstLine="240"/>
        <w:jc w:val="center"/>
        <w:spacing w:beforeAutospacing="0" w:afterAutospacing="0" w:line="0" w:lineRule="atLeast"/>
        <w:rPr>
          <w:highlight w:val="none"/>
        </w:rPr>
      </w:pPr>
      <w:r>
        <w:rPr>
          <w:highlight w:val="none"/>
        </w:rPr>
        <w:t xml:space="preserve"> </w:t>
      </w:r>
      <w:r/>
    </w:p>
    <w:p>
      <w:pPr>
        <w:pStyle w:val="742"/>
        <w:ind w:firstLine="240"/>
        <w:jc w:val="center"/>
        <w:spacing w:beforeAutospacing="0" w:afterAutospacing="0" w:line="0" w:lineRule="atLeast"/>
        <w:rPr>
          <w:highlight w:val="none"/>
        </w:rPr>
      </w:pPr>
      <w:r>
        <w:rPr>
          <w:highlight w:val="none"/>
        </w:rPr>
        <w:t xml:space="preserve"> </w:t>
      </w:r>
      <w:r/>
    </w:p>
    <w:p>
      <w:pPr>
        <w:pStyle w:val="742"/>
        <w:ind w:firstLine="240"/>
        <w:jc w:val="center"/>
        <w:spacing w:beforeAutospacing="0" w:afterAutospacing="0" w:line="0" w:lineRule="atLeast"/>
        <w:rPr>
          <w:highlight w:val="none"/>
        </w:rPr>
      </w:pPr>
      <w:r>
        <w:rPr>
          <w:highlight w:val="none"/>
        </w:rPr>
        <w:t xml:space="preserve"> </w:t>
      </w:r>
      <w:r/>
    </w:p>
    <w:p>
      <w:pPr>
        <w:pStyle w:val="742"/>
        <w:ind w:firstLine="240"/>
        <w:jc w:val="center"/>
        <w:spacing w:beforeAutospacing="0" w:afterAutospacing="0" w:line="0" w:lineRule="atLeast"/>
        <w:rPr>
          <w:highlight w:val="none"/>
        </w:rPr>
      </w:pPr>
      <w:r>
        <w:rPr>
          <w:highlight w:val="none"/>
        </w:rPr>
        <w:t xml:space="preserve"> </w:t>
      </w:r>
      <w:r/>
    </w:p>
    <w:p>
      <w:pPr>
        <w:pStyle w:val="742"/>
        <w:ind w:firstLine="240"/>
        <w:jc w:val="center"/>
        <w:spacing w:beforeAutospacing="0" w:afterAutospacing="0" w:line="0" w:lineRule="atLeast"/>
        <w:rPr>
          <w:highlight w:val="none"/>
        </w:rPr>
      </w:pPr>
      <w:r>
        <w:rPr>
          <w:highlight w:val="none"/>
        </w:rPr>
        <w:t xml:space="preserve"> </w:t>
      </w:r>
      <w:r/>
    </w:p>
    <w:p>
      <w:pPr>
        <w:pStyle w:val="742"/>
        <w:ind w:firstLine="240"/>
        <w:jc w:val="center"/>
        <w:spacing w:beforeAutospacing="0" w:afterAutospacing="0" w:line="0" w:lineRule="atLeast"/>
        <w:rPr>
          <w:highlight w:val="none"/>
        </w:rPr>
      </w:pPr>
      <w:r>
        <w:rPr>
          <w:highlight w:val="none"/>
        </w:rPr>
      </w:r>
      <w:r/>
    </w:p>
    <w:p>
      <w:pPr>
        <w:pStyle w:val="742"/>
        <w:ind w:firstLine="240"/>
        <w:jc w:val="center"/>
        <w:spacing w:beforeAutospacing="0" w:afterAutospacing="0" w:line="0" w:lineRule="atLeast"/>
        <w:rPr>
          <w:highlight w:val="none"/>
        </w:rPr>
      </w:pPr>
      <w:r>
        <w:rPr>
          <w:highlight w:val="none"/>
        </w:rPr>
      </w:r>
      <w:r/>
    </w:p>
    <w:p>
      <w:pPr>
        <w:pStyle w:val="742"/>
        <w:ind w:firstLine="240"/>
        <w:jc w:val="center"/>
        <w:spacing w:beforeAutospacing="0" w:afterAutospacing="0" w:line="0" w:lineRule="atLeast"/>
        <w:rPr>
          <w:highlight w:val="none"/>
        </w:rPr>
      </w:pPr>
      <w:r>
        <w:rPr>
          <w:highlight w:val="none"/>
        </w:rPr>
      </w:r>
      <w:r/>
    </w:p>
    <w:p>
      <w:pPr>
        <w:pStyle w:val="742"/>
        <w:ind w:firstLine="240"/>
        <w:jc w:val="center"/>
        <w:spacing w:beforeAutospacing="0" w:afterAutospacing="0" w:line="0" w:lineRule="atLeast"/>
        <w:rPr>
          <w:highlight w:val="none"/>
        </w:rPr>
      </w:pPr>
      <w:r>
        <w:rPr>
          <w:highlight w:val="none"/>
        </w:rPr>
      </w:r>
      <w:r/>
    </w:p>
    <w:p>
      <w:pPr>
        <w:pStyle w:val="742"/>
        <w:ind w:firstLine="240"/>
        <w:jc w:val="center"/>
        <w:spacing w:beforeAutospacing="0" w:afterAutospacing="0" w:line="0" w:lineRule="atLeast"/>
        <w:rPr>
          <w:highlight w:val="none"/>
        </w:rPr>
      </w:pPr>
      <w:r>
        <w:rPr>
          <w:highlight w:val="none"/>
        </w:rPr>
      </w:r>
      <w:r/>
    </w:p>
    <w:p>
      <w:pPr>
        <w:pStyle w:val="742"/>
        <w:ind w:firstLine="240"/>
        <w:jc w:val="center"/>
        <w:spacing w:beforeAutospacing="0" w:afterAutospacing="0" w:line="0" w:lineRule="atLeast"/>
        <w:rPr>
          <w:highlight w:val="none"/>
        </w:rPr>
      </w:pPr>
      <w:r>
        <w:rPr>
          <w:highlight w:val="none"/>
        </w:rPr>
      </w:r>
      <w:r/>
    </w:p>
    <w:p>
      <w:pPr>
        <w:pStyle w:val="742"/>
        <w:ind w:firstLine="240"/>
        <w:jc w:val="center"/>
        <w:spacing w:beforeAutospacing="0" w:afterAutospacing="0" w:line="0" w:lineRule="atLeast"/>
        <w:rPr>
          <w:highlight w:val="none"/>
        </w:rPr>
      </w:pPr>
      <w:r>
        <w:rPr>
          <w:highlight w:val="none"/>
        </w:rPr>
      </w:r>
      <w:r/>
    </w:p>
    <w:p>
      <w:pPr>
        <w:pStyle w:val="742"/>
        <w:ind w:firstLine="240"/>
        <w:jc w:val="center"/>
        <w:spacing w:beforeAutospacing="0" w:afterAutospacing="0" w:line="0" w:lineRule="atLeast"/>
        <w:rPr>
          <w:highlight w:val="none"/>
        </w:rPr>
      </w:pPr>
      <w:r>
        <w:rPr>
          <w:highlight w:val="none"/>
        </w:rPr>
      </w:r>
      <w:r/>
    </w:p>
    <w:p>
      <w:pPr>
        <w:pStyle w:val="742"/>
        <w:ind w:firstLine="240"/>
        <w:jc w:val="center"/>
        <w:spacing w:beforeAutospacing="0" w:afterAutospacing="0" w:line="0" w:lineRule="atLeast"/>
        <w:rPr>
          <w:highlight w:val="none"/>
        </w:rPr>
      </w:pPr>
      <w:r>
        <w:rPr>
          <w:highlight w:val="none"/>
        </w:rPr>
      </w:r>
      <w:r/>
    </w:p>
    <w:p>
      <w:pPr>
        <w:pStyle w:val="742"/>
        <w:ind w:firstLine="240"/>
        <w:jc w:val="both"/>
        <w:spacing w:beforeAutospacing="0" w:afterAutospacing="0" w:line="0" w:lineRule="atLeast"/>
        <w:rPr>
          <w:highlight w:val="none"/>
        </w:rPr>
      </w:pPr>
      <w:r>
        <w:rPr>
          <w:highlight w:val="none"/>
        </w:rPr>
        <w:t xml:space="preserve"> </w:t>
      </w:r>
      <w:r/>
    </w:p>
    <w:p>
      <w:pPr>
        <w:ind w:firstLine="2249"/>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江苏二维项目管理有限公司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42"/>
        <w:ind w:right="720"/>
        <w:jc w:val="both"/>
        <w:spacing w:beforeAutospacing="0" w:afterAutospacing="0" w:line="0" w:lineRule="atLeast"/>
        <w:rPr>
          <w:color w:val="auto"/>
          <w:highlight w:val="none"/>
        </w:rPr>
      </w:pPr>
      <w:r>
        <w:rPr>
          <w:color w:val="auto"/>
          <w:highlight w:val="none"/>
        </w:rPr>
        <w:t xml:space="preserve"> </w:t>
      </w:r>
      <w:r/>
    </w:p>
    <w:p>
      <w:pPr>
        <w:pStyle w:val="74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42"/>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42"/>
        <w:ind w:firstLine="240"/>
        <w:jc w:val="both"/>
        <w:spacing w:beforeAutospacing="0" w:afterAutospacing="0" w:line="0" w:lineRule="atLeast"/>
        <w:rPr>
          <w:color w:val="auto"/>
          <w:highlight w:val="none"/>
        </w:rPr>
      </w:pPr>
      <w:r>
        <w:rPr>
          <w:color w:val="auto"/>
          <w:highlight w:val="none"/>
        </w:rPr>
        <w:t xml:space="preserve"> </w:t>
      </w:r>
      <w:r/>
    </w:p>
    <w:p>
      <w:pPr>
        <w:pStyle w:val="74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4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42"/>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74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74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42"/>
        <w:ind w:firstLine="480"/>
        <w:jc w:val="both"/>
        <w:spacing w:beforeAutospacing="0" w:afterAutospacing="0" w:line="0" w:lineRule="atLeast"/>
        <w:rPr>
          <w:highlight w:val="none"/>
        </w:rPr>
      </w:pPr>
      <w:r>
        <w:rPr>
          <w:highlight w:val="none"/>
        </w:rPr>
        <w:t xml:space="preserve"> </w:t>
      </w:r>
      <w:r/>
    </w:p>
    <w:p>
      <w:pPr>
        <w:pStyle w:val="742"/>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74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742"/>
        <w:ind w:firstLine="624"/>
        <w:jc w:val="both"/>
        <w:spacing w:beforeAutospacing="0" w:afterAutospacing="0" w:line="0" w:lineRule="atLeast"/>
        <w:rPr>
          <w:highlight w:val="none"/>
        </w:rPr>
      </w:pPr>
      <w:r>
        <w:rPr>
          <w:highlight w:val="none"/>
        </w:rPr>
        <w:t xml:space="preserve"> </w:t>
      </w:r>
      <w:r/>
    </w:p>
    <w:p>
      <w:pPr>
        <w:pStyle w:val="742"/>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42"/>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line="0" w:lineRule="atLeast"/>
        <w:rPr>
          <w:highlight w:val="none"/>
        </w:rPr>
      </w:pPr>
      <w:r>
        <w:rPr>
          <w:highlight w:val="none"/>
        </w:rPr>
        <w:t xml:space="preserve"> </w:t>
      </w:r>
      <w:r/>
    </w:p>
    <w:p>
      <w:pPr>
        <w:pStyle w:val="742"/>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、技术要求响应及偏离表</w:t>
      </w:r>
      <w:r/>
    </w:p>
    <w:tbl>
      <w:tblPr>
        <w:tblStyle w:val="72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4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2"/>
              <w:jc w:val="center"/>
              <w:spacing w:beforeAutospacing="0" w:afterAutospacing="0"/>
              <w:rPr>
                <w:highlight w:val="none"/>
              </w:rPr>
            </w:pPr>
            <w:r>
              <w:rPr>
                <w:highlight w:val="none"/>
              </w:rPr>
              <w:t xml:space="preserve"> </w:t>
            </w:r>
            <w:r/>
          </w:p>
        </w:tc>
      </w:tr>
    </w:tbl>
    <w:p>
      <w:pPr>
        <w:pStyle w:val="74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42"/>
        <w:jc w:val="center"/>
        <w:spacing w:beforeAutospacing="0" w:afterAutospacing="0"/>
        <w:rPr>
          <w:highlight w:val="none"/>
        </w:rPr>
      </w:pPr>
      <w:r>
        <w:rPr>
          <w:highlight w:val="none"/>
        </w:rPr>
        <w:t xml:space="preserve"> </w:t>
      </w:r>
      <w:r/>
    </w:p>
    <w:p>
      <w:pPr>
        <w:pStyle w:val="742"/>
        <w:jc w:val="center"/>
        <w:spacing w:beforeAutospacing="0" w:afterAutospacing="0"/>
        <w:rPr>
          <w:highlight w:val="none"/>
        </w:rPr>
      </w:pPr>
      <w:r>
        <w:rPr>
          <w:highlight w:val="none"/>
        </w:rPr>
        <w:t xml:space="preserve"> </w:t>
      </w:r>
      <w:r/>
    </w:p>
    <w:p>
      <w:pPr>
        <w:pStyle w:val="742"/>
        <w:jc w:val="center"/>
        <w:spacing w:beforeAutospacing="0" w:afterAutospacing="0"/>
        <w:rPr>
          <w:highlight w:val="none"/>
        </w:rPr>
      </w:pPr>
      <w:r>
        <w:rPr>
          <w:highlight w:val="none"/>
        </w:rPr>
        <w:t xml:space="preserve"> </w:t>
      </w:r>
      <w:r/>
    </w:p>
    <w:p>
      <w:pPr>
        <w:pStyle w:val="742"/>
        <w:jc w:val="center"/>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center"/>
        <w:spacing w:beforeAutospacing="0" w:afterAutospacing="0"/>
        <w:rPr>
          <w:highlight w:val="none"/>
        </w:rPr>
      </w:pPr>
      <w:r/>
      <w:bookmarkStart w:id="196"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、商务要求响应及偏离表</w:t>
      </w:r>
      <w:r/>
    </w:p>
    <w:tbl>
      <w:tblPr>
        <w:tblStyle w:val="72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bookmarkStart w:id="197" w:name="_Hlt26955056"/>
            <w:r/>
            <w:bookmarkStart w:id="198" w:name="_Hlt26580838"/>
            <w:r/>
            <w:bookmarkStart w:id="199" w:name="_Hlt26609391"/>
            <w:r/>
            <w:bookmarkStart w:id="200" w:name="_Hlt26671372"/>
            <w:r/>
            <w:bookmarkStart w:id="201" w:name="_Hlt26782999"/>
            <w:r/>
            <w:bookmarkStart w:id="202" w:name="_Hlt24879081"/>
            <w:r/>
            <w:bookmarkStart w:id="203" w:name="_Hlt26955064"/>
            <w:r/>
            <w:bookmarkStart w:id="204" w:name="_Hlt26671343"/>
            <w:r>
              <w:rPr>
                <w:rFonts w:hint="eastAsia" w:ascii="宋体" w:hAnsi="宋体" w:eastAsia="宋体" w:cs="宋体"/>
                <w:color w:val="000000"/>
                <w:highlight w:val="none"/>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4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2"/>
              <w:jc w:val="center"/>
              <w:spacing w:beforeAutospacing="0" w:afterAutospacing="0"/>
              <w:rPr>
                <w:highlight w:val="none"/>
              </w:rPr>
            </w:pPr>
            <w:r>
              <w:rPr>
                <w:highlight w:val="none"/>
              </w:rPr>
              <w:t xml:space="preserve"> </w:t>
            </w:r>
            <w:r/>
          </w:p>
        </w:tc>
      </w:tr>
    </w:tbl>
    <w:p>
      <w:pPr>
        <w:pStyle w:val="74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42"/>
        <w:jc w:val="both"/>
        <w:spacing w:beforeAutospacing="0" w:afterAutospacing="0" w:line="480" w:lineRule="auto"/>
        <w:rPr>
          <w:highlight w:val="none"/>
        </w:rPr>
      </w:pPr>
      <w:r>
        <w:rPr>
          <w:highlight w:val="none"/>
        </w:rPr>
        <w:t xml:space="preserve"> </w:t>
      </w:r>
      <w:r/>
    </w:p>
    <w:p>
      <w:pPr>
        <w:pStyle w:val="742"/>
        <w:jc w:val="both"/>
        <w:spacing w:beforeAutospacing="0" w:afterAutospacing="0" w:line="480" w:lineRule="auto"/>
        <w:rPr>
          <w:highlight w:val="none"/>
        </w:rPr>
      </w:pPr>
      <w:r>
        <w:rPr>
          <w:highlight w:val="none"/>
        </w:rPr>
        <w:t xml:space="preserve"> </w:t>
      </w:r>
      <w:r/>
    </w:p>
    <w:p>
      <w:pPr>
        <w:pStyle w:val="742"/>
        <w:jc w:val="center"/>
        <w:spacing w:beforeAutospacing="0" w:afterAutospacing="0"/>
        <w:rPr>
          <w:highlight w:val="none"/>
        </w:rPr>
      </w:pPr>
      <w:r/>
      <w:bookmarkStart w:id="205" w:name="_Hlt26609389"/>
      <w:r/>
      <w:bookmarkStart w:id="206" w:name="_Hlt26955066"/>
      <w:r/>
      <w:bookmarkStart w:id="207" w:name="_格式2__法定代表人授权书"/>
      <w:r/>
      <w:bookmarkStart w:id="208" w:name="_Toc462564146"/>
      <w:r/>
      <w:bookmarkStart w:id="209" w:name="_Hlt26671374"/>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t xml:space="preserve"> </w:t>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both"/>
        <w:spacing w:beforeAutospacing="0" w:afterAutospacing="0"/>
        <w:rPr>
          <w:highlight w:val="none"/>
        </w:rPr>
      </w:pPr>
      <w:r>
        <w:rPr>
          <w:highlight w:val="none"/>
        </w:rPr>
      </w:r>
      <w:r/>
    </w:p>
    <w:p>
      <w:pPr>
        <w:pStyle w:val="742"/>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42"/>
        <w:jc w:val="center"/>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742"/>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74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4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4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2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42"/>
        <w:jc w:val="both"/>
        <w:spacing w:beforeAutospacing="0" w:afterAutospacing="0"/>
        <w:rPr>
          <w:color w:val="auto"/>
          <w:highlight w:val="none"/>
        </w:rPr>
      </w:pPr>
      <w:r>
        <w:rPr>
          <w:color w:val="auto"/>
          <w:highlight w:val="none"/>
        </w:rPr>
        <w:t xml:space="preserve"> </w:t>
      </w:r>
      <w:r/>
    </w:p>
    <w:p>
      <w:pPr>
        <w:pStyle w:val="74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42"/>
        <w:ind w:firstLine="480"/>
        <w:jc w:val="both"/>
        <w:spacing w:beforeAutospacing="0" w:afterAutospacing="0"/>
        <w:rPr>
          <w:highlight w:val="none"/>
        </w:rPr>
      </w:pPr>
      <w:r>
        <w:rPr>
          <w:highlight w:val="none"/>
        </w:rPr>
        <w:t xml:space="preserve"> </w:t>
      </w:r>
      <w:r/>
    </w:p>
    <w:p>
      <w:pPr>
        <w:pStyle w:val="74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both"/>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lang w:val="en-US" w:eastAsia="zh-CN"/>
        </w:rPr>
        <w:t xml:space="preserve">十四、</w:t>
      </w:r>
      <w:r>
        <w:rPr>
          <w:rFonts w:hint="eastAsia" w:ascii="宋体" w:hAnsi="宋体" w:eastAsia="宋体" w:cs="宋体"/>
          <w:b/>
          <w:bCs/>
          <w:color w:val="000000"/>
          <w:sz w:val="32"/>
          <w:szCs w:val="32"/>
          <w:highlight w:val="none"/>
        </w:rPr>
        <w:t xml:space="preserve">技术方案、服务承诺、培训承诺等</w:t>
      </w:r>
      <w:r/>
    </w:p>
    <w:p>
      <w:pPr>
        <w:pStyle w:val="742"/>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1"/>
      <w:r/>
      <w:bookmarkEnd w:id="190"/>
      <w:r/>
      <w:bookmarkEnd w:id="191"/>
      <w:r/>
      <w:bookmarkEnd w:id="193"/>
      <w:r/>
      <w:bookmarkEnd w:id="194"/>
      <w:r/>
      <w:bookmarkEnd w:id="195"/>
      <w:r/>
      <w:bookmarkEnd w:id="196"/>
      <w:r/>
      <w:bookmarkEnd w:id="205"/>
      <w:r/>
      <w:bookmarkEnd w:id="206"/>
      <w:r/>
      <w:bookmarkEnd w:id="207"/>
      <w:r/>
      <w:bookmarkEnd w:id="208"/>
      <w:r/>
      <w:bookmarkEnd w:id="209"/>
      <w:r/>
      <w:r/>
    </w:p>
    <w:p>
      <w:pPr>
        <w:pStyle w:val="742"/>
        <w:jc w:val="center"/>
        <w:spacing w:beforeAutospacing="0" w:afterAutospacing="0"/>
        <w:rPr>
          <w:highlight w:val="none"/>
        </w:rPr>
      </w:pPr>
      <w:r>
        <w:rPr>
          <w:highlight w:val="none"/>
        </w:rPr>
      </w:r>
      <w:r/>
    </w:p>
    <w:p>
      <w:pPr>
        <w:rPr>
          <w:highlight w:val="none"/>
        </w:rPr>
      </w:pPr>
      <w:r>
        <w:rPr>
          <w:highlight w:val="none"/>
        </w:rPr>
      </w:r>
      <w:r/>
    </w:p>
    <w:p>
      <w:pPr>
        <w:pStyle w:val="742"/>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2"/>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4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4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4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4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42"/>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fldChar w:fldCharType="begin"/>
                          </w:r>
                          <w:r>
                            <w:rPr>
                              <w:rFonts w:ascii="Calibri" w:hAnsi="Calibri" w:eastAsia="宋体" w:cs="Times New Roman"/>
                              <w:sz w:val="18"/>
                              <w:szCs w:val="24"/>
                              <w:lang w:val="en-US" w:eastAsia="zh-CN" w:bidi="ar-SA"/>
                            </w:rPr>
                            <w:instrText xml:space="preserve"> PAGE  \* MERGEFORMAT </w:instrText>
                          </w:r>
                          <w:r>
                            <w:rPr>
                              <w:rFonts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1</w:t>
                          </w:r>
                          <w:r>
                            <w:rPr>
                              <w:rFonts w:ascii="Calibri" w:hAnsi="Calibri" w:eastAsia="宋体" w:cs="Times New Roman"/>
                              <w:sz w:val="18"/>
                              <w:szCs w:val="24"/>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fldChar w:fldCharType="begin"/>
                    </w:r>
                    <w:r>
                      <w:rPr>
                        <w:rFonts w:ascii="Calibri" w:hAnsi="Calibri" w:eastAsia="宋体" w:cs="Times New Roman"/>
                        <w:sz w:val="18"/>
                        <w:szCs w:val="24"/>
                        <w:lang w:val="en-US" w:eastAsia="zh-CN" w:bidi="ar-SA"/>
                      </w:rPr>
                      <w:instrText xml:space="preserve"> PAGE  \* MERGEFORMAT </w:instrText>
                    </w:r>
                    <w:r>
                      <w:rPr>
                        <w:rFonts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1</w:t>
                    </w:r>
                    <w:r>
                      <w:rPr>
                        <w:rFonts w:ascii="Calibri" w:hAnsi="Calibri" w:eastAsia="宋体" w:cs="Times New Roman"/>
                        <w:sz w:val="18"/>
                        <w:szCs w:val="24"/>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1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1">
    <w:name w:val="Heading 1"/>
    <w:basedOn w:val="710"/>
    <w:next w:val="710"/>
    <w:link w:val="749"/>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3">
    <w:name w:val="Heading 3"/>
    <w:basedOn w:val="710"/>
    <w:next w:val="710"/>
    <w:link w:val="751"/>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2"/>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4"/>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6"/>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7"/>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Caption"/>
    <w:basedOn w:val="710"/>
    <w:next w:val="71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4">
    <w:name w:val="annotation text"/>
    <w:basedOn w:val="710"/>
    <w:uiPriority w:val="0"/>
    <w:qFormat/>
    <w:pPr>
      <w:jc w:val="left"/>
    </w:pPr>
  </w:style>
  <w:style w:type="paragraph" w:styleId="725">
    <w:name w:val="Body Text"/>
    <w:basedOn w:val="710"/>
    <w:uiPriority w:val="0"/>
    <w:semiHidden/>
    <w:qFormat/>
    <w:rPr>
      <w:rFonts w:ascii="仿宋" w:hAnsi="仿宋" w:eastAsia="仿宋" w:cs="仿宋"/>
      <w:sz w:val="31"/>
      <w:szCs w:val="31"/>
      <w:lang w:val="en-US" w:eastAsia="en-US" w:bidi="ar-SA"/>
    </w:rPr>
  </w:style>
  <w:style w:type="paragraph" w:styleId="726">
    <w:name w:val="Body Text Indent"/>
    <w:next w:val="727"/>
    <w:uiPriority w:val="0"/>
    <w:qFormat/>
    <w:pPr>
      <w:ind w:firstLine="645"/>
      <w:jc w:val="both"/>
      <w:widowControl w:val="off"/>
    </w:pPr>
    <w:rPr>
      <w:rFonts w:hint="default" w:ascii="楷体_GB2312" w:hAnsi="Times New Roman" w:eastAsia="楷体_GB2312" w:cs="Times New Roman"/>
      <w:sz w:val="32"/>
      <w:szCs w:val="32"/>
      <w:lang w:val="en-US" w:eastAsia="zh-CN" w:bidi="ar-SA"/>
    </w:rPr>
  </w:style>
  <w:style w:type="paragraph" w:styleId="727">
    <w:name w:val="envelope return"/>
    <w:uiPriority w:val="0"/>
    <w:qFormat/>
    <w:pPr>
      <w:jc w:val="both"/>
      <w:widowControl w:val="off"/>
    </w:pPr>
    <w:rPr>
      <w:rFonts w:hint="default" w:ascii="Arial" w:hAnsi="Arial" w:eastAsia="宋体" w:cs="Times New Roman"/>
      <w:sz w:val="21"/>
      <w:szCs w:val="21"/>
      <w:lang w:val="en-US" w:eastAsia="zh-CN" w:bidi="ar-SA"/>
    </w:rPr>
  </w:style>
  <w:style w:type="paragraph" w:styleId="728">
    <w:name w:val="toc 5"/>
    <w:basedOn w:val="710"/>
    <w:next w:val="710"/>
    <w:uiPriority w:val="39"/>
    <w:unhideWhenUsed/>
    <w:qFormat/>
    <w:pPr>
      <w:ind w:left="1134" w:right="0" w:firstLine="0"/>
      <w:spacing w:after="57"/>
    </w:pPr>
  </w:style>
  <w:style w:type="paragraph" w:styleId="729">
    <w:name w:val="toc 3"/>
    <w:basedOn w:val="710"/>
    <w:next w:val="710"/>
    <w:uiPriority w:val="39"/>
    <w:unhideWhenUsed/>
    <w:qFormat/>
    <w:pPr>
      <w:ind w:left="567" w:right="0" w:firstLine="0"/>
      <w:spacing w:after="57"/>
    </w:pPr>
  </w:style>
  <w:style w:type="paragraph" w:styleId="730">
    <w:name w:val="toc 8"/>
    <w:basedOn w:val="710"/>
    <w:next w:val="710"/>
    <w:uiPriority w:val="39"/>
    <w:unhideWhenUsed/>
    <w:qFormat/>
    <w:pPr>
      <w:ind w:left="1984" w:right="0" w:firstLine="0"/>
      <w:spacing w:after="57"/>
    </w:pPr>
  </w:style>
  <w:style w:type="paragraph" w:styleId="731">
    <w:name w:val="endnote text"/>
    <w:basedOn w:val="710"/>
    <w:link w:val="895"/>
    <w:uiPriority w:val="99"/>
    <w:semiHidden/>
    <w:unhideWhenUsed/>
    <w:qFormat/>
    <w:pPr>
      <w:spacing w:after="0" w:line="240" w:lineRule="auto"/>
    </w:pPr>
    <w:rPr>
      <w:sz w:val="20"/>
    </w:rPr>
  </w:style>
  <w:style w:type="paragraph" w:styleId="732">
    <w:name w:val="Footer"/>
    <w:basedOn w:val="710"/>
    <w:link w:val="899"/>
    <w:uiPriority w:val="0"/>
    <w:qFormat/>
    <w:pPr>
      <w:jc w:val="left"/>
      <w:tabs>
        <w:tab w:val="center" w:pos="4153" w:leader="none"/>
        <w:tab w:val="right" w:pos="8306" w:leader="none"/>
      </w:tabs>
    </w:pPr>
    <w:rPr>
      <w:sz w:val="18"/>
      <w:szCs w:val="18"/>
    </w:rPr>
  </w:style>
  <w:style w:type="paragraph" w:styleId="733">
    <w:name w:val="Header"/>
    <w:basedOn w:val="710"/>
    <w:link w:val="898"/>
    <w:uiPriority w:val="0"/>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10"/>
    <w:next w:val="710"/>
    <w:uiPriority w:val="39"/>
    <w:unhideWhenUsed/>
    <w:qFormat/>
    <w:pPr>
      <w:ind w:left="0" w:right="0" w:firstLine="0"/>
      <w:spacing w:after="57"/>
    </w:pPr>
  </w:style>
  <w:style w:type="paragraph" w:styleId="735">
    <w:name w:val="toc 4"/>
    <w:basedOn w:val="710"/>
    <w:next w:val="710"/>
    <w:uiPriority w:val="39"/>
    <w:unhideWhenUsed/>
    <w:qFormat/>
    <w:pPr>
      <w:ind w:left="850" w:right="0" w:firstLine="0"/>
      <w:spacing w:after="57"/>
    </w:pPr>
  </w:style>
  <w:style w:type="paragraph" w:styleId="736">
    <w:name w:val="Subtitle"/>
    <w:basedOn w:val="710"/>
    <w:next w:val="710"/>
    <w:link w:val="761"/>
    <w:uiPriority w:val="11"/>
    <w:qFormat/>
    <w:pPr>
      <w:spacing w:before="200" w:after="200"/>
    </w:pPr>
    <w:rPr>
      <w:sz w:val="24"/>
      <w:szCs w:val="24"/>
    </w:rPr>
  </w:style>
  <w:style w:type="paragraph" w:styleId="737">
    <w:name w:val="footnote text"/>
    <w:basedOn w:val="710"/>
    <w:link w:val="894"/>
    <w:uiPriority w:val="99"/>
    <w:semiHidden/>
    <w:unhideWhenUsed/>
    <w:qFormat/>
    <w:pPr>
      <w:spacing w:after="40" w:line="240" w:lineRule="auto"/>
    </w:pPr>
    <w:rPr>
      <w:sz w:val="18"/>
    </w:rPr>
  </w:style>
  <w:style w:type="paragraph" w:styleId="738">
    <w:name w:val="toc 6"/>
    <w:basedOn w:val="710"/>
    <w:next w:val="710"/>
    <w:uiPriority w:val="39"/>
    <w:unhideWhenUsed/>
    <w:qFormat/>
    <w:pPr>
      <w:ind w:left="1417" w:right="0" w:firstLine="0"/>
      <w:spacing w:after="57"/>
    </w:pPr>
  </w:style>
  <w:style w:type="paragraph" w:styleId="739">
    <w:name w:val="table of figures"/>
    <w:basedOn w:val="710"/>
    <w:next w:val="710"/>
    <w:uiPriority w:val="99"/>
    <w:unhideWhenUsed/>
    <w:qFormat/>
    <w:pPr>
      <w:spacing w:after="0" w:afterAutospacing="0"/>
    </w:pPr>
  </w:style>
  <w:style w:type="paragraph" w:styleId="740">
    <w:name w:val="toc 2"/>
    <w:basedOn w:val="710"/>
    <w:next w:val="710"/>
    <w:uiPriority w:val="39"/>
    <w:unhideWhenUsed/>
    <w:qFormat/>
    <w:pPr>
      <w:ind w:left="283" w:right="0" w:firstLine="0"/>
      <w:spacing w:after="57"/>
    </w:pPr>
  </w:style>
  <w:style w:type="paragraph" w:styleId="741">
    <w:name w:val="toc 9"/>
    <w:basedOn w:val="710"/>
    <w:next w:val="710"/>
    <w:uiPriority w:val="39"/>
    <w:unhideWhenUsed/>
    <w:qFormat/>
    <w:pPr>
      <w:ind w:left="2268" w:right="0" w:firstLine="0"/>
      <w:spacing w:after="57"/>
    </w:pPr>
  </w:style>
  <w:style w:type="paragraph" w:styleId="742">
    <w:name w:val="Normal (Web)"/>
    <w:basedOn w:val="710"/>
    <w:uiPriority w:val="0"/>
    <w:qFormat/>
    <w:pPr>
      <w:jc w:val="left"/>
      <w:spacing w:beforeAutospacing="1" w:afterAutospacing="1"/>
    </w:pPr>
    <w:rPr>
      <w:rFonts w:cs="Times New Roman"/>
      <w:sz w:val="24"/>
    </w:rPr>
  </w:style>
  <w:style w:type="paragraph" w:styleId="743">
    <w:name w:val="Title"/>
    <w:basedOn w:val="710"/>
    <w:next w:val="710"/>
    <w:link w:val="760"/>
    <w:uiPriority w:val="10"/>
    <w:qFormat/>
    <w:pPr>
      <w:contextualSpacing/>
      <w:spacing w:before="300" w:after="200"/>
    </w:pPr>
    <w:rPr>
      <w:sz w:val="48"/>
      <w:szCs w:val="48"/>
    </w:rPr>
  </w:style>
  <w:style w:type="paragraph" w:styleId="744">
    <w:name w:val="Body Text First Indent 2"/>
    <w:next w:val="710"/>
    <w:uiPriority w:val="0"/>
    <w:qFormat/>
    <w:pPr>
      <w:ind w:firstLine="420"/>
      <w:jc w:val="both"/>
      <w:spacing w:line="360" w:lineRule="auto"/>
      <w:widowControl w:val="off"/>
    </w:pPr>
    <w:rPr>
      <w:rFonts w:hint="default" w:ascii="宋体" w:hAnsi="宋体" w:eastAsia="宋体" w:cs="Times New Roman"/>
      <w:sz w:val="21"/>
      <w:szCs w:val="20"/>
      <w:lang w:val="en-US" w:eastAsia="zh-CN" w:bidi="ar-SA"/>
    </w:rPr>
  </w:style>
  <w:style w:type="table" w:styleId="74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endnote reference"/>
    <w:basedOn w:val="720"/>
    <w:uiPriority w:val="99"/>
    <w:semiHidden/>
    <w:unhideWhenUsed/>
    <w:qFormat/>
    <w:rPr>
      <w:vertAlign w:val="superscript"/>
    </w:rPr>
  </w:style>
  <w:style w:type="character" w:styleId="747">
    <w:name w:val="Hyperlink"/>
    <w:uiPriority w:val="99"/>
    <w:unhideWhenUsed/>
    <w:qFormat/>
    <w:rPr>
      <w:color w:val="0563c1" w:themeColor="hyperlink"/>
      <w:u w:val="single"/>
      <w14:textFill>
        <w14:solidFill>
          <w14:schemeClr w14:val="hlink"/>
        </w14:solidFill>
      </w14:textFill>
    </w:rPr>
  </w:style>
  <w:style w:type="character" w:styleId="748">
    <w:name w:val="footnote reference"/>
    <w:basedOn w:val="720"/>
    <w:uiPriority w:val="99"/>
    <w:unhideWhenUsed/>
    <w:qFormat/>
    <w:rPr>
      <w:vertAlign w:val="superscript"/>
    </w:rPr>
  </w:style>
  <w:style w:type="character" w:styleId="749" w:customStyle="1">
    <w:name w:val="Heading 1 Char"/>
    <w:basedOn w:val="720"/>
    <w:link w:val="711"/>
    <w:uiPriority w:val="9"/>
    <w:qFormat/>
    <w:rPr>
      <w:rFonts w:ascii="Arial" w:hAnsi="Arial" w:eastAsia="Arial" w:cs="Arial"/>
      <w:sz w:val="40"/>
      <w:szCs w:val="40"/>
    </w:rPr>
  </w:style>
  <w:style w:type="character" w:styleId="750" w:customStyle="1">
    <w:name w:val="Heading 2 Char"/>
    <w:basedOn w:val="720"/>
    <w:uiPriority w:val="9"/>
    <w:qFormat/>
    <w:rPr>
      <w:rFonts w:ascii="Arial" w:hAnsi="Arial" w:eastAsia="Arial" w:cs="Arial"/>
      <w:sz w:val="34"/>
    </w:rPr>
  </w:style>
  <w:style w:type="character" w:styleId="751" w:customStyle="1">
    <w:name w:val="Heading 3 Char"/>
    <w:basedOn w:val="720"/>
    <w:link w:val="713"/>
    <w:uiPriority w:val="9"/>
    <w:qFormat/>
    <w:rPr>
      <w:rFonts w:ascii="Arial" w:hAnsi="Arial" w:eastAsia="Arial" w:cs="Arial"/>
      <w:sz w:val="30"/>
      <w:szCs w:val="30"/>
    </w:rPr>
  </w:style>
  <w:style w:type="character" w:styleId="752" w:customStyle="1">
    <w:name w:val="Heading 4 Char"/>
    <w:basedOn w:val="720"/>
    <w:link w:val="714"/>
    <w:uiPriority w:val="9"/>
    <w:qFormat/>
    <w:rPr>
      <w:rFonts w:ascii="Arial" w:hAnsi="Arial" w:eastAsia="Arial" w:cs="Arial"/>
      <w:b/>
      <w:bCs/>
      <w:sz w:val="26"/>
      <w:szCs w:val="26"/>
    </w:rPr>
  </w:style>
  <w:style w:type="character" w:styleId="753" w:customStyle="1">
    <w:name w:val="Heading 5 Char"/>
    <w:basedOn w:val="720"/>
    <w:link w:val="715"/>
    <w:uiPriority w:val="9"/>
    <w:qFormat/>
    <w:rPr>
      <w:rFonts w:ascii="Arial" w:hAnsi="Arial" w:eastAsia="Arial" w:cs="Arial"/>
      <w:b/>
      <w:bCs/>
      <w:sz w:val="24"/>
      <w:szCs w:val="24"/>
    </w:rPr>
  </w:style>
  <w:style w:type="character" w:styleId="754" w:customStyle="1">
    <w:name w:val="Heading 6 Char"/>
    <w:basedOn w:val="720"/>
    <w:link w:val="716"/>
    <w:uiPriority w:val="9"/>
    <w:qFormat/>
    <w:rPr>
      <w:rFonts w:ascii="Arial" w:hAnsi="Arial" w:eastAsia="Arial" w:cs="Arial"/>
      <w:b/>
      <w:bCs/>
      <w:sz w:val="22"/>
      <w:szCs w:val="22"/>
    </w:rPr>
  </w:style>
  <w:style w:type="character" w:styleId="755" w:customStyle="1">
    <w:name w:val="Heading 7 Char"/>
    <w:basedOn w:val="720"/>
    <w:link w:val="717"/>
    <w:uiPriority w:val="9"/>
    <w:qFormat/>
    <w:rPr>
      <w:rFonts w:ascii="Arial" w:hAnsi="Arial" w:eastAsia="Arial" w:cs="Arial"/>
      <w:b/>
      <w:bCs/>
      <w:i/>
      <w:iCs/>
      <w:sz w:val="22"/>
      <w:szCs w:val="22"/>
    </w:rPr>
  </w:style>
  <w:style w:type="character" w:styleId="756" w:customStyle="1">
    <w:name w:val="Heading 8 Char"/>
    <w:basedOn w:val="720"/>
    <w:link w:val="718"/>
    <w:uiPriority w:val="9"/>
    <w:qFormat/>
    <w:rPr>
      <w:rFonts w:ascii="Arial" w:hAnsi="Arial" w:eastAsia="Arial" w:cs="Arial"/>
      <w:i/>
      <w:iCs/>
      <w:sz w:val="22"/>
      <w:szCs w:val="22"/>
    </w:rPr>
  </w:style>
  <w:style w:type="character" w:styleId="757" w:customStyle="1">
    <w:name w:val="Heading 9 Char"/>
    <w:basedOn w:val="720"/>
    <w:link w:val="719"/>
    <w:uiPriority w:val="9"/>
    <w:qFormat/>
    <w:rPr>
      <w:rFonts w:ascii="Arial" w:hAnsi="Arial" w:eastAsia="Arial" w:cs="Arial"/>
      <w:i/>
      <w:iCs/>
      <w:sz w:val="21"/>
      <w:szCs w:val="21"/>
    </w:rPr>
  </w:style>
  <w:style w:type="paragraph" w:styleId="758">
    <w:name w:val="List Paragraph"/>
    <w:basedOn w:val="710"/>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basedOn w:val="720"/>
    <w:link w:val="743"/>
    <w:uiPriority w:val="10"/>
    <w:qFormat/>
    <w:rPr>
      <w:sz w:val="48"/>
      <w:szCs w:val="48"/>
    </w:rPr>
  </w:style>
  <w:style w:type="character" w:styleId="761" w:customStyle="1">
    <w:name w:val="Subtitle Char"/>
    <w:basedOn w:val="720"/>
    <w:link w:val="736"/>
    <w:uiPriority w:val="11"/>
    <w:qFormat/>
    <w:rPr>
      <w:sz w:val="24"/>
      <w:szCs w:val="24"/>
    </w:rPr>
  </w:style>
  <w:style w:type="paragraph" w:styleId="762">
    <w:name w:val="Quote"/>
    <w:basedOn w:val="710"/>
    <w:next w:val="710"/>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10"/>
    <w:next w:val="710"/>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basedOn w:val="720"/>
    <w:uiPriority w:val="99"/>
    <w:qFormat/>
  </w:style>
  <w:style w:type="character" w:styleId="767" w:customStyle="1">
    <w:name w:val="Footer Char"/>
    <w:basedOn w:val="720"/>
    <w:uiPriority w:val="99"/>
    <w:qFormat/>
  </w:style>
  <w:style w:type="character" w:styleId="768" w:customStyle="1">
    <w:name w:val="Caption Char"/>
    <w:uiPriority w:val="99"/>
    <w:qFormat/>
  </w:style>
  <w:style w:type="table" w:styleId="769"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2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8" w:customStyle="1">
    <w:name w:val="Grid Table 4 - Accent 2"/>
    <w:basedOn w:val="72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9" w:customStyle="1">
    <w:name w:val="Grid Table 4 - Accent 3"/>
    <w:basedOn w:val="72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0" w:customStyle="1">
    <w:name w:val="Grid Table 4 - Accent 4"/>
    <w:basedOn w:val="72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1" w:customStyle="1">
    <w:name w:val="Grid Table 4 - Accent 5"/>
    <w:basedOn w:val="72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2" w:customStyle="1">
    <w:name w:val="Grid Table 4 - Accent 6"/>
    <w:basedOn w:val="72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3"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5"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9"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72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72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4" w:customStyle="1">
    <w:name w:val="Grid Table 6 Colorful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72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Grid Table 6 Colorful - Accent 6"/>
    <w:basedOn w:val="72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7"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2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2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2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2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2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2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2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2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2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2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2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2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72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3" w:customStyle="1">
    <w:name w:val="List Table 2 - Accent 2"/>
    <w:basedOn w:val="72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4" w:customStyle="1">
    <w:name w:val="List Table 2 - Accent 3"/>
    <w:basedOn w:val="72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5" w:customStyle="1">
    <w:name w:val="List Table 2 - Accent 4"/>
    <w:basedOn w:val="72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6" w:customStyle="1">
    <w:name w:val="List Table 2 - Accent 5"/>
    <w:basedOn w:val="72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7" w:customStyle="1">
    <w:name w:val="List Table 2 - Accent 6"/>
    <w:basedOn w:val="72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8"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2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0" w:customStyle="1">
    <w:name w:val="List Table 3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2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2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2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2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7" w:customStyle="1">
    <w:name w:val="List Table 4 - Accent 2"/>
    <w:basedOn w:val="72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8" w:customStyle="1">
    <w:name w:val="List Table 4 - Accent 3"/>
    <w:basedOn w:val="72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9" w:customStyle="1">
    <w:name w:val="List Table 4 - Accent 4"/>
    <w:basedOn w:val="72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0" w:customStyle="1">
    <w:name w:val="List Table 4 - Accent 5"/>
    <w:basedOn w:val="72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1" w:customStyle="1">
    <w:name w:val="List Table 4 - Accent 6"/>
    <w:basedOn w:val="72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2"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72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72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72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72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72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72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72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1" w:customStyle="1">
    <w:name w:val="List Table 6 Colorful - Accent 2"/>
    <w:basedOn w:val="72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2" w:customStyle="1">
    <w:name w:val="List Table 6 Colorful - Accent 3"/>
    <w:basedOn w:val="72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3" w:customStyle="1">
    <w:name w:val="List Table 6 Colorful - Accent 4"/>
    <w:basedOn w:val="72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4" w:customStyle="1">
    <w:name w:val="List Table 6 Colorful - Accent 5"/>
    <w:basedOn w:val="72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5" w:customStyle="1">
    <w:name w:val="List Table 6 Colorful - Accent 6"/>
    <w:basedOn w:val="72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6"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2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2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2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2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2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2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5"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6"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8"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9"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72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2" w:customStyle="1">
    <w:name w:val="Bordered &amp; Lined - Accent 2"/>
    <w:basedOn w:val="72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3" w:customStyle="1">
    <w:name w:val="Bordered &amp; Lined - Accent 3"/>
    <w:basedOn w:val="72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72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5" w:customStyle="1">
    <w:name w:val="Bordered &amp; Lined - Accent 5"/>
    <w:basedOn w:val="72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6" w:customStyle="1">
    <w:name w:val="Bordered &amp; Lined - Accent 6"/>
    <w:basedOn w:val="72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7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9" w:customStyle="1">
    <w:name w:val="Bordered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0" w:customStyle="1">
    <w:name w:val="Bordered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2" w:customStyle="1">
    <w:name w:val="Bordered - Accent 5"/>
    <w:basedOn w:val="7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3" w:customStyle="1">
    <w:name w:val="Bordered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4" w:customStyle="1">
    <w:name w:val="Footnote Text Char"/>
    <w:link w:val="737"/>
    <w:uiPriority w:val="99"/>
    <w:qFormat/>
    <w:rPr>
      <w:sz w:val="18"/>
    </w:rPr>
  </w:style>
  <w:style w:type="character" w:styleId="895" w:customStyle="1">
    <w:name w:val="Endnote Text Char"/>
    <w:link w:val="731"/>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Default"/>
    <w:basedOn w:val="710"/>
    <w:uiPriority w:val="0"/>
    <w:semiHidden/>
    <w:qFormat/>
    <w:pPr>
      <w:jc w:val="left"/>
    </w:pPr>
    <w:rPr>
      <w:rFonts w:ascii="宋体" w:hAnsi="Calibri" w:cs="宋体"/>
      <w:color w:val="000000"/>
      <w:sz w:val="24"/>
    </w:rPr>
  </w:style>
  <w:style w:type="character" w:styleId="898" w:customStyle="1">
    <w:name w:val="页眉 Char"/>
    <w:basedOn w:val="720"/>
    <w:link w:val="733"/>
    <w:uiPriority w:val="0"/>
    <w:qFormat/>
    <w:rPr>
      <w:rFonts w:asciiTheme="minorHAnsi" w:hAnsiTheme="minorHAnsi" w:eastAsiaTheme="minorEastAsia" w:cstheme="minorBidi"/>
      <w:sz w:val="18"/>
      <w:szCs w:val="18"/>
    </w:rPr>
  </w:style>
  <w:style w:type="character" w:styleId="899" w:customStyle="1">
    <w:name w:val="页脚 Char"/>
    <w:basedOn w:val="720"/>
    <w:link w:val="732"/>
    <w:uiPriority w:val="0"/>
    <w:qFormat/>
    <w:rPr>
      <w:rFonts w:asciiTheme="minorHAnsi" w:hAnsiTheme="minorHAnsi" w:eastAsiaTheme="minorEastAsia" w:cstheme="minorBidi"/>
      <w:sz w:val="18"/>
      <w:szCs w:val="18"/>
    </w:rPr>
  </w:style>
  <w:style w:type="paragraph" w:styleId="900" w:customStyle="1">
    <w:name w:val="普通正文"/>
    <w:basedOn w:val="710"/>
    <w:uiPriority w:val="0"/>
    <w:qFormat/>
    <w:pPr>
      <w:ind w:firstLine="480"/>
      <w:jc w:val="left"/>
      <w:spacing w:before="120" w:after="120" w:line="360" w:lineRule="auto"/>
    </w:pPr>
    <w:rPr>
      <w:rFonts w:ascii="Arial" w:hAnsi="Arial" w:eastAsia="等线" w:cs="Arial"/>
      <w:sz w:val="24"/>
      <w:szCs w:val="24"/>
    </w:rPr>
  </w:style>
  <w:style w:type="paragraph" w:styleId="901" w:customStyle="1">
    <w:name w:val="正文首行缩进 21"/>
    <w:basedOn w:val="902"/>
    <w:uiPriority w:val="0"/>
    <w:qFormat/>
    <w:pPr>
      <w:ind w:firstLine="420"/>
    </w:pPr>
  </w:style>
  <w:style w:type="paragraph" w:styleId="902" w:customStyle="1">
    <w:name w:val="正文文本缩进1"/>
    <w:basedOn w:val="710"/>
    <w:uiPriority w:val="0"/>
    <w:qFormat/>
    <w:pPr>
      <w:ind w:left="420"/>
      <w:spacing w:after="120"/>
    </w:pPr>
  </w:style>
  <w:style w:type="paragraph" w:styleId="903" w:customStyle="1">
    <w:name w:val="副标题1"/>
    <w:basedOn w:val="736"/>
    <w:uiPriority w:val="0"/>
    <w:qFormat/>
    <w:pPr>
      <w:jc w:val="left"/>
      <w:spacing w:before="60" w:line="460" w:lineRule="exact"/>
    </w:pPr>
    <w:rPr>
      <w:rFonts w:ascii="宋体" w:hAnsi="宋体" w:cs="Times New Roman"/>
      <w:sz w:val="21"/>
      <w:szCs w:val="21"/>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李先生</cp:lastModifiedBy>
  <cp:revision>278</cp:revision>
  <dcterms:created xsi:type="dcterms:W3CDTF">2014-10-29T12:08:00Z</dcterms:created>
  <dcterms:modified xsi:type="dcterms:W3CDTF">2026-07-15T09:03:36Z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74FCF8D278374FDFA17D729C730F106F_13</vt:lpwstr>
  </property>
  <property fmtid="{D5CDD505-2E9C-101B-9397-08002B2CF9AE}" pid="4" name="KSOTemplateDocerSaveRecord">
    <vt:lpwstr>eyJoZGlkIjoiYzc3MDlmYTlmMzg4ZTk2ZjMwN2JmOTY4NWY5ZGRlMzAiLCJ1c2VySWQiOiIyODg2Mzg1NTkifQ==</vt:lpwstr>
  </property>
</Properties>
</file>