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14" w:line="360" w:lineRule="auto"/>
        <w:rPr>
          <w:rFonts w:hint="eastAsia" w:ascii="宋体" w:hAnsi="宋体" w:eastAsia="宋体" w:cs="宋体"/>
          <w:b/>
          <w:bCs/>
          <w:color w:val="000000" w:themeColor="text1"/>
          <w:sz w:val="44"/>
          <w:szCs w:val="44"/>
          <w:highlight w:val="none"/>
          <w14:textFill>
            <w14:solidFill>
              <w14:schemeClr w14:val="tx1"/>
            </w14:solidFill>
          </w14:textFill>
        </w:rPr>
      </w:pPr>
      <w:r/>
      <w:bookmarkStart w:id="0" w:name="_Hlk182408085"/>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593080" cy="7457440"/>
                <wp:effectExtent l="0" t="0" r="7620" b="1016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5593080" cy="7457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0.4pt;height:587.2pt;mso-wrap-distance-left:0.0pt;mso-wrap-distance-top:0.0pt;mso-wrap-distance-right:0.0pt;mso-wrap-distance-bottom:0.0pt;" stroked="f">
                <v:path textboxrect="0,0,0,0"/>
                <v:imagedata r:id="rId15" o:title=""/>
              </v:shape>
            </w:pict>
          </mc:Fallback>
        </mc:AlternateContent>
      </w:r>
      <w:r/>
    </w:p>
    <w:p>
      <w:pPr>
        <w:ind w:right="-105"/>
        <w:spacing w:before="314" w:line="360" w:lineRule="auto"/>
        <w:shd w:val="clear" w:color="auto" w:fill="ffffff" w:themeFill="background1"/>
        <w:rPr>
          <w:rFonts w:hint="eastAsia" w:ascii="宋体" w:hAnsi="宋体" w:eastAsia="宋体" w:cs="宋体"/>
          <w:b/>
          <w:color w:val="000000" w:themeColor="text1"/>
          <w:sz w:val="48"/>
          <w:szCs w:val="52"/>
          <w:highlight w:val="none"/>
          <w14:textFill>
            <w14:solidFill>
              <w14:schemeClr w14:val="tx1"/>
            </w14:solidFill>
          </w14:textFill>
        </w:rPr>
      </w:pPr>
      <w:r>
        <w:rPr>
          <w:rFonts w:hint="eastAsia" w:ascii="宋体" w:hAnsi="宋体" w:eastAsia="宋体" w:cs="宋体"/>
          <w:b/>
          <w:color w:val="000000" w:themeColor="text1"/>
          <w:sz w:val="48"/>
          <w:szCs w:val="52"/>
          <w:highlight w:val="none"/>
          <w14:textFill>
            <w14:solidFill>
              <w14:schemeClr w14:val="tx1"/>
            </w14:solidFill>
          </w14:textFill>
        </w:rPr>
      </w:r>
      <w:bookmarkEnd w:id="0"/>
      <w:r/>
    </w:p>
    <w:p>
      <w:pPr>
        <w:pStyle w:val="742"/>
        <w:shd w:val="clear" w:color="auto" w:fill="ffffff" w:themeFill="background1"/>
        <w:rPr>
          <w:rStyle w:val="766"/>
          <w:rFonts w:hint="eastAsia" w:asciiTheme="minorEastAsia" w:hAnsiTheme="minorEastAsia" w:eastAsiaTheme="minorEastAsia"/>
          <w:highlight w:val="none"/>
          <w:u w:val="none"/>
          <w14:textFill>
            <w14:solidFill>
              <w14:schemeClr w14:val="tx1"/>
            </w14:solidFill>
          </w14:textFill>
        </w:rPr>
      </w:pPr>
      <w:r>
        <w:rPr>
          <w:rStyle w:val="766"/>
          <w:rFonts w:hint="eastAsia" w:asciiTheme="minorEastAsia" w:hAnsiTheme="minorEastAsia" w:eastAsiaTheme="minorEastAsia"/>
          <w:color w:val="000000" w:themeColor="text1"/>
          <w:szCs w:val="24"/>
          <w:highlight w:val="none"/>
          <w:u w:val="none"/>
          <w14:textFill>
            <w14:solidFill>
              <w14:schemeClr w14:val="tx1"/>
            </w14:solidFill>
          </w14:textFill>
        </w:rPr>
      </w:r>
      <w:r>
        <w:rPr>
          <w:rStyle w:val="766"/>
          <w:rFonts w:hint="eastAsia" w:asciiTheme="minorEastAsia" w:hAnsiTheme="minorEastAsia" w:eastAsiaTheme="minorEastAsia"/>
          <w:color w:val="000000" w:themeColor="text1"/>
          <w:szCs w:val="24"/>
          <w:highlight w:val="none"/>
          <w:u w:val="none"/>
          <w14:textFill>
            <w14:solidFill>
              <w14:schemeClr w14:val="tx1"/>
            </w14:solidFill>
          </w14:textFill>
        </w:rPr>
      </w:r>
    </w:p>
    <w:p>
      <w:pPr>
        <w:pStyle w:val="742"/>
        <w:shd w:val="clear" w:color="auto" w:fill="ffffff" w:themeFill="background1"/>
        <w:rPr>
          <w:rStyle w:val="766"/>
          <w:rFonts w:hint="eastAsia" w:asciiTheme="minorEastAsia" w:hAnsiTheme="minorEastAsia" w:eastAsiaTheme="minorEastAsia"/>
          <w:highlight w:val="none"/>
          <w:u w:val="none"/>
          <w14:textFill>
            <w14:solidFill>
              <w14:schemeClr w14:val="tx1"/>
            </w14:solidFill>
          </w14:textFill>
        </w:rPr>
      </w:pPr>
      <w:r>
        <w:rPr>
          <w:rStyle w:val="766"/>
          <w:rFonts w:hint="eastAsia" w:asciiTheme="minorEastAsia" w:hAnsiTheme="minorEastAsia" w:eastAsiaTheme="minorEastAsia"/>
          <w:color w:val="000000" w:themeColor="text1"/>
          <w:szCs w:val="24"/>
          <w:highlight w:val="none"/>
          <w:u w:val="none"/>
          <w14:textFill>
            <w14:solidFill>
              <w14:schemeClr w14:val="tx1"/>
            </w14:solidFill>
          </w14:textFill>
        </w:rPr>
        <w:t xml:space="preserve">目 </w:t>
      </w:r>
      <w:r>
        <w:rPr>
          <w:rStyle w:val="766"/>
          <w:rFonts w:asciiTheme="minorEastAsia" w:hAnsiTheme="minorEastAsia" w:eastAsiaTheme="minorEastAsia"/>
          <w:color w:val="000000" w:themeColor="text1"/>
          <w:szCs w:val="24"/>
          <w:highlight w:val="none"/>
          <w:u w:val="none"/>
          <w14:textFill>
            <w14:solidFill>
              <w14:schemeClr w14:val="tx1"/>
            </w14:solidFill>
          </w14:textFill>
        </w:rPr>
        <w:t xml:space="preserve"> </w:t>
      </w:r>
      <w:r>
        <w:rPr>
          <w:rStyle w:val="766"/>
          <w:rFonts w:hint="eastAsia" w:asciiTheme="minorEastAsia" w:hAnsiTheme="minorEastAsia" w:eastAsiaTheme="minorEastAsia"/>
          <w:color w:val="000000" w:themeColor="text1"/>
          <w:szCs w:val="24"/>
          <w:highlight w:val="none"/>
          <w:u w:val="none"/>
          <w14:textFill>
            <w14:solidFill>
              <w14:schemeClr w14:val="tx1"/>
            </w14:solidFill>
          </w14:textFill>
        </w:rPr>
        <w:t xml:space="preserve">录</w:t>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color w:val="000000" w:themeColor="text1"/>
          <w:szCs w:val="36"/>
          <w:highlight w:val="none"/>
          <w14:textFill>
            <w14:solidFill>
              <w14:schemeClr w14:val="tx1"/>
            </w14:solidFill>
          </w14:textFill>
        </w:rPr>
        <w:instrText xml:space="preserve"> TOC \o "1-3" \h \z \u </w:instrText>
      </w:r>
      <w:r>
        <w:rPr>
          <w:rFonts w:hint="eastAsia" w:ascii="宋体" w:hAnsi="宋体" w:eastAsia="宋体" w:cs="宋体"/>
          <w:color w:val="000000" w:themeColor="text1"/>
          <w:szCs w:val="36"/>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"_Toc2383"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第一章 招标公告</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_Toc2383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"_Toc30423"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第二章 投标须知</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_Toc30423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"_Toc29304"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一、投标须知前附表</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_Toc29304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"_Toc23578"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二、总  则</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_Toc23578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"_Toc19984"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三、招标文件</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_Toc19984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"_Toc24136"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四、投标文件</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_Toc24136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"_Toc25413"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五、开标及资格审查</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_Toc25413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12</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"_Toc15248"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六、评  标</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_Toc15248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13</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"_Toc9302"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七、定  标</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_Toc9302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16</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"_Toc24257"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第三章 </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招标内容及要求</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_Toc24257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21</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"_Toc13372"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第四章 评标办法及评分标准</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_Toc13372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31</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"_Toc15559"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第五章 合同主要条款（格式）</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_Toc15559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36</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"_Toc674"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第六章 投标文件及格式</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_Toc674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44</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"_Toc25419"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（一）开标一览表</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_Toc25419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44</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"_Toc30866"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（二）投标函</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_Toc30866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45</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"_Toc26926"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（三）无重大违法记录声明函</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_Toc26926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46</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"_Toc17271"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（四）供应商登记表</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_Toc17271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47</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"_Toc14320"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（五）法定代表人身份证明书</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_Toc14320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48</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"_Toc31093"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（六）法定代表人授权委托书</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_Toc31093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49</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"_Toc7496"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（七）公共资源交易投标信用承诺书</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_Toc7496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50</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"_Toc26905"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（八）建湖县招投标事前信用承诺书</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_Toc26905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51</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"_Toc20083"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（九）中小企业声明函（货物）（如有）</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_Toc20083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52</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"_Toc14322"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（十）残疾人福利性单位声明函（如有）</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_Toc14322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53</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"_Toc4867"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（十一）关于符合本国产品标准的声明函</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_Toc4867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54</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"_Toc20117"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（十二）清单报价表</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_Toc20117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55</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"_Toc15166"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（十三）技术参数响应表</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_Toc15166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58</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"_Toc17942"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（十四）售后服务及承诺</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_Toc17942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59</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"_Toc26182"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（十五）具备履行合同所必需的设备和专业技术能力的书面声明</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_Toc26182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60</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"_Toc27137"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（十六）项目业绩汇总表</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_Toc27137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61</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"_Toc32412"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（十七）投入本项目人员配置表</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_Toc32412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62</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"_Toc15187"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（十八）本单位缴纳养老保险承诺函</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_Toc15187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63</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spacing w:line="400" w:lineRule="exact"/>
        <w:tabs>
          <w:tab w:val="right" w:pos="9240" w:leader="dot"/>
          <w:tab w:val="clear" w:pos="9356"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"_Toc18377" </w:instrText>
      </w:r>
      <w:r>
        <w:rPr>
          <w:color w:val="000000" w:themeColor="text1"/>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（十九）</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实施方案</w:t>
      </w:r>
      <w:r>
        <w:rPr>
          <w:rFonts w:hint="eastAsia" w:ascii="宋体" w:hAnsi="宋体" w:eastAsia="宋体" w:cs="宋体"/>
          <w:b w:val="0"/>
          <w:bCs/>
          <w:color w:val="000000" w:themeColor="text1"/>
          <w:sz w:val="24"/>
          <w:szCs w:val="24"/>
          <w:highlight w:val="none"/>
          <w14:textFill>
            <w14:solidFill>
              <w14:schemeClr w14:val="tx1"/>
            </w14:solidFill>
          </w14:textFill>
        </w:rPr>
        <w:tab/>
      </w:r>
      <w:r>
        <w:rPr>
          <w:rFonts w:hint="eastAsia" w:ascii="宋体" w:hAnsi="宋体" w:eastAsia="宋体" w:cs="宋体"/>
          <w:b w:val="0"/>
          <w:bCs/>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14:textFill>
            <w14:solidFill>
              <w14:schemeClr w14:val="tx1"/>
            </w14:solidFill>
          </w14:textFill>
        </w:rPr>
        <w:instrText xml:space="preserve"> PAGEREF _Toc18377 \h </w:instrText>
      </w:r>
      <w:r>
        <w:rPr>
          <w:rFonts w:hint="eastAsia" w:ascii="宋体" w:hAnsi="宋体" w:eastAsia="宋体" w:cs="宋体"/>
          <w:b w:val="0"/>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14:textFill>
            <w14:solidFill>
              <w14:schemeClr w14:val="tx1"/>
            </w14:solidFill>
          </w14:textFill>
        </w:rPr>
        <w:t xml:space="preserve">64</w:t>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14:textFill>
            <w14:solidFill>
              <w14:schemeClr w14:val="tx1"/>
            </w14:solidFill>
          </w14:textFill>
        </w:rPr>
        <w:fldChar w:fldCharType="end"/>
      </w:r>
      <w:r/>
    </w:p>
    <w:p>
      <w:pPr>
        <w:pStyle w:val="742"/>
        <w:tabs>
          <w:tab w:val="right" w:pos="9240" w:leader="dot"/>
          <w:tab w:val="clear" w:pos="9356"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spacing w:line="400" w:lineRule="exact"/>
        <w:shd w:val="clear" w:color="auto" w:fill="ffffff" w:themeFill="background1"/>
        <w:tabs>
          <w:tab w:val="right" w:pos="9269" w:leader="dot"/>
        </w:tabs>
        <w:rPr>
          <w:color w:val="000000" w:themeColor="text1"/>
          <w:szCs w:val="36"/>
          <w:highlight w:val="none"/>
          <w14:textFill>
            <w14:solidFill>
              <w14:schemeClr w14:val="tx1"/>
            </w14:solidFill>
          </w14:textFill>
        </w:rPr>
      </w:pPr>
      <w:r>
        <w:rPr>
          <w:rFonts w:hint="eastAsia" w:ascii="宋体" w:hAnsi="宋体" w:eastAsia="宋体" w:cs="宋体"/>
          <w:color w:val="000000" w:themeColor="text1"/>
          <w:szCs w:val="36"/>
          <w:highlight w:val="none"/>
          <w14:textFill>
            <w14:solidFill>
              <w14:schemeClr w14:val="tx1"/>
            </w14:solidFill>
          </w14:textFill>
        </w:rPr>
        <w:fldChar w:fldCharType="end"/>
      </w:r>
      <w:r/>
    </w:p>
    <w:p>
      <w:pPr>
        <w:shd w:val="clear" w:color="auto" w:fill="ffffff" w:themeFill="background1"/>
        <w:tabs>
          <w:tab w:val="left" w:pos="3083" w:leader="none"/>
        </w:tabs>
        <w:rPr>
          <w:color w:val="000000" w:themeColor="text1"/>
          <w:szCs w:val="36"/>
          <w:highlight w:val="none"/>
          <w14:textFill>
            <w14:solidFill>
              <w14:schemeClr w14:val="tx1"/>
            </w14:solidFill>
          </w14:textFill>
        </w:rPr>
        <w:sectPr>
          <w:footerReference w:type="default" r:id="rId10"/>
          <w:footnotePr/>
          <w:endnotePr/>
          <w:type w:val="nextPage"/>
          <w:pgSz w:w="11906" w:h="16838" w:orient="portrait"/>
          <w:pgMar w:top="1440" w:right="1302" w:bottom="1440" w:left="1080" w:header="624" w:footer="624" w:gutter="284"/>
          <w:pgNumType w:start="1"/>
          <w:cols w:num="1" w:sep="0" w:space="720" w:equalWidth="1"/>
          <w:docGrid w:linePitch="360"/>
        </w:sectPr>
      </w:pPr>
      <w:r>
        <w:rPr>
          <w:color w:val="000000" w:themeColor="text1"/>
          <w:szCs w:val="36"/>
          <w:highlight w:val="none"/>
          <w14:textFill>
            <w14:solidFill>
              <w14:schemeClr w14:val="tx1"/>
            </w14:solidFill>
          </w14:textFill>
        </w:rPr>
      </w:r>
      <w:r/>
    </w:p>
    <w:p>
      <w:pPr>
        <w:shd w:val="clear" w:color="auto" w:fill="ffffff" w:themeFill="background1"/>
        <w:tabs>
          <w:tab w:val="left" w:pos="3083" w:leader="none"/>
        </w:tabs>
        <w:rPr>
          <w:color w:val="000000" w:themeColor="text1"/>
          <w:highlight w:val="none"/>
          <w14:textFill>
            <w14:solidFill>
              <w14:schemeClr w14:val="tx1"/>
            </w14:solidFill>
          </w14:textFill>
        </w:rPr>
      </w:pPr>
      <w:r>
        <w:rPr>
          <w:rFonts w:hint="eastAsia"/>
          <w:color w:val="000000" w:themeColor="text1"/>
          <w:szCs w:val="36"/>
          <w:highlight w:val="none"/>
          <w14:textFill>
            <w14:solidFill>
              <w14:schemeClr w14:val="tx1"/>
            </w14:solidFill>
          </w14:textFill>
        </w:rPr>
        <w:tab/>
      </w:r>
      <w:bookmarkStart w:id="1" w:name="_Toc23030"/>
      <w:r/>
      <w:bookmarkStart w:id="2" w:name="_Toc2383"/>
      <w:r>
        <w:rPr>
          <w:rFonts w:hint="eastAsia" w:ascii="Arial" w:hAnsi="Arial" w:eastAsia="黑体"/>
          <w:b/>
          <w:bCs/>
          <w:color w:val="000000" w:themeColor="text1"/>
          <w:sz w:val="32"/>
          <w:szCs w:val="32"/>
          <w:highlight w:val="none"/>
          <w:lang w:val="zh-CN"/>
          <w14:textFill>
            <w14:solidFill>
              <w14:schemeClr w14:val="tx1"/>
            </w14:solidFill>
          </w14:textFill>
        </w:rPr>
        <w:t xml:space="preserve">第一章 招标公告</w:t>
      </w:r>
      <w:bookmarkEnd w:id="1"/>
      <w:r/>
      <w:bookmarkEnd w:id="2"/>
      <w:r/>
      <w:r/>
    </w:p>
    <w:p>
      <w:pPr>
        <w:pStyle w:val="746"/>
        <w:ind w:firstLine="482"/>
        <w:jc w:val="both"/>
        <w:spacing w:beforeAutospacing="0" w:afterAutospacing="0" w:line="480" w:lineRule="exact"/>
        <w:shd w:val="clear" w:color="auto" w:fill="ffffff" w:themeFill="background1"/>
        <w:rPr>
          <w:rFonts w:hint="eastAsia" w:hAnsi="宋体" w:cs="仿宋"/>
          <w:b/>
          <w:bCs/>
          <w:color w:val="000000" w:themeColor="text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hAnsi="宋体" w:cs="仿宋"/>
          <w:b/>
          <w:bCs/>
          <w:color w:val="000000" w:themeColor="text1"/>
          <w:highlight w:val="none"/>
          <w14:textFill>
            <w14:solidFill>
              <w14:schemeClr w14:val="tx1"/>
            </w14:solidFill>
          </w14:textFill>
        </w:rPr>
        <w:t xml:space="preserve">项目概况 </w:t>
      </w:r>
      <w:r/>
    </w:p>
    <w:p>
      <w:pPr>
        <w:pStyle w:val="746"/>
        <w:ind w:firstLine="480"/>
        <w:jc w:val="both"/>
        <w:spacing w:beforeAutospacing="0" w:afterAutospacing="0" w:line="480" w:lineRule="exact"/>
        <w:shd w:val="clear" w:color="auto" w:fill="ffffff" w:themeFill="background1"/>
        <w:rPr>
          <w:rFonts w:hint="eastAsia" w:hAnsi="宋体" w:cs="仿宋"/>
          <w:color w:val="000000" w:themeColor="text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hAnsi="宋体" w:cs="仿宋"/>
          <w:color w:val="000000" w:themeColor="text1"/>
          <w:highlight w:val="none"/>
          <w:u w:val="single"/>
          <w14:textFill>
            <w14:solidFill>
              <w14:schemeClr w14:val="tx1"/>
            </w14:solidFill>
          </w14:textFill>
        </w:rPr>
        <w:t xml:space="preserve">2026年交通信号灯路口智能信控优化系统项目JSZC-320925-WYGS-G2026-0018</w:t>
      </w:r>
      <w:r>
        <w:rPr>
          <w:rFonts w:hint="eastAsia" w:hAnsi="宋体" w:cs="仿宋"/>
          <w:color w:val="000000" w:themeColor="text1"/>
          <w:highlight w:val="none"/>
          <w14:textFill>
            <w14:solidFill>
              <w14:schemeClr w14:val="tx1"/>
            </w14:solidFill>
          </w14:textFill>
        </w:rPr>
        <w:t xml:space="preserve">招标项目的潜在投标人应在“苏采云”系统内免费下载（投标人必须在苏采云系统中获取采购文件，方能参与政府采购项目）获取招标文件，</w:t>
      </w:r>
      <w:r>
        <w:rPr>
          <w:rFonts w:hint="eastAsia" w:hAnsi="宋体" w:cs="仿宋"/>
          <w:color w:val="000000" w:themeColor="text1"/>
          <w:highlight w:val="none"/>
          <w14:textFill>
            <w14:solidFill>
              <w14:schemeClr w14:val="tx1"/>
            </w14:solidFill>
          </w14:textFill>
        </w:rPr>
        <w:t xml:space="preserve">并于</w:t>
      </w:r>
      <w:r>
        <w:rPr>
          <w:rFonts w:hint="eastAsia" w:hAnsi="宋体" w:cs="仿宋"/>
          <w:color w:val="000000" w:themeColor="text1"/>
          <w:highlight w:val="none"/>
          <w14:textFill>
            <w14:solidFill>
              <w14:schemeClr w14:val="tx1"/>
            </w14:solidFill>
          </w14:textFill>
        </w:rPr>
        <w:t xml:space="preserve">2026-7-</w:t>
      </w:r>
      <w:r>
        <w:rPr>
          <w:rFonts w:hint="eastAsia" w:hAnsi="宋体" w:cs="仿宋"/>
          <w:color w:val="000000" w:themeColor="text1"/>
          <w:highlight w:val="none"/>
          <w:lang w:val="en-US" w:eastAsia="zh-CN"/>
          <w14:textFill>
            <w14:solidFill>
              <w14:schemeClr w14:val="tx1"/>
            </w14:solidFill>
          </w14:textFill>
        </w:rPr>
        <w:t xml:space="preserve">30</w:t>
      </w:r>
      <w:r>
        <w:rPr>
          <w:rFonts w:hint="eastAsia" w:hAnsi="宋体" w:cs="仿宋"/>
          <w:color w:val="000000" w:themeColor="text1"/>
          <w:highlight w:val="none"/>
          <w14:textFill>
            <w14:solidFill>
              <w14:schemeClr w14:val="tx1"/>
            </w14:solidFill>
          </w14:textFill>
        </w:rPr>
        <w:t xml:space="preserve"> </w:t>
      </w:r>
      <w:r>
        <w:rPr>
          <w:rFonts w:hint="eastAsia" w:hAnsi="宋体" w:cs="仿宋"/>
          <w:color w:val="000000" w:themeColor="text1"/>
          <w:highlight w:val="none"/>
          <w:lang w:val="en-US" w:eastAsia="zh-CN"/>
          <w14:textFill>
            <w14:solidFill>
              <w14:schemeClr w14:val="tx1"/>
            </w14:solidFill>
          </w14:textFill>
        </w:rPr>
        <w:t xml:space="preserve">15</w:t>
      </w:r>
      <w:r>
        <w:rPr>
          <w:rFonts w:hint="eastAsia" w:hAnsi="宋体" w:cs="仿宋"/>
          <w:color w:val="000000" w:themeColor="text1"/>
          <w:highlight w:val="none"/>
          <w14:textFill>
            <w14:solidFill>
              <w14:schemeClr w14:val="tx1"/>
            </w14:solidFill>
          </w14:textFill>
        </w:rPr>
        <w:t xml:space="preserve">:00</w:t>
      </w:r>
      <w:r>
        <w:rPr>
          <w:rFonts w:hint="eastAsia" w:hAnsi="宋体" w:cs="仿宋"/>
          <w:color w:val="000000" w:themeColor="text1"/>
          <w:highlight w:val="none"/>
          <w14:textFill>
            <w14:solidFill>
              <w14:schemeClr w14:val="tx1"/>
            </w14:solidFill>
          </w14:textFill>
        </w:rPr>
        <w:t xml:space="preserve">（北京时间）前递交投标文件。</w:t>
      </w:r>
      <w:r/>
    </w:p>
    <w:p>
      <w:pPr>
        <w:ind w:firstLine="476"/>
        <w:spacing w:line="480" w:lineRule="exact"/>
        <w:shd w:val="clear" w:color="auto" w:fill="ffffff" w:themeFill="background1"/>
        <w:rPr>
          <w:rFonts w:hint="eastAsia" w:asciiTheme="majorEastAsia" w:hAnsiTheme="majorEastAsia" w:eastAsiaTheme="majorEastAsia" w:cstheme="majorEastAsia"/>
          <w:b/>
          <w:color w:val="000000" w:themeColor="text1"/>
          <w:sz w:val="24"/>
          <w:highlight w:val="none"/>
          <w14:textFill>
            <w14:solidFill>
              <w14:schemeClr w14:val="tx1"/>
            </w14:solidFill>
          </w14:textFill>
        </w:rPr>
      </w:pPr>
      <w:r/>
      <w:bookmarkStart w:id="3" w:name="_Hlk24379207"/>
      <w:r/>
      <w:bookmarkStart w:id="4" w:name="_Toc28359079"/>
      <w:r/>
      <w:bookmarkStart w:id="5" w:name="_Toc35393790"/>
      <w:r/>
      <w:bookmarkStart w:id="6" w:name="_Toc35393621"/>
      <w:r/>
      <w:bookmarkStart w:id="7" w:name="_Toc28359002"/>
      <w:r/>
      <w:bookmarkStart w:id="8" w:name="_Toc38985263"/>
      <w:r>
        <w:rPr>
          <w:rFonts w:hint="eastAsia" w:asciiTheme="majorEastAsia" w:hAnsiTheme="majorEastAsia" w:eastAsiaTheme="majorEastAsia" w:cstheme="majorEastAsia"/>
          <w:b/>
          <w:color w:val="000000" w:themeColor="text1"/>
          <w:sz w:val="24"/>
          <w:highlight w:val="none"/>
          <w14:textFill>
            <w14:solidFill>
              <w14:schemeClr w14:val="tx1"/>
            </w14:solidFill>
          </w14:textFill>
        </w:rPr>
        <w:t xml:space="preserve">一、项目基本情况</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项目编号：JSZC-320925-WYGS-G2026-0018 </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项目名称：2026年交通信号灯路口智能信控优化系统项目 </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预算金额：110万元，投标报价高于预算价的作无效标论处。  </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采购需求：2026年交通信号灯路口雷达、边缘计算集成控制设备、视频摄像机、倒计时复合疏导屏及箭头组合信号灯组等设备采购及安装,具体内容详见招标文件。</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合同履行期限：合同签订后30个日历天内供货、安装、调试完成并通过验收。 </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质保期：三年。</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本项目（是/否）接受联合体投标：否。</w:t>
      </w:r>
      <w:r/>
    </w:p>
    <w:p>
      <w:pPr>
        <w:ind w:firstLine="476"/>
        <w:spacing w:line="480" w:lineRule="exact"/>
        <w:shd w:val="clear" w:color="auto" w:fill="ffffff" w:themeFill="background1"/>
        <w:rPr>
          <w:rFonts w:hint="eastAsia" w:asciiTheme="majorEastAsia" w:hAnsiTheme="majorEastAsia" w:eastAsiaTheme="majorEastAsia" w:cstheme="majorEastAsia"/>
          <w:b/>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highlight w:val="none"/>
          <w14:textFill>
            <w14:solidFill>
              <w14:schemeClr w14:val="tx1"/>
            </w14:solidFill>
          </w14:textFill>
        </w:rPr>
        <w:t xml:space="preserve">二、申请人的资格要求</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（一）满足《中华人民共和国政府采购法》第二十二条规定：</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1、法人或者其他组织的营业执照等证明文件，自然人的身份证明；</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2、上一年度的财务状况报表（成立不满一年无需提供）；</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4、具备履行合同所必需的设备和专业技术能力的书面声明（格式附后）；</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5、参加政府采购活动前3年内在经营活动中没有重大违法记录的书面声明（格式附后）；</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6、法律、行政法规规定的其他条件。</w:t>
      </w:r>
      <w:bookmarkStart w:id="98" w:name="_GoBack"/>
      <w:r/>
      <w:bookmarkEnd w:id="98"/>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（二）落实政府采购政策需满足的资格要求：</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1、政策采购促进中小企业发展；</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2、政府采购促进残疾人福利单位发展；</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3、政府采购促进监狱和戒毒企业发展；</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4、政府采购鼓励采购节能环保产品；</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6、政府采购鼓励优先采购节能产品、环境标志产品：严格执行政府采购关于支持</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8、执行数据中心采购相关政策：若涉及到数据中心采购，应按照“关于印发《绿色数据中心政府采购需求标准（试行）》的通知（财库〔2023〕7号）”执行。</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（三）本项目的特定资格要求： </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1、投标申请人应是中华人民共和国境内注册的供应商；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2、未被“信用中国”网站（www.creditchina.gov.cn）列入失信被执行人、重大税收违法案件当事人名单、政府采购严重失信行为记录名单；</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3、单位负责人为同一人或者存在直接控股、管理关系的不同供应商，不得参加同一合同项下的政府采购活动。</w:t>
      </w:r>
      <w:r/>
    </w:p>
    <w:p>
      <w:pPr>
        <w:ind w:firstLine="476"/>
        <w:spacing w:line="480" w:lineRule="exact"/>
        <w:shd w:val="clear" w:color="auto" w:fill="ffffff" w:themeFill="background1"/>
        <w:rPr>
          <w:rFonts w:hint="eastAsia" w:asciiTheme="majorEastAsia" w:hAnsiTheme="majorEastAsia" w:eastAsiaTheme="majorEastAsia" w:cstheme="majorEastAsia"/>
          <w:b/>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highlight w:val="none"/>
          <w14:textFill>
            <w14:solidFill>
              <w14:schemeClr w14:val="tx1"/>
            </w14:solidFill>
          </w14:textFill>
        </w:rPr>
        <w:t xml:space="preserve">三、获取招标文件</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时间：</w:t>
      </w:r>
      <w:r>
        <w:rPr>
          <w:rFonts w:hint="eastAsia" w:asciiTheme="majorEastAsia" w:hAnsiTheme="majorEastAsia" w:eastAsiaTheme="majorEastAsia" w:cstheme="majorEastAsia"/>
          <w:bCs/>
          <w:color w:val="000000" w:themeColor="text1"/>
          <w:sz w:val="24"/>
          <w:highlight w:val="none"/>
          <w:u w:val="single"/>
          <w14:textFill>
            <w14:solidFill>
              <w14:schemeClr w14:val="tx1"/>
            </w14:solidFill>
          </w14:textFill>
        </w:rPr>
        <w:t xml:space="preserve">自招标文件公告发布之日起5个工作日</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 </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地点：</w:t>
      </w:r>
      <w:r>
        <w:rPr>
          <w:rFonts w:hint="eastAsia" w:asciiTheme="majorEastAsia" w:hAnsiTheme="majorEastAsia" w:eastAsiaTheme="majorEastAsia" w:cstheme="majorEastAsia"/>
          <w:bCs/>
          <w:color w:val="000000" w:themeColor="text1"/>
          <w:sz w:val="24"/>
          <w:highlight w:val="none"/>
          <w:u w:val="single"/>
          <w14:textFill>
            <w14:solidFill>
              <w14:schemeClr w14:val="tx1"/>
            </w14:solidFill>
          </w14:textFill>
        </w:rPr>
        <w:t xml:space="preserve">“苏采云”系统内免费下载（投标人必须在苏采云系统中获取采购文件，方能参与政府采购项目</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 </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方式：本项目采用网上注册登记方式 </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售价：0.00元 </w:t>
      </w:r>
      <w:r/>
    </w:p>
    <w:p>
      <w:pPr>
        <w:ind w:firstLine="476"/>
        <w:spacing w:line="480" w:lineRule="exact"/>
        <w:shd w:val="clear" w:color="auto" w:fill="ffffff" w:themeFill="background1"/>
        <w:rPr>
          <w:rFonts w:hint="eastAsia" w:asciiTheme="majorEastAsia" w:hAnsiTheme="majorEastAsia" w:eastAsiaTheme="majorEastAsia" w:cstheme="majorEastAsia"/>
          <w:b/>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highlight w:val="none"/>
          <w14:textFill>
            <w14:solidFill>
              <w14:schemeClr w14:val="tx1"/>
            </w14:solidFill>
          </w14:textFill>
        </w:rPr>
        <w:t xml:space="preserve">四、提交投标文件截止时间、开标时间和地点</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2026-7-</w:t>
      </w:r>
      <w:r>
        <w:rPr>
          <w:rFonts w:hint="eastAsia" w:asciiTheme="majorEastAsia" w:hAnsiTheme="majorEastAsia" w:eastAsiaTheme="majorEastAsia" w:cstheme="majorEastAsia"/>
          <w:bCs/>
          <w:color w:val="000000" w:themeColor="text1"/>
          <w:sz w:val="24"/>
          <w:highlight w:val="none"/>
          <w:lang w:val="en-US" w:eastAsia="zh-CN"/>
          <w14:textFill>
            <w14:solidFill>
              <w14:schemeClr w14:val="tx1"/>
            </w14:solidFill>
          </w14:textFill>
        </w:rPr>
        <w:t xml:space="preserve">30</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  </w:t>
      </w:r>
      <w:r>
        <w:rPr>
          <w:rFonts w:hint="eastAsia" w:asciiTheme="majorEastAsia" w:hAnsiTheme="majorEastAsia" w:eastAsiaTheme="majorEastAsia" w:cstheme="majorEastAsia"/>
          <w:bCs/>
          <w:color w:val="000000" w:themeColor="text1"/>
          <w:sz w:val="24"/>
          <w:highlight w:val="none"/>
          <w:lang w:val="en-US" w:eastAsia="zh-CN"/>
          <w14:textFill>
            <w14:solidFill>
              <w14:schemeClr w14:val="tx1"/>
            </w14:solidFill>
          </w14:textFill>
        </w:rPr>
        <w:t xml:space="preserve">15</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:00</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 （北京时间）</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地点：“苏采云”政府采购交易系统网上开标大厅 </w:t>
      </w:r>
      <w:r/>
    </w:p>
    <w:p>
      <w:pPr>
        <w:ind w:firstLine="476"/>
        <w:spacing w:line="480" w:lineRule="exact"/>
        <w:shd w:val="clear" w:color="auto" w:fill="ffffff" w:themeFill="background1"/>
        <w:rPr>
          <w:rFonts w:hint="eastAsia" w:asciiTheme="majorEastAsia" w:hAnsiTheme="majorEastAsia" w:eastAsiaTheme="majorEastAsia" w:cstheme="majorEastAsia"/>
          <w:b/>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highlight w:val="none"/>
          <w14:textFill>
            <w14:solidFill>
              <w14:schemeClr w14:val="tx1"/>
            </w14:solidFill>
          </w14:textFill>
        </w:rPr>
        <w:t xml:space="preserve">五、公告期限</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自本公告发布之日起5个工作日。</w:t>
      </w:r>
      <w:r/>
    </w:p>
    <w:p>
      <w:pPr>
        <w:ind w:firstLine="476"/>
        <w:spacing w:line="480" w:lineRule="exact"/>
        <w:shd w:val="clear" w:color="auto" w:fill="ffffff" w:themeFill="background1"/>
        <w:rPr>
          <w:rFonts w:hint="eastAsia" w:asciiTheme="majorEastAsia" w:hAnsiTheme="majorEastAsia" w:eastAsiaTheme="majorEastAsia" w:cstheme="majorEastAsia"/>
          <w:b/>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highlight w:val="none"/>
          <w14:textFill>
            <w14:solidFill>
              <w14:schemeClr w14:val="tx1"/>
            </w14:solidFill>
          </w14:textFill>
        </w:rPr>
        <w:t xml:space="preserve">六、其他补充事宜</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w:t>
      </w:r>
      <w:r>
        <w:rPr>
          <w:rFonts w:hint="eastAsia" w:asciiTheme="majorEastAsia" w:hAnsiTheme="majorEastAsia" w:eastAsiaTheme="majorEastAsia" w:cstheme="majorEastAsia"/>
          <w:bCs/>
          <w:color w:val="000000" w:themeColor="text1"/>
          <w:spacing w:val="-6"/>
          <w:sz w:val="24"/>
          <w:highlight w:val="none"/>
          <w14:textFill>
            <w14:solidFill>
              <w14:schemeClr w14:val="tx1"/>
            </w14:solidFill>
          </w14:textFill>
        </w:rPr>
        <w:t xml:space="preserve">各投标人在投标截止时间前应当每天都上网查询，以便获取更新的澄清、修改、补充内容。凡涉及到该项目的补充说明和修改，均以江苏政府采购网上的更正或补充通知为准</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2、投标人如在投标过程中存在以下行为，将被列入不良行为记录名单：</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2.1提供虚假材料谋取中标成交的或采取不正当手段诋毁、排挤其他供应商的；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2.2投标人递交无竞争力投标文件的。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3、投标人存在串通投标、以他人名义投标、弄虚作假等违法违规行为，或者无正当理由放弃投标、中标资格，造成项目招标失败的，不得参加该项目重新招标的投标。</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4、因供应商的系统环境、操作等原因导致报名、开评标过程中出现问题由供应商自行承担负责。</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5、除单一来源采购项目外，为采购项目提供整体设计、规范编制或者项目管理、监理、检测等服务的供应商，不得再参加该采购项目的其他采购活动。</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6、招标文件获取方式：本项目采用网上注册登记方式。</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7、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8、潜在投标人访问“苏采云”系统的网络地址和方法：“苏采云”系统的网址：http://jszfcg.jsczt.cn/。</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9、“CA数字证书”的获取：供应商需办理CA锁，“苏采云”系统目前仅支持意源CA，省内各地区办理的用于“苏采云”平台的意源CA全省通用。“CA数字证书”的办理方法详见《江苏省政府采购（供应商）意源CA数字证书及电子签章办理指南》。</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10、采购文件（后缀名为“.kedt”）、供应商操作手册及政府采购客户端工具可通过“苏采云”系统--已报名项目--报名详情页面内相应链接进行下载。</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11、招标代理机构（采购代理机构）将数据电文形式的招标文件加载至“苏采云”系统，供潜在供应商下载或者查阅。</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12、请潜在投标单位提前安装相应的控件（详见《江苏省政府采购管理交易系统（苏采云）供应商操作手册》）并使用谷歌浏览器登录“苏采云”系统参与不见面开评标。</w:t>
      </w:r>
      <w:r/>
    </w:p>
    <w:p>
      <w:pPr>
        <w:ind w:firstLine="476"/>
        <w:spacing w:line="480" w:lineRule="exact"/>
        <w:shd w:val="clear" w:color="auto" w:fill="ffffff" w:themeFill="background1"/>
        <w:rPr>
          <w:rFonts w:hint="eastAsia" w:asciiTheme="majorEastAsia" w:hAnsiTheme="majorEastAsia" w:eastAsiaTheme="majorEastAsia" w:cstheme="majorEastAsia"/>
          <w:b/>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highlight w:val="none"/>
          <w14:textFill>
            <w14:solidFill>
              <w14:schemeClr w14:val="tx1"/>
            </w14:solidFill>
          </w14:textFill>
        </w:rPr>
        <w:t xml:space="preserve">七、对本次招标提出询问，请按以下方式联系</w:t>
      </w:r>
      <w:bookmarkEnd w:id="3"/>
      <w:bookmarkEnd w:id="4"/>
      <w:bookmarkEnd w:id="5"/>
      <w:bookmarkEnd w:id="6"/>
      <w:bookmarkEnd w:id="7"/>
      <w:bookmarkEnd w:id="8"/>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1.采购人信息</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名称：建湖县公安局</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地址：建湖县公安路1号</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联系方式：15862028248</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2.采购代理机构信息</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名称：江苏伟业项目管理有限公司</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地址：建湖县近湖街道秀夫南路1221号</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联系方式：18151383308</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3.项目联系方式</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项目联系人：商先生</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电话：18151383308</w:t>
      </w:r>
      <w:r/>
    </w:p>
    <w:p>
      <w:pPr>
        <w:jc w:val="center"/>
        <w:spacing w:line="480" w:lineRule="exact"/>
        <w:shd w:val="clear" w:color="auto" w:fill="ffffff" w:themeFill="background1"/>
        <w:rPr>
          <w:rFonts w:hint="eastAsia" w:asciiTheme="majorEastAsia" w:hAnsiTheme="majorEastAsia" w:eastAsiaTheme="majorEastAsia" w:cstheme="majorEastAsia"/>
          <w:b/>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highlight w:val="none"/>
          <w14:textFill>
            <w14:solidFill>
              <w14:schemeClr w14:val="tx1"/>
            </w14:solidFill>
          </w14:textFill>
        </w:rPr>
      </w:r>
      <w:r/>
    </w:p>
    <w:p>
      <w:pPr>
        <w:pStyle w:val="747"/>
        <w:shd w:val="clear" w:color="auto" w:fill="ffffff" w:themeFill="background1"/>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pStyle w:val="704"/>
        <w:shd w:val="clear" w:color="auto" w:fill="ffffff" w:themeFill="background1"/>
        <w:rPr>
          <w:color w:val="000000" w:themeColor="text1"/>
          <w:highlight w:val="none"/>
          <w:lang w:val="zh-CN"/>
          <w14:textFill>
            <w14:solidFill>
              <w14:schemeClr w14:val="tx1"/>
            </w14:solidFill>
          </w14:textFill>
        </w:rPr>
      </w:pPr>
      <w:r/>
      <w:bookmarkStart w:id="9" w:name="_Toc30423"/>
      <w:r>
        <w:rPr>
          <w:rFonts w:hint="eastAsia"/>
          <w:color w:val="000000" w:themeColor="text1"/>
          <w:highlight w:val="none"/>
          <w:lang w:val="zh-CN"/>
          <w14:textFill>
            <w14:solidFill>
              <w14:schemeClr w14:val="tx1"/>
            </w14:solidFill>
          </w14:textFill>
        </w:rPr>
        <w:t xml:space="preserve">第二章 投标须知</w:t>
      </w:r>
      <w:bookmarkEnd w:id="9"/>
      <w:r/>
      <w:r/>
    </w:p>
    <w:p>
      <w:pPr>
        <w:pStyle w:val="704"/>
        <w:shd w:val="clear" w:color="auto" w:fill="ffffff" w:themeFill="background1"/>
        <w:rPr>
          <w:color w:val="000000" w:themeColor="text1"/>
          <w:highlight w:val="none"/>
          <w:lang w:val="zh-CN"/>
          <w14:textFill>
            <w14:solidFill>
              <w14:schemeClr w14:val="tx1"/>
            </w14:solidFill>
          </w14:textFill>
        </w:rPr>
      </w:pPr>
      <w:r/>
      <w:bookmarkStart w:id="10" w:name="_Toc29304"/>
      <w:r>
        <w:rPr>
          <w:rFonts w:hint="eastAsia"/>
          <w:color w:val="000000" w:themeColor="text1"/>
          <w:highlight w:val="none"/>
          <w:lang w:val="zh-CN"/>
          <w14:textFill>
            <w14:solidFill>
              <w14:schemeClr w14:val="tx1"/>
            </w14:solidFill>
          </w14:textFill>
        </w:rPr>
        <w:t xml:space="preserve">一、投标须知前附表</w:t>
      </w:r>
      <w:bookmarkEnd w:id="10"/>
      <w:r/>
      <w:r/>
    </w:p>
    <w:tbl>
      <w:tblPr>
        <w:tblStyle w:val="713"/>
        <w:tblW w:w="9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0"/>
        <w:gridCol w:w="2469"/>
        <w:gridCol w:w="2470"/>
        <w:gridCol w:w="2669"/>
      </w:tblGrid>
      <w:tr>
        <w:trPr>
          <w:jc w:val="center"/>
          <w:trHeight w:val="38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项目名称</w:t>
            </w:r>
            <w:r/>
          </w:p>
        </w:tc>
        <w:tc>
          <w:tcPr>
            <w:gridSpan w:val="3"/>
            <w:tcW w:w="7608"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2026年交通信号灯路口智能信控优化系统项目</w:t>
            </w:r>
            <w:r/>
          </w:p>
        </w:tc>
      </w:tr>
      <w:tr>
        <w:trPr>
          <w:jc w:val="center"/>
          <w:trHeight w:val="38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招标需求</w:t>
            </w:r>
            <w:r/>
          </w:p>
        </w:tc>
        <w:tc>
          <w:tcPr>
            <w:gridSpan w:val="3"/>
            <w:tcW w:w="7608"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详见招标公告</w:t>
            </w:r>
            <w:r/>
          </w:p>
        </w:tc>
      </w:tr>
      <w:tr>
        <w:trPr>
          <w:jc w:val="center"/>
          <w:trHeight w:val="38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服务地点</w:t>
            </w:r>
            <w:r/>
          </w:p>
        </w:tc>
        <w:tc>
          <w:tcPr>
            <w:gridSpan w:val="3"/>
            <w:tcW w:w="7608"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采购人指定地点</w:t>
            </w:r>
            <w:r/>
          </w:p>
        </w:tc>
      </w:tr>
      <w:tr>
        <w:trPr>
          <w:jc w:val="center"/>
          <w:trHeight w:val="38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标段划分</w:t>
            </w:r>
            <w:r/>
          </w:p>
        </w:tc>
        <w:tc>
          <w:tcPr>
            <w:gridSpan w:val="3"/>
            <w:tcW w:w="7608"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一个</w:t>
            </w:r>
            <w:r/>
          </w:p>
        </w:tc>
      </w:tr>
      <w:tr>
        <w:trPr>
          <w:jc w:val="center"/>
          <w:trHeight w:val="38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采购单位联系人</w:t>
            </w:r>
            <w:r/>
          </w:p>
        </w:tc>
        <w:tc>
          <w:tcPr>
            <w:tcW w:w="2469"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于先生</w:t>
            </w:r>
            <w:r/>
          </w:p>
        </w:tc>
        <w:tc>
          <w:tcPr>
            <w:tcW w:w="247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联系电话</w:t>
            </w:r>
            <w:r/>
          </w:p>
        </w:tc>
        <w:tc>
          <w:tcPr>
            <w:tcW w:w="2669"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15862028248</w:t>
            </w:r>
            <w:r/>
          </w:p>
        </w:tc>
      </w:tr>
      <w:tr>
        <w:trPr>
          <w:jc w:val="center"/>
          <w:trHeight w:val="38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代理机构联系人</w:t>
            </w:r>
            <w:r/>
          </w:p>
        </w:tc>
        <w:tc>
          <w:tcPr>
            <w:tcW w:w="2469"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商  工</w:t>
            </w:r>
            <w:r/>
          </w:p>
        </w:tc>
        <w:tc>
          <w:tcPr>
            <w:tcW w:w="247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联系电话</w:t>
            </w:r>
            <w:r/>
          </w:p>
        </w:tc>
        <w:tc>
          <w:tcPr>
            <w:tcW w:w="2669"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18151383308</w:t>
            </w:r>
            <w:r/>
          </w:p>
        </w:tc>
      </w:tr>
      <w:tr>
        <w:trPr>
          <w:jc w:val="center"/>
          <w:trHeight w:val="38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投标保证金</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为贯彻落实苏财购[2020]52号文件精神，该项目投标人可免交投标保证金。</w:t>
            </w:r>
            <w:r/>
          </w:p>
        </w:tc>
      </w:tr>
      <w:tr>
        <w:trPr>
          <w:jc w:val="center"/>
          <w:trHeight w:val="818"/>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履约保证金</w:t>
            </w:r>
            <w:r/>
          </w:p>
        </w:tc>
        <w:tc>
          <w:tcPr>
            <w:gridSpan w:val="3"/>
            <w:tcW w:w="7608" w:type="dxa"/>
            <w:vAlign w:val="center"/>
            <w:textDirection w:val="lrTb"/>
            <w:noWrap w:val="false"/>
          </w:tcPr>
          <w:p>
            <w:pPr>
              <w:jc w:val="left"/>
              <w:spacing w:line="320" w:lineRule="exact"/>
              <w:shd w:val="clear" w:color="auto" w:fill="ffffff" w:themeFill="background1"/>
              <w:rPr>
                <w:rFonts w:hint="eastAsia" w:ascii="宋体" w:hAnsi="宋体" w:eastAsia="宋体"/>
                <w:bCs/>
                <w:color w:val="000000" w:themeColor="text1"/>
                <w:sz w:val="16"/>
                <w:szCs w:val="16"/>
                <w:highlight w:val="none"/>
                <w14:textFill>
                  <w14:solidFill>
                    <w14:schemeClr w14:val="tx1"/>
                  </w14:solidFill>
                </w14:textFill>
              </w:rPr>
            </w:pPr>
            <w:r>
              <w:rPr>
                <w:rFonts w:hint="eastAsia" w:ascii="宋体" w:hAnsi="宋体" w:eastAsia="宋体"/>
                <w:bCs/>
                <w:color w:val="000000" w:themeColor="text1"/>
                <w:sz w:val="16"/>
                <w:szCs w:val="16"/>
                <w:highlight w:val="none"/>
                <w14:textFill>
                  <w14:solidFill>
                    <w14:schemeClr w14:val="tx1"/>
                  </w14:solidFill>
                </w14:textFill>
              </w:rPr>
              <w:t xml:space="preserve">中标单位在签订合同时，须向采购人交纳项目中标价5%的履约保证金，在项目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sz w:val="16"/>
                <w:szCs w:val="16"/>
              </w:rPr>
            </w:r>
          </w:p>
        </w:tc>
      </w:tr>
      <w:tr>
        <w:trPr>
          <w:jc w:val="center"/>
          <w:trHeight w:val="402"/>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合同履行期限</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合同签订后30个日历天内供货、安装、调试完成并通过验收。</w:t>
            </w:r>
            <w:r/>
          </w:p>
        </w:tc>
      </w:tr>
      <w:tr>
        <w:trPr>
          <w:jc w:val="center"/>
          <w:trHeight w:val="402"/>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投标有效期</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投标截止日起60天（日历天）</w:t>
            </w:r>
            <w:r/>
          </w:p>
        </w:tc>
      </w:tr>
      <w:tr>
        <w:trPr>
          <w:jc w:val="center"/>
          <w:trHeight w:val="402"/>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质保期</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三年</w:t>
            </w:r>
            <w:r/>
          </w:p>
        </w:tc>
      </w:tr>
      <w:tr>
        <w:trPr>
          <w:jc w:val="center"/>
          <w:trHeight w:val="748" w:hRule="exact"/>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投标文件</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color w:val="000000" w:themeColor="text1"/>
                <w:sz w:val="18"/>
                <w:szCs w:val="18"/>
                <w:highlight w:val="none"/>
                <w14:textFill>
                  <w14:solidFill>
                    <w14:schemeClr w14:val="tx1"/>
                  </w14:solidFill>
                </w14:textFill>
              </w:rPr>
            </w:pPr>
            <w:r>
              <w:rPr>
                <w:rFonts w:hint="eastAsia" w:ascii="宋体" w:hAnsi="宋体" w:eastAsia="宋体"/>
                <w:bCs/>
                <w:color w:val="000000" w:themeColor="text1"/>
                <w:sz w:val="18"/>
                <w:szCs w:val="18"/>
                <w:highlight w:val="none"/>
                <w14:textFill>
                  <w14:solidFill>
                    <w14:schemeClr w14:val="tx1"/>
                  </w14:solidFill>
                </w14:textFill>
              </w:rPr>
              <w:t xml:space="preserve">电子投标文件一份(通过系统提交)，纸质投标文件正本壹份，副本贰份。中标公示结束后由中标人邮寄至江苏伟业项目管理有限公司（建湖县近湖街道秀夫南路1221号）。未中标单位不需要提供。</w:t>
            </w:r>
            <w:r>
              <w:rPr>
                <w:sz w:val="18"/>
                <w:szCs w:val="18"/>
              </w:rPr>
            </w:r>
          </w:p>
        </w:tc>
      </w:tr>
      <w:tr>
        <w:trPr>
          <w:jc w:val="center"/>
          <w:trHeight w:val="353" w:hRule="exact"/>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投标截止时间</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时间：</w:t>
            </w:r>
            <w:r>
              <w:rPr>
                <w:rFonts w:hint="eastAsia" w:ascii="宋体" w:hAnsi="宋体" w:eastAsia="宋体"/>
                <w:bCs/>
                <w:color w:val="000000" w:themeColor="text1"/>
                <w:sz w:val="20"/>
                <w:szCs w:val="20"/>
                <w:highlight w:val="none"/>
                <w:u w:val="single"/>
                <w14:textFill>
                  <w14:solidFill>
                    <w14:schemeClr w14:val="tx1"/>
                  </w14:solidFill>
                </w14:textFill>
              </w:rPr>
              <w:t xml:space="preserve">2026年7月</w:t>
            </w:r>
            <w:r>
              <w:rPr>
                <w:rFonts w:hint="eastAsia" w:ascii="宋体" w:hAnsi="宋体" w:eastAsia="宋体"/>
                <w:bCs/>
                <w:color w:val="000000" w:themeColor="text1"/>
                <w:sz w:val="20"/>
                <w:szCs w:val="20"/>
                <w:highlight w:val="none"/>
                <w:u w:val="single"/>
                <w:lang w:val="en-US" w:eastAsia="zh-CN"/>
                <w14:textFill>
                  <w14:solidFill>
                    <w14:schemeClr w14:val="tx1"/>
                  </w14:solidFill>
                </w14:textFill>
              </w:rPr>
              <w:t xml:space="preserve">30</w:t>
            </w:r>
            <w:r>
              <w:rPr>
                <w:rFonts w:hint="eastAsia" w:ascii="宋体" w:hAnsi="宋体" w:eastAsia="宋体"/>
                <w:bCs/>
                <w:color w:val="000000" w:themeColor="text1"/>
                <w:sz w:val="20"/>
                <w:szCs w:val="20"/>
                <w:highlight w:val="none"/>
                <w:u w:val="single"/>
                <w14:textFill>
                  <w14:solidFill>
                    <w14:schemeClr w14:val="tx1"/>
                  </w14:solidFill>
                </w14:textFill>
              </w:rPr>
              <w:t xml:space="preserve">日</w:t>
            </w:r>
            <w:r>
              <w:rPr>
                <w:rFonts w:hint="eastAsia" w:ascii="宋体" w:hAnsi="宋体" w:eastAsia="宋体"/>
                <w:bCs/>
                <w:color w:val="000000" w:themeColor="text1"/>
                <w:sz w:val="20"/>
                <w:szCs w:val="20"/>
                <w:highlight w:val="none"/>
                <w:u w:val="single"/>
                <w:lang w:val="en-US" w:eastAsia="zh-CN"/>
                <w14:textFill>
                  <w14:solidFill>
                    <w14:schemeClr w14:val="tx1"/>
                  </w14:solidFill>
                </w14:textFill>
              </w:rPr>
              <w:t xml:space="preserve">15</w:t>
            </w:r>
            <w:r>
              <w:rPr>
                <w:rFonts w:hint="eastAsia" w:ascii="宋体" w:hAnsi="宋体" w:eastAsia="宋体"/>
                <w:bCs/>
                <w:color w:val="000000" w:themeColor="text1"/>
                <w:sz w:val="20"/>
                <w:szCs w:val="20"/>
                <w:highlight w:val="none"/>
                <w:u w:val="single"/>
                <w14:textFill>
                  <w14:solidFill>
                    <w14:schemeClr w14:val="tx1"/>
                  </w14:solidFill>
                </w14:textFill>
              </w:rPr>
              <w:t xml:space="preserve">时</w:t>
            </w:r>
            <w:r/>
          </w:p>
        </w:tc>
      </w:tr>
      <w:tr>
        <w:trPr>
          <w:jc w:val="center"/>
          <w:trHeight w:val="696" w:hRule="exact"/>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开标时间及地点</w:t>
            </w:r>
            <w:r/>
          </w:p>
        </w:tc>
        <w:tc>
          <w:tcPr>
            <w:gridSpan w:val="3"/>
            <w:tcW w:w="7608" w:type="dxa"/>
            <w:vAlign w:val="center"/>
            <w:textDirection w:val="lrTb"/>
            <w:noWrap w:val="false"/>
          </w:tcPr>
          <w:p>
            <w:pPr>
              <w:jc w:val="left"/>
              <w:spacing w:line="34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时间：</w:t>
            </w:r>
            <w:r>
              <w:rPr>
                <w:rFonts w:hint="eastAsia" w:ascii="宋体" w:hAnsi="宋体" w:eastAsia="宋体"/>
                <w:bCs/>
                <w:color w:val="000000" w:themeColor="text1"/>
                <w:sz w:val="20"/>
                <w:szCs w:val="20"/>
                <w:highlight w:val="none"/>
                <w:u w:val="single"/>
                <w14:textFill>
                  <w14:solidFill>
                    <w14:schemeClr w14:val="tx1"/>
                  </w14:solidFill>
                </w14:textFill>
              </w:rPr>
              <w:t xml:space="preserve">2026年7月</w:t>
            </w:r>
            <w:r>
              <w:rPr>
                <w:rFonts w:hint="eastAsia" w:ascii="宋体" w:hAnsi="宋体" w:eastAsia="宋体"/>
                <w:bCs/>
                <w:color w:val="000000" w:themeColor="text1"/>
                <w:sz w:val="20"/>
                <w:szCs w:val="20"/>
                <w:highlight w:val="none"/>
                <w:u w:val="single"/>
                <w:lang w:val="en-US" w:eastAsia="zh-CN"/>
                <w14:textFill>
                  <w14:solidFill>
                    <w14:schemeClr w14:val="tx1"/>
                  </w14:solidFill>
                </w14:textFill>
              </w:rPr>
              <w:t xml:space="preserve">30</w:t>
            </w:r>
            <w:r>
              <w:rPr>
                <w:rFonts w:hint="eastAsia" w:ascii="宋体" w:hAnsi="宋体" w:eastAsia="宋体"/>
                <w:bCs/>
                <w:color w:val="000000" w:themeColor="text1"/>
                <w:sz w:val="20"/>
                <w:szCs w:val="20"/>
                <w:highlight w:val="none"/>
                <w:u w:val="single"/>
                <w14:textFill>
                  <w14:solidFill>
                    <w14:schemeClr w14:val="tx1"/>
                  </w14:solidFill>
                </w14:textFill>
              </w:rPr>
              <w:t xml:space="preserve">日</w:t>
            </w:r>
            <w:r>
              <w:rPr>
                <w:rFonts w:hint="eastAsia" w:ascii="宋体" w:hAnsi="宋体" w:eastAsia="宋体"/>
                <w:bCs/>
                <w:color w:val="000000" w:themeColor="text1"/>
                <w:sz w:val="20"/>
                <w:szCs w:val="20"/>
                <w:highlight w:val="none"/>
                <w:u w:val="single"/>
                <w:lang w:val="en-US" w:eastAsia="zh-CN"/>
                <w14:textFill>
                  <w14:solidFill>
                    <w14:schemeClr w14:val="tx1"/>
                  </w14:solidFill>
                </w14:textFill>
              </w:rPr>
              <w:t xml:space="preserve">15</w:t>
            </w:r>
            <w:r>
              <w:rPr>
                <w:rFonts w:hint="eastAsia" w:ascii="宋体" w:hAnsi="宋体" w:eastAsia="宋体"/>
                <w:bCs/>
                <w:color w:val="000000" w:themeColor="text1"/>
                <w:sz w:val="20"/>
                <w:szCs w:val="20"/>
                <w:highlight w:val="none"/>
                <w:u w:val="single"/>
                <w14:textFill>
                  <w14:solidFill>
                    <w14:schemeClr w14:val="tx1"/>
                  </w14:solidFill>
                </w14:textFill>
              </w:rPr>
              <w:t xml:space="preserve">时</w:t>
            </w:r>
            <w:r/>
          </w:p>
          <w:p>
            <w:pPr>
              <w:jc w:val="left"/>
              <w:spacing w:line="34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地点：</w:t>
            </w:r>
            <w:r>
              <w:rPr>
                <w:rFonts w:hint="eastAsia" w:ascii="宋体" w:hAnsi="宋体" w:eastAsia="宋体"/>
                <w:bCs/>
                <w:color w:val="000000" w:themeColor="text1"/>
                <w:sz w:val="20"/>
                <w:szCs w:val="20"/>
                <w:highlight w:val="none"/>
                <w:u w:val="single"/>
                <w14:textFill>
                  <w14:solidFill>
                    <w14:schemeClr w14:val="tx1"/>
                  </w14:solidFill>
                </w14:textFill>
              </w:rPr>
              <w:t xml:space="preserve">建湖县不见面开标厅</w:t>
            </w:r>
            <w:r/>
          </w:p>
        </w:tc>
      </w:tr>
      <w:tr>
        <w:trPr>
          <w:jc w:val="center"/>
          <w:trHeight w:val="36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预算金额</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110万元，投标报价高于预算价的作无效标论处</w:t>
            </w:r>
            <w:r/>
          </w:p>
        </w:tc>
      </w:tr>
      <w:tr>
        <w:trPr>
          <w:jc w:val="center"/>
          <w:trHeight w:val="36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资格审查</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资格后审</w:t>
            </w:r>
            <w:r/>
          </w:p>
        </w:tc>
      </w:tr>
      <w:tr>
        <w:trPr>
          <w:jc w:val="center"/>
          <w:trHeight w:val="211"/>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评标办法</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综合评分法</w:t>
            </w:r>
            <w:r/>
          </w:p>
        </w:tc>
      </w:tr>
      <w:tr>
        <w:trPr>
          <w:jc w:val="center"/>
          <w:trHeight w:val="417"/>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质疑受理部门</w:t>
            </w:r>
            <w:r/>
          </w:p>
        </w:tc>
        <w:tc>
          <w:tcPr>
            <w:gridSpan w:val="3"/>
            <w:tcW w:w="7608" w:type="dxa"/>
            <w:vAlign w:val="center"/>
            <w:textDirection w:val="lrTb"/>
            <w:noWrap w:val="false"/>
          </w:tcPr>
          <w:p>
            <w:pPr>
              <w:jc w:val="left"/>
              <w:spacing w:line="320" w:lineRule="exact"/>
              <w:shd w:val="clear" w:color="auto" w:fill="ffffff" w:themeFill="background1"/>
              <w:rPr>
                <w:rFonts w:hint="eastAsia" w:ascii="宋体" w:hAnsi="宋体" w:eastAsia="宋体"/>
                <w:bCs/>
                <w:color w:val="000000" w:themeColor="text1"/>
                <w:sz w:val="18"/>
                <w:szCs w:val="18"/>
                <w:highlight w:val="none"/>
                <w14:textFill>
                  <w14:solidFill>
                    <w14:schemeClr w14:val="tx1"/>
                  </w14:solidFill>
                </w14:textFill>
              </w:rPr>
            </w:pPr>
            <w:r>
              <w:rPr>
                <w:rFonts w:hint="eastAsia" w:ascii="宋体" w:hAnsi="宋体" w:eastAsia="宋体"/>
                <w:bCs/>
                <w:color w:val="000000" w:themeColor="text1"/>
                <w:sz w:val="18"/>
                <w:szCs w:val="18"/>
                <w:highlight w:val="none"/>
                <w14:textFill>
                  <w14:solidFill>
                    <w14:schemeClr w14:val="tx1"/>
                  </w14:solidFill>
                </w14:textFill>
              </w:rPr>
              <w:t xml:space="preserve">联系部门：建湖县公安局/江苏伟业项目管理有限公司</w:t>
            </w:r>
            <w:r>
              <w:rPr>
                <w:sz w:val="18"/>
                <w:szCs w:val="18"/>
              </w:rPr>
            </w:r>
          </w:p>
          <w:p>
            <w:pPr>
              <w:jc w:val="left"/>
              <w:spacing w:line="320" w:lineRule="exact"/>
              <w:shd w:val="clear" w:color="auto" w:fill="ffffff" w:themeFill="background1"/>
              <w:rPr>
                <w:rFonts w:hint="eastAsia" w:ascii="宋体" w:hAnsi="宋体" w:eastAsia="宋体"/>
                <w:bCs/>
                <w:color w:val="000000" w:themeColor="text1"/>
                <w:sz w:val="18"/>
                <w:szCs w:val="18"/>
                <w:highlight w:val="none"/>
                <w14:textFill>
                  <w14:solidFill>
                    <w14:schemeClr w14:val="tx1"/>
                  </w14:solidFill>
                </w14:textFill>
              </w:rPr>
            </w:pPr>
            <w:r>
              <w:rPr>
                <w:rFonts w:hint="eastAsia" w:ascii="宋体" w:hAnsi="宋体" w:eastAsia="宋体"/>
                <w:bCs/>
                <w:color w:val="000000" w:themeColor="text1"/>
                <w:sz w:val="18"/>
                <w:szCs w:val="18"/>
                <w:highlight w:val="none"/>
                <w14:textFill>
                  <w14:solidFill>
                    <w14:schemeClr w14:val="tx1"/>
                  </w14:solidFill>
                </w14:textFill>
              </w:rPr>
              <w:t xml:space="preserve">联系电话：15862028248/18151383308</w:t>
            </w:r>
            <w:r>
              <w:rPr>
                <w:sz w:val="18"/>
                <w:szCs w:val="18"/>
              </w:rPr>
            </w:r>
          </w:p>
          <w:p>
            <w:pPr>
              <w:jc w:val="left"/>
              <w:spacing w:line="320" w:lineRule="exact"/>
              <w:shd w:val="clear" w:color="auto" w:fill="ffffff" w:themeFill="background1"/>
              <w:rPr>
                <w:rFonts w:hint="eastAsia" w:ascii="宋体" w:hAnsi="宋体" w:eastAsia="宋体"/>
                <w:bCs/>
                <w:color w:val="000000" w:themeColor="text1"/>
                <w:sz w:val="18"/>
                <w:szCs w:val="18"/>
                <w:highlight w:val="none"/>
                <w14:textFill>
                  <w14:solidFill>
                    <w14:schemeClr w14:val="tx1"/>
                  </w14:solidFill>
                </w14:textFill>
              </w:rPr>
            </w:pPr>
            <w:r>
              <w:rPr>
                <w:rFonts w:hint="eastAsia" w:ascii="宋体" w:hAnsi="宋体" w:eastAsia="宋体"/>
                <w:bCs/>
                <w:color w:val="000000" w:themeColor="text1"/>
                <w:sz w:val="18"/>
                <w:szCs w:val="18"/>
                <w:highlight w:val="none"/>
                <w14:textFill>
                  <w14:solidFill>
                    <w14:schemeClr w14:val="tx1"/>
                  </w14:solidFill>
                </w14:textFill>
              </w:rPr>
              <w:t xml:space="preserve">通讯地址：建湖县公安路1号/建湖县近湖街道秀夫南路1221号</w:t>
            </w:r>
            <w:r>
              <w:rPr>
                <w:sz w:val="18"/>
                <w:szCs w:val="18"/>
              </w:rPr>
            </w:r>
          </w:p>
        </w:tc>
      </w:tr>
      <w:tr>
        <w:trPr>
          <w:jc w:val="center"/>
          <w:trHeight w:val="434"/>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投诉受理部门</w:t>
            </w:r>
            <w:r/>
          </w:p>
        </w:tc>
        <w:tc>
          <w:tcPr>
            <w:gridSpan w:val="3"/>
            <w:tcW w:w="7608" w:type="dxa"/>
            <w:vAlign w:val="center"/>
            <w:textDirection w:val="lrTb"/>
            <w:noWrap w:val="false"/>
          </w:tcPr>
          <w:p>
            <w:pPr>
              <w:jc w:val="left"/>
              <w:spacing w:line="320" w:lineRule="exact"/>
              <w:shd w:val="clear" w:color="auto" w:fill="ffffff" w:themeFill="background1"/>
              <w:rPr>
                <w:rFonts w:hint="eastAsia" w:ascii="宋体" w:hAnsi="宋体" w:eastAsia="宋体"/>
                <w:bCs/>
                <w:color w:val="000000" w:themeColor="text1"/>
                <w:sz w:val="18"/>
                <w:szCs w:val="18"/>
                <w:highlight w:val="none"/>
                <w14:textFill>
                  <w14:solidFill>
                    <w14:schemeClr w14:val="tx1"/>
                  </w14:solidFill>
                </w14:textFill>
              </w:rPr>
            </w:pPr>
            <w:r>
              <w:rPr>
                <w:rFonts w:hint="eastAsia" w:ascii="宋体" w:hAnsi="宋体" w:eastAsia="宋体"/>
                <w:bCs/>
                <w:color w:val="000000" w:themeColor="text1"/>
                <w:sz w:val="18"/>
                <w:szCs w:val="18"/>
                <w:highlight w:val="none"/>
                <w14:textFill>
                  <w14:solidFill>
                    <w14:schemeClr w14:val="tx1"/>
                  </w14:solidFill>
                </w14:textFill>
              </w:rPr>
              <w:t xml:space="preserve">联系部门：建湖县财政局</w:t>
            </w:r>
            <w:r>
              <w:rPr>
                <w:sz w:val="18"/>
                <w:szCs w:val="18"/>
              </w:rPr>
            </w:r>
          </w:p>
          <w:p>
            <w:pPr>
              <w:jc w:val="left"/>
              <w:spacing w:line="320" w:lineRule="exact"/>
              <w:shd w:val="clear" w:color="auto" w:fill="ffffff" w:themeFill="background1"/>
              <w:rPr>
                <w:rFonts w:hint="eastAsia" w:ascii="宋体" w:hAnsi="宋体" w:eastAsia="宋体"/>
                <w:bCs/>
                <w:color w:val="000000" w:themeColor="text1"/>
                <w:sz w:val="18"/>
                <w:szCs w:val="18"/>
                <w:highlight w:val="none"/>
                <w14:textFill>
                  <w14:solidFill>
                    <w14:schemeClr w14:val="tx1"/>
                  </w14:solidFill>
                </w14:textFill>
              </w:rPr>
            </w:pPr>
            <w:r>
              <w:rPr>
                <w:rFonts w:hint="eastAsia" w:ascii="宋体" w:hAnsi="宋体" w:eastAsia="宋体"/>
                <w:bCs/>
                <w:color w:val="000000" w:themeColor="text1"/>
                <w:sz w:val="18"/>
                <w:szCs w:val="18"/>
                <w:highlight w:val="none"/>
                <w14:textFill>
                  <w14:solidFill>
                    <w14:schemeClr w14:val="tx1"/>
                  </w14:solidFill>
                </w14:textFill>
              </w:rPr>
              <w:t xml:space="preserve">通讯地址：建湖县双湖路建设大厦</w:t>
            </w:r>
            <w:r>
              <w:rPr>
                <w:sz w:val="18"/>
                <w:szCs w:val="18"/>
              </w:rPr>
            </w:r>
          </w:p>
          <w:p>
            <w:pPr>
              <w:jc w:val="left"/>
              <w:spacing w:line="320" w:lineRule="exact"/>
              <w:shd w:val="clear" w:color="auto" w:fill="ffffff" w:themeFill="background1"/>
              <w:rPr>
                <w:rFonts w:hint="eastAsia" w:ascii="宋体" w:hAnsi="宋体" w:eastAsia="宋体"/>
                <w:bCs/>
                <w:color w:val="000000" w:themeColor="text1"/>
                <w:sz w:val="18"/>
                <w:szCs w:val="18"/>
                <w:highlight w:val="none"/>
                <w14:textFill>
                  <w14:solidFill>
                    <w14:schemeClr w14:val="tx1"/>
                  </w14:solidFill>
                </w14:textFill>
              </w:rPr>
            </w:pPr>
            <w:r>
              <w:rPr>
                <w:rFonts w:hint="eastAsia" w:ascii="宋体" w:hAnsi="宋体" w:eastAsia="宋体"/>
                <w:bCs/>
                <w:color w:val="000000" w:themeColor="text1"/>
                <w:sz w:val="18"/>
                <w:szCs w:val="18"/>
                <w:highlight w:val="none"/>
                <w14:textFill>
                  <w14:solidFill>
                    <w14:schemeClr w14:val="tx1"/>
                  </w14:solidFill>
                </w14:textFill>
              </w:rPr>
              <w:t xml:space="preserve">联系方式：0515-86233622</w:t>
            </w:r>
            <w:r>
              <w:rPr>
                <w:sz w:val="18"/>
                <w:szCs w:val="18"/>
              </w:rPr>
            </w:r>
          </w:p>
        </w:tc>
      </w:tr>
      <w:tr>
        <w:trPr>
          <w:jc w:val="center"/>
          <w:trHeight w:val="352"/>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软件技术支持</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color w:val="000000" w:themeColor="text1"/>
                <w:sz w:val="18"/>
                <w:szCs w:val="18"/>
                <w:highlight w:val="none"/>
                <w14:textFill>
                  <w14:solidFill>
                    <w14:schemeClr w14:val="tx1"/>
                  </w14:solidFill>
                </w14:textFill>
              </w:rPr>
            </w:pPr>
            <w:r>
              <w:rPr>
                <w:rFonts w:hint="eastAsia" w:ascii="宋体" w:hAnsi="宋体" w:eastAsia="宋体"/>
                <w:bCs/>
                <w:color w:val="000000" w:themeColor="text1"/>
                <w:sz w:val="18"/>
                <w:szCs w:val="18"/>
                <w:highlight w:val="none"/>
                <w14:textFill>
                  <w14:solidFill>
                    <w14:schemeClr w14:val="tx1"/>
                  </w14:solidFill>
                </w14:textFill>
              </w:rPr>
              <w:t xml:space="preserve">联系方式：0519-86722805</w:t>
            </w:r>
            <w:r>
              <w:rPr>
                <w:sz w:val="18"/>
                <w:szCs w:val="18"/>
              </w:rPr>
            </w:r>
          </w:p>
        </w:tc>
      </w:tr>
      <w:tr>
        <w:trPr>
          <w:jc w:val="center"/>
          <w:trHeight w:val="567"/>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其他要求</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color w:val="000000" w:themeColor="text1"/>
                <w:sz w:val="18"/>
                <w:szCs w:val="18"/>
                <w:highlight w:val="none"/>
                <w14:textFill>
                  <w14:solidFill>
                    <w14:schemeClr w14:val="tx1"/>
                  </w14:solidFill>
                </w14:textFill>
              </w:rPr>
            </w:pPr>
            <w:r>
              <w:rPr>
                <w:rFonts w:hint="eastAsia" w:ascii="宋体" w:hAnsi="宋体" w:eastAsia="宋体"/>
                <w:bCs/>
                <w:color w:val="000000" w:themeColor="text1"/>
                <w:sz w:val="18"/>
                <w:szCs w:val="18"/>
                <w:highlight w:val="none"/>
                <w14:textFill>
                  <w14:solidFill>
                    <w14:schemeClr w14:val="tx1"/>
                  </w14:solidFill>
                </w14:textFill>
              </w:rPr>
              <w:t xml:space="preserve">投标人如在投标过程中提供虚假材料谋取中标成交的或采取不正当手段诋毁、排挤其他供应商的，列入不良行为记录名单。</w:t>
            </w:r>
            <w:r>
              <w:rPr>
                <w:sz w:val="18"/>
                <w:szCs w:val="18"/>
              </w:rPr>
            </w:r>
          </w:p>
        </w:tc>
      </w:tr>
      <w:tr>
        <w:trPr>
          <w:jc w:val="center"/>
          <w:trHeight w:val="416"/>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解释权</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color w:val="000000" w:themeColor="text1"/>
                <w:sz w:val="20"/>
                <w:szCs w:val="20"/>
                <w:highlight w:val="none"/>
                <w14:textFill>
                  <w14:solidFill>
                    <w14:schemeClr w14:val="tx1"/>
                  </w14:solidFill>
                </w14:textFill>
              </w:rPr>
            </w:pPr>
            <w:r>
              <w:rPr>
                <w:rFonts w:hint="eastAsia" w:ascii="宋体" w:hAnsi="宋体" w:eastAsia="宋体"/>
                <w:bCs/>
                <w:color w:val="000000" w:themeColor="text1"/>
                <w:sz w:val="20"/>
                <w:szCs w:val="20"/>
                <w:highlight w:val="none"/>
                <w14:textFill>
                  <w14:solidFill>
                    <w14:schemeClr w14:val="tx1"/>
                  </w14:solidFill>
                </w14:textFill>
              </w:rPr>
              <w:t xml:space="preserve">本招标文件的最终解释权归采购人所有。</w:t>
            </w:r>
            <w:r/>
          </w:p>
        </w:tc>
      </w:tr>
    </w:tbl>
    <w:p>
      <w:pPr>
        <w:pStyle w:val="704"/>
        <w:shd w:val="clear" w:color="auto" w:fill="ffffff" w:themeFill="background1"/>
        <w:rPr>
          <w:color w:val="000000" w:themeColor="text1"/>
          <w:highlight w:val="none"/>
          <w:lang w:val="zh-CN"/>
          <w14:textFill>
            <w14:solidFill>
              <w14:schemeClr w14:val="tx1"/>
            </w14:solidFill>
          </w14:textFill>
        </w:rPr>
      </w:pPr>
      <w:r/>
      <w:bookmarkStart w:id="11" w:name="_Toc19390"/>
      <w:r/>
      <w:bookmarkStart w:id="12" w:name="_Toc23578"/>
      <w:r>
        <w:rPr>
          <w:rFonts w:hint="eastAsia"/>
          <w:color w:val="000000" w:themeColor="text1"/>
          <w:highlight w:val="none"/>
          <w:lang w:val="zh-CN"/>
          <w14:textFill>
            <w14:solidFill>
              <w14:schemeClr w14:val="tx1"/>
            </w14:solidFill>
          </w14:textFill>
        </w:rPr>
        <w:t xml:space="preserve">二、总  则</w:t>
      </w:r>
      <w:bookmarkEnd w:id="11"/>
      <w:r/>
      <w:bookmarkEnd w:id="12"/>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 适用范围</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1.1 本次项目仅适用于招标文件中所叙述项目的货物采购。</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 定义</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2.1 “采购人”、“采购单位”系指本次采购项目的业主方。</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2.2 “采购代理机构”系指本次招标采购项目活动组织方。</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2.3 “投标人”系指获取了本招标文件，且已经提交或者准备提交本次投标文件的制造商或供货商。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2.4“投标文件有效期”系指投标截止日起60天（日历天）；</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2.5 不可抗力：不可预见、不能避免并且不能克服的客观情况。</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3. 申请人的资格要求：详见招标公告。</w:t>
      </w:r>
      <w:r/>
    </w:p>
    <w:p>
      <w:pPr>
        <w:pStyle w:val="704"/>
        <w:shd w:val="clear" w:color="auto" w:fill="ffffff" w:themeFill="background1"/>
        <w:rPr>
          <w:color w:val="000000" w:themeColor="text1"/>
          <w:highlight w:val="none"/>
          <w:lang w:val="zh-CN"/>
          <w14:textFill>
            <w14:solidFill>
              <w14:schemeClr w14:val="tx1"/>
            </w14:solidFill>
          </w14:textFill>
        </w:rPr>
      </w:pPr>
      <w:r/>
      <w:bookmarkStart w:id="13" w:name="_Toc7424"/>
      <w:r/>
      <w:bookmarkStart w:id="14" w:name="_Toc19984"/>
      <w:r>
        <w:rPr>
          <w:rFonts w:hint="eastAsia"/>
          <w:color w:val="000000" w:themeColor="text1"/>
          <w:highlight w:val="none"/>
          <w:lang w:val="zh-CN"/>
          <w14:textFill>
            <w14:solidFill>
              <w14:schemeClr w14:val="tx1"/>
            </w14:solidFill>
          </w14:textFill>
        </w:rPr>
        <w:t xml:space="preserve">三、招标文件</w:t>
      </w:r>
      <w:bookmarkEnd w:id="13"/>
      <w:r/>
      <w:bookmarkEnd w:id="14"/>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4．招标文件的构成</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4.1招标文件用以阐明招标项目所需的资质、技术、服务及报价等要求、招标投标程序、有关规定和注意事项以及合同主要条款等。本招标文件包括以下内容：</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4.1.1招标公告；</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4.1.2投标人须知；</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4.1.3招标内容及要求；</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4.1.4评标办法及评分标准；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4.1.5合同主要条款；</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4.1.6投标文件格式。</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4.3 勘察现场</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4.3.2 无论投标人踏勘与否，都将被视为熟悉履行该项目有关的一切情况，并承担一切与投标有关的风险、责任和义务。</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4.3.3 现场踏勘由各投标人自行实施，采购人不统一组织现场踏勘。</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5．招标文件的澄清、修改及补充：</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5.1投标人在收到招标文件后，如有疑问需要澄清，应以规定的时间和方式（2026年7月13日18:00前）向采购人或代理机构提出，如在规定期限内未递交疑问或未按规定提交投标疑问的，则视为该投标人无疑问。</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5.3 标书以外的内容，一律拒绝答复。</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5.5 本采购文件的最终解释权归采购单位所有。</w:t>
      </w:r>
      <w:r/>
    </w:p>
    <w:p>
      <w:pPr>
        <w:pStyle w:val="704"/>
        <w:shd w:val="clear" w:color="auto" w:fill="ffffff" w:themeFill="background1"/>
        <w:rPr>
          <w:color w:val="000000" w:themeColor="text1"/>
          <w:highlight w:val="none"/>
          <w:lang w:val="zh-CN"/>
          <w14:textFill>
            <w14:solidFill>
              <w14:schemeClr w14:val="tx1"/>
            </w14:solidFill>
          </w14:textFill>
        </w:rPr>
      </w:pPr>
      <w:r/>
      <w:bookmarkStart w:id="15" w:name="_Toc24136"/>
      <w:r/>
      <w:bookmarkStart w:id="16" w:name="_Toc16698"/>
      <w:r>
        <w:rPr>
          <w:rFonts w:hint="eastAsia"/>
          <w:color w:val="000000" w:themeColor="text1"/>
          <w:highlight w:val="none"/>
          <w:lang w:val="zh-CN"/>
          <w14:textFill>
            <w14:solidFill>
              <w14:schemeClr w14:val="tx1"/>
            </w14:solidFill>
          </w14:textFill>
        </w:rPr>
        <w:t xml:space="preserve">四、投标文件</w:t>
      </w:r>
      <w:bookmarkEnd w:id="15"/>
      <w:r/>
      <w:bookmarkEnd w:id="16"/>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6．投标文件的编制</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6.1要求</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6.1.2无论投标过程中的做法和结果如何，投标人自行承担所有与参加投标有关的全部费用。</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6.2投标语言及计量单位  </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6.2.1投标文件以及投标人与采购单位就有关投标事宜的所有来往函电均应使用简体中文书写。</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6.2.2关于投标计量单位，招标文件已有明确规定的，使用招标文件规定的计量单位；招标文件没有规定的，应采用中华人民共和国法定计量单位。</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6.2.4翻译的中文文件与外文文件如果出现差异和矛盾时，以中文为准。但不能故意错误翻译，否则，投标人的投标文件将作为无效投标处理。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6.3电子投标文件其他要求</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6.3.1</w:t>
      </w:r>
      <w:r>
        <w:rPr>
          <w:rFonts w:hint="eastAsia" w:asciiTheme="majorEastAsia" w:hAnsiTheme="majorEastAsia" w:eastAsiaTheme="majorEastAsia" w:cstheme="majorEastAsia"/>
          <w:bCs/>
          <w:color w:val="000000" w:themeColor="text1"/>
          <w:spacing w:val="-6"/>
          <w:sz w:val="24"/>
          <w:highlight w:val="none"/>
          <w14:textFill>
            <w14:solidFill>
              <w14:schemeClr w14:val="tx1"/>
            </w14:solidFill>
          </w14:textFill>
        </w:rPr>
        <w:t xml:space="preserve">电子招标投标交易平台（即“苏采云”系统）相关要求是本招标文件的组成部分</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6.3.2投标人应对CA证书妥善保管，如被他人盗用投标，因此带来的结果均由投标人自行承担。</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6.3.3投标人应当对招标文件提出的实质性要求和条件作出实质性响应，并在电子投标系统逐条应答。</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7．为贯彻落实苏财购[2020]52号文件精神，该项目投标人可免交投标保证金。</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8. 投标报价：</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8.1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8.2本项目预算金额为110万元，高于该预算金额的作无效标论处。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8.3 投标报价</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8.3.1</w:t>
      </w:r>
      <w:r>
        <w:rPr>
          <w:rFonts w:hint="eastAsia" w:asciiTheme="majorEastAsia" w:hAnsiTheme="majorEastAsia" w:eastAsiaTheme="majorEastAsia" w:cstheme="majorEastAsia"/>
          <w:bCs/>
          <w:color w:val="000000" w:themeColor="text1"/>
          <w:spacing w:val="-6"/>
          <w:sz w:val="24"/>
          <w:highlight w:val="none"/>
          <w14:textFill>
            <w14:solidFill>
              <w14:schemeClr w14:val="tx1"/>
            </w14:solidFill>
          </w14:textFill>
        </w:rPr>
        <w:t xml:space="preserve">投标报价应是招标范围内全部工作内容的价格体现，报价应包括设备的供货、运输、安装、辅材、人工、材料、机械、管理、运杂、调试、验收、技术服务等其它相关费用、规费、税金、备品备件、伴随服务、招标代理服务费、人员培训费等所有费用，对投标人认为未考虑到的费用项目招标单位将不予支付，并认为此项费用已包含在投标报价中</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8.3.2 开标一览表、投标价格表的报价一律用人民币（单位：元）填报。</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8.4 招标代理服务费：经研究决定，如中标人响应成交，领取中标通知书签订合同后向招标代理机构交纳招标代理服务费，费用按中标价的0.38%收取（通过数字人民币方式交款）。该费用由中标单位在领取中标通知书并签订合同后一次性支付，此项费用含在投标报价中，不单独列项，由投标单位在报价时综合考虑。</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8.5投标人在投标文件中应按照本招标文件所附的投标报价单样式进行报价，并计算总价。报价表必须由法定代表人或委托代理人签署。</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9．线上投标文件编制要求，请按照以下要求（包括但不限于以下要求）制作：</w:t>
      </w:r>
      <w:r/>
    </w:p>
    <w:p>
      <w:pPr>
        <w:ind w:firstLine="476"/>
        <w:spacing w:line="480" w:lineRule="exact"/>
        <w:shd w:val="clear" w:color="auto" w:fill="ffffff" w:themeFill="background1"/>
        <w:rPr>
          <w:rFonts w:hint="eastAsia" w:asciiTheme="majorEastAsia" w:hAnsiTheme="majorEastAsia" w:eastAsiaTheme="majorEastAsia" w:cstheme="majorEastAsia"/>
          <w:b/>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highlight w:val="none"/>
          <w14:textFill>
            <w14:solidFill>
              <w14:schemeClr w14:val="tx1"/>
            </w14:solidFill>
          </w14:textFill>
        </w:rPr>
        <w:t xml:space="preserve">9.1基本目录</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（1）《开标一览表》（加盖电子签章，政府采购客户端工具输入报价自动生成）；</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（2）《法定代表人身份证明书》及《授权委托书》（加盖电子签章，格式见招标文件第六章《投标文件相关格式》）。</w:t>
      </w:r>
      <w:r/>
    </w:p>
    <w:p>
      <w:pPr>
        <w:ind w:firstLine="476"/>
        <w:spacing w:line="480" w:lineRule="exact"/>
        <w:shd w:val="clear" w:color="auto" w:fill="ffffff" w:themeFill="background1"/>
        <w:rPr>
          <w:rFonts w:hint="eastAsia" w:asciiTheme="majorEastAsia" w:hAnsiTheme="majorEastAsia" w:eastAsiaTheme="majorEastAsia" w:cstheme="majorEastAsia"/>
          <w:b/>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highlight w:val="none"/>
          <w14:textFill>
            <w14:solidFill>
              <w14:schemeClr w14:val="tx1"/>
            </w14:solidFill>
          </w14:textFill>
        </w:rPr>
        <w:t xml:space="preserve">9.2资格条件</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（1）有效的营业执照原件扫描件；</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（2）上一年度的财务状况报表（至少提供资产负债表、利润表、现金流量表，投标人成立不满一年无需提供）；</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3）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（4）具有履行合同所需的设备和专业技术能力的书面声明原件扫描件；</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（5）无重大违法记录声明函原件扫描件。</w:t>
      </w:r>
      <w:r/>
    </w:p>
    <w:p>
      <w:pPr>
        <w:ind w:firstLine="476"/>
        <w:spacing w:line="480" w:lineRule="exact"/>
        <w:shd w:val="clear" w:color="auto" w:fill="ffffff" w:themeFill="background1"/>
        <w:rPr>
          <w:rFonts w:hint="eastAsia" w:asciiTheme="majorEastAsia" w:hAnsiTheme="majorEastAsia" w:eastAsiaTheme="majorEastAsia" w:cstheme="majorEastAsia"/>
          <w:b/>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highlight w:val="none"/>
          <w14:textFill>
            <w14:solidFill>
              <w14:schemeClr w14:val="tx1"/>
            </w14:solidFill>
          </w14:textFill>
        </w:rPr>
        <w:t xml:space="preserve">上述（1）-（5）必须提供，且须加盖电子签章，否则投标无效。</w:t>
      </w:r>
      <w:r/>
    </w:p>
    <w:p>
      <w:pPr>
        <w:ind w:firstLine="476"/>
        <w:spacing w:line="480" w:lineRule="exact"/>
        <w:shd w:val="clear" w:color="auto" w:fill="ffffff" w:themeFill="background1"/>
        <w:rPr>
          <w:rFonts w:hint="eastAsia" w:asciiTheme="majorEastAsia" w:hAnsiTheme="majorEastAsia" w:eastAsiaTheme="majorEastAsia" w:cstheme="majorEastAsia"/>
          <w:b/>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highlight w:val="none"/>
          <w14:textFill>
            <w14:solidFill>
              <w14:schemeClr w14:val="tx1"/>
            </w14:solidFill>
          </w14:textFill>
        </w:rPr>
        <w:t xml:space="preserve">9.3符合条件</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（1）报价：①投标函；②清单报价表。</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（2）商务资信：①供应商登记表；②服务承诺函；③公共资源交易投标信用承诺书；④建湖县政府采购事前信用承诺书；⑤法定代表人身份证明书及授权委托书。</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（3）技术响应：技术要求响应及偏离表。</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4"/>
          <w:highlight w:val="none"/>
          <w14:textFill>
            <w14:solidFill>
              <w14:schemeClr w14:val="tx1"/>
            </w14:solidFill>
          </w14:textFill>
        </w:rPr>
        <w:t xml:space="preserve">上述（1）-（3）符合条件要求内容必须提供，且须加盖电子签章，格式见招标文件第六章《投标文件相关格式》，否则投标无效。</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9.4企业报价折扣证明</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（1）投标人为中小企业（含中型、小型、微型企业，下同）的，提供《中小企业声明函》（加盖电子签章，填写完整，格式见招标文件第六章《投标文件相关格式》）。</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（2）关于符合本国产品标准的声明函，提供《关于符合本国产品标准的声明函》（加盖电子签章，填写完整，格式见招标文件第六章《投标文件相关格式》）</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（3）投标人为监狱企业的等同于小微企业，提供省级以上监狱管理局、戒毒管理局（含新疆生产建设兵团）出具的属于监狱企业的证明文件。</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（4）投标人为享受政府采购支持政策的残疾人福利性单位的等同于小微企业，提供《残疾人福利性单位声明函》（加盖电子签章，格式见招标文件第六章《投标文件相关格式》）。</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9.5招标文件要求的其它证明资料和评标细则要求提供证明材料原件或复印件。</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注：1.投标人应对以上文件的合法性、真实性负责，投标人提供的材料如有虚假，视为提供虚假材料谋取中标资格，将被列入不良行为记录名单。</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10．投标文件线上格式要求</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10.1投标人应当通过“苏采云”系统提交数据电文形式的投标文件（即电子投标）。</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10.2 通过“苏采云”系统提交政府采购客户端工具导出加密的投标文件（后缀名为zip）。投标文件不得超过150M！</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10.3 本项目采用线上投标，即供应商投标文件从政府采购客户端工具制作通过“苏采云”系统提交，未提供线上投标文件的，投标无效。</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11．线上投标文件的密封、签署、盖章要求</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11.1投标文件的密封（加密）要求：</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11.2投标文件的签署要求：见招标文件第六章《投标文件相关格式》。</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11.3投标文件的盖章要求：见招标文件第二章《线上投标文件编制要求》和招标文件第六章《投标文件相关格式》。投标人须通过“苏采云”系统提供的政府采购客户端工具（使用“CA数字证书”）加盖电子签章。</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说明：投标人应在用CA数字证书以及自备的能够登录“苏采云”系统的笔记本电脑，在达到开标时间后，使用CA数字证书解密各自投标文件。</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11.4投标人未按规定加密的投标文件，“苏采云”系统应当拒收并提示。</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12. 投标文件的提交与接收</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12.1 投标文件提交与接收时间：</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线上提交与接收时间：提交投标文件截止时间前。</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12.2投标文件提交与接收地点：</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线上提交与接收地点：投标人应当通过“苏采云”系统提交数据电文形式的投标文件（即电子投标），“苏采云”系统自动接收。</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13．投标文件的撤回与修改</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13.1投标文件的撤回</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13.1.1电子投标文件的撤回</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投标人可在投标截止时间前，撤回其电子投标文件，具体操作方法见《江苏省政府采购（供应商）意源CA数字证书及电子签章办理指南》。</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13.1.2投标人撤回电子投标文件，则认为其不再参与本项目投标活动。</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13.2 投标文件的修改</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投标人可在投标截止时间前，对其电子投标文件进行修改，具体操作方法见《江苏省政府采购（供应商）意源CA数字证书及电子签章办理指南》。</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13.3 在投标截止时间之后，投标人不得对其电子投标文件作任何修改。</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13.4 在投标截止时间至招标文件中规定的投标有效期满之间的这段时间内，投标人不得撤回其投标。</w:t>
      </w:r>
      <w:r/>
    </w:p>
    <w:p>
      <w:pPr>
        <w:pStyle w:val="704"/>
        <w:shd w:val="clear" w:color="auto" w:fill="ffffff" w:themeFill="background1"/>
        <w:rPr>
          <w:color w:val="000000" w:themeColor="text1"/>
          <w:highlight w:val="none"/>
          <w:lang w:val="zh-CN"/>
          <w14:textFill>
            <w14:solidFill>
              <w14:schemeClr w14:val="tx1"/>
            </w14:solidFill>
          </w14:textFill>
        </w:rPr>
      </w:pPr>
      <w:r/>
      <w:bookmarkStart w:id="17" w:name="_Toc3897"/>
      <w:r/>
      <w:bookmarkStart w:id="18" w:name="_Toc25413"/>
      <w:r>
        <w:rPr>
          <w:rFonts w:hint="eastAsia"/>
          <w:color w:val="000000" w:themeColor="text1"/>
          <w:highlight w:val="none"/>
          <w:lang w:val="zh-CN"/>
          <w14:textFill>
            <w14:solidFill>
              <w14:schemeClr w14:val="tx1"/>
            </w14:solidFill>
          </w14:textFill>
        </w:rPr>
        <w:t xml:space="preserve">五、开标及资格审查</w:t>
      </w:r>
      <w:bookmarkEnd w:id="17"/>
      <w:r/>
      <w:bookmarkEnd w:id="18"/>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14．开标、唱标、资格审查</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14.2所有投标人解密（或解密时间）结束后，“苏采云”系统生成开标记录并向社会公众公布，但依法应当保密的除外。</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14.3开标时，《开标一览表》（报价表）内容与投标文件中相应内容不一致的，以《开标一览表》（报价表）为准。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14.4 投标文件、《开标一览表》（报价表）中报价的大写金额与小写金额不一致的，以大写金额为准。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14.5 单价金额小数点或者百分比有明显错位的，以《开标一览表》（报价表）的总价为准，并修改单价。</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14.6 总价金额与按单价汇总金额不一致的，以单价金额计算结果为准。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14.7同时出现14.3-14.6中两种以上不一致的,按照14.3-14.6的顺序修正。修正后的报价由法定代表人/单位负责人或其授权的代表签字确认后产生约束力，投标人不确认的，投标无效。</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14.8 对不同文字文本投标文件的解释发生异议的，以中文文本为准。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14.9资格审查：开标结束后，依据法规政策和招标文件的规定，在对投标文件详细评估之前，采购人或采购代理机构将依据</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投标人提交的投标文件按招标公告第二项所述的资格标准对投标人进行资格审查, 以确定其是否具备投标资格。如果投标人不具备投标资格、不满足招标文件所规定的资格标准或提供资格证明文件不全, 其投标将被作为无效投标，不得参与下一环节的评审。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pStyle w:val="704"/>
        <w:shd w:val="clear" w:color="auto" w:fill="ffffff" w:themeFill="background1"/>
        <w:rPr>
          <w:color w:val="000000" w:themeColor="text1"/>
          <w:highlight w:val="none"/>
          <w:lang w:val="zh-CN"/>
          <w14:textFill>
            <w14:solidFill>
              <w14:schemeClr w14:val="tx1"/>
            </w14:solidFill>
          </w14:textFill>
        </w:rPr>
      </w:pPr>
      <w:r/>
      <w:bookmarkStart w:id="19" w:name="_Toc15248"/>
      <w:r/>
      <w:bookmarkStart w:id="20" w:name="_Toc11556"/>
      <w:r>
        <w:rPr>
          <w:rFonts w:hint="eastAsia"/>
          <w:color w:val="000000" w:themeColor="text1"/>
          <w:highlight w:val="none"/>
          <w:lang w:val="zh-CN"/>
          <w14:textFill>
            <w14:solidFill>
              <w14:schemeClr w14:val="tx1"/>
            </w14:solidFill>
          </w14:textFill>
        </w:rPr>
        <w:t xml:space="preserve">六、评  标</w:t>
      </w:r>
      <w:bookmarkEnd w:id="19"/>
      <w:r/>
      <w:bookmarkEnd w:id="20"/>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15．组建评标委员会</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推荐1名合格的中标候选人。</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16．投标文件的审查</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16.1对所有投标人的评估，都采用相同的程序和标准。评标过程将严格按照招标文件的要求和条件进行。</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16.2评标委员会将对投标文件进行检查，以确定投标文件是否完整、有无计算上的错误、文件是否已正确签署等。</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16.3评标委员会将对确定为实质性响应的投标文件进行进一步评审，看其是否有计算上或累加上的算术错误，修正错误的原则如下：</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16.3.1如果用数字表示的金额和用文字表示的金额不一致时，应以文字表示的金额为准进行修正；</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16.3.2当单价与数量的乘积和总价不一致时，以单价为准进行修正。只有在评委会认为单价有明显的小数点错误时，才能以标出的总价为准，并修改单价；</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16.3.3评标委员会将按上述修正错误的方法调整投标文件中的投标价，调整后的价格应对投标人具有约束力。如果投标人不接受修正后的价格，则其投标将被拒绝；</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16.3.4评委会将允许修正投标文件中不构成重大偏离的、微小的、非正规的、不一致的或不规则的地方，但这些修改不能影响任何投标人相应的名次排列。</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16.4符合性检查：</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 </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凡有下列情况之一者，投标文件将被视为未实质性响应招标文件要求：</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（1）投标人未按照招标文件要求上传电子投标文件的；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（2）投标人未在规定解密时间内进行解密；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（3）投标人在报价时采用选择性报价；</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（4）投标人不具备招标文件中规定资格要求的；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（5）投标人的报价超过了采购预算或最高限价的；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（6）未通过符合性检查的；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（7）不符合招标文件中规定的其他实质性要求和条件的；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（8）投标人串通投标；</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（9）投标文件含有采购人不能接受的附加条件的；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（10）不符合招标文件中规定的其它实质性条款以及法律法规规定的其他情形</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（11）被“信用中国”网站（www.creditchina.gov.cn）列入失信被执行人、重大税收违法案件当事人名单、政府采购严重失信行为记录名单；</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（13）投标文件未按照招标文件要求加盖电子签章；</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（14）其他法律、法规及本招标文件规定的属无效投标的情形；</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评标委员会决定投标响应性只根据投标文件本身的内容，而不寻求其他的外部证据。</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16.4.2对资格性检查和符合性检查不合格的投标人，将现场告知其理由。</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16.5在评审过程中，评标委员会发现投标人有下列情形之一的，可以认定属于串标、围标的行为。具体表现形式如下：</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16.5.1不同投标人的投标文件异常一致或者投标报价呈规律性差异的。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16.5.2不同投标人的投标文件由同一单位或个人编制的。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16.5.3不同投标人的投标文件载明的项目管理成员为同一人的。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16.5.4不同投标人的投标文件相互混装的。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16.5.5不同投标人授权同一人作为投标人代表的。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16.5.6不同投标人的投标保证金从同一单位或者个人的账户转出的。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16.5.7有证据证明投标人与采购单位、采购代理机构或其他投标人串通的其他情形的。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16.5.8评标委员会认定的其他串标、围标情形。</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16.6有下列情形之一的予以废标，同时将废标理由通知所有服务单位：</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（1）符合专业条件的服务单位或者对招标文件作实质性响应的服务单位不足三家的；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（2）出现影响采购公正的违法、违规行为的；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（3）服务单位的报价均超过了采购预算或最高限价的，采购人不能支付的；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（4）因重大变故，采购任务取消的；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（5）投标文件存在歧义、重大缺陷，或者招标文件内容违反国家有关强制性规定的。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（6）因系统故障原因造成开标不成功的。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16.7</w:t>
      </w:r>
      <w:r>
        <w:rPr>
          <w:rFonts w:hint="eastAsia" w:asciiTheme="majorEastAsia" w:hAnsiTheme="majorEastAsia" w:eastAsiaTheme="majorEastAsia" w:cstheme="majorEastAsia"/>
          <w:bCs/>
          <w:color w:val="000000" w:themeColor="text1"/>
          <w:spacing w:val="-6"/>
          <w:sz w:val="24"/>
          <w:highlight w:val="none"/>
          <w14:textFill>
            <w14:solidFill>
              <w14:schemeClr w14:val="tx1"/>
            </w14:solidFill>
          </w14:textFill>
        </w:rPr>
        <w:t xml:space="preserve">若有充分证据证明，中标人出现下列情况之一的，一经查实，将被取消中标资格</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16.7.1提供虚假材料谋取中标的。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16.7.2向采购人行贿或者提供其他不正当利益的。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16.7.3属于本文件规定的无效条件，但在评标过程中又未被评委会发现的。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16.7.4与采购人或者其他供应商恶意串通的。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16.7.5采取不正当手段诋毁、排挤其他供应商的。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17．比较与评价</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17.1评标委员会将按本招标文件规定的评标方法与标准，对资格性检查和符合性检查合格的投标文件进行商务和技术评估，综合比较与评价。</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17.2对漏（缺）报项的处理：招标文件中要求列入报价的费用（含配置、功能），漏（缺）报的视同已含在投标总价中。对多报项及赠送项的价格评标时不予核减，全部进入评标评议。</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17.3异常低价审查，根据（财库〔2026〕2号）文件要求评审过程中出现下列情形之一的，评审委员会应当启动异常低价投标（响应）审查程序：</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（3）投标（响应）报价低于采购项目最高限价45%的，即投标（响应）报价&lt;采购项目最高限价×45%； </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17.3.1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17.3.2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17.3.3</w:t>
      </w:r>
      <w:r>
        <w:rPr>
          <w:rFonts w:asciiTheme="majorEastAsia" w:hAnsiTheme="majorEastAsia" w:eastAsiaTheme="majorEastAsia" w:cstheme="majorEastAsia"/>
          <w:bCs/>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18．评标过程及保密原则</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18.1凡与本次招标有关人员对属于审查、澄清、评价和比较投标的有关资料以及定标意向等，均不得向投标人或其他人员透露。否则,将按有关规定追究相关人员的责任。</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18.2在评标期间，投标人试图影响或干预评审的任何行为，将导致其投标被作为无效投标，并承担相应的法律责任。</w:t>
      </w:r>
      <w:r/>
    </w:p>
    <w:p>
      <w:pPr>
        <w:pStyle w:val="704"/>
        <w:shd w:val="clear" w:color="auto" w:fill="ffffff" w:themeFill="background1"/>
        <w:rPr>
          <w:color w:val="000000" w:themeColor="text1"/>
          <w:highlight w:val="none"/>
          <w:lang w:val="zh-CN"/>
          <w14:textFill>
            <w14:solidFill>
              <w14:schemeClr w14:val="tx1"/>
            </w14:solidFill>
          </w14:textFill>
        </w:rPr>
      </w:pPr>
      <w:r/>
      <w:bookmarkStart w:id="21" w:name="_Toc9302"/>
      <w:r/>
      <w:bookmarkStart w:id="22" w:name="_Toc21468"/>
      <w:r>
        <w:rPr>
          <w:rFonts w:hint="eastAsia"/>
          <w:color w:val="000000" w:themeColor="text1"/>
          <w:highlight w:val="none"/>
          <w:lang w:val="zh-CN"/>
          <w14:textFill>
            <w14:solidFill>
              <w14:schemeClr w14:val="tx1"/>
            </w14:solidFill>
          </w14:textFill>
        </w:rPr>
        <w:t xml:space="preserve">七、定  标</w:t>
      </w:r>
      <w:bookmarkEnd w:id="21"/>
      <w:r/>
      <w:bookmarkEnd w:id="22"/>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19．定标原则</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19.1最低投标价不作为中标的保证。</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19.2本次招标评标方法为综合评分法。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本项目提供相同品牌核心产品“</w:t>
      </w:r>
      <w:r>
        <w:rPr>
          <w:rFonts w:hint="eastAsia" w:asciiTheme="majorEastAsia" w:hAnsiTheme="majorEastAsia" w:eastAsiaTheme="majorEastAsia" w:cstheme="majorEastAsia"/>
          <w:bCs/>
          <w:color w:val="000000" w:themeColor="text1"/>
          <w:sz w:val="24"/>
          <w:highlight w:val="none"/>
          <w:lang w:val="en-US" w:eastAsia="zh-CN"/>
          <w14:textFill>
            <w14:solidFill>
              <w14:schemeClr w14:val="tx1"/>
            </w14:solidFill>
          </w14:textFill>
        </w:rPr>
        <w:t xml:space="preserve">交通信号灯控制机</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19.3推荐的中标候选人数：1名。排名第一的中标候选人放弃中标，或因不可抗力提出不能履行合同，或者被查实存在影响中标结果的违法行为等情形，不符合中标条件的，本项目直接重新招标，不得确定其他投标人为中标人。</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20.确定中标供应商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采购人将根据评标委员会的书面评标报告，依据法律法规确定中标人。采购人不得在评标委员会推荐的中标候选人之外确定中标人，否则中标结果无效。</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21.中标通知书和签订合同</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21.1评审结束后，中标公告在江苏省政府采购网、盐城市政府采购网、建湖县公共资源交易电子化服务平台</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fldChar w:fldCharType="begin"/>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instrText xml:space="preserve"> HYPERLINK "http://zhumadian.hngp.gov.cn/prx/000/http/www.sxztb.gov.cn/" </w:instrTex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fldChar w:fldCharType="end"/>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等相关媒体发布；公示结束向中标供应商发出中标通知书。中标通知书成为合同文件的组成部分，具有法律效力。</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21.2政府采购项目的采购合同自签订之日起七个工作日内，采购人应当将合同副本报同级政府采购监督管理部门和有关部门备案。</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21.3采购单位与中标供应商应当在《中标通知书》发出之日起三十日内，按采购文件确定的事情签订政府采购合同，合同在签订之日2个工作日内在盐城市政府采购网http://czj.yancheng.gov.cn/col/col2383/index.html上公示。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21.4中标单位如果未按中标通知书规定日期与采购单位签订合同，或要求更改招标文件内容而拖延合同签订，按照政府采购法相关法律法规执行。</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22. 质疑和投诉</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22.1 质疑供应商是指直接参加本次投标活动的供应商，未参加投标活动的供应商或在投标活动中自身权益未受到损害的供应商所提出的质疑不予受理；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lang w:val="zh-CN"/>
          <w14:textFill>
            <w14:solidFill>
              <w14:schemeClr w14:val="tx1"/>
            </w14:solidFill>
          </w14:textFill>
        </w:rPr>
        <w:t xml:space="preserve">2</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w:t>
      </w:r>
      <w:r>
        <w:rPr>
          <w:rFonts w:hint="eastAsia" w:asciiTheme="majorEastAsia" w:hAnsiTheme="majorEastAsia" w:eastAsiaTheme="majorEastAsia" w:cstheme="majorEastAsia"/>
          <w:bCs/>
          <w:color w:val="000000" w:themeColor="text1"/>
          <w:sz w:val="24"/>
          <w:highlight w:val="none"/>
          <w:lang w:val="zh-CN"/>
          <w14:textFill>
            <w14:solidFill>
              <w14:schemeClr w14:val="tx1"/>
            </w14:solidFill>
          </w14:textFill>
        </w:rPr>
        <w:t xml:space="preserve">.</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 </w:t>
      </w:r>
      <w:r>
        <w:rPr>
          <w:rFonts w:hint="eastAsia" w:asciiTheme="majorEastAsia" w:hAnsiTheme="majorEastAsia" w:eastAsiaTheme="majorEastAsia" w:cstheme="majorEastAsia"/>
          <w:bCs/>
          <w:color w:val="000000" w:themeColor="text1"/>
          <w:sz w:val="24"/>
          <w:highlight w:val="none"/>
          <w:lang w:val="zh-CN"/>
          <w14:textFill>
            <w14:solidFill>
              <w14:schemeClr w14:val="tx1"/>
            </w14:solidFill>
          </w14:textFill>
        </w:rPr>
        <w:t xml:space="preserve">质疑供应商必须以书面形式向采购人、采购代理机构提出质疑。</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（1）供应商的姓名或者名称、地址、邮编、联系人及联系电话；</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（2）质疑项目的名称、编号；</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（3）具体、明确的质疑事项和与质疑事项相关的请求；</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（4）事实依据；</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（5）必要的法律依据；</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（6）提出质疑的日期。</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22.5采购人或采购代理机构只接收以纸质原件形式送达的质疑,采购人或采购代理机构不接受未填写快递运单的快件；</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22.6 采购人或代理机构在收到供应商的书面质疑后将及时组织调查核实，在七个工作日内作出答复，并以书面形式通知质疑供应商，答复的内容不涉及商业秘密；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22.8 以下情形的质疑不予受理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22.8.1内容不符合《政府采购质疑和投诉办法》第十二条规定的质疑；</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22.8.2超出政府采购法定期限的质疑；</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22.8.3以传真、电子邮件等方式递交的非原件形式的质疑；</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22.8.4未参加投标活动的供应商或在投标活动中自身权益未受到损害的供应商所提出的质疑；</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22.8.5供应商组成联合体参加投标，联合体中任何一方或多方未按要求签字、盖章、加盖公章的质疑；</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22.9 质疑或投诉程序</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22.10 恶意投诉情形</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下列情况之一，投标人的投诉将被界定为恶意投诉，监管机构将对投诉人按有关规定列入不良记录名单并上网公示，投标人今后参与政府项目将受到影响：</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（1）未按规定向投诉处理部门投诉或向不同部门多方投诉的；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（2）不符合投诉受理条件，被告知后仍进行投诉的；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（3）投诉处理部门受理投诉后，投诉人仍就同一内容向其他部门进行投诉的；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（4）捏造事实、伪造材料进行投诉或在网络等媒体上进行失实报道的；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（5）投诉经查失实，被告知后，仍然恶意缠诉的；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（6）一年内三次以上失实投诉的；</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（7）直接向领导、纪委、检察部门写匿名信等。</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23.投标人有下列行为之一造成采购人重新招标的，采购人重新招标时可以拒绝其参加投标：</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（1）无故放弃中标；</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（2）串通投标；</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（3）存在弄虚作假行为；</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（4）以可能影响履约的异常低价参加投标；</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（5）其他违反法律、法规的行为。</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pacing w:val="6"/>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pacing w:val="6"/>
          <w:sz w:val="24"/>
          <w:highlight w:val="none"/>
          <w14:textFill>
            <w14:solidFill>
              <w14:schemeClr w14:val="tx1"/>
            </w14:solidFill>
          </w14:textFill>
        </w:rPr>
        <w:t xml:space="preserve">对三年内在与招标人合同履行过程中被依法判定存在违约行为导致招标人重大损失或者被列入严重失信主体名单的法人、非法人组织或者自然人，招标人可以拒绝其参加投标。</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24.电子招标投标交易平台</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电子招标投标交易平台（即“苏采云”系统，网址：</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fldChar w:fldCharType="begin"/>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instrText xml:space="preserve"> HYPERLINK "http://jszfcg.jsczt.cn/" \o "http://jszfcg.jsczt.cn/" </w:instrTex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fldChar w:fldCharType="separate"/>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http://jszfcg.jsczt.cn/</w:t>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fldChar w:fldCharType="end"/>
      </w: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）相关要求是本招标文件的组成部分。</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25.政府采购履约资金扶持政策</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26.其他</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26.1 本项目落实预付款制度，预付款比例为30%。在签订合同时，中标、成交供应商明确书面表示无需预付款或者主动要求降低预付款比例的，采购人可就预付款比例作相应调整。</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26.2确需收取履约保证金的，履约保证金的缴纳形式：</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76"/>
        <w:spacing w:line="480" w:lineRule="exact"/>
        <w:shd w:val="clear" w:color="auto" w:fill="ffffff" w:themeFill="background1"/>
        <w:rPr>
          <w:rFonts w:hint="eastAsia" w:asciiTheme="majorEastAsia" w:hAnsiTheme="majorEastAsia" w:eastAsiaTheme="majorEastAsia" w:cstheme="majorEastAsia"/>
          <w:bCs/>
          <w:color w:val="000000" w:themeColor="text1"/>
          <w:sz w:val="24"/>
          <w:highlight w:val="none"/>
          <w14:textFill>
            <w14:solidFill>
              <w14:schemeClr w14:val="tx1"/>
            </w14:solidFill>
          </w14:textFill>
        </w:rPr>
        <w:sectPr>
          <w:footerReference w:type="default" r:id="rId11"/>
          <w:footnotePr/>
          <w:endnotePr/>
          <w:type w:val="nextPage"/>
          <w:pgSz w:w="11906" w:h="16838" w:orient="portrait"/>
          <w:pgMar w:top="1440" w:right="1302" w:bottom="1440" w:left="1080" w:header="624" w:footer="624" w:gutter="284"/>
          <w:pgNumType w:start="1"/>
          <w:cols w:num="1" w:sep="0" w:space="720" w:equalWidth="1"/>
          <w:docGrid w:linePitch="360"/>
        </w:sectPr>
      </w:pPr>
      <w:r>
        <w:rPr>
          <w:rFonts w:hint="eastAsia" w:asciiTheme="majorEastAsia" w:hAnsiTheme="majorEastAsia" w:eastAsiaTheme="majorEastAsia" w:cstheme="majorEastAsia"/>
          <w:bCs/>
          <w:color w:val="000000" w:themeColor="text1"/>
          <w:sz w:val="24"/>
          <w:highlight w:val="none"/>
          <w14:textFill>
            <w14:solidFill>
              <w14:schemeClr w14:val="tx1"/>
            </w14:solidFill>
          </w14:textFill>
        </w:rPr>
      </w:r>
      <w:r/>
    </w:p>
    <w:p>
      <w:pPr>
        <w:pStyle w:val="704"/>
        <w:shd w:val="clear" w:color="auto" w:fill="ffffff" w:themeFill="background1"/>
        <w:rPr>
          <w:color w:val="000000" w:themeColor="text1"/>
          <w:highlight w:val="none"/>
          <w:lang w:val="zh-CN"/>
          <w14:textFill>
            <w14:solidFill>
              <w14:schemeClr w14:val="tx1"/>
            </w14:solidFill>
          </w14:textFill>
        </w:rPr>
      </w:pPr>
      <w:r/>
      <w:bookmarkStart w:id="23" w:name="_Toc24257"/>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zh-CN"/>
          <w14:textFill>
            <w14:solidFill>
              <w14:schemeClr w14:val="tx1"/>
            </w14:solidFill>
          </w14:textFill>
        </w:rPr>
        <w:t xml:space="preserve">招标内容及要求</w:t>
      </w:r>
      <w:bookmarkEnd w:id="23"/>
      <w:r/>
      <w:r/>
    </w:p>
    <w:p>
      <w:pPr>
        <w:ind w:left="2" w:firstLine="477"/>
        <w:spacing w:line="480" w:lineRule="exact"/>
        <w:shd w:val="clear" w:color="auto" w:fill="ffffff" w:themeFill="background1"/>
        <w:rPr>
          <w:rFonts w:hint="eastAsia" w:ascii="宋体" w:hAnsi="宋体" w:eastAsia="宋体"/>
          <w:b/>
          <w:bCs/>
          <w:color w:val="000000" w:themeColor="text1"/>
          <w:sz w:val="24"/>
          <w:szCs w:val="20"/>
          <w:highlight w:val="none"/>
          <w14:textFill>
            <w14:solidFill>
              <w14:schemeClr w14:val="tx1"/>
            </w14:solidFill>
          </w14:textFill>
        </w:rPr>
      </w:pPr>
      <w:r>
        <w:rPr>
          <w:rFonts w:hint="eastAsia" w:ascii="宋体" w:hAnsi="宋体" w:eastAsia="宋体"/>
          <w:b/>
          <w:bCs/>
          <w:color w:val="000000" w:themeColor="text1"/>
          <w:sz w:val="24"/>
          <w:szCs w:val="20"/>
          <w:highlight w:val="none"/>
          <w14:textFill>
            <w14:solidFill>
              <w14:schemeClr w14:val="tx1"/>
            </w14:solidFill>
          </w14:textFill>
        </w:rPr>
        <w:t xml:space="preserve">一、项目概况</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项目编号：JSZC-320925-WYGS-G2026-0018 </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项目名称：2026年交通信号灯路口智能信控优化系统项目 </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预算金额：110万元，投标报价高于预算价的作无效标论处。  </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采购需求：2026年交通信号灯路口雷达、边缘计算集成控制设备、视频摄像机、倒计时复合疏导屏及箭头组合信号灯组等设备采购及安装,具体内容详见招标文件。</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合同履行期限：合同签订后30个日历天内供货、安装、调试完成并通过验收。 </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质保期：三年。</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本项目（是/否）接受联合体投标：否。</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项目属性：货物类项目。</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7"/>
        <w:spacing w:line="480" w:lineRule="exact"/>
        <w:shd w:val="clear" w:color="auto" w:fill="ffffff" w:themeFill="background1"/>
        <w:rPr>
          <w:rFonts w:hint="eastAsia" w:ascii="宋体" w:hAnsi="宋体" w:eastAsia="宋体"/>
          <w:b/>
          <w:bCs/>
          <w:color w:val="000000" w:themeColor="text1"/>
          <w:sz w:val="24"/>
          <w:szCs w:val="20"/>
          <w:highlight w:val="none"/>
          <w14:textFill>
            <w14:solidFill>
              <w14:schemeClr w14:val="tx1"/>
            </w14:solidFill>
          </w14:textFill>
        </w:rPr>
      </w:pPr>
      <w:r>
        <w:rPr>
          <w:rFonts w:hint="eastAsia" w:ascii="宋体" w:hAnsi="宋体" w:eastAsia="宋体"/>
          <w:b/>
          <w:bCs/>
          <w:color w:val="000000" w:themeColor="text1"/>
          <w:sz w:val="24"/>
          <w:szCs w:val="20"/>
          <w:highlight w:val="none"/>
          <w14:textFill>
            <w14:solidFill>
              <w14:schemeClr w14:val="tx1"/>
            </w14:solidFill>
          </w14:textFill>
        </w:rPr>
        <w:t xml:space="preserve">二、技术要求及相关说明</w:t>
      </w:r>
      <w:r/>
    </w:p>
    <w:tbl>
      <w:tblPr>
        <w:tblStyle w:val="713"/>
        <w:tblW w:w="918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0"/>
        <w:gridCol w:w="866"/>
        <w:gridCol w:w="6350"/>
        <w:gridCol w:w="750"/>
        <w:gridCol w:w="735"/>
      </w:tblGrid>
      <w:tr>
        <w:trPr>
          <w:trHeight w:val="660"/>
        </w:trPr>
        <w:tc>
          <w:tcPr>
            <w:tcW w:w="480" w:type="dxa"/>
            <w:vAlign w:val="center"/>
            <w:textDirection w:val="lrTb"/>
            <w:noWrap w:val="false"/>
          </w:tcPr>
          <w:p>
            <w:pPr>
              <w:jc w:val="center"/>
              <w:widowControl/>
              <w:rPr>
                <w:rFonts w:hint="eastAsia" w:ascii="宋体" w:hAnsi="宋体" w:eastAsia="宋体" w:cs="宋体"/>
                <w:b/>
                <w:bCs/>
                <w:color w:val="000000" w:themeColor="text1"/>
                <w:sz w:val="22"/>
                <w:szCs w:val="22"/>
                <w:highlight w:val="none"/>
                <w14:textFill>
                  <w14:solidFill>
                    <w14:schemeClr w14:val="tx1"/>
                  </w14:solidFill>
                </w14:textFill>
              </w:rPr>
            </w:pPr>
            <w:r/>
            <w:bookmarkStart w:id="24" w:name="_Toc101357888"/>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序号</w:t>
            </w:r>
            <w:r/>
          </w:p>
        </w:tc>
        <w:tc>
          <w:tcPr>
            <w:tcW w:w="866" w:type="dxa"/>
            <w:vAlign w:val="center"/>
            <w:textDirection w:val="lrTb"/>
            <w:noWrap w:val="false"/>
          </w:tcPr>
          <w:p>
            <w:pPr>
              <w:jc w:val="center"/>
              <w:widowControl/>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设备名称</w:t>
            </w:r>
            <w:r/>
          </w:p>
        </w:tc>
        <w:tc>
          <w:tcPr>
            <w:tcW w:w="6350" w:type="dxa"/>
            <w:vAlign w:val="center"/>
            <w:textDirection w:val="lrTb"/>
            <w:noWrap w:val="false"/>
          </w:tcPr>
          <w:p>
            <w:pPr>
              <w:jc w:val="center"/>
              <w:widowControl/>
              <w:rPr>
                <w:rFonts w:hint="eastAsia" w:ascii="宋体" w:hAnsi="宋体" w:eastAsia="宋体" w:cs="宋体"/>
                <w:b/>
                <w:bCs/>
                <w:color w:val="000000" w:themeColor="text1"/>
                <w:sz w:val="22"/>
                <w:szCs w:val="22"/>
                <w:highlight w:val="none"/>
                <w:lang w:bidi="ar"/>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技术参数要求</w:t>
            </w:r>
            <w:r/>
          </w:p>
        </w:tc>
        <w:tc>
          <w:tcPr>
            <w:tcW w:w="750" w:type="dxa"/>
            <w:vAlign w:val="center"/>
            <w:textDirection w:val="lrTb"/>
            <w:noWrap w:val="false"/>
          </w:tcPr>
          <w:p>
            <w:pPr>
              <w:jc w:val="center"/>
              <w:widowControl/>
              <w:rPr>
                <w:rFonts w:hint="eastAsia" w:ascii="宋体" w:hAnsi="宋体" w:eastAsia="宋体" w:cs="宋体"/>
                <w:b/>
                <w:bCs/>
                <w:color w:val="000000" w:themeColor="text1"/>
                <w:sz w:val="22"/>
                <w:szCs w:val="22"/>
                <w:highlight w:val="none"/>
                <w:lang w:bidi="ar"/>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单位</w:t>
            </w:r>
            <w:r/>
          </w:p>
        </w:tc>
        <w:tc>
          <w:tcPr>
            <w:tcW w:w="735" w:type="dxa"/>
            <w:vAlign w:val="center"/>
            <w:textDirection w:val="lrTb"/>
            <w:noWrap w:val="false"/>
          </w:tcPr>
          <w:p>
            <w:pPr>
              <w:jc w:val="center"/>
              <w:widowControl/>
              <w:rPr>
                <w:rFonts w:hint="eastAsia" w:ascii="宋体" w:hAnsi="宋体" w:eastAsia="宋体" w:cs="宋体"/>
                <w:b/>
                <w:bCs/>
                <w:color w:val="000000" w:themeColor="text1"/>
                <w:sz w:val="22"/>
                <w:szCs w:val="22"/>
                <w:highlight w:val="none"/>
                <w:lang w:bidi="ar"/>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数量</w:t>
            </w:r>
            <w:r/>
          </w:p>
        </w:tc>
      </w:tr>
      <w:tr>
        <w:trPr>
          <w:trHeight w:val="439"/>
        </w:trPr>
        <w:tc>
          <w:tcPr>
            <w:tcW w:w="480" w:type="dxa"/>
            <w:vAlign w:val="center"/>
            <w:textDirection w:val="lrTb"/>
            <w:noWrap w:val="false"/>
          </w:tcPr>
          <w:p>
            <w:pPr>
              <w:jc w:val="center"/>
              <w:widowControl/>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A</w:t>
            </w:r>
            <w:r/>
          </w:p>
        </w:tc>
        <w:tc>
          <w:tcPr>
            <w:gridSpan w:val="4"/>
            <w:tcW w:w="8701" w:type="dxa"/>
            <w:vAlign w:val="center"/>
            <w:textDirection w:val="lrTb"/>
            <w:noWrap w:val="false"/>
          </w:tcPr>
          <w:p>
            <w:pPr>
              <w:jc w:val="center"/>
              <w:widowControl/>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3处交通信号灯路口增设智能信控优化设备</w:t>
            </w:r>
            <w:r/>
          </w:p>
        </w:tc>
      </w:tr>
      <w:tr>
        <w:trPr>
          <w:trHeight w:val="6214"/>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雷达（微波交通流检测器）</w:t>
            </w:r>
            <w:r/>
          </w:p>
        </w:tc>
        <w:tc>
          <w:tcPr>
            <w:tcW w:w="6350" w:type="dxa"/>
            <w:vAlign w:val="center"/>
            <w:textDirection w:val="lrTb"/>
            <w:noWrap w:val="false"/>
          </w:tcPr>
          <w:p>
            <w:pPr>
              <w:numPr>
                <w:ilvl w:val="0"/>
                <w:numId w:val="4"/>
              </w:numPr>
              <w:jc w:val="left"/>
              <w:widowControl/>
              <w:rPr>
                <w:rFonts w:hint="eastAsia" w:ascii="宋体" w:hAnsi="宋体" w:eastAsia="宋体" w:cs="宋体"/>
                <w:color w:val="000000" w:themeColor="text1"/>
                <w:sz w:val="17"/>
                <w:szCs w:val="17"/>
                <w:highlight w:val="none"/>
                <w:lang w:bidi="ar"/>
                <w14:textFill>
                  <w14:solidFill>
                    <w14:schemeClr w14:val="tx1"/>
                  </w14:solidFill>
                </w14:textFill>
              </w:rPr>
            </w:pPr>
            <w:r>
              <w:rPr>
                <w:rFonts w:hint="eastAsia" w:ascii="宋体" w:hAnsi="宋体" w:eastAsia="宋体" w:cs="宋体"/>
                <w:color w:val="000000" w:themeColor="text1"/>
                <w:sz w:val="17"/>
                <w:szCs w:val="17"/>
                <w:highlight w:val="none"/>
                <w:lang w:bidi="ar"/>
                <w14:textFill>
                  <w14:solidFill>
                    <w14:schemeClr w14:val="tx1"/>
                  </w14:solidFill>
                </w14:textFill>
              </w:rPr>
              <w:t xml:space="preserve">信控专用雷达</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微波参数：采用相控阵毫米波雷达技术，可实时检测每一车道上的交通目标，支持二维动态仿真；</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1）可对正前方距其400m处的机动车进行检测。可对正前方距其180m处的行人进行检测；</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★2）雷达微波检测器工作频率92.00GHz-94GHz</w:t>
            </w:r>
            <w:r>
              <w:rPr>
                <w:rFonts w:hint="eastAsia" w:ascii="宋体" w:hAnsi="宋体" w:eastAsia="宋体" w:cs="宋体"/>
                <w:color w:val="000000" w:themeColor="text1"/>
                <w:sz w:val="17"/>
                <w:szCs w:val="17"/>
                <w:highlight w:val="none"/>
                <w:lang w:bidi="ar"/>
                <w14:textFill>
                  <w14:solidFill>
                    <w14:schemeClr w14:val="tx1"/>
                  </w14:solidFill>
                </w14:textFill>
              </w:rPr>
              <w:t xml:space="preserve">（</w:t>
            </w:r>
            <w:r>
              <w:rPr>
                <w:rFonts w:hint="eastAsia" w:ascii="宋体" w:hAnsi="宋体" w:eastAsia="宋体" w:cs="宋体"/>
                <w:color w:val="000000" w:themeColor="text1"/>
                <w:sz w:val="17"/>
                <w:szCs w:val="17"/>
                <w:highlight w:val="none"/>
                <w:lang w:val="en-US" w:eastAsia="zh-CN" w:bidi="ar"/>
                <w14:textFill>
                  <w14:solidFill>
                    <w14:schemeClr w14:val="tx1"/>
                  </w14:solidFill>
                </w14:textFill>
              </w:rPr>
              <w:t xml:space="preserve">提供工业和信息化部无线电管理部门授权承检实验室出具检测报告原件扫描件加盖投标人公章</w:t>
            </w:r>
            <w:r>
              <w:rPr>
                <w:rFonts w:hint="eastAsia" w:ascii="宋体" w:hAnsi="宋体" w:eastAsia="宋体" w:cs="宋体"/>
                <w:color w:val="000000" w:themeColor="text1"/>
                <w:sz w:val="17"/>
                <w:szCs w:val="17"/>
                <w:highlight w:val="none"/>
                <w:lang w:bidi="ar"/>
                <w14:textFill>
                  <w14:solidFill>
                    <w14:schemeClr w14:val="tx1"/>
                  </w14:solidFill>
                </w14:textFill>
              </w:rPr>
              <w:t xml:space="preserve">）；</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★3）支持在水平±30°范围内检测到距其400m处的机动车（</w:t>
            </w:r>
            <w:r>
              <w:rPr>
                <w:rFonts w:hint="eastAsia" w:ascii="宋体" w:hAnsi="宋体" w:eastAsia="宋体" w:cs="宋体"/>
                <w:color w:val="000000" w:themeColor="text1"/>
                <w:sz w:val="17"/>
                <w:szCs w:val="17"/>
                <w:highlight w:val="none"/>
                <w:lang w:eastAsia="zh-CN" w:bidi="ar"/>
                <w14:textFill>
                  <w14:solidFill>
                    <w14:schemeClr w14:val="tx1"/>
                  </w14:solidFill>
                </w14:textFill>
              </w:rPr>
              <w:t xml:space="preserve">提供公安部门检测机构出具的检测报告复印件加盖公章</w:t>
            </w:r>
            <w:r>
              <w:rPr>
                <w:rFonts w:hint="eastAsia" w:ascii="宋体" w:hAnsi="宋体" w:eastAsia="宋体" w:cs="宋体"/>
                <w:color w:val="000000" w:themeColor="text1"/>
                <w:sz w:val="17"/>
                <w:szCs w:val="17"/>
                <w:highlight w:val="none"/>
                <w:lang w:bidi="ar"/>
                <w14:textFill>
                  <w14:solidFill>
                    <w14:schemeClr w14:val="tx1"/>
                  </w14:solidFill>
                </w14:textFill>
              </w:rPr>
              <w:t xml:space="preserve">）；</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★4）检测器可对</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17"/>
                <w:szCs w:val="17"/>
                <w:highlight w:val="none"/>
                <w:lang w:bidi="ar"/>
                <w14:textFill>
                  <w14:solidFill>
                    <w14:schemeClr w14:val="tx1"/>
                  </w14:solidFill>
                </w14:textFill>
              </w:rPr>
              <w:t xml:space="preserve">14车道（含来向车道和去向车道），同时支持检测到的机动车目标数不低于256个（</w:t>
            </w:r>
            <w:r>
              <w:rPr>
                <w:rFonts w:hint="eastAsia" w:ascii="宋体" w:hAnsi="宋体" w:eastAsia="宋体" w:cs="宋体"/>
                <w:color w:val="000000" w:themeColor="text1"/>
                <w:sz w:val="17"/>
                <w:szCs w:val="17"/>
                <w:highlight w:val="none"/>
                <w:lang w:eastAsia="zh-CN" w:bidi="ar"/>
                <w14:textFill>
                  <w14:solidFill>
                    <w14:schemeClr w14:val="tx1"/>
                  </w14:solidFill>
                </w14:textFill>
              </w:rPr>
              <w:t xml:space="preserve">提供公安部门检测机构出具的检测报告复印件加盖公章</w:t>
            </w:r>
            <w:r>
              <w:rPr>
                <w:rFonts w:hint="eastAsia" w:ascii="宋体" w:hAnsi="宋体" w:eastAsia="宋体" w:cs="宋体"/>
                <w:color w:val="000000" w:themeColor="text1"/>
                <w:sz w:val="17"/>
                <w:szCs w:val="17"/>
                <w:highlight w:val="none"/>
                <w:lang w:bidi="ar"/>
                <w14:textFill>
                  <w14:solidFill>
                    <w14:schemeClr w14:val="tx1"/>
                  </w14:solidFill>
                </w14:textFill>
              </w:rPr>
              <w:t xml:space="preserve">）；</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5）平均速度统计准确率：支持对单车道的平均速度进行统计，经过检测区域的平均速度准确率≥98%；</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6）排队长度检测：正向排队；去向排队；支持静态和动态排队长度检测功能，可通过软件输出排队长度、队首队尾车辆位置、排队车辆数。可根据需求设置动态排队条件参考值，当实际排队长度≤300m范围时，统计的排队长度相对误差应在±5%范围内；</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7）支持转向比统计功能检查：支持在软件界面按统计周期展示驶出停车线的左转机动车辆数、直行机动车辆数、右转机动车辆数占该统计周期驶出停车线机动车辆总数的百分比。转向比统计偏差≤5%；</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8）距离精度±0.1m；速度精度±0.05m/s；角度精度±0.05°；</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距离检测分辨率≤0.2m ；速度检测分辨率≤0.1m/s ；角度检测分辨率≤1°；</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9）实时目标显示功能：支持检测到运动目标后，在软件</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界面进行仿真动态显示，配合外部摄像机可同步显示视频图像；                                                                                                                                         10）跟踪与定位：支持实现多个连续布设的雷达对同一个目标的全路段唯一ID跟踪；支持在地图中分车道级标注车辆位置；系统检测到异常事件时能够在 GIS 地图上精准定位；</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★11）具有电子水平仪，可实时监控检测器姿态，当检测器姿态异常时给出报警提示</w:t>
            </w:r>
            <w:r>
              <w:rPr>
                <w:rFonts w:hint="eastAsia" w:ascii="宋体" w:hAnsi="宋体" w:eastAsia="宋体" w:cs="宋体"/>
                <w:color w:val="000000" w:themeColor="text1"/>
                <w:sz w:val="17"/>
                <w:szCs w:val="17"/>
                <w:highlight w:val="none"/>
                <w:lang w:bidi="ar"/>
                <w14:textFill>
                  <w14:solidFill>
                    <w14:schemeClr w14:val="tx1"/>
                  </w14:solidFill>
                </w14:textFill>
              </w:rPr>
              <w:t xml:space="preserve">（</w:t>
            </w:r>
            <w:r>
              <w:rPr>
                <w:rFonts w:hint="eastAsia" w:ascii="宋体" w:hAnsi="宋体" w:eastAsia="宋体" w:cs="宋体"/>
                <w:color w:val="000000" w:themeColor="text1"/>
                <w:sz w:val="17"/>
                <w:szCs w:val="17"/>
                <w:highlight w:val="none"/>
                <w:lang w:eastAsia="zh-CN" w:bidi="ar"/>
                <w14:textFill>
                  <w14:solidFill>
                    <w14:schemeClr w14:val="tx1"/>
                  </w14:solidFill>
                </w14:textFill>
              </w:rPr>
              <w:t xml:space="preserve">提供公安部门检测机构出具的检测报告复印件加盖公章</w:t>
            </w:r>
            <w:r>
              <w:rPr>
                <w:rFonts w:hint="eastAsia" w:ascii="宋体" w:hAnsi="宋体" w:eastAsia="宋体" w:cs="宋体"/>
                <w:color w:val="000000" w:themeColor="text1"/>
                <w:sz w:val="17"/>
                <w:szCs w:val="17"/>
                <w:highlight w:val="none"/>
                <w:lang w:bidi="ar"/>
                <w14:textFill>
                  <w14:solidFill>
                    <w14:schemeClr w14:val="tx1"/>
                  </w14:solidFill>
                </w14:textFill>
              </w:rPr>
              <w:t xml:space="preserve">）</w:t>
            </w:r>
            <w:r>
              <w:rPr>
                <w:rFonts w:hint="eastAsia" w:ascii="宋体" w:hAnsi="宋体" w:eastAsia="宋体" w:cs="宋体"/>
                <w:color w:val="000000" w:themeColor="text1"/>
                <w:sz w:val="17"/>
                <w:szCs w:val="17"/>
                <w:highlight w:val="none"/>
                <w:lang w:bidi="ar"/>
                <w14:textFill>
                  <w14:solidFill>
                    <w14:schemeClr w14:val="tx1"/>
                  </w14:solidFill>
                </w14:textFill>
              </w:rPr>
              <w:t xml:space="preserve">；                                                                                                                            ★12）按车道类型检测功能检测；</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支持检测弯曲车道等异形车道区内的机动车；</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支持检测左转待转区等停车待行区机动车；</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支持检测潮汐车道等可变车道区内的机动车，可按行驶方向统计机动车数量、机动车排队长度等信息</w:t>
            </w:r>
            <w:r>
              <w:rPr>
                <w:rFonts w:hint="eastAsia" w:ascii="宋体" w:hAnsi="宋体" w:eastAsia="宋体" w:cs="宋体"/>
                <w:color w:val="000000" w:themeColor="text1"/>
                <w:sz w:val="17"/>
                <w:szCs w:val="17"/>
                <w:highlight w:val="none"/>
                <w:lang w:bidi="ar"/>
                <w14:textFill>
                  <w14:solidFill>
                    <w14:schemeClr w14:val="tx1"/>
                  </w14:solidFill>
                </w14:textFill>
              </w:rPr>
              <w:t xml:space="preserve">（</w:t>
            </w:r>
            <w:r>
              <w:rPr>
                <w:rFonts w:hint="eastAsia" w:ascii="宋体" w:hAnsi="宋体" w:eastAsia="宋体" w:cs="宋体"/>
                <w:color w:val="000000" w:themeColor="text1"/>
                <w:sz w:val="17"/>
                <w:szCs w:val="17"/>
                <w:highlight w:val="none"/>
                <w:lang w:eastAsia="zh-CN" w:bidi="ar"/>
                <w14:textFill>
                  <w14:solidFill>
                    <w14:schemeClr w14:val="tx1"/>
                  </w14:solidFill>
                </w14:textFill>
              </w:rPr>
              <w:t xml:space="preserve">提供公安部门检测机构出具的检测报告复印件加盖公章</w:t>
            </w:r>
            <w:r>
              <w:rPr>
                <w:rFonts w:hint="eastAsia" w:ascii="宋体" w:hAnsi="宋体" w:eastAsia="宋体" w:cs="宋体"/>
                <w:color w:val="000000" w:themeColor="text1"/>
                <w:sz w:val="17"/>
                <w:szCs w:val="17"/>
                <w:highlight w:val="none"/>
                <w:lang w:bidi="ar"/>
                <w14:textFill>
                  <w14:solidFill>
                    <w14:schemeClr w14:val="tx1"/>
                  </w14:solidFill>
                </w14:textFill>
              </w:rPr>
              <w:t xml:space="preserve">）</w:t>
            </w:r>
            <w:r>
              <w:rPr>
                <w:rFonts w:hint="eastAsia" w:ascii="宋体" w:hAnsi="宋体" w:eastAsia="宋体" w:cs="宋体"/>
                <w:color w:val="000000" w:themeColor="text1"/>
                <w:sz w:val="17"/>
                <w:szCs w:val="17"/>
                <w:highlight w:val="none"/>
                <w:lang w:bidi="ar"/>
                <w14:textFill>
                  <w14:solidFill>
                    <w14:schemeClr w14:val="tx1"/>
                  </w14:solidFill>
                </w14:textFill>
              </w:rPr>
              <w:t xml:space="preserve">；</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13）测速范围：±200km/h；</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14）通信协议：支持IPv6；</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15）输出数据率：≤50ms，帧率为20fps；</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★16）检测器内置GPS北斗定位模块，支持GNSS（北斗/GPS）校时，输出时间戳精度为毫秒级。支持NTP/PTP同步，同步精度为毫秒级</w:t>
            </w:r>
            <w:r>
              <w:rPr>
                <w:rFonts w:hint="eastAsia" w:ascii="宋体" w:hAnsi="宋体" w:eastAsia="宋体" w:cs="宋体"/>
                <w:color w:val="000000" w:themeColor="text1"/>
                <w:sz w:val="17"/>
                <w:szCs w:val="17"/>
                <w:highlight w:val="none"/>
                <w:lang w:bidi="ar"/>
                <w14:textFill>
                  <w14:solidFill>
                    <w14:schemeClr w14:val="tx1"/>
                  </w14:solidFill>
                </w14:textFill>
              </w:rPr>
              <w:t xml:space="preserve">（</w:t>
            </w:r>
            <w:r>
              <w:rPr>
                <w:rFonts w:hint="eastAsia" w:ascii="宋体" w:hAnsi="宋体" w:eastAsia="宋体" w:cs="宋体"/>
                <w:color w:val="000000" w:themeColor="text1"/>
                <w:sz w:val="17"/>
                <w:szCs w:val="17"/>
                <w:highlight w:val="none"/>
                <w:lang w:eastAsia="zh-CN" w:bidi="ar"/>
                <w14:textFill>
                  <w14:solidFill>
                    <w14:schemeClr w14:val="tx1"/>
                  </w14:solidFill>
                </w14:textFill>
              </w:rPr>
              <w:t xml:space="preserve">提供公安部门检测机构出具的检测报告复印件加盖公章</w:t>
            </w:r>
            <w:r>
              <w:rPr>
                <w:rFonts w:hint="eastAsia" w:ascii="宋体" w:hAnsi="宋体" w:eastAsia="宋体" w:cs="宋体"/>
                <w:color w:val="000000" w:themeColor="text1"/>
                <w:sz w:val="17"/>
                <w:szCs w:val="17"/>
                <w:highlight w:val="none"/>
                <w:lang w:bidi="ar"/>
                <w14:textFill>
                  <w14:solidFill>
                    <w14:schemeClr w14:val="tx1"/>
                  </w14:solidFill>
                </w14:textFill>
              </w:rPr>
              <w:t xml:space="preserve">）</w:t>
            </w:r>
            <w:r>
              <w:rPr>
                <w:rFonts w:hint="eastAsia" w:ascii="宋体" w:hAnsi="宋体" w:eastAsia="宋体" w:cs="宋体"/>
                <w:color w:val="000000" w:themeColor="text1"/>
                <w:sz w:val="17"/>
                <w:szCs w:val="17"/>
                <w:highlight w:val="none"/>
                <w:lang w:bidi="ar"/>
                <w14:textFill>
                  <w14:solidFill>
                    <w14:schemeClr w14:val="tx1"/>
                  </w14:solidFill>
                </w14:textFill>
              </w:rPr>
              <w:t xml:space="preserve">；</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17）浪涌（冲击）抗干扰</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18）不低于1个网络接口：100Mbps</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19）工作温度：-40℃-＋70℃；恒定湿热：（40℃）0-95％；</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20）电源：DC24V；功率≤25W；支持过压保护和防雷保护；</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21）静电抗干扰：接触放电±2KV； 空气放电：±2KV；</w:t>
            </w:r>
            <w:r>
              <w:rPr>
                <w:rFonts w:hint="eastAsia" w:ascii="宋体" w:hAnsi="宋体" w:eastAsia="宋体" w:cs="宋体"/>
                <w:color w:val="000000" w:themeColor="text1"/>
                <w:sz w:val="17"/>
                <w:szCs w:val="17"/>
                <w:highlight w:val="none"/>
                <w:lang w:bidi="ar"/>
                <w14:textFill>
                  <w14:solidFill>
                    <w14:schemeClr w14:val="tx1"/>
                  </w14:solidFill>
                </w14:textFill>
              </w:rPr>
              <w:br/>
            </w:r>
            <w:r>
              <w:rPr>
                <w:rFonts w:hint="eastAsia" w:ascii="宋体" w:hAnsi="宋体" w:eastAsia="宋体" w:cs="宋体"/>
                <w:color w:val="000000" w:themeColor="text1"/>
                <w:sz w:val="17"/>
                <w:szCs w:val="17"/>
                <w:highlight w:val="none"/>
                <w:lang w:bidi="ar"/>
                <w14:textFill>
                  <w14:solidFill>
                    <w14:schemeClr w14:val="tx1"/>
                  </w14:solidFill>
                </w14:textFill>
              </w:rPr>
              <w:t xml:space="preserve">22）防护等级达到IP67。</w:t>
            </w:r>
            <w:r/>
          </w:p>
          <w:p>
            <w:pPr>
              <w:jc w:val="left"/>
              <w:widowControl/>
              <w:rPr>
                <w:rFonts w:hint="eastAsia" w:ascii="宋体" w:hAnsi="宋体" w:eastAsia="宋体" w:cs="宋体"/>
                <w:color w:val="000000" w:themeColor="text1"/>
                <w:sz w:val="17"/>
                <w:szCs w:val="17"/>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23)软件支持(雷达配置软件)       </w:t>
            </w:r>
            <w:r>
              <w:rPr>
                <w:rFonts w:hint="eastAsia" w:ascii="宋体" w:hAnsi="宋体" w:eastAsia="宋体" w:cs="宋体"/>
                <w:color w:val="000000" w:themeColor="text1"/>
                <w:sz w:val="20"/>
                <w:szCs w:val="20"/>
                <w:highlight w:val="none"/>
                <w:lang w:bidi="ar"/>
                <w14:textFill>
                  <w14:solidFill>
                    <w14:schemeClr w14:val="tx1"/>
                  </w14:solidFill>
                </w14:textFill>
              </w:rPr>
              <w:t xml:space="preserve">                                                                                                                                                                                 1、检测断面设置功能：支持通过软件在车道上设置不低于64个检测断面，检测断面可任意设置，支持显示每个检测断面上的车流量、平均速度、时间占有率、车头时距等信息；</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交通数据统计功能：检测器具备按照车道和时段进行车辆流量、断面过车流量、平均速度、车辆类型、占有率、平均车头时距、平均排队长度、饱和度、车道空间占有率、车道时间占有率、85%位速度等数据的统计。支持按照设置的信号周期统计交通参数数据，并通过软件输出信号周期内的交通参数统计数据，所有统计数据支持以报表形式输出；</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3、车道交通状态和异常事件检测功能</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支持异常停车检测；支持逆行检测；支持变道行为检测；支持拥堵、缓行检测；支持超高速检测；支持超低速检测；支持排队超限报警、排队溢出检测；支持保持安全车距预警检测；事件检测可通过软件输出日志信息和地图中显示事件位置；</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4、支持输出检测区域内各车道的通行评价数据，包</w:t>
            </w:r>
            <w:r>
              <w:rPr>
                <w:rFonts w:hint="eastAsia" w:ascii="宋体" w:hAnsi="宋体" w:eastAsia="宋体" w:cs="宋体"/>
                <w:color w:val="000000" w:themeColor="text1"/>
                <w:sz w:val="20"/>
                <w:szCs w:val="20"/>
                <w:highlight w:val="none"/>
                <w:lang w:bidi="ar"/>
                <w14:textFill>
                  <w14:solidFill>
                    <w14:schemeClr w14:val="tx1"/>
                  </w14:solidFill>
                </w14:textFill>
              </w:rPr>
              <w:t xml:space="preserve">含最大排队长度、停车次数、延误时间等；                                                                                                                             5、支持交通目标类型识别交通目标类型：行人、非机动车、小车、大型车、超大型车；车辆类型显示功能：支持在软件界面以车辆图标大小区分超大型汽车、大型汽车、小型汽车、非机动车、行人；                        </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6、周期统计：交通统计周期可配置（0.5s-3600s）；</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7、检测器检测交通目标：支持雷达坐标系坐标与大地坐标系坐标之间的转换，支持全球坐标（GPS或北斗的位置参数导入），可输出目标GPS信息，目标航向角，目标即时速度（速度、加速度），目标经纬度信息、相对距离信息、目标属性（长度、宽度、类型、运动方向、ID编号）等，目标RCS值和目标置信度，位置精度为±0.1米；支持目标轨迹地图显示；检测器可通过上位机软件输出检测器检测到的交通目</w:t>
            </w:r>
            <w:r>
              <w:rPr>
                <w:rFonts w:hint="eastAsia" w:ascii="宋体" w:hAnsi="宋体" w:eastAsia="宋体" w:cs="宋体"/>
                <w:color w:val="000000" w:themeColor="text1"/>
                <w:sz w:val="20"/>
                <w:szCs w:val="20"/>
                <w:highlight w:val="none"/>
                <w:lang w:bidi="ar"/>
                <w14:textFill>
                  <w14:solidFill>
                    <w14:schemeClr w14:val="tx1"/>
                  </w14:solidFill>
                </w14:textFill>
              </w:rPr>
              <w:t xml:space="preserve">标ID、二维坐标（Px,Py）、纵向/横向速度(Vx,Vy)、所在车道、车辆长度、加速度等信息，具备图形化操作界面，并且可以在地图上实时显示目标位置；                                                                                                                                                    8、支持检测器参数备份和恢复功能，可通过软件下载和上传检测器参数。</w:t>
            </w:r>
            <w:r>
              <w:rPr>
                <w:rFonts w:hint="eastAsia" w:ascii="宋体" w:hAnsi="宋体" w:eastAsia="宋体" w:cs="宋体"/>
                <w:color w:val="000000" w:themeColor="text1"/>
                <w:sz w:val="17"/>
                <w:szCs w:val="17"/>
                <w:highlight w:val="none"/>
                <w:lang w:bidi="ar"/>
                <w14:textFill>
                  <w14:solidFill>
                    <w14:schemeClr w14:val="tx1"/>
                  </w14:solidFill>
                </w14:textFill>
              </w:rPr>
              <w:t xml:space="preserve">                                                                                                                                                                         </w:t>
            </w:r>
            <w:r/>
          </w:p>
        </w:tc>
        <w:tc>
          <w:tcPr>
            <w:tcW w:w="75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台</w:t>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r>
      <w:tr>
        <w:trPr>
          <w:trHeight w:val="403"/>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边缘计算集成控制设备</w:t>
            </w:r>
            <w:r/>
          </w:p>
        </w:tc>
        <w:tc>
          <w:tcPr>
            <w:tcW w:w="6350" w:type="dxa"/>
            <w:vAlign w:val="center"/>
            <w:textDirection w:val="lrTb"/>
            <w:noWrap w:val="false"/>
          </w:tcPr>
          <w:p>
            <w:pPr>
              <w:jc w:val="left"/>
              <w:spacing w:line="300" w:lineRule="exac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信号机通用控制接口适配装置，可实现多品牌、多型号信号机的统一化管理、统一化调度，进而实现可靠的实时控制、反向溢出控制等功能，从而达成整体区域协调控制功能。</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★1、可对信号机进行实时控制，对多种品牌信号机配时进行实时调整；</w:t>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提供检测机构出具的有效的检测报告复印件加盖公章</w:t>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★2、可实时监测灯控系统通讯和运行是否正常，可实时监测信号机的灯态和相位状态，同时监测雷达等设备运行状况；</w:t>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提供检测机构出具的有效的检测报告复印件加盖公章</w:t>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★3、可根据获取的交叉口车流情况实时调整信号配时方案，每个相位均可实时调整，实现与车流量需求匹配的实时感应控制，最大化路口通行效率；</w:t>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提供检测机构出具的有效的检测报告复印件加盖公章</w:t>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4、可实时监测交叉口出口道方向拥堵状况，当检测到出口道车辆排队溢出至交叉口时，立即切换放行相位，对后续驶入该出口道的车辆进行有效截流，防止交叉口“打结”,导致其他方向车辆无法通过交叉口，导致拥堵蔓延；</w:t>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提供检测机构出具的有效的检测报告复印件加盖公章</w:t>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★5、高性能嵌入式处理器+DSP，主频不低于1GHz；</w:t>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提供检测机构出具的有效的检测报告复印件加盖公章</w:t>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6、网络接口两组，每组不低于2个，可设置隔离/非隔离；RS232接口≥2个；RS485接口≥2个；支持TF卡存储；CAN接口不低于1路；IO输出接口不低于24路；</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★7、灯态检测模块支持不低于4个方向；</w:t>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提供检测机构出具的有效的检测报告复印件加盖公章</w:t>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★8、反溢功能：支持不低于4组红绿灯；</w:t>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提供检测机构出具的有效的检测报告复印件加盖公章</w:t>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9、电源及功耗 输入电源220V±20%，功耗＜100W。</w:t>
            </w:r>
            <w:r/>
          </w:p>
        </w:tc>
        <w:tc>
          <w:tcPr>
            <w:tcW w:w="75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台</w:t>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w:t>
            </w:r>
            <w:r/>
          </w:p>
        </w:tc>
      </w:tr>
      <w:tr>
        <w:trPr>
          <w:trHeight w:val="305"/>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单路口算法模块</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接收多台相控阵雷达的数据，进行综合处理，并按照信号机接口和协议进行转发。保障单路口数据的实时运算、安全传输与智能控制。</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1）信号控制功能</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可对信号机进行实时控制，对多种品牌信号机配时进行实时调整。</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2）灯控系统运行监测</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可实时监测灯控系统通讯和运行是否正常，可实时监测信号机的灯态和相位状态，同时监测雷达等设备运行状况。</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3）实时智能控制</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可根据获取的交叉口车流信息实时调整信号配时方案，每个相位均可实时调整，实现与车流量需求匹配的实时可变的交通信号智能控制，最大化路口通行效率。</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4）反向溢出控制</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可实时监测交叉口出口道方向拥堵状况，当检测到出口道车辆排队溢出至交叉口时，立即切换放行相位，对后续驶入该出口道的车辆进行有效截流，避免因“打结”导致的其他方向车辆无法通过交叉口与拥堵蔓延。</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5）线路协调控制</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通过多个路口之间的多个边缘计算控制单元协同控制，可实现线路协调控制，可根据交通流状况，执行不同的线路协调策略，包括线路动态绿波协调、线路拥堵协调控制、过饱和反溢截流控制。</w:t>
            </w:r>
            <w:r/>
          </w:p>
        </w:tc>
        <w:tc>
          <w:tcPr>
            <w:tcW w:w="750" w:type="dxa"/>
            <w:vAlign w:val="center"/>
            <w:vMerge w:val="restart"/>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套</w:t>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w:t>
            </w:r>
            <w:r/>
          </w:p>
        </w:tc>
      </w:tr>
      <w:tr>
        <w:trPr>
          <w:trHeight w:val="138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4</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运维模块</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实时故障监测报警模块监测设备工作故障状态，对故障能及时报警：</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1、系统运行状态实时监测；</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2、异常报警日志；</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3、RS485接口不低于 2个；</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4、网络接口 不低于 1个。</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w:t>
            </w:r>
            <w:r/>
          </w:p>
        </w:tc>
      </w:tr>
      <w:tr>
        <w:trPr>
          <w:trHeight w:val="352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5</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视频摄像机</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1、靶面尺寸为1/3英寸，包含内置麦克风、报警输入接口、报警输出接口、音频输入接口、音频输出接口、具有RJ45网络接口；</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2、支持电源电源在DC12V±25%范围内变化时正常工作，支持POE；</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3、支持2560*1440@25fps,水平分辨力不小于1400TVL；</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4、最低照度彩色：0.005 lx，最大亮度鉴别等级不小于11级；</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5、支持H.264、H.265视频编码格式，且具有High Profile编码能力；</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6、具有RTSP和WEB认证模式，具有RTSP认证、WEB认证摘要信息加密设置，加密算法可设置为MD5、SHA256及MD5/SHA256；</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7、</w:t>
            </w:r>
            <w:r>
              <w:rPr>
                <w:rFonts w:hint="eastAsia" w:ascii="宋体" w:hAnsi="宋体" w:eastAsia="宋体" w:cs="宋体"/>
                <w:color w:val="000000" w:themeColor="text1"/>
                <w:spacing w:val="-6"/>
                <w:sz w:val="20"/>
                <w:szCs w:val="20"/>
                <w:highlight w:val="none"/>
                <w:lang w:bidi="ar"/>
                <w14:textFill>
                  <w14:solidFill>
                    <w14:schemeClr w14:val="tx1"/>
                  </w14:solidFill>
                </w14:textFill>
              </w:rPr>
              <w:t xml:space="preserve">具有数字降噪、镜像功能、电子放大、可伸缩编码SVC、透雾等功能</w:t>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8、同一静止场景相同图像质量下，设备在H.264或H.265编码方式时，开启智能编码功能和不开启智能编码相比，码率节约不低于80%；</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9、红外补光距离不低于30米；</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10、支持拾音距离10米处声级不小于70dB的声音</w:t>
            </w:r>
            <w:r/>
          </w:p>
        </w:tc>
        <w:tc>
          <w:tcPr>
            <w:tcW w:w="75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台</w:t>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r>
      <w:tr>
        <w:trPr>
          <w:trHeight w:val="2188"/>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6</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倒计时复合疏导屏</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1、尺寸：1290mm*980mm*100mm，象素间距：5mm ×5mm（P5），扫描方式： 1/5扫，色彩：全彩，象素组成：1R1G1B，显示屏有效面积 ：1280mm*960mm，显示屏行列数：256列×192行，显示屏分辨率： 5000象素/ m2，显示屏亮度： ≥7000cd/m2，显示屏刷新频率： ≥75HZ，</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2、显示内容 显示屏基底为黑色，可显示红、绿、黄三色。交通诱导屏可显示多种点阵的汉字、英文字母、数字和其他字符。字体、粗细、大小尺寸、字符间距、距屏两侧距离均可调。可显示简单图形或带灰度图片，显示闪烁的亮、灭时间须分别在1秒-30秒之间可调。所显示字符、图形的视认性符合交通标志标线GB5768-2009的要求；</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3、可视距离：静态≥200M，动态≥100M，可视角度：水平视角≥30°，垂直视角≥30°，通信接口：具有10M/100M自</w:t>
            </w:r>
            <w:r>
              <w:rPr>
                <w:rFonts w:hint="eastAsia" w:ascii="宋体" w:hAnsi="宋体" w:eastAsia="宋体" w:cs="宋体"/>
                <w:color w:val="000000" w:themeColor="text1"/>
                <w:sz w:val="20"/>
                <w:szCs w:val="20"/>
                <w:highlight w:val="none"/>
                <w:lang w:bidi="ar"/>
                <w14:textFill>
                  <w14:solidFill>
                    <w14:schemeClr w14:val="tx1"/>
                  </w14:solidFill>
                </w14:textFill>
              </w:rPr>
              <w:t xml:space="preserve">适应网络接口（RJ45口），通信方式：支持TCP/IP协议的网络通讯，通信速率：网络通讯时10M/100M自适应，显示屏最大功耗 ：≤500W/㎡，失控率 ：组合象素失控率≤1‰，亮度调节 ：亮度调整为32级，具有手动和自动（根据外界光强）两种调整方式优先级从高到低为：手动—程序—自动，工作电压： AC220V±20%  50Hz±2HZ，工作环境：温度：-40℃-70℃；湿度：10%-98%RH，LED的MTBF ：≥100000小时，显示单元MTBF： ≥30000小时，结构强度：可抗40m/s的大风；</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4、平整度 在显示屏的显示模块内各象素排列均匀、平整、各象素点间距误差±0.5mm，不平整度±1mm/m2；</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5、防护等级 箱体表面喷塑，具有防腐、防锈、防水、防尘的功能，防护等级符合GB4208-84中IP65标准；</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6、电磁兼容性 达到IEC801三级以上。                                                          </w:t>
            </w:r>
            <w:r>
              <w:rPr>
                <w:rFonts w:hint="eastAsia" w:ascii="宋体" w:hAnsi="宋体" w:eastAsia="宋体" w:cs="宋体"/>
                <w:color w:val="000000" w:themeColor="text1"/>
                <w:sz w:val="20"/>
                <w:szCs w:val="20"/>
                <w:highlight w:val="none"/>
                <w:lang w:bidi="ar"/>
                <w14:textFill>
                  <w14:solidFill>
                    <w14:schemeClr w14:val="tx1"/>
                  </w14:solidFill>
                </w14:textFill>
              </w:rPr>
              <w:t xml:space="preserve">                                                                                                                                                                                  功能要求：1、倒计时复合疏导屏需与建湖市已有交通信号控制机和交通控制平台兼容，可实现交通倒计时显示功能、宣传标语/图案显示功能和实时交通诱导路况显示等功能。</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2、倒计时复合疏导屏需具备实时接收雷达、视频等车辆检测器获取的车流量数据的功能，根据车流量数据自动计算、显示道路拥堵信息和路况地图。</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3、倒计时复合疏导屏需具备从高德地图、百度地图、腾讯地图等国内主流地图软件平台实时获取路况信息的功能，并自动计算、显示道路拥堵信息和路况地图。                                                                                                                                                 </w:t>
            </w:r>
            <w:r>
              <w:rPr>
                <w:rFonts w:hint="eastAsia" w:ascii="宋体" w:hAnsi="宋体" w:eastAsia="宋体" w:cs="宋体"/>
                <w:color w:val="000000" w:themeColor="text1"/>
                <w:sz w:val="20"/>
                <w:szCs w:val="20"/>
                <w:highlight w:val="none"/>
                <w:lang w:bidi="ar"/>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倒计时复合疏导屏软硬件符合</w:t>
            </w:r>
            <w:r>
              <w:rPr>
                <w:rFonts w:hint="eastAsia" w:ascii="宋体" w:hAnsi="宋体" w:eastAsia="宋体" w:cs="宋体"/>
                <w:color w:val="000000" w:themeColor="text1"/>
                <w:sz w:val="20"/>
                <w:szCs w:val="20"/>
                <w:highlight w:val="none"/>
                <w:lang w:bidi="ar"/>
                <w14:textFill>
                  <w14:solidFill>
                    <w14:schemeClr w14:val="tx1"/>
                  </w14:solidFill>
                </w14:textFill>
              </w:rPr>
              <w:t xml:space="preserve">GA/T 508-2014《道路交通信号倒计时显示器》</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要求</w:t>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p>
        </w:tc>
        <w:tc>
          <w:tcPr>
            <w:tcW w:w="75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块</w:t>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r>
      <w:tr>
        <w:trPr>
          <w:trHeight w:val="57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7</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箭头组合信号灯组</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1、信号灯规格：Φ500mm，红黄绿独立单元显示。</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2、材质要求：采用铝合金壳体，黑色，要求表面光洁，无开裂、银丝等现象，保证长时间室外使用无氧化、锈蚀现象。</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3、安装要求：信号灯两端应配转向齿轮，180度旋转，弯脚支架采用热镀锌。</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4、信号灯单元</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（1）采用四元素高亮度LED发光二极管；</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（2）LED灯珠波长红595±5（nm），黄管625±5（nm）,绿管505±5（nm），发光颜色符合《道路交通信号灯》GB14887-2011色度标准；</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（3）满屏灯中心光强≥800CD，光强分布符合《道路交通信号灯》GB14887-2011标准；</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（4）信号灯采用先串后并模式，独立限流电阻，单串发光管串联数量≤6颗，保证少数几颗发光管损坏不影响整体指示效果；</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（5）可视宽距不低于：250m；</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（6）LED平均寿命不低于：7万小时；</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（7）温度：-40C～+60C，湿度：10%～95%。</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5、电气指标</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（1）电源适配性：90～260VAC；</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（2）单灯功率≤25W；</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（3）功率因素≥0.9；</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（4）启动瞬间电流≤2A；</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6、电气安全指标</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（1）信号灯带电部件与壳体之间绝缘电阻≥500MΩ；</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（2）泄漏电流≤0.1mA。</w:t>
            </w:r>
            <w:r/>
          </w:p>
        </w:tc>
        <w:tc>
          <w:tcPr>
            <w:tcW w:w="75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组</w:t>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r>
      <w:tr>
        <w:trPr>
          <w:trHeight w:val="92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8</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倒计时复合疏导屏服务端发送软件</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1、多源数据融合：支持接入高德/百度/腾讯地图API，实时获取路网拥堵状态；支持接入雷达/视频检测器数据；</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2、信号联动计算：具备接收信号机相位数据功能，能根据实时绿灯剩余时间自动计算并生成倒计时数据流；</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3、智能诱导算法：支持根据实时路况自动生成诱导路径图及文字标语（如“前方拥堵，建议绕行”）。</w:t>
            </w:r>
            <w:r/>
          </w:p>
        </w:tc>
        <w:tc>
          <w:tcPr>
            <w:tcW w:w="750" w:type="dxa"/>
            <w:vAlign w:val="center"/>
            <w:vMerge w:val="restart"/>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项</w:t>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w:t>
            </w:r>
            <w:r/>
          </w:p>
        </w:tc>
      </w:tr>
      <w:tr>
        <w:trPr>
          <w:trHeight w:val="285"/>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9</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倒计时复合疏导屏客户端信息编辑软件</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1、诱导信息可视化编辑：提供“所见即所得”的编辑界面，支持用户自定义交通标语文字、字体、颜色及排版布局；</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2、交通图标库管理：内置符合国标的交通标志矢量图库（如绕行箭头、车道指示、停车场标志），支持图标的缩放、旋转及组合编辑；</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3、路况示意图绘制：支持绘制简易路网拓扑图，可自定义路段颜色（代表拥堵等级）及节点状态，用于直观展示路况信息。</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w:t>
            </w:r>
            <w:r/>
          </w:p>
        </w:tc>
      </w:tr>
      <w:tr>
        <w:trPr>
          <w:trHeight w:val="122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10</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倒计时复合疏导屏客户端信信息发布软件</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 诱导内容发布：主要用于编辑发布交通拥堵路况信息、交通标语、交通标志等诱导信息内容，支持单条或多条信息轮播设置；</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 远程控制：支持通过网络远程将编辑好的诱导方案下发至屏体，并控制屏体亮度、开关机及重启；</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3. 状态监测反馈：具备远程监测屏体工作状态及通讯链路状态的功能。</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w:t>
            </w:r>
            <w:r/>
          </w:p>
        </w:tc>
      </w:tr>
      <w:tr>
        <w:trPr>
          <w:trHeight w:val="600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11</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圆盘组合信号灯组</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1、信号灯规格：Φ500mm，红黄绿独立单元显示。</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2、材质要求：采用铝合金壳体，黑色，要求表面光洁，无开裂、银丝等现象，保证长时间室外使用无氧化、锈蚀现象。</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3、安装要求：信号灯两端应配转向齿轮，180度旋转，弯脚支架采用热镀锌。</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4、信号灯单元</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（1）采用四元素高亮度LED发光二极管；</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（2）LED灯珠波长红595±5（nm），黄管625±5（nm）,绿管505±5（nm），发光颜色符合《道路交通信号灯》GB14887-2011色度标准；</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（3）满屏灯中心光强≥800CD，光强分布符合《道路交通信号灯》GB14887-2011标准；</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（4）信号灯采用先串后并模式，独立限流电阻，单串发光管串联数量≤6颗，保证少数几颗发光管损坏不影响整体指示效果；</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5）可视宽距不低于：250m；</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（6）LED平均寿命不低于：7万小时；</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（7）温度：-40C～+60C，湿度：10%～95%。</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5、电气指标</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（1）电源适配性：90～260VAC；</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（2）单灯功率≤25W；</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（3）功率因素≥0.9；</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（4）启动瞬间电流≤2A；</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6、电气安全指标</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（1）信号灯带电部件与壳体之间绝缘电阻≥500MΩ；</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（2）泄漏电流≤0.1mA。</w:t>
            </w:r>
            <w:r/>
          </w:p>
        </w:tc>
        <w:tc>
          <w:tcPr>
            <w:tcW w:w="75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组</w:t>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信号灯双横臂F型信号灯杆件</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等径热镀锌喷塑杆件：立杆高度7.3米，上横臂10米，下横臂9.5米，立杆壁厚Φ8mm,横臂Φ6mm</w:t>
            </w:r>
            <w:r/>
          </w:p>
        </w:tc>
        <w:tc>
          <w:tcPr>
            <w:tcW w:w="750" w:type="dxa"/>
            <w:vAlign w:val="center"/>
            <w:vMerge w:val="restart"/>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根</w:t>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4</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13</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L型等径立杆</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等径热镀锌喷塑杆件：立杆高度7.3米，横臂3米，立杆壁厚Φ6mm,横臂Φ4mm</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14</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立杆基础</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基础尺寸≥1.5米×1.5米×1.5米，地笼规格不低于8-M24-1200MM，（含开挖、地笼、商混C25、回填等）</w:t>
            </w:r>
            <w:r/>
          </w:p>
        </w:tc>
        <w:tc>
          <w:tcPr>
            <w:tcW w:w="75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座</w:t>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5</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15</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接地设备</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5*5镀锌角铁，长2米</w:t>
            </w:r>
            <w:r/>
          </w:p>
        </w:tc>
        <w:tc>
          <w:tcPr>
            <w:tcW w:w="75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根</w:t>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4</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16</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信号灯电缆</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国标RVVSP2*1.0</w:t>
            </w:r>
            <w:r/>
          </w:p>
        </w:tc>
        <w:tc>
          <w:tcPr>
            <w:tcW w:w="750" w:type="dxa"/>
            <w:vAlign w:val="center"/>
            <w:vMerge w:val="restart"/>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米</w:t>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1350</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17</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信号灯电缆</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国标RVV8*1.0</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300</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18</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信号灯电缆</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国标RVV16*1.0</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750</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19</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电源线</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国标RVV2*1.5</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1350</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20</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更换主电源线</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国标RVV2*4，注：如遇原路口主电源线线径过小需更换，保证新安装的电子警察设备正常工作</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300</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21</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网线</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国标室外双层防水超五类</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1050</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22</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光纤</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国标室外12芯（单模）</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1050</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23</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光纤收发器</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国标千兆单模单纤20公里</w:t>
            </w:r>
            <w:r/>
          </w:p>
        </w:tc>
        <w:tc>
          <w:tcPr>
            <w:tcW w:w="75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对</w:t>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24</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抱杆箱</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500*380*220铁制镀锌喷塑，表层喷塑，定制面板内容</w:t>
            </w:r>
            <w:r/>
          </w:p>
        </w:tc>
        <w:tc>
          <w:tcPr>
            <w:tcW w:w="750" w:type="dxa"/>
            <w:vAlign w:val="center"/>
            <w:vMerge w:val="restart"/>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只</w:t>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25</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8口工业级交换机</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8口 1000Mbps 全千兆智能交换机</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26</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摄像机支架</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鸭嘴支架</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27</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摄像机电源</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电源：100VAC～240VAC；频率：48Hz～52Hz，12V输出</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28</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双P</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220V32A，国标</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29</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多孔插座</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10A6插位，国标</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30</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防雷器</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220V国标</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31</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自动复位重合闸开关</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工作电流：1A-63A可调，额定电压：AC230V,漏电保护值：10-99mA，过压保护：AC230-300V,欠压保护器：AC150-190V.</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32</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路牙，绿化带人工开挖</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路牙施工需选将牙砖清空后开挖，待施工完成后需要将牙砖铺设到位，保证恢复原样。</w:t>
            </w:r>
            <w:r/>
          </w:p>
        </w:tc>
        <w:tc>
          <w:tcPr>
            <w:tcW w:w="750" w:type="dxa"/>
            <w:vAlign w:val="center"/>
            <w:vMerge w:val="restart"/>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米</w:t>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450</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33</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顶管</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PE50单管，国标</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450</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34</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PE管</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双管，国标φ50</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450</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35</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手井</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50*50(含井圈、砌井、辅材等）</w:t>
            </w:r>
            <w:r/>
          </w:p>
        </w:tc>
        <w:tc>
          <w:tcPr>
            <w:tcW w:w="75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座</w:t>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36</w:t>
            </w:r>
            <w:r/>
          </w:p>
        </w:tc>
        <w:tc>
          <w:tcPr>
            <w:shd w:val="clear" w:color="auto" w:fill="ffffff"/>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辅材</w:t>
            </w:r>
            <w:r/>
          </w:p>
        </w:tc>
        <w:tc>
          <w:tcPr>
            <w:shd w:val="clear" w:color="auto" w:fill="ffffff"/>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更换信号机及信号灯必备辅材。</w:t>
            </w:r>
            <w:r/>
          </w:p>
        </w:tc>
        <w:tc>
          <w:tcPr>
            <w:shd w:val="clear" w:color="auto" w:fill="ffffff"/>
            <w:tcW w:w="75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批</w:t>
            </w:r>
            <w:r/>
          </w:p>
        </w:tc>
        <w:tc>
          <w:tcPr>
            <w:shd w:val="clear" w:color="auto" w:fill="ffffff"/>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37</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渣土清理费</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根据采购人要求清理。</w:t>
            </w:r>
            <w:r/>
          </w:p>
        </w:tc>
        <w:tc>
          <w:tcPr>
            <w:tcW w:w="75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项</w:t>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38</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施工费</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含登高车、吊车、施工必备辅材、光纤熔接等</w:t>
            </w:r>
            <w:r/>
          </w:p>
        </w:tc>
        <w:tc>
          <w:tcPr>
            <w:tcW w:w="750" w:type="dxa"/>
            <w:vAlign w:val="center"/>
            <w:vMerge w:val="restart"/>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路口</w:t>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w:t>
            </w:r>
            <w:r/>
          </w:p>
        </w:tc>
      </w:tr>
      <w:tr>
        <w:trPr>
          <w:trHeight w:val="660"/>
        </w:trPr>
        <w:tc>
          <w:tcPr>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39</w:t>
            </w:r>
            <w:r/>
          </w:p>
        </w:tc>
        <w:tc>
          <w:tcPr>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调试费</w:t>
            </w:r>
            <w:r/>
          </w:p>
        </w:tc>
        <w:tc>
          <w:tcPr>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满足采购人要求</w:t>
            </w:r>
            <w:r/>
          </w:p>
        </w:tc>
        <w:tc>
          <w:tcPr>
            <w:tcW w:w="750" w:type="dxa"/>
            <w:vAlign w:val="center"/>
            <w:vMerge w:val="continue"/>
            <w:textDirection w:val="lrTb"/>
            <w:noWrap w:val="false"/>
          </w:tcPr>
          <w:p>
            <w:pPr>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w:t>
            </w:r>
            <w:r/>
          </w:p>
        </w:tc>
      </w:tr>
      <w:tr>
        <w:trPr>
          <w:trHeight w:val="660"/>
        </w:trPr>
        <w:tc>
          <w:tcPr>
            <w:tcW w:w="480" w:type="dxa"/>
            <w:vAlign w:val="center"/>
            <w:textDirection w:val="lrTb"/>
            <w:noWrap w:val="false"/>
          </w:tcPr>
          <w:p>
            <w:pPr>
              <w:jc w:val="center"/>
              <w:widowControl/>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B</w:t>
            </w:r>
            <w:r/>
          </w:p>
        </w:tc>
        <w:tc>
          <w:tcPr>
            <w:gridSpan w:val="4"/>
            <w:tcW w:w="8701" w:type="dxa"/>
            <w:vAlign w:val="center"/>
            <w:textDirection w:val="lrTb"/>
            <w:noWrap w:val="false"/>
          </w:tcPr>
          <w:p>
            <w:pPr>
              <w:jc w:val="center"/>
              <w:widowControl/>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更换信控优化路口老旧信号机3台</w:t>
            </w:r>
            <w:r/>
          </w:p>
        </w:tc>
      </w:tr>
      <w:tr>
        <w:trPr>
          <w:trHeight w:val="2900"/>
        </w:trPr>
        <w:tc>
          <w:tcPr>
            <w:shd w:val="clear" w:color="auto" w:fill="ffffff"/>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w:t>
            </w:r>
            <w:r/>
          </w:p>
        </w:tc>
        <w:tc>
          <w:tcPr>
            <w:shd w:val="clear" w:color="auto" w:fill="ffffff"/>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交通信号灯控制机</w:t>
            </w:r>
            <w:r>
              <w:rPr>
                <w:rFonts w:hint="eastAsia" w:ascii="宋体" w:hAnsi="宋体" w:eastAsia="宋体" w:cs="宋体"/>
                <w:b/>
                <w:bCs/>
                <w:color w:val="000000" w:themeColor="text1"/>
                <w:sz w:val="20"/>
                <w:szCs w:val="20"/>
                <w:highlight w:val="none"/>
                <w:lang w:bidi="ar"/>
                <w14:textFill>
                  <w14:solidFill>
                    <w14:schemeClr w14:val="tx1"/>
                  </w14:solidFill>
                </w14:textFill>
              </w:rPr>
              <w:t xml:space="preserve">（核心产品）</w:t>
            </w:r>
            <w:r/>
          </w:p>
        </w:tc>
        <w:tc>
          <w:tcPr>
            <w:shd w:val="clear" w:color="auto" w:fill="ffffff"/>
            <w:tcW w:w="6350" w:type="dxa"/>
            <w:vAlign w:val="center"/>
            <w:textDirection w:val="lrTb"/>
            <w:noWrap w:val="false"/>
          </w:tcPr>
          <w:p>
            <w:pPr>
              <w:jc w:val="left"/>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★1、新增设的交通信号机必须无缝接入建湖县公安局交通管理大队交通指挥中心现有信控平台集中控制。投标时投标人需提供对接承诺函。</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2、支持VIP特勤功能（VIP特勤功能必须与城区内现有信号机实现无缝对接联网）。</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3、信号机支持手机APP无线连接配置功能，提供全中文操作人机界面，可使智能手机连接至信号机，设置和查询方案，并且支持手机远程遥控功能。</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4、信号机具备联网和离线两种全自动特勤车辆优先功能，联网状态下信号机支持车载移动终端及手机APP软件采集车队位置、车速、方向等信息；离线状态需车载特勤设备能够与信号机直接无线通讯，且无线通讯距离不低于1公里。</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5、信号机手动控制面板不得采用使用寿命较短的薄膜式按键，需使用寿命更长的防水轻触点动式按键。</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6、信号机具备可变车道控制功能。</w:t>
            </w:r>
            <w:r>
              <w:rPr>
                <w:rFonts w:hint="eastAsia" w:ascii="宋体" w:hAnsi="宋体" w:eastAsia="宋体" w:cs="宋体"/>
                <w:color w:val="000000" w:themeColor="text1"/>
                <w:sz w:val="20"/>
                <w:szCs w:val="20"/>
                <w:highlight w:val="none"/>
                <w:lang w:bidi="ar"/>
                <w14:textFill>
                  <w14:solidFill>
                    <w14:schemeClr w14:val="tx1"/>
                  </w14:solidFill>
                </w14:textFill>
              </w:rPr>
              <w:br/>
            </w:r>
            <w:r>
              <w:rPr>
                <w:rFonts w:hint="eastAsia" w:ascii="宋体" w:hAnsi="宋体" w:eastAsia="宋体" w:cs="宋体"/>
                <w:color w:val="000000" w:themeColor="text1"/>
                <w:sz w:val="20"/>
                <w:szCs w:val="20"/>
                <w:highlight w:val="none"/>
                <w:lang w:bidi="ar"/>
                <w14:textFill>
                  <w14:solidFill>
                    <w14:schemeClr w14:val="tx1"/>
                  </w14:solidFill>
                </w14:textFill>
              </w:rPr>
              <w:t xml:space="preserve">7、集中协调式交通信号机，具有区域联网控制和单点控制（单点优化、无缆线控、感应控制、多时段定时控制、黄闪控制、全红控制、关灯控制、手控）等多种工作方式，标配提供48路灯输出（含机箱）。</w:t>
            </w:r>
            <w:r/>
          </w:p>
        </w:tc>
        <w:tc>
          <w:tcPr>
            <w:shd w:val="clear" w:color="auto" w:fill="ffffff"/>
            <w:tcW w:w="75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台</w:t>
            </w:r>
            <w:r/>
          </w:p>
        </w:tc>
        <w:tc>
          <w:tcPr>
            <w:shd w:val="clear" w:color="auto" w:fill="ffffff"/>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w:t>
            </w:r>
            <w:r/>
          </w:p>
        </w:tc>
      </w:tr>
      <w:tr>
        <w:trPr>
          <w:trHeight w:val="660"/>
        </w:trPr>
        <w:tc>
          <w:tcPr>
            <w:shd w:val="clear" w:color="auto" w:fill="ffffff"/>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w:t>
            </w:r>
            <w:r/>
          </w:p>
        </w:tc>
        <w:tc>
          <w:tcPr>
            <w:shd w:val="clear" w:color="auto" w:fill="ffffff"/>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信号机基础</w:t>
            </w:r>
            <w:r/>
          </w:p>
        </w:tc>
        <w:tc>
          <w:tcPr>
            <w:shd w:val="clear" w:color="auto" w:fill="ffffff"/>
            <w:tcW w:w="635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根据信号机底座尺寸定制，基础高出地面30公分，砖砌、粉刷。</w:t>
            </w:r>
            <w:r/>
          </w:p>
        </w:tc>
        <w:tc>
          <w:tcPr>
            <w:shd w:val="clear" w:color="auto" w:fill="ffffff"/>
            <w:tcW w:w="75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座</w:t>
            </w:r>
            <w:r/>
          </w:p>
        </w:tc>
        <w:tc>
          <w:tcPr>
            <w:shd w:val="clear" w:color="auto" w:fill="ffffff"/>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w:t>
            </w:r>
            <w:r/>
          </w:p>
        </w:tc>
      </w:tr>
      <w:tr>
        <w:trPr>
          <w:trHeight w:val="660"/>
        </w:trPr>
        <w:tc>
          <w:tcPr>
            <w:shd w:val="clear" w:color="auto" w:fill="ffffff"/>
            <w:tcW w:w="48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w:t>
            </w:r>
            <w:r/>
          </w:p>
        </w:tc>
        <w:tc>
          <w:tcPr>
            <w:shd w:val="clear" w:color="auto" w:fill="ffffff"/>
            <w:tcW w:w="86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更换信号机、信号灯安装及调试</w:t>
            </w:r>
            <w:r/>
          </w:p>
        </w:tc>
        <w:tc>
          <w:tcPr>
            <w:shd w:val="clear" w:color="auto" w:fill="ffffff"/>
            <w:tcW w:w="635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中标方负责将老旧信号机拆除更换，同时将老旧信号机安装至城区外相应调整的路口。包含安装调试确保更换点位信号灯正常工作。将路口旧灯拆除更换新灯并调试至正常运行。</w:t>
            </w:r>
            <w:r/>
          </w:p>
        </w:tc>
        <w:tc>
          <w:tcPr>
            <w:tcW w:w="750"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路口</w:t>
            </w:r>
            <w:r/>
          </w:p>
        </w:tc>
        <w:tc>
          <w:tcPr>
            <w:shd w:val="clear" w:color="auto" w:fill="ffffff"/>
            <w:tcW w:w="735"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w:t>
            </w:r>
            <w:r/>
          </w:p>
        </w:tc>
      </w:tr>
    </w:tbl>
    <w:p>
      <w:pPr>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上述加★项为重要参数，需提供相关证明材料的（清单中注明材料的按照清单中的要求提供），在该项目中标公示上网之日起1个工作日内，向采购人提供相关检测报告原件核查。如未提供或提供的原件与投标时提供的证明材料不一致，将被视为在投标过程中提供虚假材料谋取中标成交，列入不良行为记录名单。</w:t>
      </w:r>
      <w:r/>
    </w:p>
    <w:p>
      <w:pPr>
        <w:ind w:left="2" w:firstLine="477"/>
        <w:spacing w:line="480" w:lineRule="exact"/>
        <w:shd w:val="clear" w:color="auto" w:fill="ffffff" w:themeFill="background1"/>
        <w:rPr>
          <w:rFonts w:hint="eastAsia" w:ascii="宋体" w:hAnsi="宋体" w:eastAsia="宋体"/>
          <w:b/>
          <w:bCs/>
          <w:color w:val="000000" w:themeColor="text1"/>
          <w:sz w:val="24"/>
          <w:szCs w:val="20"/>
          <w:highlight w:val="none"/>
          <w14:textFill>
            <w14:solidFill>
              <w14:schemeClr w14:val="tx1"/>
            </w14:solidFill>
          </w14:textFill>
        </w:rPr>
      </w:pPr>
      <w:r/>
      <w:bookmarkStart w:id="25" w:name="_Toc2809"/>
      <w:r>
        <w:rPr>
          <w:rFonts w:hint="eastAsia" w:ascii="宋体" w:hAnsi="宋体" w:eastAsia="宋体"/>
          <w:b/>
          <w:bCs/>
          <w:color w:val="000000" w:themeColor="text1"/>
          <w:sz w:val="24"/>
          <w:szCs w:val="20"/>
          <w:highlight w:val="none"/>
          <w14:textFill>
            <w14:solidFill>
              <w14:schemeClr w14:val="tx1"/>
            </w14:solidFill>
          </w14:textFill>
        </w:rPr>
        <w:t xml:space="preserve">三、服务保障和承诺要求</w:t>
      </w:r>
      <w:bookmarkEnd w:id="25"/>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1、供应商必须严格按照本次招标技术参数要求进行合理报价并供货，如后期出现验收不合格情形视同虚假承诺谋取中标成交，将被列入不良行为记录名单。</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2、所有产品所报配置为主要配置，其他按标准配置配备，均为原厂原装产品，不得在原厂标准配置的基础上减少或降低技术配置。</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3、本项目在建设过程及质保期间无需驻场人员，但供应商在项目建设周期内需组织一个长期稳定服务团队，其中项目核心技术人员要完全投入到本项目中，并且整个项目团队的人员要相对稳定，必须确保项目顺利如期实施、交付并通过验收。</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4、供应商自行承担运输、安装、调试、售后服务等全过程中的所有安全责任。</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5、所有产品免费质保期为三年，投标单位需提供及时服务，免费质保期间出现的问题，必须以优良的服务态度，便利快捷的方式在2小时内响应，12个小时内到达现场，24小时内修复。如需要更换设备或送修，必须在7日内完成，并提供备品。质保期满后出现的问题，也应以优良的服务态度，便利快捷的方式为采购方解决问题。</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6、供应商在设备安装过程中涉及第三方产品知识产权情况，若出现技术、经济或法律上的纠纷，应由供应商全面承担并全权解决，并确保不影响项目的进度。</w:t>
      </w:r>
      <w:bookmarkEnd w:id="24"/>
      <w:r/>
    </w:p>
    <w:p>
      <w:pPr>
        <w:ind w:left="2" w:firstLine="477"/>
        <w:spacing w:line="480" w:lineRule="exact"/>
        <w:shd w:val="clear" w:color="auto" w:fill="ffffff" w:themeFill="background1"/>
        <w:rPr>
          <w:rFonts w:hint="eastAsia" w:ascii="宋体" w:hAnsi="宋体" w:eastAsia="宋体"/>
          <w:b/>
          <w:bCs/>
          <w:color w:val="000000" w:themeColor="text1"/>
          <w:sz w:val="24"/>
          <w:szCs w:val="20"/>
          <w:highlight w:val="none"/>
          <w14:textFill>
            <w14:solidFill>
              <w14:schemeClr w14:val="tx1"/>
            </w14:solidFill>
          </w14:textFill>
        </w:rPr>
      </w:pPr>
      <w:r>
        <w:rPr>
          <w:rFonts w:hint="eastAsia" w:ascii="宋体" w:hAnsi="宋体" w:eastAsia="宋体"/>
          <w:b/>
          <w:bCs/>
          <w:color w:val="000000" w:themeColor="text1"/>
          <w:sz w:val="24"/>
          <w:szCs w:val="20"/>
          <w:highlight w:val="none"/>
          <w14:textFill>
            <w14:solidFill>
              <w14:schemeClr w14:val="tx1"/>
            </w14:solidFill>
          </w14:textFill>
        </w:rPr>
        <w:t xml:space="preserve">四、采购标的对应的中小企业划分标准所属行业一览表</w:t>
      </w:r>
      <w:r/>
    </w:p>
    <w:tbl>
      <w:tblPr>
        <w:tblStyle w:val="713"/>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3600"/>
        <w:gridCol w:w="4739"/>
      </w:tblGrid>
      <w:tr>
        <w:trPr>
          <w:jc w:val="center"/>
          <w:trHeight w:val="542"/>
        </w:trPr>
        <w:tc>
          <w:tcPr>
            <w:tcW w:w="780" w:type="dxa"/>
            <w:textDirection w:val="lrTb"/>
            <w:noWrap w:val="false"/>
          </w:tcPr>
          <w:p>
            <w:pPr>
              <w:ind w:left="2"/>
              <w:jc w:val="center"/>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序号</w:t>
            </w:r>
            <w:r/>
          </w:p>
        </w:tc>
        <w:tc>
          <w:tcPr>
            <w:tcW w:w="3600" w:type="dxa"/>
            <w:textDirection w:val="lrTb"/>
            <w:noWrap w:val="false"/>
          </w:tcPr>
          <w:p>
            <w:pPr>
              <w:ind w:left="2"/>
              <w:jc w:val="center"/>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采购标的</w:t>
            </w:r>
            <w:r/>
          </w:p>
        </w:tc>
        <w:tc>
          <w:tcPr>
            <w:tcW w:w="4739" w:type="dxa"/>
            <w:textDirection w:val="lrTb"/>
            <w:noWrap w:val="false"/>
          </w:tcPr>
          <w:p>
            <w:pPr>
              <w:ind w:left="2"/>
              <w:jc w:val="center"/>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对应中小企业划分标准所属行业</w:t>
            </w:r>
            <w:r/>
          </w:p>
        </w:tc>
      </w:tr>
      <w:tr>
        <w:trPr>
          <w:jc w:val="center"/>
          <w:trHeight w:val="542"/>
        </w:trPr>
        <w:tc>
          <w:tcPr>
            <w:tcW w:w="780" w:type="dxa"/>
            <w:textDirection w:val="lrTb"/>
            <w:noWrap w:val="false"/>
          </w:tcPr>
          <w:p>
            <w:pPr>
              <w:ind w:left="2"/>
              <w:jc w:val="center"/>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1</w:t>
            </w:r>
            <w:r/>
          </w:p>
        </w:tc>
        <w:tc>
          <w:tcPr>
            <w:tcW w:w="3600" w:type="dxa"/>
            <w:textDirection w:val="lrTb"/>
            <w:noWrap w:val="false"/>
          </w:tcPr>
          <w:p>
            <w:pPr>
              <w:ind w:left="2"/>
              <w:jc w:val="center"/>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清单中所有产品标的</w:t>
            </w:r>
            <w:r/>
          </w:p>
        </w:tc>
        <w:tc>
          <w:tcPr>
            <w:tcW w:w="4739" w:type="dxa"/>
            <w:textDirection w:val="lrTb"/>
            <w:noWrap w:val="false"/>
          </w:tcPr>
          <w:p>
            <w:pPr>
              <w:ind w:left="2"/>
              <w:jc w:val="center"/>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工业</w:t>
            </w:r>
            <w:r/>
          </w:p>
        </w:tc>
      </w:tr>
    </w:tbl>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4"/>
        <w:shd w:val="clear" w:color="auto" w:fill="ffffff" w:themeFill="background1"/>
        <w:rPr>
          <w:color w:val="000000" w:themeColor="text1"/>
          <w:highlight w:val="none"/>
          <w14:textFill>
            <w14:solidFill>
              <w14:schemeClr w14:val="tx1"/>
            </w14:solidFill>
          </w14:textFill>
        </w:rPr>
      </w:pPr>
      <w:r/>
      <w:bookmarkStart w:id="26" w:name="_Toc13372"/>
      <w:r>
        <w:rPr>
          <w:rFonts w:hint="eastAsia"/>
          <w:color w:val="000000" w:themeColor="text1"/>
          <w:highlight w:val="none"/>
          <w14:textFill>
            <w14:solidFill>
              <w14:schemeClr w14:val="tx1"/>
            </w14:solidFill>
          </w14:textFill>
        </w:rPr>
        <w:t xml:space="preserve">第四章 评标办法及评分标准</w:t>
      </w:r>
      <w:bookmarkEnd w:id="26"/>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一、评标办法：综合评分法。</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3、总得分最高的即为中标候选人。</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4、推荐的中标候选人数：1名。</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二、小微企业优惠情况：</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1、对小型和微型企业产品最后价格给予20%的扣除，用扣除后的价格参与评审。 </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如项目为工程类或服务类，施工单位/服务全部由符合政策要求的小微企业承接，对其总报价给予20%的扣除，用扣除后的价格参与价格评审。</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2、供应商须按照采购文件要求提供相应的《企业声明函》（格式附后），不提供声明函或有弄虚作假的，将依法承担相应责任。</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3、企业标准请参照《关于印发中小企业划型标准规定的通知》（工信部联企业【2011】300号）文件规定自行填写。</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4、以上规定未尽事项，按《政府采购促进中小企业发展管理办法》 （财库【2020】46号）等有关制度规定执行。</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5、采购本国产品的支持政策</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5.1 本项目政府采购活动中既有本国产品又有非本国产品参与竞争的，依法对本国产品给予价格评审优惠，对本国产品的报价给予 20%的价格扣除，用扣除后的价格参与评审。</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5.2当采购项目或者采购包中含有多种产品，供应商为该采购项目或者采购包提供的符合本国产品标准的产品成本之和占该供应商提供的全部产品成本之和的比例达到80%以上时（供应商需在“第七部分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5.3供应商需按照招标文件的要求提供《关于符合本国产品标准的声明函》（以下简称《声明函》），如不提供将不享受本国产品价格评审优惠。</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三、残疾人福利单位价格扣除：</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1、本项目对残疾人福利性单位视同小型、微型企业，给予20%的价格扣除，用扣除后的价格参与评审。</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2、残疾人福利单位需按照采购文件的要求提供《残疾人福利性单位声明函》（格式附后）。</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3、残疾人福利单位标准请参照《关于促进残疾人就业政府采购政策的通知》（财库〔2017〕141号）。</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四、监狱和戒毒企业价格扣除：</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1、本项目对监狱和戒毒企业（简称监狱企业）视同小型、微型企业，给予20%的价格扣除，用扣除后的价格参与评审。</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3、监狱企业标准请参照《关于政府采购支持监狱企业发展有关问题的通知》（财库[2014]68号）。</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五、残疾人福利单位、监狱企业属于小型、微型企业的，不重复享受政策。</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六、严格执行政府采购关于支持</w:t>
      </w:r>
      <w:r>
        <w:rPr>
          <w:rFonts w:hint="eastAsia" w:ascii="宋体" w:hAnsi="宋体" w:eastAsia="宋体"/>
          <w:color w:val="000000" w:themeColor="text1"/>
          <w:sz w:val="24"/>
          <w:szCs w:val="20"/>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七、执行投标产品的商品包装、快递包装相关政策：供应商对于投标产品的商品包装、快递包装应按照“关于印发《商品包装政府采购需求标准（试行）》、《快递包装政府采购需求标准（试行）》的通知（财办库〔2020〕123号）”执行 。</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八、执行数据中心采购相关政策：若涉及到数据中心采购，应按照“关于印发《绿色数据中心政府采购需求标准（试行）》的通知（财库〔2023〕7号）”执行。</w:t>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九、评标细则（总分值为100分）</w:t>
      </w:r>
      <w:r/>
    </w:p>
    <w:tbl>
      <w:tblPr>
        <w:tblStyle w:val="713"/>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075"/>
        <w:gridCol w:w="6443"/>
        <w:gridCol w:w="882"/>
      </w:tblGrid>
      <w:tr>
        <w:trPr>
          <w:jc w:val="center"/>
          <w:trHeight w:val="478"/>
        </w:trPr>
        <w:tc>
          <w:tcPr>
            <w:tcW w:w="673" w:type="dxa"/>
            <w:vAlign w:val="center"/>
            <w:textDirection w:val="lrTb"/>
            <w:noWrap w:val="false"/>
          </w:tcPr>
          <w:p>
            <w:pPr>
              <w:jc w:val="center"/>
              <w:spacing w:line="440" w:lineRule="exact"/>
              <w:shd w:val="clear" w:color="auto" w:fill="ffffff" w:themeFill="background1"/>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1075" w:type="dxa"/>
            <w:vAlign w:val="center"/>
            <w:textDirection w:val="lrTb"/>
            <w:noWrap w:val="false"/>
          </w:tcPr>
          <w:p>
            <w:pPr>
              <w:jc w:val="center"/>
              <w:spacing w:line="440" w:lineRule="exact"/>
              <w:shd w:val="clear" w:color="auto" w:fill="ffffff" w:themeFill="background1"/>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评分项</w:t>
            </w:r>
            <w:r/>
          </w:p>
        </w:tc>
        <w:tc>
          <w:tcPr>
            <w:tcW w:w="6443" w:type="dxa"/>
            <w:vAlign w:val="center"/>
            <w:textDirection w:val="lrTb"/>
            <w:noWrap w:val="false"/>
          </w:tcPr>
          <w:p>
            <w:pPr>
              <w:jc w:val="center"/>
              <w:spacing w:line="440" w:lineRule="exact"/>
              <w:shd w:val="clear" w:color="auto" w:fill="ffffff" w:themeFill="background1"/>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评分内容</w:t>
            </w:r>
            <w:r/>
          </w:p>
        </w:tc>
        <w:tc>
          <w:tcPr>
            <w:tcW w:w="882" w:type="dxa"/>
            <w:vAlign w:val="center"/>
            <w:textDirection w:val="lrTb"/>
            <w:noWrap w:val="false"/>
          </w:tcPr>
          <w:p>
            <w:pPr>
              <w:jc w:val="center"/>
              <w:spacing w:line="440" w:lineRule="exact"/>
              <w:shd w:val="clear" w:color="auto" w:fill="ffffff" w:themeFill="background1"/>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备注</w:t>
            </w:r>
            <w:r/>
          </w:p>
        </w:tc>
      </w:tr>
      <w:tr>
        <w:trPr>
          <w:jc w:val="center"/>
          <w:trHeight w:val="1518"/>
        </w:trPr>
        <w:tc>
          <w:tcPr>
            <w:tcW w:w="673"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1</w:t>
            </w:r>
            <w:r/>
          </w:p>
        </w:tc>
        <w:tc>
          <w:tcPr>
            <w:tcW w:w="1075" w:type="dxa"/>
            <w:vAlign w:val="center"/>
            <w:textDirection w:val="lrTb"/>
            <w:noWrap w:val="false"/>
          </w:tcPr>
          <w:p>
            <w:pPr>
              <w:jc w:val="cente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投标报价</w:t>
            </w:r>
            <w:r/>
          </w:p>
          <w:p>
            <w:pPr>
              <w:jc w:val="cente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（30分）</w:t>
            </w:r>
            <w:r/>
          </w:p>
        </w:tc>
        <w:tc>
          <w:tcPr>
            <w:tcW w:w="6443" w:type="dxa"/>
            <w:vAlign w:val="center"/>
            <w:textDirection w:val="lrTb"/>
            <w:noWrap w:val="false"/>
          </w:tcPr>
          <w:p>
            <w:pP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满足招标文件要求且投标价格最低的有效投标报价为评标基准价，其价格分为满分30分。其他投标人的价格分统一按照下列公式计算：投标报价得分=(评标基准价/投标报价）×30，结果保留两位小数(有效投标文件是指未被评标委员会判定为无效标的投标文件）。注：小微企业优惠政策详见本文第四部分第二项“小微企业优惠情况”。</w:t>
            </w:r>
            <w:r/>
          </w:p>
        </w:tc>
        <w:tc>
          <w:tcPr>
            <w:tcW w:w="882" w:type="dxa"/>
            <w:vAlign w:val="center"/>
            <w:textDirection w:val="lrTb"/>
            <w:noWrap w:val="false"/>
          </w:tcPr>
          <w:p>
            <w:pPr>
              <w:ind w:firstLine="480"/>
              <w:jc w:val="center"/>
              <w:spacing w:line="40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r>
      <w:tr>
        <w:trPr>
          <w:jc w:val="center"/>
          <w:trHeight w:val="1585"/>
        </w:trPr>
        <w:tc>
          <w:tcPr>
            <w:tcW w:w="673"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2</w:t>
            </w:r>
            <w:r/>
          </w:p>
        </w:tc>
        <w:tc>
          <w:tcPr>
            <w:tcW w:w="1075" w:type="dxa"/>
            <w:vAlign w:val="center"/>
            <w:textDirection w:val="lrTb"/>
            <w:noWrap w:val="false"/>
          </w:tcPr>
          <w:p>
            <w:pPr>
              <w:jc w:val="cente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企业业绩</w:t>
            </w:r>
            <w:r/>
          </w:p>
          <w:p>
            <w:pPr>
              <w:jc w:val="cente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（6分）</w:t>
            </w:r>
            <w:r/>
          </w:p>
        </w:tc>
        <w:tc>
          <w:tcPr>
            <w:tcW w:w="6443" w:type="dxa"/>
            <w:vAlign w:val="center"/>
            <w:textDirection w:val="lrTb"/>
            <w:noWrap w:val="false"/>
          </w:tcPr>
          <w:p>
            <w:pP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投标人自2022年6月1日以来（以合同签订时间为准）承接过类似项目业绩，每提供一份得3分，本项最高得6分，须提供中标通知书原件彩色扫描件、服务合同原件彩色扫描件及验收报告证明原件彩色扫描件，未提供或提供不全的不得分。注：上述类似业绩是指投标人所提供的业绩，须与本项目采购内容类似的项目业绩。</w:t>
            </w:r>
            <w:r/>
          </w:p>
        </w:tc>
        <w:tc>
          <w:tcPr>
            <w:tcW w:w="882" w:type="dxa"/>
            <w:vAlign w:val="center"/>
            <w:textDirection w:val="lrTb"/>
            <w:noWrap w:val="false"/>
          </w:tcPr>
          <w:p>
            <w:pPr>
              <w:ind w:firstLine="480"/>
              <w:jc w:val="center"/>
              <w:spacing w:after="120" w:line="40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r>
      <w:tr>
        <w:trPr>
          <w:jc w:val="center"/>
          <w:trHeight w:val="1585"/>
        </w:trPr>
        <w:tc>
          <w:tcPr>
            <w:tcW w:w="673"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3</w:t>
            </w:r>
            <w:r/>
          </w:p>
        </w:tc>
        <w:tc>
          <w:tcPr>
            <w:tcW w:w="1075" w:type="dxa"/>
            <w:vAlign w:val="center"/>
            <w:textDirection w:val="lrTb"/>
            <w:noWrap w:val="false"/>
          </w:tcPr>
          <w:p>
            <w:pPr>
              <w:jc w:val="cente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企业实力</w:t>
            </w:r>
            <w:r>
              <w:rPr>
                <w:rFonts w:hint="eastAsia" w:ascii="宋体" w:hAnsi="宋体" w:eastAsia="宋体" w:cs="宋体"/>
                <w:color w:val="000000" w:themeColor="text1"/>
                <w:sz w:val="20"/>
                <w:szCs w:val="20"/>
                <w:highlight w:val="none"/>
                <w14:textFill>
                  <w14:solidFill>
                    <w14:schemeClr w14:val="tx1"/>
                  </w14:solidFill>
                </w14:textFill>
              </w:rPr>
              <w:br/>
            </w:r>
            <w:r>
              <w:rPr>
                <w:rFonts w:hint="eastAsia" w:ascii="宋体" w:hAnsi="宋体" w:eastAsia="宋体" w:cs="宋体"/>
                <w:color w:val="000000" w:themeColor="text1"/>
                <w:sz w:val="20"/>
                <w:szCs w:val="20"/>
                <w:highlight w:val="none"/>
                <w14:textFill>
                  <w14:solidFill>
                    <w14:schemeClr w14:val="tx1"/>
                  </w14:solidFill>
                </w14:textFill>
              </w:rPr>
              <w:t xml:space="preserve">（2分）</w:t>
            </w:r>
            <w:r/>
          </w:p>
        </w:tc>
        <w:tc>
          <w:tcPr>
            <w:tcW w:w="6443" w:type="dxa"/>
            <w:vAlign w:val="center"/>
            <w:textDirection w:val="lrTb"/>
            <w:noWrap w:val="false"/>
          </w:tcPr>
          <w:p>
            <w:pP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1、投标人具有质量管理体系认证证书的得1分，须提供原件扫描件，未提供的不得分；</w:t>
            </w:r>
            <w:r/>
          </w:p>
          <w:p>
            <w:pP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2、投标人具有信息安全管理体系认证证书的得1分，须提供原件扫描件，未提供的不得分。</w:t>
            </w:r>
            <w:r/>
          </w:p>
          <w:p>
            <w:pP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认证证书须在全国认证认可信息公共服务平台网站可查询网址http://cx.cnca.cn/CertECloud/index/index/page。</w:t>
            </w:r>
            <w:r/>
          </w:p>
        </w:tc>
        <w:tc>
          <w:tcPr>
            <w:tcW w:w="882" w:type="dxa"/>
            <w:vAlign w:val="center"/>
            <w:textDirection w:val="lrTb"/>
            <w:noWrap w:val="false"/>
          </w:tcPr>
          <w:p>
            <w:pPr>
              <w:ind w:firstLine="480"/>
              <w:jc w:val="center"/>
              <w:spacing w:after="120" w:line="40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r>
      <w:tr>
        <w:trPr>
          <w:jc w:val="center"/>
          <w:trHeight w:val="699"/>
        </w:trPr>
        <w:tc>
          <w:tcPr>
            <w:tcW w:w="673"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4</w:t>
            </w:r>
            <w:r/>
          </w:p>
        </w:tc>
        <w:tc>
          <w:tcPr>
            <w:tcW w:w="1075" w:type="dxa"/>
            <w:vAlign w:val="center"/>
            <w:textDirection w:val="lrTb"/>
            <w:noWrap w:val="false"/>
          </w:tcPr>
          <w:p>
            <w:pPr>
              <w:jc w:val="cente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技术参数</w:t>
            </w:r>
            <w:r/>
          </w:p>
          <w:p>
            <w:pPr>
              <w:jc w:val="cente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（46分）</w:t>
            </w:r>
            <w:r/>
          </w:p>
        </w:tc>
        <w:tc>
          <w:tcPr>
            <w:tcW w:w="6443" w:type="dxa"/>
            <w:vAlign w:val="center"/>
            <w:textDirection w:val="lrTb"/>
            <w:noWrap w:val="false"/>
          </w:tcPr>
          <w:p>
            <w:pP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根据各投标人对本次招标技术参数部分响应情况进行评定。投标人的所有技术参数满足招标要求的得满分46分。技术参数中加“★”部分重要指标，全部满足招标要求的得30分，出现负偏离有一项扣2分；技术参数中除加“★”以外的其它条款为一般技术指标，全部满足招标要求的得16分，出现负偏离有一项扣0.12分。</w:t>
            </w:r>
            <w:r/>
          </w:p>
          <w:p>
            <w:pP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注：</w:t>
            </w:r>
            <w:r>
              <w:rPr>
                <w:rFonts w:hint="eastAsia" w:ascii="宋体" w:hAnsi="宋体" w:eastAsia="宋体" w:cs="宋体"/>
                <w:color w:val="000000" w:themeColor="text1"/>
                <w:sz w:val="20"/>
                <w:szCs w:val="20"/>
                <w:highlight w:val="none"/>
                <w14:textFill>
                  <w14:solidFill>
                    <w14:schemeClr w14:val="tx1"/>
                  </w14:solidFill>
                </w14:textFill>
              </w:rPr>
              <w:fldChar w:fldCharType="begin"/>
            </w:r>
            <w:r>
              <w:rPr>
                <w:rFonts w:hint="eastAsia" w:ascii="宋体" w:hAnsi="宋体" w:eastAsia="宋体" w:cs="宋体"/>
                <w:color w:val="000000" w:themeColor="text1"/>
                <w:sz w:val="20"/>
                <w:szCs w:val="20"/>
                <w:highlight w:val="none"/>
                <w14:textFill>
                  <w14:solidFill>
                    <w14:schemeClr w14:val="tx1"/>
                  </w14:solidFill>
                </w14:textFill>
              </w:rPr>
              <w:instrText xml:space="preserve"> = 1 \* GB3 \* MERGEFORMAT </w:instrText>
            </w:r>
            <w:r>
              <w:rPr>
                <w:rFonts w:hint="eastAsia" w:ascii="宋体" w:hAnsi="宋体" w:eastAsia="宋体" w:cs="宋体"/>
                <w:color w:val="000000" w:themeColor="text1"/>
                <w:sz w:val="20"/>
                <w:szCs w:val="20"/>
                <w:highlight w:val="none"/>
                <w14:textFill>
                  <w14:solidFill>
                    <w14:schemeClr w14:val="tx1"/>
                  </w14:solidFill>
                </w14:textFill>
              </w:rPr>
              <w:fldChar w:fldCharType="separate"/>
            </w:r>
            <w:r>
              <w:rPr>
                <w:rFonts w:hint="eastAsia" w:ascii="宋体" w:hAnsi="宋体" w:eastAsia="宋体" w:cs="宋体"/>
                <w:color w:val="000000" w:themeColor="text1"/>
                <w:sz w:val="20"/>
                <w:szCs w:val="20"/>
                <w:highlight w:val="none"/>
                <w14:textFill>
                  <w14:solidFill>
                    <w14:schemeClr w14:val="tx1"/>
                  </w14:solidFill>
                </w14:textFill>
              </w:rPr>
              <w:t xml:space="preserve">①</w:t>
            </w:r>
            <w:r>
              <w:rPr>
                <w:rFonts w:hint="eastAsia" w:ascii="宋体" w:hAnsi="宋体" w:eastAsia="宋体" w:cs="宋体"/>
                <w:color w:val="000000" w:themeColor="text1"/>
                <w:sz w:val="20"/>
                <w:szCs w:val="20"/>
                <w:highlight w:val="none"/>
                <w14:textFill>
                  <w14:solidFill>
                    <w14:schemeClr w14:val="tx1"/>
                  </w14:solidFill>
                </w14:textFill>
              </w:rPr>
              <w:fldChar w:fldCharType="end"/>
            </w:r>
            <w:r>
              <w:rPr>
                <w:rFonts w:hint="eastAsia" w:ascii="宋体" w:hAnsi="宋体" w:eastAsia="宋体" w:cs="宋体"/>
                <w:color w:val="000000" w:themeColor="text1"/>
                <w:sz w:val="20"/>
                <w:szCs w:val="20"/>
                <w:highlight w:val="none"/>
                <w14:textFill>
                  <w14:solidFill>
                    <w14:schemeClr w14:val="tx1"/>
                  </w14:solidFill>
                </w14:textFill>
              </w:rPr>
              <w:t xml:space="preserve">技术参数要求提供的证明材料的以证明材料复印件加盖投标单位公章为准，其他参数以提供的技术参数响应表加盖投标单位公章为准；</w:t>
            </w:r>
            <w:r/>
          </w:p>
          <w:p>
            <w:pPr>
              <w:spacing w:line="380" w:lineRule="exact"/>
              <w:shd w:val="clear" w:color="auto" w:fill="ffffff" w:themeFill="background1"/>
              <w:rPr>
                <w:rFonts w:hint="eastAsia" w:ascii="宋体" w:hAnsi="宋体" w:cs="华文中宋"/>
                <w:b/>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 </w:t>
            </w:r>
            <w:r>
              <w:rPr>
                <w:rFonts w:hint="eastAsia" w:ascii="宋体" w:hAnsi="宋体" w:eastAsia="宋体" w:cs="宋体"/>
                <w:color w:val="000000" w:themeColor="text1"/>
                <w:sz w:val="20"/>
                <w:szCs w:val="20"/>
                <w:highlight w:val="none"/>
                <w14:textFill>
                  <w14:solidFill>
                    <w14:schemeClr w14:val="tx1"/>
                  </w14:solidFill>
                </w14:textFill>
              </w:rPr>
              <w:fldChar w:fldCharType="begin"/>
            </w:r>
            <w:r>
              <w:rPr>
                <w:rFonts w:hint="eastAsia" w:ascii="宋体" w:hAnsi="宋体" w:eastAsia="宋体" w:cs="宋体"/>
                <w:color w:val="000000" w:themeColor="text1"/>
                <w:sz w:val="20"/>
                <w:szCs w:val="20"/>
                <w:highlight w:val="none"/>
                <w14:textFill>
                  <w14:solidFill>
                    <w14:schemeClr w14:val="tx1"/>
                  </w14:solidFill>
                </w14:textFill>
              </w:rPr>
              <w:instrText xml:space="preserve"> = 2 \* GB3 \* MERGEFORMAT </w:instrText>
            </w:r>
            <w:r>
              <w:rPr>
                <w:rFonts w:hint="eastAsia" w:ascii="宋体" w:hAnsi="宋体" w:eastAsia="宋体" w:cs="宋体"/>
                <w:color w:val="000000" w:themeColor="text1"/>
                <w:sz w:val="20"/>
                <w:szCs w:val="20"/>
                <w:highlight w:val="none"/>
                <w14:textFill>
                  <w14:solidFill>
                    <w14:schemeClr w14:val="tx1"/>
                  </w14:solidFill>
                </w14:textFill>
              </w:rPr>
              <w:fldChar w:fldCharType="separate"/>
            </w:r>
            <w:r>
              <w:rPr>
                <w:rFonts w:hint="eastAsia" w:ascii="宋体" w:hAnsi="宋体" w:eastAsia="宋体" w:cs="宋体"/>
                <w:color w:val="000000" w:themeColor="text1"/>
                <w:sz w:val="20"/>
                <w:szCs w:val="20"/>
                <w:highlight w:val="none"/>
                <w14:textFill>
                  <w14:solidFill>
                    <w14:schemeClr w14:val="tx1"/>
                  </w14:solidFill>
                </w14:textFill>
              </w:rPr>
              <w:t xml:space="preserve">②</w:t>
            </w:r>
            <w:r>
              <w:rPr>
                <w:rFonts w:hint="eastAsia" w:ascii="宋体" w:hAnsi="宋体" w:eastAsia="宋体" w:cs="宋体"/>
                <w:color w:val="000000" w:themeColor="text1"/>
                <w:sz w:val="20"/>
                <w:szCs w:val="20"/>
                <w:highlight w:val="none"/>
                <w14:textFill>
                  <w14:solidFill>
                    <w14:schemeClr w14:val="tx1"/>
                  </w14:solidFill>
                </w14:textFill>
              </w:rPr>
              <w:fldChar w:fldCharType="end"/>
            </w:r>
            <w:r>
              <w:rPr>
                <w:rFonts w:hint="eastAsia" w:ascii="宋体" w:hAnsi="宋体" w:eastAsia="宋体" w:cs="宋体"/>
                <w:color w:val="000000" w:themeColor="text1"/>
                <w:sz w:val="20"/>
                <w:szCs w:val="20"/>
                <w:highlight w:val="none"/>
                <w14:textFill>
                  <w14:solidFill>
                    <w14:schemeClr w14:val="tx1"/>
                  </w14:solidFill>
                </w14:textFill>
              </w:rPr>
              <w:t xml:space="preserve">技术参数中每一编号项的要求为一项。</w:t>
            </w:r>
            <w:r/>
          </w:p>
        </w:tc>
        <w:tc>
          <w:tcPr>
            <w:tcW w:w="882" w:type="dxa"/>
            <w:vAlign w:val="center"/>
            <w:textDirection w:val="lrTb"/>
            <w:noWrap w:val="false"/>
          </w:tcPr>
          <w:p>
            <w:pPr>
              <w:ind w:firstLine="480"/>
              <w:jc w:val="center"/>
              <w:spacing w:after="120"/>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r>
      <w:tr>
        <w:trPr>
          <w:jc w:val="center"/>
          <w:trHeight w:val="699"/>
        </w:trPr>
        <w:tc>
          <w:tcPr>
            <w:tcW w:w="673"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5</w:t>
            </w:r>
            <w:r/>
          </w:p>
        </w:tc>
        <w:tc>
          <w:tcPr>
            <w:tcW w:w="1075" w:type="dxa"/>
            <w:vAlign w:val="center"/>
            <w:textDirection w:val="lrTb"/>
            <w:noWrap w:val="false"/>
          </w:tcPr>
          <w:p>
            <w:pPr>
              <w:jc w:val="cente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人员实力</w:t>
            </w:r>
            <w:r/>
          </w:p>
          <w:p>
            <w:pPr>
              <w:jc w:val="cente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（4分）</w:t>
            </w:r>
            <w:r/>
          </w:p>
        </w:tc>
        <w:tc>
          <w:tcPr>
            <w:tcW w:w="6443" w:type="dxa"/>
            <w:vAlign w:val="center"/>
            <w:textDirection w:val="lrTb"/>
            <w:noWrap w:val="false"/>
          </w:tcPr>
          <w:p>
            <w:pP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1、投标人拟任项目负责人具有信息系统项目管理师证书得2分；</w:t>
            </w:r>
            <w:r/>
          </w:p>
          <w:p>
            <w:pP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2、投标人拟派项目组成员中（除项目负责人外）具有系统集成项目管理工程师证书的，有一人得1分，最高得2分。</w:t>
            </w:r>
            <w:r/>
          </w:p>
          <w:p>
            <w:pP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注：上述1-2提供以上人员身份证及相应证书原件扫描件及由社保机构出具的开标前近1个月社保的证明材料或缴纳社会养老保险的承诺函加盖投标人公章，否则不计分。如未提供或提供的原件与投标时提供的证明材料不一致，将被视为在投标过程中提供虚假材料谋取中标成交，列入不良行为记录名单。</w:t>
            </w:r>
            <w:r/>
          </w:p>
        </w:tc>
        <w:tc>
          <w:tcPr>
            <w:tcW w:w="882" w:type="dxa"/>
            <w:vAlign w:val="center"/>
            <w:textDirection w:val="lrTb"/>
            <w:noWrap w:val="false"/>
          </w:tcPr>
          <w:p>
            <w:pPr>
              <w:ind w:firstLine="480"/>
              <w:jc w:val="center"/>
              <w:spacing w:after="120"/>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r>
      <w:tr>
        <w:trPr>
          <w:jc w:val="center"/>
          <w:trHeight w:val="1040"/>
        </w:trPr>
        <w:tc>
          <w:tcPr>
            <w:tcW w:w="673" w:type="dxa"/>
            <w:vAlign w:val="center"/>
            <w:textDirection w:val="lrTb"/>
            <w:noWrap w:val="false"/>
          </w:tcPr>
          <w:p>
            <w:pPr>
              <w:ind w:firstLine="200"/>
              <w:spacing w:line="36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6</w:t>
            </w:r>
            <w:r/>
          </w:p>
        </w:tc>
        <w:tc>
          <w:tcPr>
            <w:tcW w:w="1075" w:type="dxa"/>
            <w:vAlign w:val="center"/>
            <w:textDirection w:val="lrTb"/>
            <w:noWrap w:val="false"/>
          </w:tcPr>
          <w:p>
            <w:pPr>
              <w:jc w:val="cente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实施</w:t>
            </w:r>
            <w:r/>
          </w:p>
          <w:p>
            <w:pPr>
              <w:jc w:val="cente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方案</w:t>
            </w:r>
            <w:r/>
          </w:p>
          <w:p>
            <w:pPr>
              <w:jc w:val="cente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（10分）</w:t>
            </w:r>
            <w:r/>
          </w:p>
        </w:tc>
        <w:tc>
          <w:tcPr>
            <w:tcW w:w="6443" w:type="dxa"/>
            <w:vAlign w:val="center"/>
            <w:textDirection w:val="lrTb"/>
            <w:noWrap w:val="false"/>
          </w:tcPr>
          <w:p>
            <w:pP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1、评标委员会根据各投标人项目实施方案中产品供货方案进行评定，提供有针对性的、科学有效的产品供货方案，至少包含：①供货周期及进度计划；②进度保证措施；③安装调试方案。投标人应在投标文件“实施方案”中设置专节来对上述3项内容作出响应性说明，每项为1分共3分，每缺一项说明或者说明内容与项目无关扣1分。</w:t>
            </w:r>
            <w:r>
              <w:rPr>
                <w:rFonts w:hint="eastAsia" w:ascii="宋体" w:hAnsi="宋体" w:eastAsia="宋体" w:cs="宋体"/>
                <w:color w:val="000000" w:themeColor="text1"/>
                <w:sz w:val="20"/>
                <w:szCs w:val="20"/>
                <w:highlight w:val="none"/>
                <w14:textFill>
                  <w14:solidFill>
                    <w14:schemeClr w14:val="tx1"/>
                  </w14:solidFill>
                </w14:textFill>
              </w:rPr>
              <w:br/>
            </w:r>
            <w:r>
              <w:rPr>
                <w:rFonts w:hint="eastAsia" w:ascii="宋体" w:hAnsi="宋体" w:eastAsia="宋体" w:cs="宋体"/>
                <w:color w:val="000000" w:themeColor="text1"/>
                <w:sz w:val="20"/>
                <w:szCs w:val="20"/>
                <w:highlight w:val="none"/>
                <w14:textFill>
                  <w14:solidFill>
                    <w14:schemeClr w14:val="tx1"/>
                  </w14:solidFill>
                </w14:textFill>
              </w:rPr>
              <w:t xml:space="preserve">2、评标委员会根据各投标人项目实施方案中售后服务方案进行评定，提供有针对性的、完整合理的售后服务方案至少包含：①人员配置情况；②对故障的接受工作制度和机制；③售后服务的响应时间；</w:t>
            </w:r>
            <w:r>
              <w:rPr>
                <w:rFonts w:hint="eastAsia" w:ascii="宋体" w:hAnsi="宋体" w:eastAsia="宋体" w:cs="宋体"/>
                <w:color w:val="000000" w:themeColor="text1"/>
                <w:sz w:val="20"/>
                <w:szCs w:val="20"/>
                <w:highlight w:val="none"/>
                <w14:textFill>
                  <w14:solidFill>
                    <w14:schemeClr w14:val="tx1"/>
                  </w14:solidFill>
                </w14:textFill>
              </w:rPr>
              <w:fldChar w:fldCharType="begin"/>
            </w:r>
            <w:r>
              <w:rPr>
                <w:rFonts w:hint="eastAsia" w:ascii="宋体" w:hAnsi="宋体" w:eastAsia="宋体" w:cs="宋体"/>
                <w:color w:val="000000" w:themeColor="text1"/>
                <w:sz w:val="20"/>
                <w:szCs w:val="20"/>
                <w:highlight w:val="none"/>
                <w14:textFill>
                  <w14:solidFill>
                    <w14:schemeClr w14:val="tx1"/>
                  </w14:solidFill>
                </w14:textFill>
              </w:rPr>
              <w:instrText xml:space="preserve"> = 4 \* GB3 \* MERGEFORMAT </w:instrText>
            </w:r>
            <w:r>
              <w:rPr>
                <w:rFonts w:hint="eastAsia" w:ascii="宋体" w:hAnsi="宋体" w:eastAsia="宋体" w:cs="宋体"/>
                <w:color w:val="000000" w:themeColor="text1"/>
                <w:sz w:val="20"/>
                <w:szCs w:val="20"/>
                <w:highlight w:val="none"/>
                <w14:textFill>
                  <w14:solidFill>
                    <w14:schemeClr w14:val="tx1"/>
                  </w14:solidFill>
                </w14:textFill>
              </w:rPr>
              <w:fldChar w:fldCharType="separate"/>
            </w:r>
            <w:r>
              <w:rPr>
                <w:rFonts w:hint="eastAsia" w:ascii="宋体" w:hAnsi="宋体" w:eastAsia="宋体" w:cs="宋体"/>
                <w:color w:val="000000" w:themeColor="text1"/>
                <w:sz w:val="20"/>
                <w:szCs w:val="20"/>
                <w:highlight w:val="none"/>
                <w14:textFill>
                  <w14:solidFill>
                    <w14:schemeClr w14:val="tx1"/>
                  </w14:solidFill>
                </w14:textFill>
              </w:rPr>
              <w:t xml:space="preserve">④</w:t>
            </w:r>
            <w:r>
              <w:rPr>
                <w:rFonts w:hint="eastAsia" w:ascii="宋体" w:hAnsi="宋体" w:eastAsia="宋体" w:cs="宋体"/>
                <w:color w:val="000000" w:themeColor="text1"/>
                <w:sz w:val="20"/>
                <w:szCs w:val="20"/>
                <w:highlight w:val="none"/>
                <w14:textFill>
                  <w14:solidFill>
                    <w14:schemeClr w14:val="tx1"/>
                  </w14:solidFill>
                </w14:textFill>
              </w:rPr>
              <w:fldChar w:fldCharType="end"/>
            </w:r>
            <w:r>
              <w:rPr>
                <w:rFonts w:hint="eastAsia" w:ascii="宋体" w:hAnsi="宋体" w:eastAsia="宋体" w:cs="宋体"/>
                <w:color w:val="000000" w:themeColor="text1"/>
                <w:sz w:val="20"/>
                <w:szCs w:val="20"/>
                <w:highlight w:val="none"/>
                <w14:textFill>
                  <w14:solidFill>
                    <w14:schemeClr w14:val="tx1"/>
                  </w14:solidFill>
                </w14:textFill>
              </w:rPr>
              <w:t xml:space="preserve">排除故障时间。投标人应在投标文件“实施方案”中设置专节来对上述4项内容作出响应性说明，每项为1分共4分，每缺一项说明或者说明内容与项目无关扣1分。</w:t>
            </w:r>
            <w:r>
              <w:rPr>
                <w:rFonts w:hint="eastAsia" w:ascii="宋体" w:hAnsi="宋体" w:eastAsia="宋体" w:cs="宋体"/>
                <w:color w:val="000000" w:themeColor="text1"/>
                <w:sz w:val="20"/>
                <w:szCs w:val="20"/>
                <w:highlight w:val="none"/>
                <w14:textFill>
                  <w14:solidFill>
                    <w14:schemeClr w14:val="tx1"/>
                  </w14:solidFill>
                </w14:textFill>
              </w:rPr>
              <w:br/>
            </w:r>
            <w:r>
              <w:rPr>
                <w:rFonts w:hint="eastAsia" w:ascii="宋体" w:hAnsi="宋体" w:eastAsia="宋体" w:cs="宋体"/>
                <w:color w:val="000000" w:themeColor="text1"/>
                <w:sz w:val="20"/>
                <w:szCs w:val="20"/>
                <w:highlight w:val="none"/>
                <w14:textFill>
                  <w14:solidFill>
                    <w14:schemeClr w14:val="tx1"/>
                  </w14:solidFill>
                </w14:textFill>
              </w:rPr>
              <w:t xml:space="preserve">3、评标委员会根据各投标人项目实施方案中人员培训方案进行评定，提供有针对性的、科学合理的产品人员培训方案，至少包含：①日常保养和定期保养培训；②业务技术功能培训；③常见故障处理培训。投标人应在投标文件“实施方案”中设置专节来对上述3项内容作出响应性说明，每项为1分共3分，每缺一项说明或者说明内容与项目无关扣1分。</w:t>
            </w:r>
            <w:r/>
          </w:p>
        </w:tc>
        <w:tc>
          <w:tcPr>
            <w:tcW w:w="882" w:type="dxa"/>
            <w:vAlign w:val="center"/>
            <w:textDirection w:val="lrTb"/>
            <w:noWrap w:val="false"/>
          </w:tcPr>
          <w:p>
            <w:pPr>
              <w:ind w:firstLine="480"/>
              <w:jc w:val="center"/>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r>
      <w:tr>
        <w:trPr>
          <w:jc w:val="center"/>
          <w:trHeight w:val="1040"/>
        </w:trPr>
        <w:tc>
          <w:tcPr>
            <w:tcW w:w="673" w:type="dxa"/>
            <w:vAlign w:val="center"/>
            <w:textDirection w:val="lrTb"/>
            <w:noWrap w:val="false"/>
          </w:tcPr>
          <w:p>
            <w:pPr>
              <w:ind w:firstLine="200"/>
              <w:spacing w:line="36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7</w:t>
            </w:r>
            <w:r/>
          </w:p>
        </w:tc>
        <w:tc>
          <w:tcPr>
            <w:tcW w:w="1075" w:type="dxa"/>
            <w:vAlign w:val="center"/>
            <w:textDirection w:val="lrTb"/>
            <w:noWrap w:val="false"/>
          </w:tcPr>
          <w:p>
            <w:pPr>
              <w:jc w:val="cente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节能</w:t>
            </w:r>
            <w:r/>
          </w:p>
          <w:p>
            <w:pPr>
              <w:jc w:val="cente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环保</w:t>
            </w:r>
            <w:r/>
          </w:p>
          <w:p>
            <w:pPr>
              <w:jc w:val="center"/>
              <w:spacing w:line="380" w:lineRule="exact"/>
              <w:shd w:val="clear" w:color="auto" w:fill="ffffff" w:themeFill="background1"/>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（2分）</w:t>
            </w:r>
            <w:r/>
          </w:p>
        </w:tc>
        <w:tc>
          <w:tcPr>
            <w:tcW w:w="6443" w:type="dxa"/>
            <w:vAlign w:val="center"/>
            <w:textDirection w:val="lrTb"/>
            <w:noWrap w:val="false"/>
          </w:tcPr>
          <w:p>
            <w:pP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spacing w:line="380" w:lineRule="exact"/>
              <w:shd w:val="clear" w:color="auto" w:fill="ffffff" w:themeFill="background1"/>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②投标产品属于财政部、生态环境部公布的“环境标志产品品目清单”范围内的，投标人提供国家确定的认证机构出具的、处于有效期内的该环保产品认证证书复印件的，有1个得0.5分，最多得1分。</w:t>
            </w:r>
            <w:r/>
          </w:p>
        </w:tc>
        <w:tc>
          <w:tcPr>
            <w:tcW w:w="882" w:type="dxa"/>
            <w:vAlign w:val="center"/>
            <w:textDirection w:val="lrTb"/>
            <w:noWrap w:val="false"/>
          </w:tcPr>
          <w:p>
            <w:pPr>
              <w:ind w:firstLine="480"/>
              <w:jc w:val="center"/>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r>
    </w:tbl>
    <w:p>
      <w:pPr>
        <w:spacing w:line="420" w:lineRule="exact"/>
        <w:shd w:val="clear" w:color="auto" w:fill="ffffff" w:themeFill="background1"/>
        <w:rPr>
          <w:rFonts w:hint="eastAsia" w:ascii="宋体" w:hAnsi="宋体" w:eastAsia="宋体"/>
          <w:bCs/>
          <w:color w:val="000000" w:themeColor="text1"/>
          <w:sz w:val="24"/>
          <w:szCs w:val="21"/>
          <w:highlight w:val="none"/>
          <w14:textFill>
            <w14:solidFill>
              <w14:schemeClr w14:val="tx1"/>
            </w14:solidFill>
          </w14:textFill>
        </w:rPr>
      </w:pPr>
      <w:r>
        <w:rPr>
          <w:rFonts w:hint="eastAsia" w:ascii="宋体" w:hAnsi="宋体" w:eastAsia="宋体"/>
          <w:bCs/>
          <w:color w:val="000000" w:themeColor="text1"/>
          <w:sz w:val="24"/>
          <w:szCs w:val="21"/>
          <w:highlight w:val="none"/>
          <w14:textFill>
            <w14:solidFill>
              <w14:schemeClr w14:val="tx1"/>
            </w14:solidFill>
          </w14:textFill>
        </w:rPr>
        <w:t xml:space="preserve">备注：其中评分项“6实施方案”，总页数建议一般不超过80页，简洁明了。上述加分项中需提供相关证明材料的，在该项目公示1个工作日内，向采购人提供原件核查。如未提供或提供的原件与投标时提供的证明材料不一致，或提供虚假项目业绩，将被视为在投标过程中提供虚假材料谋取中标成交，列入不良行为记录名单。</w:t>
      </w:r>
      <w:r/>
    </w:p>
    <w:p>
      <w:pPr>
        <w:pStyle w:val="714"/>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714"/>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714"/>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714"/>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714"/>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704"/>
        <w:shd w:val="clear" w:color="auto" w:fill="ffffff" w:themeFill="background1"/>
        <w:rPr>
          <w:color w:val="000000" w:themeColor="text1"/>
          <w:highlight w:val="none"/>
          <w14:textFill>
            <w14:solidFill>
              <w14:schemeClr w14:val="tx1"/>
            </w14:solidFill>
          </w14:textFill>
        </w:rPr>
      </w:pPr>
      <w:r/>
      <w:bookmarkStart w:id="27" w:name="_Toc15559"/>
      <w:r>
        <w:rPr>
          <w:rFonts w:hint="eastAsia"/>
          <w:color w:val="000000" w:themeColor="text1"/>
          <w:highlight w:val="none"/>
          <w14:textFill>
            <w14:solidFill>
              <w14:schemeClr w14:val="tx1"/>
            </w14:solidFill>
          </w14:textFill>
        </w:rPr>
        <w:t xml:space="preserve">第五章 合同主要条款（格式）</w:t>
      </w:r>
      <w:bookmarkEnd w:id="27"/>
      <w:r/>
      <w:r/>
    </w:p>
    <w:p>
      <w:pPr>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760" w:lineRule="exact"/>
        <w:shd w:val="clear" w:color="auto" w:fill="ffffff" w:themeFill="background1"/>
        <w:widowControl/>
        <w:rPr>
          <w:rFonts w:hint="eastAsia" w:ascii="宋体" w:hAnsi="宋体" w:eastAsia="宋体"/>
          <w:b/>
          <w:color w:val="000000" w:themeColor="text1"/>
          <w:spacing w:val="12"/>
          <w:sz w:val="40"/>
          <w:szCs w:val="40"/>
          <w:highlight w:val="none"/>
          <w14:textFill>
            <w14:solidFill>
              <w14:schemeClr w14:val="tx1"/>
            </w14:solidFill>
          </w14:textFill>
        </w:rPr>
      </w:pPr>
      <w:r>
        <w:rPr>
          <w:rFonts w:hint="eastAsia" w:ascii="宋体" w:hAnsi="宋体" w:eastAsia="宋体"/>
          <w:b/>
          <w:color w:val="000000" w:themeColor="text1"/>
          <w:spacing w:val="12"/>
          <w:sz w:val="40"/>
          <w:szCs w:val="40"/>
          <w:highlight w:val="none"/>
          <w14:textFill>
            <w14:solidFill>
              <w14:schemeClr w14:val="tx1"/>
            </w14:solidFill>
          </w14:textFill>
        </w:rPr>
        <w:t xml:space="preserve">2026年交通信号灯路口智能信控优化系统项目</w:t>
      </w:r>
      <w:r/>
    </w:p>
    <w:p>
      <w:pPr>
        <w:spacing w:line="1120" w:lineRule="exact"/>
        <w:shd w:val="clear" w:color="auto" w:fill="ffffff" w:themeFill="background1"/>
        <w:widowControl/>
        <w:rPr>
          <w:rFonts w:hint="eastAsia" w:ascii="宋体" w:hAnsi="宋体" w:eastAsia="宋体"/>
          <w:b/>
          <w:color w:val="000000" w:themeColor="text1"/>
          <w:sz w:val="84"/>
          <w:szCs w:val="84"/>
          <w:highlight w:val="none"/>
          <w14:textFill>
            <w14:solidFill>
              <w14:schemeClr w14:val="tx1"/>
            </w14:solidFill>
          </w14:textFill>
        </w:rPr>
      </w:pPr>
      <w:r>
        <w:rPr>
          <w:rFonts w:hint="eastAsia" w:ascii="宋体" w:hAnsi="宋体" w:eastAsia="宋体"/>
          <w:b/>
          <w:color w:val="000000" w:themeColor="text1"/>
          <w:sz w:val="84"/>
          <w:szCs w:val="84"/>
          <w:highlight w:val="none"/>
          <w14:textFill>
            <w14:solidFill>
              <w14:schemeClr w14:val="tx1"/>
            </w14:solidFill>
          </w14:textFill>
        </w:rPr>
      </w:r>
      <w:r/>
    </w:p>
    <w:p>
      <w:pPr>
        <w:jc w:val="center"/>
        <w:spacing w:line="960" w:lineRule="exact"/>
        <w:rPr>
          <w:rFonts w:hint="eastAsia" w:ascii="宋体" w:hAnsi="宋体" w:eastAsia="宋体" w:cs="宋体"/>
          <w:b/>
          <w:color w:val="000000" w:themeColor="text1"/>
          <w:sz w:val="70"/>
          <w:szCs w:val="70"/>
          <w:highlight w:val="none"/>
          <w14:textFill>
            <w14:solidFill>
              <w14:schemeClr w14:val="tx1"/>
            </w14:solidFill>
          </w14:textFill>
        </w:rPr>
      </w:pPr>
      <w:r>
        <w:rPr>
          <w:rFonts w:hint="eastAsia" w:ascii="宋体" w:hAnsi="宋体" w:eastAsia="宋体" w:cs="宋体"/>
          <w:b/>
          <w:color w:val="000000" w:themeColor="text1"/>
          <w:sz w:val="70"/>
          <w:szCs w:val="70"/>
          <w:highlight w:val="none"/>
          <w14:textFill>
            <w14:solidFill>
              <w14:schemeClr w14:val="tx1"/>
            </w14:solidFill>
          </w14:textFill>
        </w:rPr>
        <w:t xml:space="preserve">供</w:t>
      </w:r>
      <w:r/>
    </w:p>
    <w:p>
      <w:pPr>
        <w:jc w:val="center"/>
        <w:spacing w:line="960" w:lineRule="exact"/>
        <w:rPr>
          <w:rFonts w:hint="eastAsia" w:ascii="宋体" w:hAnsi="宋体" w:eastAsia="宋体" w:cs="宋体"/>
          <w:b/>
          <w:color w:val="000000" w:themeColor="text1"/>
          <w:sz w:val="70"/>
          <w:szCs w:val="70"/>
          <w:highlight w:val="none"/>
          <w14:textFill>
            <w14:solidFill>
              <w14:schemeClr w14:val="tx1"/>
            </w14:solidFill>
          </w14:textFill>
        </w:rPr>
      </w:pPr>
      <w:r>
        <w:rPr>
          <w:rFonts w:hint="eastAsia" w:ascii="宋体" w:hAnsi="宋体" w:eastAsia="宋体" w:cs="宋体"/>
          <w:b/>
          <w:color w:val="000000" w:themeColor="text1"/>
          <w:sz w:val="70"/>
          <w:szCs w:val="70"/>
          <w:highlight w:val="none"/>
          <w14:textFill>
            <w14:solidFill>
              <w14:schemeClr w14:val="tx1"/>
            </w14:solidFill>
          </w14:textFill>
        </w:rPr>
        <w:t xml:space="preserve">货</w:t>
      </w:r>
      <w:r/>
    </w:p>
    <w:p>
      <w:pPr>
        <w:jc w:val="center"/>
        <w:spacing w:line="960" w:lineRule="exact"/>
        <w:rPr>
          <w:rFonts w:hint="eastAsia" w:ascii="宋体" w:hAnsi="宋体" w:eastAsia="宋体" w:cs="宋体"/>
          <w:b/>
          <w:color w:val="000000" w:themeColor="text1"/>
          <w:sz w:val="70"/>
          <w:szCs w:val="70"/>
          <w:highlight w:val="none"/>
          <w14:textFill>
            <w14:solidFill>
              <w14:schemeClr w14:val="tx1"/>
            </w14:solidFill>
          </w14:textFill>
        </w:rPr>
      </w:pPr>
      <w:r>
        <w:rPr>
          <w:rFonts w:hint="eastAsia" w:ascii="宋体" w:hAnsi="宋体" w:eastAsia="宋体" w:cs="宋体"/>
          <w:b/>
          <w:color w:val="000000" w:themeColor="text1"/>
          <w:sz w:val="70"/>
          <w:szCs w:val="70"/>
          <w:highlight w:val="none"/>
          <w14:textFill>
            <w14:solidFill>
              <w14:schemeClr w14:val="tx1"/>
            </w14:solidFill>
          </w14:textFill>
        </w:rPr>
        <w:t xml:space="preserve">及</w:t>
      </w:r>
      <w:r/>
    </w:p>
    <w:p>
      <w:pPr>
        <w:jc w:val="center"/>
        <w:spacing w:line="960" w:lineRule="exact"/>
        <w:rPr>
          <w:rFonts w:hint="eastAsia" w:ascii="宋体" w:hAnsi="宋体" w:eastAsia="宋体" w:cs="宋体"/>
          <w:b/>
          <w:color w:val="000000" w:themeColor="text1"/>
          <w:sz w:val="70"/>
          <w:szCs w:val="70"/>
          <w:highlight w:val="none"/>
          <w14:textFill>
            <w14:solidFill>
              <w14:schemeClr w14:val="tx1"/>
            </w14:solidFill>
          </w14:textFill>
        </w:rPr>
      </w:pPr>
      <w:r>
        <w:rPr>
          <w:rFonts w:hint="eastAsia" w:ascii="宋体" w:hAnsi="宋体" w:eastAsia="宋体" w:cs="宋体"/>
          <w:b/>
          <w:color w:val="000000" w:themeColor="text1"/>
          <w:sz w:val="70"/>
          <w:szCs w:val="70"/>
          <w:highlight w:val="none"/>
          <w14:textFill>
            <w14:solidFill>
              <w14:schemeClr w14:val="tx1"/>
            </w14:solidFill>
          </w14:textFill>
        </w:rPr>
        <w:t xml:space="preserve">安</w:t>
      </w:r>
      <w:r/>
    </w:p>
    <w:p>
      <w:pPr>
        <w:jc w:val="center"/>
        <w:spacing w:line="960" w:lineRule="exact"/>
        <w:rPr>
          <w:rFonts w:hint="eastAsia" w:ascii="宋体" w:hAnsi="宋体" w:eastAsia="宋体" w:cs="宋体"/>
          <w:b/>
          <w:color w:val="000000" w:themeColor="text1"/>
          <w:sz w:val="70"/>
          <w:szCs w:val="70"/>
          <w:highlight w:val="none"/>
          <w14:textFill>
            <w14:solidFill>
              <w14:schemeClr w14:val="tx1"/>
            </w14:solidFill>
          </w14:textFill>
        </w:rPr>
      </w:pPr>
      <w:r>
        <w:rPr>
          <w:rFonts w:hint="eastAsia" w:ascii="宋体" w:hAnsi="宋体" w:eastAsia="宋体" w:cs="宋体"/>
          <w:b/>
          <w:color w:val="000000" w:themeColor="text1"/>
          <w:sz w:val="70"/>
          <w:szCs w:val="70"/>
          <w:highlight w:val="none"/>
          <w14:textFill>
            <w14:solidFill>
              <w14:schemeClr w14:val="tx1"/>
            </w14:solidFill>
          </w14:textFill>
        </w:rPr>
        <w:t xml:space="preserve">装</w:t>
      </w:r>
      <w:r/>
    </w:p>
    <w:p>
      <w:pPr>
        <w:jc w:val="center"/>
        <w:spacing w:line="960" w:lineRule="exact"/>
        <w:rPr>
          <w:rFonts w:hint="eastAsia" w:ascii="宋体" w:hAnsi="宋体" w:eastAsia="宋体" w:cs="宋体"/>
          <w:b/>
          <w:color w:val="000000" w:themeColor="text1"/>
          <w:sz w:val="70"/>
          <w:szCs w:val="70"/>
          <w:highlight w:val="none"/>
          <w14:textFill>
            <w14:solidFill>
              <w14:schemeClr w14:val="tx1"/>
            </w14:solidFill>
          </w14:textFill>
        </w:rPr>
      </w:pPr>
      <w:r>
        <w:rPr>
          <w:rFonts w:hint="eastAsia" w:ascii="宋体" w:hAnsi="宋体" w:eastAsia="宋体" w:cs="宋体"/>
          <w:b/>
          <w:color w:val="000000" w:themeColor="text1"/>
          <w:sz w:val="70"/>
          <w:szCs w:val="70"/>
          <w:highlight w:val="none"/>
          <w14:textFill>
            <w14:solidFill>
              <w14:schemeClr w14:val="tx1"/>
            </w14:solidFill>
          </w14:textFill>
        </w:rPr>
        <w:t xml:space="preserve">合</w:t>
      </w:r>
      <w:r/>
    </w:p>
    <w:p>
      <w:pPr>
        <w:jc w:val="center"/>
        <w:spacing w:line="960" w:lineRule="exact"/>
        <w:rPr>
          <w:rFonts w:hint="eastAsia" w:ascii="宋体" w:hAnsi="宋体" w:eastAsia="宋体" w:cs="宋体"/>
          <w:b/>
          <w:color w:val="000000" w:themeColor="text1"/>
          <w:sz w:val="70"/>
          <w:szCs w:val="70"/>
          <w:highlight w:val="none"/>
          <w14:textFill>
            <w14:solidFill>
              <w14:schemeClr w14:val="tx1"/>
            </w14:solidFill>
          </w14:textFill>
        </w:rPr>
      </w:pPr>
      <w:r>
        <w:rPr>
          <w:rFonts w:hint="eastAsia" w:ascii="宋体" w:hAnsi="宋体" w:eastAsia="宋体" w:cs="宋体"/>
          <w:b/>
          <w:color w:val="000000" w:themeColor="text1"/>
          <w:sz w:val="70"/>
          <w:szCs w:val="70"/>
          <w:highlight w:val="none"/>
          <w14:textFill>
            <w14:solidFill>
              <w14:schemeClr w14:val="tx1"/>
            </w14:solidFill>
          </w14:textFill>
        </w:rPr>
        <w:t xml:space="preserve">同</w:t>
      </w:r>
      <w:r/>
    </w:p>
    <w:p>
      <w:pPr>
        <w:rPr>
          <w:rFonts w:ascii="Arial" w:hAnsi="Arial"/>
          <w:color w:val="000000" w:themeColor="text1"/>
          <w:highlight w:val="none"/>
          <w14:textFill>
            <w14:solidFill>
              <w14:schemeClr w14:val="tx1"/>
            </w14:solidFill>
          </w14:textFill>
        </w:rPr>
      </w:pPr>
      <w:r>
        <w:rPr>
          <w:rFonts w:ascii="Arial" w:hAnsi="Arial"/>
          <w:color w:val="000000" w:themeColor="text1"/>
          <w:highlight w:val="none"/>
          <w14:textFill>
            <w14:solidFill>
              <w14:schemeClr w14:val="tx1"/>
            </w14:solidFill>
          </w14:textFill>
        </w:rPr>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760" w:lineRule="exact"/>
        <w:shd w:val="clear" w:color="auto" w:fill="ffffff" w:themeFill="background1"/>
        <w:widowControl/>
        <w:rPr>
          <w:rFonts w:hint="eastAsia" w:ascii="宋体" w:hAnsi="宋体" w:eastAsia="宋体"/>
          <w:b/>
          <w:color w:val="000000" w:themeColor="text1"/>
          <w:sz w:val="40"/>
          <w:szCs w:val="40"/>
          <w:highlight w:val="none"/>
          <w14:textFill>
            <w14:solidFill>
              <w14:schemeClr w14:val="tx1"/>
            </w14:solidFill>
          </w14:textFill>
        </w:rPr>
      </w:pPr>
      <w:r>
        <w:rPr>
          <w:rFonts w:hint="eastAsia" w:ascii="宋体" w:hAnsi="宋体" w:eastAsia="宋体"/>
          <w:b/>
          <w:color w:val="000000" w:themeColor="text1"/>
          <w:sz w:val="40"/>
          <w:szCs w:val="40"/>
          <w:highlight w:val="none"/>
          <w14:textFill>
            <w14:solidFill>
              <w14:schemeClr w14:val="tx1"/>
            </w14:solidFill>
          </w14:textFill>
        </w:rPr>
        <w:t xml:space="preserve">建 湖 县 公 安 局</w:t>
      </w:r>
      <w:r/>
    </w:p>
    <w:p>
      <w:pPr>
        <w:jc w:val="center"/>
        <w:spacing w:line="760" w:lineRule="exact"/>
        <w:shd w:val="clear" w:color="auto" w:fill="ffffff" w:themeFill="background1"/>
        <w:widowControl/>
        <w:rPr>
          <w:rFonts w:hint="eastAsia" w:ascii="宋体" w:hAnsi="宋体" w:eastAsia="宋体"/>
          <w:b/>
          <w:color w:val="000000" w:themeColor="text1"/>
          <w:sz w:val="36"/>
          <w:szCs w:val="36"/>
          <w:highlight w:val="none"/>
          <w14:textFill>
            <w14:solidFill>
              <w14:schemeClr w14:val="tx1"/>
            </w14:solidFill>
          </w14:textFill>
        </w:rPr>
      </w:pPr>
      <w:r>
        <w:rPr>
          <w:rFonts w:hint="eastAsia" w:ascii="宋体" w:hAnsi="宋体" w:eastAsia="宋体"/>
          <w:b/>
          <w:color w:val="000000" w:themeColor="text1"/>
          <w:sz w:val="36"/>
          <w:szCs w:val="36"/>
          <w:highlight w:val="none"/>
          <w14:textFill>
            <w14:solidFill>
              <w14:schemeClr w14:val="tx1"/>
            </w14:solidFill>
          </w14:textFill>
        </w:rPr>
        <w:t xml:space="preserve">二〇二六年  月</w:t>
      </w:r>
      <w:r/>
    </w:p>
    <w:p>
      <w:pPr>
        <w:jc w:val="center"/>
        <w:spacing w:line="560" w:lineRule="exact"/>
        <w:shd w:val="clear" w:color="auto" w:fill="ffffff" w:themeFill="background1"/>
        <w:rPr>
          <w:rFonts w:hint="eastAsia"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r>
      <w:r/>
    </w:p>
    <w:p>
      <w:pPr>
        <w:pStyle w:val="71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60" w:lineRule="exact"/>
        <w:shd w:val="clear" w:color="auto" w:fill="ffffff" w:themeFill="background1"/>
        <w:rPr>
          <w:rFonts w:hint="eastAsia" w:ascii="宋体" w:hAnsi="宋体" w:eastAsia="宋体"/>
          <w:b/>
          <w:bCs/>
          <w:sz w:val="32"/>
          <w:szCs w:val="32"/>
          <w:highlight w:val="none"/>
          <w14:textFill>
            <w14:solidFill>
              <w14:schemeClr w14:val="tx1"/>
            </w14:solidFill>
          </w14:textFill>
        </w:rPr>
      </w:pPr>
      <w:r>
        <w:rPr>
          <w:rFonts w:hint="eastAsia" w:ascii="宋体" w:hAnsi="宋体" w:eastAsia="宋体"/>
          <w:b/>
          <w:color w:val="000000" w:themeColor="text1"/>
          <w:sz w:val="32"/>
          <w:szCs w:val="32"/>
          <w:highlight w:val="none"/>
          <w14:textFill>
            <w14:solidFill>
              <w14:schemeClr w14:val="tx1"/>
            </w14:solidFill>
          </w14:textFill>
        </w:rPr>
      </w:r>
      <w:r>
        <w:rPr>
          <w:rFonts w:hint="eastAsia" w:ascii="宋体" w:hAnsi="宋体" w:eastAsia="宋体"/>
          <w:b/>
          <w:color w:val="000000" w:themeColor="text1"/>
          <w:sz w:val="32"/>
          <w:szCs w:val="32"/>
          <w:highlight w:val="none"/>
          <w14:textFill>
            <w14:solidFill>
              <w14:schemeClr w14:val="tx1"/>
            </w14:solidFill>
          </w14:textFill>
        </w:rPr>
      </w:r>
    </w:p>
    <w:p>
      <w:pPr>
        <w:jc w:val="center"/>
        <w:spacing w:line="560" w:lineRule="exact"/>
        <w:shd w:val="clear" w:color="auto" w:fill="ffffff" w:themeFill="background1"/>
        <w:rPr>
          <w:rFonts w:hint="eastAsia" w:ascii="宋体" w:hAnsi="宋体" w:eastAsia="宋体"/>
          <w:b/>
          <w:bCs/>
          <w:sz w:val="32"/>
          <w:szCs w:val="32"/>
          <w:highlight w:val="none"/>
          <w14:textFill>
            <w14:solidFill>
              <w14:schemeClr w14:val="tx1"/>
            </w14:solidFill>
          </w14:textFill>
        </w:rPr>
      </w:pPr>
      <w:r>
        <w:rPr>
          <w:rFonts w:hint="eastAsia" w:ascii="宋体" w:hAnsi="宋体" w:eastAsia="宋体"/>
          <w:b/>
          <w:color w:val="000000" w:themeColor="text1"/>
          <w:sz w:val="32"/>
          <w:szCs w:val="32"/>
          <w:highlight w:val="none"/>
          <w14:textFill>
            <w14:solidFill>
              <w14:schemeClr w14:val="tx1"/>
            </w14:solidFill>
          </w14:textFill>
        </w:rPr>
      </w:r>
      <w:r/>
    </w:p>
    <w:p>
      <w:pPr>
        <w:jc w:val="center"/>
        <w:spacing w:line="560" w:lineRule="exact"/>
        <w:shd w:val="clear" w:color="auto" w:fill="ffffff" w:themeFill="background1"/>
        <w:rPr>
          <w:rFonts w:hint="eastAsia" w:ascii="宋体" w:hAnsi="宋体" w:eastAsia="宋体"/>
          <w:b/>
          <w:color w:val="000000" w:themeColor="text1"/>
          <w:sz w:val="32"/>
          <w:szCs w:val="32"/>
          <w:highlight w:val="none"/>
          <w14:textFill>
            <w14:solidFill>
              <w14:schemeClr w14:val="tx1"/>
            </w14:solidFill>
          </w14:textFill>
        </w:rPr>
      </w:pPr>
      <w:r>
        <w:rPr>
          <w:rFonts w:hint="eastAsia" w:ascii="宋体" w:hAnsi="宋体" w:eastAsia="宋体"/>
          <w:b/>
          <w:color w:val="000000" w:themeColor="text1"/>
          <w:sz w:val="32"/>
          <w:szCs w:val="32"/>
          <w:highlight w:val="none"/>
          <w14:textFill>
            <w14:solidFill>
              <w14:schemeClr w14:val="tx1"/>
            </w14:solidFill>
          </w14:textFill>
        </w:rPr>
        <w:t xml:space="preserve">合同条款</w:t>
      </w:r>
      <w:r/>
    </w:p>
    <w:p>
      <w:pPr>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采购人（全称）：</w:t>
      </w:r>
      <w:r>
        <w:rPr>
          <w:rFonts w:hint="eastAsia" w:ascii="宋体" w:hAnsi="宋体" w:eastAsia="宋体" w:cs="宋体"/>
          <w:color w:val="000000" w:themeColor="text1"/>
          <w:sz w:val="24"/>
          <w:highlight w:val="none"/>
          <w:u w:val="single"/>
          <w14:textFill>
            <w14:solidFill>
              <w14:schemeClr w14:val="tx1"/>
            </w14:solidFill>
          </w14:textFill>
        </w:rPr>
        <w:t xml:space="preserve">  建湖县公安局  </w:t>
      </w:r>
      <w:r>
        <w:rPr>
          <w:rFonts w:hint="eastAsia" w:ascii="宋体" w:hAnsi="宋体" w:eastAsia="宋体" w:cs="宋体"/>
          <w:color w:val="000000" w:themeColor="text1"/>
          <w:sz w:val="24"/>
          <w:highlight w:val="none"/>
          <w14:textFill>
            <w14:solidFill>
              <w14:schemeClr w14:val="tx1"/>
            </w14:solidFill>
          </w14:textFill>
        </w:rPr>
        <w:t xml:space="preserve">（以下简称甲方）</w:t>
      </w:r>
      <w:r/>
    </w:p>
    <w:p>
      <w:pPr>
        <w:spacing w:line="480" w:lineRule="exact"/>
        <w:shd w:val="clear" w:color="auto" w:fill="ffffff" w:themeFill="background1"/>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中标人（全称）：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（以下简称乙方）</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依照《中华人民共和国政府采购法》、《中华人民共和国民法典》及其他相关法律法规，遵循平等、自愿、公平和诚实信用原则</w:t>
      </w:r>
      <w:r>
        <w:rPr>
          <w:rFonts w:hint="eastAsia" w:ascii="宋体" w:hAnsi="宋体" w:eastAsia="宋体" w:cs="宋体"/>
          <w:color w:val="000000" w:themeColor="text1"/>
          <w:sz w:val="24"/>
          <w:highlight w:val="none"/>
          <w14:textFill>
            <w14:solidFill>
              <w14:schemeClr w14:val="tx1"/>
            </w14:solidFill>
          </w14:textFill>
        </w:rPr>
        <w:t xml:space="preserve">，双方就</w:t>
      </w:r>
      <w:r>
        <w:rPr>
          <w:rFonts w:hint="eastAsia" w:ascii="宋体" w:hAnsi="宋体" w:eastAsia="宋体" w:cs="宋体"/>
          <w:color w:val="000000" w:themeColor="text1"/>
          <w:sz w:val="24"/>
          <w:highlight w:val="none"/>
          <w:u w:val="single"/>
          <w14:textFill>
            <w14:solidFill>
              <w14:schemeClr w14:val="tx1"/>
            </w14:solidFill>
          </w14:textFill>
        </w:rPr>
        <w:t xml:space="preserve">2026年交通信号灯路口智能信控优化系统项目</w:t>
      </w:r>
      <w:r>
        <w:rPr>
          <w:rFonts w:hint="eastAsia" w:ascii="宋体" w:hAnsi="宋体" w:eastAsia="宋体" w:cs="宋体"/>
          <w:color w:val="000000" w:themeColor="text1"/>
          <w:sz w:val="24"/>
          <w:highlight w:val="none"/>
          <w14:textFill>
            <w14:solidFill>
              <w14:schemeClr w14:val="tx1"/>
            </w14:solidFill>
          </w14:textFill>
        </w:rPr>
        <w:t xml:space="preserve">相关事项协商一致，达成如下合同条款：</w:t>
      </w:r>
      <w:r/>
    </w:p>
    <w:p>
      <w:pPr>
        <w:ind w:left="2" w:firstLine="477"/>
        <w:spacing w:line="480" w:lineRule="exact"/>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bookmarkStart w:id="28" w:name="_Toc21423"/>
      <w:r>
        <w:rPr>
          <w:rFonts w:hint="eastAsia" w:ascii="宋体" w:hAnsi="宋体" w:eastAsia="宋体" w:cs="宋体"/>
          <w:b/>
          <w:bCs/>
          <w:color w:val="000000" w:themeColor="text1"/>
          <w:sz w:val="24"/>
          <w:highlight w:val="none"/>
          <w14:textFill>
            <w14:solidFill>
              <w14:schemeClr w14:val="tx1"/>
            </w14:solidFill>
          </w14:textFill>
        </w:rPr>
        <w:t xml:space="preserve">一、合同标的</w:t>
      </w:r>
      <w:bookmarkEnd w:id="28"/>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1、中标价即为合同价。</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本项目合同价为招标文件所确定招标范围内全部工作内容的价格体现，报价应包括设备的供货、运输、安装、辅材、人工、材料、机械、管理、运杂、调试、验收、技术服务等其它相关费用、规费、税金、备品备件、伴随服务、招标代理服务费、人员培训费等所有费用。对乙方认为未考虑到的费用甲方将不予支付，并认为此项费用已包含在合同价中；</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3、本项目乙方项目负责人：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，联系方式：</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在进场开工前乙方需到甲方报备项目负责人资料，在施工期间项目负责人不可更换，如出现特殊情况需更换项目负责人，乙方需提前一周到甲方报备，并经甲方同意后方可提交新项目负责人资料。在项目供货、安装调试期间项目负责人需在每周周一提供一份本周施工计划表给予甲方，及时进行工作汇报，每两周需向甲方项目负责人当面汇报工作，并提供相应工作计划表、现在施工照片等资料。</w:t>
      </w:r>
      <w:r/>
    </w:p>
    <w:p>
      <w:pPr>
        <w:ind w:left="2" w:firstLine="477"/>
        <w:spacing w:line="480" w:lineRule="exact"/>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bookmarkStart w:id="29" w:name="_Toc15900"/>
      <w:r>
        <w:rPr>
          <w:rFonts w:hint="eastAsia" w:ascii="宋体" w:hAnsi="宋体" w:eastAsia="宋体" w:cs="宋体"/>
          <w:b/>
          <w:bCs/>
          <w:color w:val="000000" w:themeColor="text1"/>
          <w:sz w:val="24"/>
          <w:highlight w:val="none"/>
          <w14:textFill>
            <w14:solidFill>
              <w14:schemeClr w14:val="tx1"/>
            </w14:solidFill>
          </w14:textFill>
        </w:rPr>
        <w:t xml:space="preserve">二、组成本合同的有关文件</w:t>
      </w:r>
      <w:bookmarkEnd w:id="29"/>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招标文件或与本次采购活动方式相适应的文件及有关附件是本合同不可分割的组成部分，与本合同具有同等法律效力，这些文件包括：</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1、乙方提供的投标文件和投标报价表；</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2、开标一览表；</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3、投标承诺；</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4、服务承诺；</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5、中标或成交通知书；</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6、甲乙双方商定的其他文件。</w:t>
      </w:r>
      <w:r/>
    </w:p>
    <w:p>
      <w:pPr>
        <w:ind w:left="2" w:firstLine="477"/>
        <w:spacing w:line="480" w:lineRule="exact"/>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bookmarkStart w:id="30" w:name="_Toc22789"/>
      <w:r>
        <w:rPr>
          <w:rFonts w:hint="eastAsia" w:ascii="宋体" w:hAnsi="宋体" w:eastAsia="宋体" w:cs="宋体"/>
          <w:b/>
          <w:bCs/>
          <w:color w:val="000000" w:themeColor="text1"/>
          <w:sz w:val="24"/>
          <w:highlight w:val="none"/>
          <w14:textFill>
            <w14:solidFill>
              <w14:schemeClr w14:val="tx1"/>
            </w14:solidFill>
          </w14:textFill>
        </w:rPr>
        <w:t xml:space="preserve">三、履约保证金</w:t>
      </w:r>
      <w:bookmarkEnd w:id="30"/>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1、乙方在签</w:t>
      </w:r>
      <w:r>
        <w:rPr>
          <w:rFonts w:hint="eastAsia" w:ascii="宋体" w:hAnsi="宋体" w:eastAsia="宋体" w:cs="宋体"/>
          <w:color w:val="000000" w:themeColor="text1"/>
          <w:sz w:val="24"/>
          <w:highlight w:val="none"/>
          <w14:textFill>
            <w14:solidFill>
              <w14:schemeClr w14:val="tx1"/>
            </w14:solidFill>
          </w14:textFill>
        </w:rPr>
        <w:t xml:space="preserve">订合同前，须向采购人缴纳项目中标价的5%的履约保证金（人民币：元），于项目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2、项目验收合格后，甲方应及时退还交纳的履约保证金。</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3、履约保证金的退还：</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3.1方式：无息退还至投标人缴纳履约保证金的账户。如为保函在到期时自行失效。</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3.2时间：验收合格且采购人收到发票后30日内。</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3.3条件：</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按合同要求全部履约完成并经甲方验收合格，且甲方收到乙方出具的发票。</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3.4不予退还情形：</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除不可抗力情况外，投标人出现下列情形之一的，其履约保证金，甲方将视情节决定不予退还或部分不予退还。</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（1）乙方无正当理由拒绝签订合同的，或者在签订合同时向采购人提出附加条件或者更改合同实质性内容要求的；</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（2）乙方不履行与采购人订立的合同的；</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（3）乙方所供货物或服务不符合招标文件规定要求的；</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（4）乙方采取欺骗、弄虚作假方式投标的或与其它投标人串通投标的；</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（5）乙方将合同内容转包、违法分包的；</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（6）乙方故意捏造事实或伪造证明材料，进行虚假恶意投诉或反映的。</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3.5逾期退还的违约责任：采购人逾期无故未退还履约保证金的，按中国人民银行同期贷款基准利率上浮20%后的利率支付超期资金占用费，但因乙方自身原因导致无法及时退还的除外。</w:t>
      </w:r>
      <w:r/>
    </w:p>
    <w:p>
      <w:pPr>
        <w:ind w:left="2" w:firstLine="477"/>
        <w:spacing w:line="480" w:lineRule="exact"/>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bookmarkStart w:id="31" w:name="_Toc9392"/>
      <w:r>
        <w:rPr>
          <w:rFonts w:hint="eastAsia" w:ascii="宋体" w:hAnsi="宋体" w:eastAsia="宋体" w:cs="宋体"/>
          <w:b/>
          <w:bCs/>
          <w:color w:val="000000" w:themeColor="text1"/>
          <w:sz w:val="24"/>
          <w:highlight w:val="none"/>
          <w14:textFill>
            <w14:solidFill>
              <w14:schemeClr w14:val="tx1"/>
            </w14:solidFill>
          </w14:textFill>
        </w:rPr>
        <w:t xml:space="preserve">四、质量保证</w:t>
      </w:r>
      <w:bookmarkEnd w:id="31"/>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乙方在设备进场前需提供设备原厂的合格证书原件交予甲方或项目监理单位查验。如不提供或提供的合格证书不达投标时承诺的产品标准，将被视为在投标过程中提供虚假材料谋取中标成交。乙方提供的产品性能及质量应符合国家标准并满足招标文件规定的相关质量技术要求，实现乙方的投标承诺书条款。</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2、乙方必须负责与公安现有相关平台系统的无缝对接，包含且不限于共用数据资源和数据存储资源，满足使用需求，对接过程中产生的相关事宜及产生的费用由乙方自行承担。</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后期在安装过程中，采购范围内所有设备进场安装前均需甲方或项目监理单位确认产品性能、外观等，相关设备在征得甲方同意后方可进入施工阶段，如因产品外观不美观，安装效果不理想，乙方须无条件更换成同等价位且不低于该产品参数标准的产品。如因乙方不配合处理影响工期，后果由乙方负责。</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4、在质保期及保修范围内（合同规定的全部货物、软件平台对接服务等），乙方应对任何因设计、工艺、材料、产品质量和部件等造成的货物或部件损坏以及软件平台无法对</w:t>
      </w:r>
      <w:r>
        <w:rPr>
          <w:rFonts w:hint="eastAsia" w:ascii="宋体" w:hAnsi="宋体" w:eastAsia="宋体" w:cs="宋体"/>
          <w:color w:val="000000" w:themeColor="text1"/>
          <w:sz w:val="24"/>
          <w:highlight w:val="none"/>
          <w14:textFill>
            <w14:solidFill>
              <w14:schemeClr w14:val="tx1"/>
            </w14:solidFill>
          </w14:textFill>
        </w:rPr>
        <w:t xml:space="preserve">接等任何问题，实行维修全免费上门服务，提供及时服务，要求反应及时，接到故障反映2小时内响应，12个小时内到达现场，24小时内修复，如需要更换设备或送修，必须在7日内完成并提供临时替代设备。供应商应严格执行厂家的保修规定，质保期满后，产品须维修的，供货方或生产方应本着微利服务原则，按最低价格收取维修费用。质保期内甲方对乙方的售后响应及售后服务进行考核，甲方报修后乙方未在规定的时间内响应罚款500元/次，未在规定的时间内修复罚款500元/次。未在规定时间内修复，甲方有权找其他单位修复，产生的所有费用由乙方承担。</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在建设过程及质保期间无需驻场人员，但中标单位在项目建设周期内需组织一个长期稳定服务团队，其中项目核心技术人员要完全投入到本项目中，并且整个项目团队的人员要相对稳定，必须确保项目顺利如期实施、交付并通过验收。</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所有设备需与公安现有平台无缝对接，包含且不限于共用数据资源和数据存储资源，满足使用需求，其中与建湖县公安局及盐城市公安局视频联网共享平台图像、数据接入，端口免费为中标单位开放，甲方不另外支付任何费用。如因乙方原因无法对接相关平台，乙方须无条件进行整改，所产生的任何费用均由乙方承担。因无法对接所产生的任何损失均由乙方承担。</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7、具体标准详见招标文件中技术参数要求部分。</w:t>
      </w:r>
      <w:r/>
    </w:p>
    <w:p>
      <w:pPr>
        <w:ind w:left="2" w:firstLine="477"/>
        <w:spacing w:line="480" w:lineRule="exact"/>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bookmarkStart w:id="32" w:name="_Toc11180"/>
      <w:r>
        <w:rPr>
          <w:rFonts w:hint="eastAsia" w:ascii="宋体" w:hAnsi="宋体" w:eastAsia="宋体" w:cs="宋体"/>
          <w:b/>
          <w:bCs/>
          <w:color w:val="000000" w:themeColor="text1"/>
          <w:sz w:val="24"/>
          <w:highlight w:val="none"/>
          <w14:textFill>
            <w14:solidFill>
              <w14:schemeClr w14:val="tx1"/>
            </w14:solidFill>
          </w14:textFill>
        </w:rPr>
        <w:t xml:space="preserve">五、产品的运输方式、费用负担及保险</w:t>
      </w:r>
      <w:bookmarkEnd w:id="32"/>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1、乙方负责交货前产品的运输及保险，费用由乙方承担。乙方保证用最快捷与安全可靠的方式进行运输。产品运抵交货地点平稳摆放前产生的毁损、灭失风险均由乙方承担。</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2、乙方保证其销售的产品未侵犯其他人的知识产权及其他权益，并保证甲方持有、使用该产品不存在任何纠纷，否则，所造成的一切损失和责任、费用均由乙方承担，且甲方有权随时解除本合同；</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2" w:firstLine="477"/>
        <w:spacing w:line="480" w:lineRule="exact"/>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bookmarkStart w:id="33" w:name="_Toc23343"/>
      <w:r>
        <w:rPr>
          <w:rFonts w:hint="eastAsia" w:ascii="宋体" w:hAnsi="宋体" w:eastAsia="宋体" w:cs="宋体"/>
          <w:b/>
          <w:bCs/>
          <w:color w:val="000000" w:themeColor="text1"/>
          <w:sz w:val="24"/>
          <w:highlight w:val="none"/>
          <w14:textFill>
            <w14:solidFill>
              <w14:schemeClr w14:val="tx1"/>
            </w14:solidFill>
          </w14:textFill>
        </w:rPr>
        <w:t xml:space="preserve">六、安全责任</w:t>
      </w:r>
      <w:bookmarkEnd w:id="33"/>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乙方必须保证项目施工过程中以及货物供应、安装、运输、装卸、安装、调试、售后服务等全过程服务中的安全问题，若发生安全问题，由乙方自行负责处理并承担一切经济和法律责任，其与甲方一切无涉。乙方应根据安全的法律、法规组织实施，实施安全监管管理。如发生安全质量事故或人身伤害事故，乙方应承担一切法律和经济责任（包含应负的连带责任），与甲方无任何关系。若乙方不能及时处理发生的问题和责任，并影响到甲方的服务进度及相关工作，甲方有权从乙方的项目款中直接支付费用以处理相关事务。余额不足的，由受伤害人自行向乙方追债；</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乙方必须按照规定对服务人员进行人身意外伤害的相关保险。加强从业人员的安全教育，并为每个工作人员投人身意外险，从业过程发生的一切人身安全事故、意外伤害、伤亡、疾病以及在工作中受到伤害等均与甲方无关，由乙方自行负责，甲方不承担任何责任；乙方应及时发放从业人员工资，因工资发放不及时导致的投诉或上访由乙方承担，与甲方无涉。</w:t>
      </w:r>
      <w:r/>
    </w:p>
    <w:p>
      <w:pPr>
        <w:ind w:left="2" w:firstLine="477"/>
        <w:spacing w:line="480" w:lineRule="exact"/>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bookmarkStart w:id="34" w:name="_Toc14324"/>
      <w:r>
        <w:rPr>
          <w:rFonts w:hint="eastAsia" w:ascii="宋体" w:hAnsi="宋体" w:eastAsia="宋体" w:cs="宋体"/>
          <w:b/>
          <w:bCs/>
          <w:color w:val="000000" w:themeColor="text1"/>
          <w:sz w:val="24"/>
          <w:highlight w:val="none"/>
          <w14:textFill>
            <w14:solidFill>
              <w14:schemeClr w14:val="tx1"/>
            </w14:solidFill>
          </w14:textFill>
        </w:rPr>
        <w:t xml:space="preserve">七、交付与验收</w:t>
      </w:r>
      <w:bookmarkEnd w:id="34"/>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1、供货时间：合同签订后30个日历天内供货、安装、调试完成并通过验收。</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2、交付地点：乙方指定地点。</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3、乙方按照本合同或招标文件规定的时间和方式向甲方交付货物，交付地点由甲方指定。货物的验收包括型号、规格、数量、外观质量及包装、货物的装箱清单、随货物资料及配件工具。</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在交货前，乙方应对所供货物的质量、规格、性能、数量等进行详细而全面的检验，并出具一份合格检验证明，合格检验证明作为甲方验收的依据，但不能作为有关货物质量、规格、数量或性能的最终检验结果。</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5、甲方根据合同规定的内容和国家标准进行验收，同时比较乙方出具的检验证明，经检验无误后出具验收合格证明加盖单位公章，该证明作为最终付款所需的组成部分。</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6、甲方在验收中，如果发现产品的品种、规格、质量不合规定的情况，应妥为保管，同时甲方应在 7 天内向乙方提出书面异议。在此期间，甲方有权拒付不符合合同规定部分的货款。甲方怠于通知或者自产品收到之日起超过两天未通知乙方的，视为产品合乎规定。乙方在接到甲方书面异议后，应在 7 天内负责处理。</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7、甲方或者采购代理机构应当按照政府采购合同规定的技术、服务、安全标准组织对供应商履约情况进行验收，并出具验收书。验收书应当包括每一项技术、服务、安全标准的履约情况。</w:t>
      </w:r>
      <w:r/>
    </w:p>
    <w:p>
      <w:pPr>
        <w:ind w:left="2" w:firstLine="477"/>
        <w:spacing w:line="480" w:lineRule="exact"/>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bookmarkStart w:id="35" w:name="_Toc30126"/>
      <w:r>
        <w:rPr>
          <w:rFonts w:hint="eastAsia" w:ascii="宋体" w:hAnsi="宋体" w:eastAsia="宋体" w:cs="宋体"/>
          <w:b/>
          <w:bCs/>
          <w:color w:val="000000" w:themeColor="text1"/>
          <w:sz w:val="24"/>
          <w:highlight w:val="none"/>
          <w14:textFill>
            <w14:solidFill>
              <w14:schemeClr w14:val="tx1"/>
            </w14:solidFill>
          </w14:textFill>
        </w:rPr>
        <w:t xml:space="preserve">八、售后服务</w:t>
      </w:r>
      <w:bookmarkEnd w:id="35"/>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所有产品免费质保期为三年，乙方需提供及时服务，免费质保期间出现的问题，必须以优良的服务态度，便利快捷的方式在2小时内响应，12个小时内到达现场，24小时内修复。如需要更换设备或送修，必须在7日内完成，并提供备品。质保期满后出现的问题，也应以优良的服务态度，便利快捷的方式为甲方解决问题。</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2、乙方应严格执行厂家的保修规定，质量保证期满后，产品须维修的，供货方或生产方应本着微利服务原则，按最低价格收取维修费用。</w:t>
      </w:r>
      <w:r/>
    </w:p>
    <w:p>
      <w:pPr>
        <w:ind w:left="2" w:firstLine="477"/>
        <w:spacing w:line="480" w:lineRule="exact"/>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bookmarkStart w:id="36" w:name="_Toc16017"/>
      <w:r>
        <w:rPr>
          <w:rFonts w:hint="eastAsia" w:ascii="宋体" w:hAnsi="宋体" w:eastAsia="宋体" w:cs="宋体"/>
          <w:b/>
          <w:bCs/>
          <w:color w:val="000000" w:themeColor="text1"/>
          <w:sz w:val="24"/>
          <w:highlight w:val="none"/>
          <w14:textFill>
            <w14:solidFill>
              <w14:schemeClr w14:val="tx1"/>
            </w14:solidFill>
          </w14:textFill>
        </w:rPr>
        <w:t xml:space="preserve">九、结算方式及期限</w:t>
      </w:r>
      <w:bookmarkEnd w:id="36"/>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1、结付程序：乙方按本合同内容合格地履行供货义务后，凭验收收货单、销售发票办理货款结算手续</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2、结付方式及期限：支付价款时须提供正式发票。</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eastAsia="宋体" w:cs="宋体"/>
          <w:color w:val="000000" w:themeColor="text1"/>
          <w:sz w:val="24"/>
          <w:highlight w:val="none"/>
          <w14:textFill>
            <w14:solidFill>
              <w14:schemeClr w14:val="tx1"/>
            </w14:solidFill>
          </w14:textFill>
        </w:rPr>
        <w:t xml:space="preserve">；</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货到指定地点安装结束、经相关部门验收合格后，支付至合同价款的50%，变更减少的按实际完成工程量付款，增加工程量变更、签证部分在审计结论出具之前暂不付款（一年内项目必须审计结束）；经验收合格满一年后付至审定总价的80%；验收合格满两年后付至审定总价的90%；余款质保期满后无质量问题一次性结清。（本项目采取履行进度结算，付款期限自甲乙双方确认结算金额之日起30日内支付相应进度款项，支付货款时须提供正式发票）</w:t>
      </w:r>
      <w:r>
        <w:rPr>
          <w:rFonts w:hint="eastAsia" w:ascii="宋体" w:hAnsi="宋体" w:eastAsia="宋体" w:cs="宋体"/>
          <w:color w:val="000000" w:themeColor="text1"/>
          <w:sz w:val="24"/>
          <w:highlight w:val="none"/>
          <w14:textFill>
            <w14:solidFill>
              <w14:schemeClr w14:val="tx1"/>
            </w14:solidFill>
          </w14:textFill>
        </w:rPr>
        <w:t xml:space="preserve">。</w:t>
      </w:r>
      <w:r/>
    </w:p>
    <w:p>
      <w:pPr>
        <w:ind w:left="2" w:firstLine="477"/>
        <w:spacing w:line="480" w:lineRule="exact"/>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bookmarkStart w:id="37" w:name="_Toc8994"/>
      <w:r>
        <w:rPr>
          <w:rFonts w:hint="eastAsia" w:ascii="宋体" w:hAnsi="宋体" w:eastAsia="宋体" w:cs="宋体"/>
          <w:b/>
          <w:bCs/>
          <w:color w:val="000000" w:themeColor="text1"/>
          <w:sz w:val="24"/>
          <w:highlight w:val="none"/>
          <w14:textFill>
            <w14:solidFill>
              <w14:schemeClr w14:val="tx1"/>
            </w14:solidFill>
          </w14:textFill>
        </w:rPr>
        <w:t xml:space="preserve">十、违约责任</w:t>
      </w:r>
      <w:bookmarkEnd w:id="37"/>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1、合同一方不履行合同义务或者履行合同义务不符合约定的，应当承担继续履行、采取补救措施或者赔偿损失等违约责任。</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2、甲方违约责任</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甲方违反合同规定，拒绝接收乙方交付的合格货物，应当承担乙方由此造成的损失。</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3、乙方违约责任</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3.1乙方不能交货（逾期超过十五天视为不能交货），或交货不合格从而影响甲方按期正常使用的，甲方有权解除合同，乙方向甲方偿付合同总价款5%的违约金，违约金不足以补偿损失的甲方有权要求乙方补足。</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为保证该项目顺利实施，乙方单位在项目建设周期内组织一个长期稳定服务团队，其中项目核心技术人员要完全投入到本项目中，并且整个项目团队的人员要相对稳定，必须确保项目顺利如期实施、交付并通过验收，乙方单位无正当理由不得撤换投标文件中提供的项目组成员，如私自更换由此产生的责任和损失均由中标单位负责，甲方将扣除合同价款的1%作为违约责任。</w:t>
      </w:r>
      <w:r/>
    </w:p>
    <w:p>
      <w:pPr>
        <w:ind w:left="2" w:firstLine="477"/>
        <w:spacing w:line="480" w:lineRule="exact"/>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bookmarkStart w:id="38" w:name="_Toc10101"/>
      <w:r>
        <w:rPr>
          <w:rFonts w:hint="eastAsia" w:ascii="宋体" w:hAnsi="宋体" w:eastAsia="宋体" w:cs="宋体"/>
          <w:b/>
          <w:bCs/>
          <w:color w:val="000000" w:themeColor="text1"/>
          <w:sz w:val="24"/>
          <w:highlight w:val="none"/>
          <w14:textFill>
            <w14:solidFill>
              <w14:schemeClr w14:val="tx1"/>
            </w14:solidFill>
          </w14:textFill>
        </w:rPr>
        <w:t xml:space="preserve">十一、不可抗力</w:t>
      </w:r>
      <w:bookmarkEnd w:id="38"/>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2、不可抗力事件持续超过15日，任一方均有权解除本合同。</w:t>
      </w:r>
      <w:r/>
    </w:p>
    <w:p>
      <w:pPr>
        <w:ind w:left="2" w:firstLine="477"/>
        <w:spacing w:line="480" w:lineRule="exact"/>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bookmarkStart w:id="39" w:name="_Toc30038"/>
      <w:r>
        <w:rPr>
          <w:rFonts w:hint="eastAsia" w:ascii="宋体" w:hAnsi="宋体" w:eastAsia="宋体" w:cs="宋体"/>
          <w:b/>
          <w:bCs/>
          <w:color w:val="000000" w:themeColor="text1"/>
          <w:sz w:val="24"/>
          <w:highlight w:val="none"/>
          <w14:textFill>
            <w14:solidFill>
              <w14:schemeClr w14:val="tx1"/>
            </w14:solidFill>
          </w14:textFill>
        </w:rPr>
        <w:t xml:space="preserve">十二、其他事项</w:t>
      </w:r>
      <w:bookmarkEnd w:id="39"/>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按本合同规定应该偿付的违约金、赔偿金、保管保养费和各种经济损失的，应当在明确责任后 7 天内支付，否则应按未付金额的10%支付违约金。</w:t>
      </w:r>
      <w:r/>
    </w:p>
    <w:p>
      <w:pPr>
        <w:ind w:left="2" w:firstLine="477"/>
        <w:spacing w:line="480" w:lineRule="exact"/>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bookmarkStart w:id="40" w:name="_Toc26711"/>
      <w:r>
        <w:rPr>
          <w:rFonts w:hint="eastAsia" w:ascii="宋体" w:hAnsi="宋体" w:eastAsia="宋体" w:cs="宋体"/>
          <w:b/>
          <w:bCs/>
          <w:color w:val="000000" w:themeColor="text1"/>
          <w:sz w:val="24"/>
          <w:highlight w:val="none"/>
          <w14:textFill>
            <w14:solidFill>
              <w14:schemeClr w14:val="tx1"/>
            </w14:solidFill>
          </w14:textFill>
        </w:rPr>
        <w:t xml:space="preserve">十三、合同争议解决方式</w:t>
      </w:r>
      <w:bookmarkEnd w:id="40"/>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本合同的订立、解释、履行及争议解决应适用于中华人民共和国法律。双方因履行本合同产生纠纷，应协商解决。协商不成，双方同意将争议提交甲方所在地有管辖权的人民法院解决。</w:t>
      </w:r>
      <w:r/>
    </w:p>
    <w:p>
      <w:pPr>
        <w:ind w:left="2" w:firstLine="477"/>
        <w:spacing w:line="480" w:lineRule="exact"/>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bookmarkStart w:id="41" w:name="_Toc29145"/>
      <w:r>
        <w:rPr>
          <w:rFonts w:hint="eastAsia" w:ascii="宋体" w:hAnsi="宋体" w:eastAsia="宋体" w:cs="宋体"/>
          <w:b/>
          <w:bCs/>
          <w:color w:val="000000" w:themeColor="text1"/>
          <w:sz w:val="24"/>
          <w:highlight w:val="none"/>
          <w14:textFill>
            <w14:solidFill>
              <w14:schemeClr w14:val="tx1"/>
            </w14:solidFill>
          </w14:textFill>
        </w:rPr>
        <w:t xml:space="preserve">十四、其他</w:t>
      </w:r>
      <w:bookmarkEnd w:id="41"/>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1、合同执行期内，甲、乙双方均不得随意变更或解除合同。合同如有未尽事宜，须经双方共同协商，做出补充规定，补充规定与合同具有同等效力。</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2、本合同有效期：</w:t>
      </w:r>
      <w:r>
        <w:rPr>
          <w:rFonts w:hint="eastAsia" w:ascii="宋体" w:hAnsi="宋体" w:eastAsia="宋体" w:cs="宋体"/>
          <w:color w:val="000000" w:themeColor="text1"/>
          <w:sz w:val="24"/>
          <w:highlight w:val="none"/>
          <w:u w:val="single"/>
          <w14:textFill>
            <w14:solidFill>
              <w14:schemeClr w14:val="tx1"/>
            </w14:solidFill>
          </w14:textFill>
        </w:rPr>
        <w:t xml:space="preserve">    年  月  日至   年  月  日（以下单日为准</w:t>
      </w:r>
      <w:r>
        <w:rPr>
          <w:rFonts w:hint="eastAsia" w:ascii="宋体" w:hAnsi="宋体" w:eastAsia="宋体" w:cs="宋体"/>
          <w:color w:val="000000" w:themeColor="text1"/>
          <w:sz w:val="24"/>
          <w:highlight w:val="none"/>
          <w14:textFill>
            <w14:solidFill>
              <w14:schemeClr w14:val="tx1"/>
            </w14:solidFill>
          </w14:textFill>
        </w:rPr>
        <w:t xml:space="preserve">）。</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3、任何一方无权在未另一方事先书面同意的情况下，向第三方给予、授予和转让本合同所规定的任何权利和义务。</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4、本合同自甲乙双方代表签字盖章之日起生效，一式陆份，甲乙双方各贰份，江苏伟业项目管理有限公司贰份。</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5、本合同附件包括：招标文件、开标一览表及投标报价表。</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6、该合同在签订之日起2个工作日内在江苏省政府采购网、盐城市政府采购网上予以公示。</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甲 方：                              乙 方：</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                              地 址：</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法定代表人或授权代表：               法定代表人或授权代表：</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                           联系电话：</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2026年   月   日                     2026年   月   日</w:t>
      </w:r>
      <w:r/>
    </w:p>
    <w:p>
      <w:pPr>
        <w:spacing w:line="360" w:lineRule="auto"/>
        <w:shd w:val="clear" w:color="auto" w:fill="ffffff" w:themeFill="background1"/>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pStyle w:val="704"/>
        <w:shd w:val="clear" w:color="auto" w:fill="ffffff" w:themeFill="background1"/>
        <w:rPr>
          <w:color w:val="000000" w:themeColor="text1"/>
          <w:highlight w:val="none"/>
          <w14:textFill>
            <w14:solidFill>
              <w14:schemeClr w14:val="tx1"/>
            </w14:solidFill>
          </w14:textFill>
        </w:rPr>
      </w:pPr>
      <w:r/>
      <w:bookmarkStart w:id="42" w:name="_Toc674"/>
      <w:r>
        <w:rPr>
          <w:rFonts w:hint="eastAsia"/>
          <w:color w:val="000000" w:themeColor="text1"/>
          <w:highlight w:val="none"/>
          <w14:textFill>
            <w14:solidFill>
              <w14:schemeClr w14:val="tx1"/>
            </w14:solidFill>
          </w14:textFill>
        </w:rPr>
        <w:t xml:space="preserve">第六章 投标文件及格式</w:t>
      </w:r>
      <w:bookmarkEnd w:id="42"/>
      <w:r/>
      <w:r/>
    </w:p>
    <w:p>
      <w:pPr>
        <w:pStyle w:val="704"/>
        <w:shd w:val="clear" w:color="auto" w:fill="ffffff" w:themeFill="background1"/>
        <w:rPr>
          <w:color w:val="000000" w:themeColor="text1"/>
          <w:highlight w:val="none"/>
          <w14:textFill>
            <w14:solidFill>
              <w14:schemeClr w14:val="tx1"/>
            </w14:solidFill>
          </w14:textFill>
        </w:rPr>
      </w:pPr>
      <w:r/>
      <w:bookmarkStart w:id="43" w:name="_Toc101689448"/>
      <w:r/>
      <w:bookmarkStart w:id="44" w:name="_Toc101689977"/>
      <w:r/>
      <w:bookmarkStart w:id="45" w:name="_Toc97629414"/>
      <w:r/>
      <w:bookmarkStart w:id="46" w:name="_Toc58186236"/>
      <w:r/>
      <w:bookmarkStart w:id="47" w:name="_Toc101687960"/>
      <w:r/>
      <w:bookmarkStart w:id="48" w:name="_Toc25419"/>
      <w:r>
        <w:rPr>
          <w:rFonts w:hint="eastAsia"/>
          <w:color w:val="000000" w:themeColor="text1"/>
          <w:highlight w:val="none"/>
          <w14:textFill>
            <w14:solidFill>
              <w14:schemeClr w14:val="tx1"/>
            </w14:solidFill>
          </w14:textFill>
        </w:rPr>
        <w:t xml:space="preserve">（一）</w:t>
      </w:r>
      <w:bookmarkEnd w:id="43"/>
      <w:r/>
      <w:bookmarkEnd w:id="44"/>
      <w:r/>
      <w:bookmarkEnd w:id="45"/>
      <w:r/>
      <w:bookmarkEnd w:id="46"/>
      <w:r/>
      <w:bookmarkEnd w:id="47"/>
      <w:r>
        <w:rPr>
          <w:rFonts w:hint="eastAsia"/>
          <w:color w:val="000000" w:themeColor="text1"/>
          <w:highlight w:val="none"/>
          <w14:textFill>
            <w14:solidFill>
              <w14:schemeClr w14:val="tx1"/>
            </w14:solidFill>
          </w14:textFill>
        </w:rPr>
        <w:t xml:space="preserve">开标一览表</w:t>
      </w:r>
      <w:bookmarkEnd w:id="48"/>
      <w:r/>
      <w:r/>
    </w:p>
    <w:p>
      <w:pPr>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35"/>
        <w:jc w:val="left"/>
        <w:spacing w:line="52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项目编号：JSZC-320925-WYGS-G2026-0018</w:t>
      </w:r>
      <w:r/>
    </w:p>
    <w:p>
      <w:pPr>
        <w:pStyle w:val="1235"/>
        <w:ind w:right="240"/>
        <w:jc w:val="right"/>
        <w:spacing w:line="52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单位：元</w:t>
      </w:r>
      <w:r/>
    </w:p>
    <w:tbl>
      <w:tblPr>
        <w:tblStyle w:val="713"/>
        <w:tblW w:w="89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8"/>
        <w:gridCol w:w="1984"/>
        <w:gridCol w:w="3273"/>
      </w:tblGrid>
      <w:tr>
        <w:trPr>
          <w:cantSplit/>
          <w:jc w:val="center"/>
          <w:trHeight w:val="1040"/>
        </w:trPr>
        <w:tc>
          <w:tcPr>
            <w:tcW w:w="3678" w:type="dxa"/>
            <w:vAlign w:val="center"/>
            <w:textDirection w:val="lrTb"/>
            <w:noWrap w:val="false"/>
          </w:tcPr>
          <w:p>
            <w:pPr>
              <w:pStyle w:val="1235"/>
              <w:jc w:val="center"/>
              <w:spacing w:line="520" w:lineRule="exact"/>
              <w:shd w:val="clear" w:color="auto" w:fill="ffffff" w:themeFill="background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项目名称</w:t>
            </w:r>
            <w:r/>
          </w:p>
        </w:tc>
        <w:tc>
          <w:tcPr>
            <w:tcW w:w="1984" w:type="dxa"/>
            <w:vAlign w:val="center"/>
            <w:textDirection w:val="lrTb"/>
            <w:noWrap w:val="false"/>
          </w:tcPr>
          <w:p>
            <w:pPr>
              <w:pStyle w:val="1235"/>
              <w:jc w:val="center"/>
              <w:spacing w:line="520" w:lineRule="exact"/>
              <w:shd w:val="clear" w:color="auto" w:fill="ffffff" w:themeFill="background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项目内容</w:t>
            </w:r>
            <w:r/>
          </w:p>
        </w:tc>
        <w:tc>
          <w:tcPr>
            <w:tcW w:w="3273" w:type="dxa"/>
            <w:vAlign w:val="center"/>
            <w:textDirection w:val="lrTb"/>
            <w:noWrap w:val="false"/>
          </w:tcPr>
          <w:p>
            <w:pPr>
              <w:pStyle w:val="1235"/>
              <w:jc w:val="center"/>
              <w:spacing w:line="520" w:lineRule="exact"/>
              <w:shd w:val="clear" w:color="auto" w:fill="ffffff" w:themeFill="background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总价（小写）</w:t>
            </w:r>
            <w:r/>
          </w:p>
        </w:tc>
      </w:tr>
      <w:tr>
        <w:trPr>
          <w:cantSplit/>
          <w:jc w:val="center"/>
          <w:trHeight w:val="1040"/>
        </w:trPr>
        <w:tc>
          <w:tcPr>
            <w:tcW w:w="3678" w:type="dxa"/>
            <w:vAlign w:val="center"/>
            <w:textDirection w:val="lrTb"/>
            <w:noWrap w:val="false"/>
          </w:tcPr>
          <w:p>
            <w:pPr>
              <w:pStyle w:val="1235"/>
              <w:jc w:val="center"/>
              <w:spacing w:line="520" w:lineRule="exact"/>
              <w:shd w:val="clear" w:color="auto" w:fill="ffffff" w:themeFill="background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2026年交通信号灯路口智能信控优化系统项目</w:t>
            </w:r>
            <w:r/>
          </w:p>
        </w:tc>
        <w:tc>
          <w:tcPr>
            <w:tcW w:w="1984" w:type="dxa"/>
            <w:vAlign w:val="center"/>
            <w:textDirection w:val="lrTb"/>
            <w:noWrap w:val="false"/>
          </w:tcPr>
          <w:p>
            <w:pPr>
              <w:pStyle w:val="1235"/>
              <w:jc w:val="center"/>
              <w:spacing w:line="520" w:lineRule="exact"/>
              <w:shd w:val="clear" w:color="auto" w:fill="ffffff" w:themeFill="background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详见招标文件</w:t>
            </w:r>
            <w:r/>
          </w:p>
        </w:tc>
        <w:tc>
          <w:tcPr>
            <w:tcW w:w="3273" w:type="dxa"/>
            <w:vAlign w:val="center"/>
            <w:textDirection w:val="lrTb"/>
            <w:noWrap w:val="false"/>
          </w:tcPr>
          <w:p>
            <w:pPr>
              <w:pStyle w:val="1235"/>
              <w:jc w:val="center"/>
              <w:spacing w:line="520" w:lineRule="exact"/>
              <w:shd w:val="clear" w:color="auto" w:fill="ffffff" w:themeFill="background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          </w:t>
            </w:r>
            <w:r/>
          </w:p>
        </w:tc>
      </w:tr>
      <w:tr>
        <w:trPr>
          <w:cantSplit/>
          <w:jc w:val="center"/>
          <w:trHeight w:val="1040"/>
        </w:trPr>
        <w:tc>
          <w:tcPr>
            <w:tcW w:w="3678" w:type="dxa"/>
            <w:vAlign w:val="center"/>
            <w:textDirection w:val="lrTb"/>
            <w:noWrap w:val="false"/>
          </w:tcPr>
          <w:p>
            <w:pPr>
              <w:pStyle w:val="1235"/>
              <w:jc w:val="center"/>
              <w:spacing w:line="520" w:lineRule="exact"/>
              <w:shd w:val="clear" w:color="auto" w:fill="ffffff" w:themeFill="background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总价（大写）：</w:t>
            </w:r>
            <w:r/>
          </w:p>
        </w:tc>
        <w:tc>
          <w:tcPr>
            <w:gridSpan w:val="2"/>
            <w:tcW w:w="5257" w:type="dxa"/>
            <w:vAlign w:val="center"/>
            <w:textDirection w:val="lrTb"/>
            <w:noWrap w:val="false"/>
          </w:tcPr>
          <w:p>
            <w:pPr>
              <w:pStyle w:val="1235"/>
              <w:jc w:val="center"/>
              <w:spacing w:line="520" w:lineRule="exact"/>
              <w:shd w:val="clear" w:color="auto" w:fill="ffffff" w:themeFill="background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r>
    </w:tbl>
    <w:p>
      <w:pPr>
        <w:pStyle w:val="1235"/>
        <w:spacing w:line="52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35"/>
        <w:jc w:val="left"/>
        <w:spacing w:before="100" w:beforeAutospacing="1" w:after="100" w:afterAutospacing="1"/>
        <w:shd w:val="clear" w:color="auto" w:fill="ffffff" w:themeFill="background1"/>
        <w:widowControl/>
        <w:rPr>
          <w:rFonts w:hint="eastAsia" w:ascii="宋体" w:hAnsi="宋体" w:eastAsia="宋体" w:cs="宋体"/>
          <w:color w:val="000000" w:themeColor="text1"/>
          <w:sz w:val="27"/>
          <w:szCs w:val="27"/>
          <w:highlight w:val="none"/>
          <w14:textFill>
            <w14:solidFill>
              <w14:schemeClr w14:val="tx1"/>
            </w14:solidFill>
          </w14:textFill>
        </w:rPr>
      </w:pPr>
      <w:r>
        <w:rPr>
          <w:rFonts w:hint="eastAsia" w:ascii="宋体" w:hAnsi="宋体" w:eastAsia="宋体" w:cs="宋体"/>
          <w:color w:val="000000" w:themeColor="text1"/>
          <w:sz w:val="27"/>
          <w:szCs w:val="27"/>
          <w:highlight w:val="none"/>
          <w14:textFill>
            <w14:solidFill>
              <w14:schemeClr w14:val="tx1"/>
            </w14:solidFill>
          </w14:textFill>
        </w:rPr>
      </w:r>
      <w:r/>
    </w:p>
    <w:p>
      <w:pPr>
        <w:ind w:firstLine="535"/>
        <w:jc w:val="left"/>
        <w:spacing w:before="100" w:beforeAutospacing="1" w:after="100" w:afterAutospacing="1"/>
        <w:shd w:val="clear" w:color="auto" w:fill="ffffff" w:themeFill="background1"/>
        <w:widowControl/>
        <w:rPr>
          <w:rFonts w:hint="eastAsia" w:ascii="宋体" w:hAnsi="宋体" w:eastAsia="宋体" w:cs="宋体"/>
          <w:color w:val="000000" w:themeColor="text1"/>
          <w:sz w:val="27"/>
          <w:szCs w:val="27"/>
          <w:highlight w:val="none"/>
          <w14:textFill>
            <w14:solidFill>
              <w14:schemeClr w14:val="tx1"/>
            </w14:solidFill>
          </w14:textFill>
        </w:rPr>
      </w:pPr>
      <w:r>
        <w:rPr>
          <w:rFonts w:hint="eastAsia" w:ascii="宋体" w:hAnsi="宋体" w:eastAsia="宋体" w:cs="宋体"/>
          <w:color w:val="000000" w:themeColor="text1"/>
          <w:sz w:val="27"/>
          <w:szCs w:val="27"/>
          <w:highlight w:val="none"/>
          <w14:textFill>
            <w14:solidFill>
              <w14:schemeClr w14:val="tx1"/>
            </w14:solidFill>
          </w14:textFill>
        </w:rPr>
        <w:t xml:space="preserve">投标人公章(电子签章)： </w:t>
      </w:r>
      <w:r/>
    </w:p>
    <w:p>
      <w:pPr>
        <w:pStyle w:val="749"/>
        <w:ind w:firstLine="600"/>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77"/>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77"/>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77"/>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77"/>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77"/>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77"/>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77"/>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77"/>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77"/>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77"/>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77"/>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77"/>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77"/>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77"/>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77"/>
        <w:shd w:val="clear" w:color="auto" w:fill="ffffff" w:themeFill="background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704"/>
        <w:shd w:val="clear" w:color="auto" w:fill="ffffff" w:themeFill="background1"/>
        <w:rPr>
          <w:color w:val="000000" w:themeColor="text1"/>
          <w:highlight w:val="none"/>
          <w14:textFill>
            <w14:solidFill>
              <w14:schemeClr w14:val="tx1"/>
            </w14:solidFill>
          </w14:textFill>
        </w:rPr>
      </w:pPr>
      <w:r/>
      <w:bookmarkStart w:id="49" w:name="_Toc30866"/>
      <w:r/>
      <w:bookmarkStart w:id="50" w:name="_Hlk165367432"/>
      <w:r>
        <w:rPr>
          <w:rFonts w:hint="eastAsia"/>
          <w:color w:val="000000" w:themeColor="text1"/>
          <w:highlight w:val="none"/>
          <w14:textFill>
            <w14:solidFill>
              <w14:schemeClr w14:val="tx1"/>
            </w14:solidFill>
          </w14:textFill>
        </w:rPr>
        <w:t xml:space="preserve">（二）</w:t>
      </w:r>
      <w:r>
        <w:rPr>
          <w:color w:val="000000" w:themeColor="text1"/>
          <w:highlight w:val="none"/>
          <w14:textFill>
            <w14:solidFill>
              <w14:schemeClr w14:val="tx1"/>
            </w14:solidFill>
          </w14:textFill>
        </w:rPr>
        <w:t xml:space="preserve">投标函</w:t>
      </w:r>
      <w:bookmarkEnd w:id="49"/>
      <w:r/>
      <w:r/>
    </w:p>
    <w:p>
      <w:pPr>
        <w:spacing w:line="520" w:lineRule="exact"/>
        <w:shd w:val="clear" w:color="auto" w:fill="ffffff" w:themeFill="background1"/>
        <w:rPr>
          <w:rFonts w:hint="eastAsia" w:ascii="宋体" w:hAnsi="宋体" w:eastAsia="宋体"/>
          <w:color w:val="000000" w:themeColor="text1"/>
          <w:sz w:val="24"/>
          <w:szCs w:val="20"/>
          <w:highlight w:val="none"/>
          <w:u w:val="singl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采购人：</w:t>
      </w:r>
      <w:r>
        <w:rPr>
          <w:rFonts w:hint="eastAsia" w:ascii="宋体" w:hAnsi="宋体" w:eastAsia="宋体"/>
          <w:color w:val="000000" w:themeColor="text1"/>
          <w:sz w:val="24"/>
          <w:szCs w:val="20"/>
          <w:highlight w:val="none"/>
          <w:u w:val="single"/>
          <w14:textFill>
            <w14:solidFill>
              <w14:schemeClr w14:val="tx1"/>
            </w14:solidFill>
          </w14:textFill>
        </w:rPr>
        <w:t xml:space="preserve">建湖县公安局</w:t>
      </w:r>
      <w:r/>
    </w:p>
    <w:p>
      <w:pPr>
        <w:ind w:left="2" w:firstLine="475"/>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1、根据</w:t>
      </w:r>
      <w:r>
        <w:rPr>
          <w:rFonts w:hint="eastAsia" w:ascii="宋体" w:hAnsi="宋体" w:eastAsia="宋体" w:cs="宋体"/>
          <w:color w:val="000000" w:themeColor="text1"/>
          <w:sz w:val="24"/>
          <w:highlight w:val="none"/>
          <w:u w:val="single"/>
          <w14:textFill>
            <w14:solidFill>
              <w14:schemeClr w14:val="tx1"/>
            </w14:solidFill>
          </w14:textFill>
        </w:rPr>
        <w:t xml:space="preserve">2026年交通信号灯路口智能信控优化系统项目</w:t>
      </w:r>
      <w:r>
        <w:rPr>
          <w:rFonts w:hint="eastAsia" w:ascii="宋体" w:hAnsi="宋体" w:eastAsia="宋体" w:cs="宋体"/>
          <w:color w:val="000000" w:themeColor="text1"/>
          <w:sz w:val="24"/>
          <w:highlight w:val="none"/>
          <w14:textFill>
            <w14:solidFill>
              <w14:schemeClr w14:val="tx1"/>
            </w14:solidFill>
          </w14:textFill>
        </w:rPr>
        <w:t xml:space="preserve">的招标文件，我单位经市场考察和研究上述项目招标文件的投标须知、相关标准及要求和其他有关文件后，我方愿以</w:t>
      </w:r>
      <w:r>
        <w:rPr>
          <w:rFonts w:hint="eastAsia" w:ascii="宋体" w:hAnsi="宋体" w:eastAsia="宋体" w:cs="宋体"/>
          <w:color w:val="000000" w:themeColor="text1"/>
          <w:sz w:val="24"/>
          <w:highlight w:val="none"/>
          <w:u w:val="single"/>
          <w14:textFill>
            <w14:solidFill>
              <w14:schemeClr w14:val="tx1"/>
            </w14:solidFill>
          </w14:textFill>
        </w:rPr>
        <w:t xml:space="preserve">投标报价（大写）：      （小写）：    </w:t>
      </w:r>
      <w:r>
        <w:rPr>
          <w:rFonts w:hint="eastAsia" w:ascii="宋体" w:hAnsi="宋体" w:eastAsia="宋体" w:cs="宋体"/>
          <w:color w:val="000000" w:themeColor="text1"/>
          <w:sz w:val="24"/>
          <w:highlight w:val="none"/>
          <w14:textFill>
            <w14:solidFill>
              <w14:schemeClr w14:val="tx1"/>
            </w14:solidFill>
          </w14:textFill>
        </w:rPr>
        <w:t xml:space="preserve">的投标报价（含招标代理费等）完成本项目，并按上述要求实施此项目；</w:t>
      </w:r>
      <w:r/>
    </w:p>
    <w:p>
      <w:pPr>
        <w:ind w:firstLine="480"/>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2、合同履行期限：合同签订后30个日历天内供货、安装、调试完成并通过验收；</w:t>
      </w:r>
      <w:r/>
    </w:p>
    <w:p>
      <w:pPr>
        <w:ind w:firstLine="480"/>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我方保证所供货物均达到合格产品，质保期为三年。免费质保期间出现的问题，必须以优良的服务态度，便利快捷的方式在2小时内响应，12个小时内到达现场，24小时内修复。如需要更换设备或送修，必须在7日内完成，并提供备品。质保期满后出现的问题，也应以优良的服务态度，便利快捷的方式为采购方解决问题。如我方供应的产品因质量原因不能通过相关部门的验收，我方无偿更换全部产品，不收取任何费用，并承担相应责任；</w:t>
      </w:r>
      <w:r/>
    </w:p>
    <w:p>
      <w:pPr>
        <w:ind w:firstLine="480"/>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4、我方本项目的投标核心产品“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交通信号灯控制机</w:t>
      </w:r>
      <w:r>
        <w:rPr>
          <w:rFonts w:hint="eastAsia" w:ascii="宋体" w:hAnsi="宋体" w:eastAsia="宋体" w:cs="宋体"/>
          <w:color w:val="000000" w:themeColor="text1"/>
          <w:sz w:val="24"/>
          <w:highlight w:val="none"/>
          <w14:textFill>
            <w14:solidFill>
              <w14:schemeClr w14:val="tx1"/>
            </w14:solidFill>
          </w14:textFill>
        </w:rPr>
        <w:t xml:space="preserve">”品牌为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48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5、我方承诺拟派本项目的负责人为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，承诺项目负责人为本单位的正式职工，并承诺从投标截止之日当月向前1个月已在本单位缴纳养老保险。</w:t>
      </w:r>
      <w:r/>
    </w:p>
    <w:p>
      <w:pPr>
        <w:ind w:firstLine="480"/>
        <w:spacing w:line="52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6、如果我</w:t>
      </w:r>
      <w:r>
        <w:rPr>
          <w:rFonts w:hint="eastAsia" w:ascii="宋体" w:hAnsi="宋体" w:eastAsia="宋体" w:cs="Arial"/>
          <w:bCs/>
          <w:color w:val="000000" w:themeColor="text1"/>
          <w:sz w:val="24"/>
          <w:highlight w:val="none"/>
          <w14:textFill>
            <w14:solidFill>
              <w14:schemeClr w14:val="tx1"/>
            </w14:solidFill>
          </w14:textFill>
        </w:rPr>
        <w:t xml:space="preserve">方在招标文件规定的截止时间后撤回投标文件，或在接到中标通知书后30天内未能或拒绝签订合同协议书，我单位自愿接受被列为不良行为记录；</w:t>
      </w:r>
      <w:r/>
    </w:p>
    <w:p>
      <w:pPr>
        <w:ind w:firstLine="480"/>
        <w:spacing w:line="52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7、如我方中标，我方承诺在签订合同前向采购人交纳招标文件规定的履约保证金；</w:t>
      </w:r>
      <w:r/>
    </w:p>
    <w:p>
      <w:pPr>
        <w:ind w:firstLine="480"/>
        <w:spacing w:line="520" w:lineRule="exac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8、我方投标文件提供的所有资料真实、有效，如有不实，我方无条件接受采购人和主管部门依据法律法规做出的处理决定，并承担由此产生的责任；</w:t>
      </w:r>
      <w:r/>
    </w:p>
    <w:p>
      <w:pPr>
        <w:ind w:firstLine="480"/>
        <w:spacing w:line="520" w:lineRule="exact"/>
        <w:shd w:val="clear" w:color="auto" w:fill="ffffff" w:themeFill="background1"/>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9、你方的中标通知书和投标文件将成为约束双方合同文件的组成部分。</w:t>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投标单位：</w:t>
      </w:r>
      <w:r>
        <w:rPr>
          <w:rFonts w:ascii="宋体" w:hAnsi="宋体" w:eastAsia="宋体"/>
          <w:color w:val="000000" w:themeColor="text1"/>
          <w:sz w:val="24"/>
          <w:szCs w:val="20"/>
          <w:highlight w:val="none"/>
          <w14:textFill>
            <w14:solidFill>
              <w14:schemeClr w14:val="tx1"/>
            </w14:solidFill>
          </w14:textFill>
        </w:rPr>
        <w:t xml:space="preserve">(</w:t>
      </w:r>
      <w:r>
        <w:rPr>
          <w:rFonts w:hint="eastAsia" w:ascii="宋体" w:hAnsi="宋体" w:eastAsia="宋体"/>
          <w:color w:val="000000" w:themeColor="text1"/>
          <w:sz w:val="24"/>
          <w:szCs w:val="20"/>
          <w:highlight w:val="none"/>
          <w14:textFill>
            <w14:solidFill>
              <w14:schemeClr w14:val="tx1"/>
            </w14:solidFill>
          </w14:textFill>
        </w:rPr>
        <w:t xml:space="preserve">盖章</w:t>
      </w:r>
      <w:r>
        <w:rPr>
          <w:rFonts w:ascii="宋体" w:hAnsi="宋体" w:eastAsia="宋体"/>
          <w:color w:val="000000" w:themeColor="text1"/>
          <w:sz w:val="24"/>
          <w:szCs w:val="20"/>
          <w:highlight w:val="none"/>
          <w14:textFill>
            <w14:solidFill>
              <w14:schemeClr w14:val="tx1"/>
            </w14:solidFill>
          </w14:textFill>
        </w:rPr>
        <w:t xml:space="preserve">）</w:t>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法定代表人或委托代理人：</w:t>
      </w:r>
      <w:r>
        <w:rPr>
          <w:rFonts w:ascii="宋体" w:hAnsi="宋体" w:eastAsia="宋体"/>
          <w:color w:val="000000" w:themeColor="text1"/>
          <w:sz w:val="24"/>
          <w:szCs w:val="20"/>
          <w:highlight w:val="none"/>
          <w14:textFill>
            <w14:solidFill>
              <w14:schemeClr w14:val="tx1"/>
            </w14:solidFill>
          </w14:textFill>
        </w:rPr>
        <w:t xml:space="preserve">(</w:t>
      </w:r>
      <w:r>
        <w:rPr>
          <w:rFonts w:hint="eastAsia" w:ascii="宋体" w:hAnsi="宋体" w:eastAsia="宋体"/>
          <w:color w:val="000000" w:themeColor="text1"/>
          <w:sz w:val="24"/>
          <w:szCs w:val="20"/>
          <w:highlight w:val="none"/>
          <w14:textFill>
            <w14:solidFill>
              <w14:schemeClr w14:val="tx1"/>
            </w14:solidFill>
          </w14:textFill>
        </w:rPr>
        <w:t xml:space="preserve">盖章或签字</w:t>
      </w:r>
      <w:r>
        <w:rPr>
          <w:rFonts w:ascii="宋体" w:hAnsi="宋体" w:eastAsia="宋体"/>
          <w:color w:val="000000" w:themeColor="text1"/>
          <w:sz w:val="24"/>
          <w:szCs w:val="20"/>
          <w:highlight w:val="none"/>
          <w14:textFill>
            <w14:solidFill>
              <w14:schemeClr w14:val="tx1"/>
            </w14:solidFill>
          </w14:textFill>
        </w:rPr>
        <w:t xml:space="preserve">）</w:t>
      </w:r>
      <w:r/>
    </w:p>
    <w:p>
      <w:pPr>
        <w:ind w:left="2" w:firstLine="475"/>
        <w:jc w:val="right"/>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日 期：     年  月  日</w:t>
      </w:r>
      <w:bookmarkEnd w:id="50"/>
      <w:r/>
    </w:p>
    <w:p>
      <w:pPr>
        <w:pStyle w:val="704"/>
        <w:shd w:val="clear" w:color="auto" w:fill="ffffff" w:themeFill="background1"/>
        <w:rPr>
          <w:color w:val="000000" w:themeColor="text1"/>
          <w:highlight w:val="none"/>
          <w14:textFill>
            <w14:solidFill>
              <w14:schemeClr w14:val="tx1"/>
            </w14:solidFill>
          </w14:textFill>
        </w:rPr>
      </w:pPr>
      <w:r/>
      <w:bookmarkStart w:id="51" w:name="_Toc26926"/>
      <w:r/>
      <w:bookmarkStart w:id="52" w:name="_Hlk165367485"/>
      <w:r>
        <w:rPr>
          <w:rFonts w:hint="eastAsia"/>
          <w:color w:val="000000" w:themeColor="text1"/>
          <w:highlight w:val="none"/>
          <w14:textFill>
            <w14:solidFill>
              <w14:schemeClr w14:val="tx1"/>
            </w14:solidFill>
          </w14:textFill>
        </w:rPr>
        <w:t xml:space="preserve">（三）无重大违法记录声明函</w:t>
      </w:r>
      <w:bookmarkEnd w:id="51"/>
      <w:r/>
      <w:r/>
    </w:p>
    <w:p>
      <w:pPr>
        <w:spacing w:line="240" w:lineRule="exact"/>
        <w:shd w:val="clear" w:color="auto" w:fill="ffffff" w:themeFill="background1"/>
        <w:rPr>
          <w:rFonts w:hint="eastAsia" w:ascii="宋体" w:hAnsi="宋体" w:eastAsia="宋体"/>
          <w:color w:val="000000" w:themeColor="text1"/>
          <w:sz w:val="24"/>
          <w:szCs w:val="20"/>
          <w:highlight w:val="none"/>
          <w:u w:val="single"/>
          <w14:textFill>
            <w14:solidFill>
              <w14:schemeClr w14:val="tx1"/>
            </w14:solidFill>
          </w14:textFill>
        </w:rPr>
      </w:pPr>
      <w:r>
        <w:rPr>
          <w:rFonts w:hint="eastAsia" w:ascii="宋体" w:hAnsi="宋体" w:eastAsia="宋体"/>
          <w:color w:val="000000" w:themeColor="text1"/>
          <w:sz w:val="24"/>
          <w:szCs w:val="20"/>
          <w:highlight w:val="none"/>
          <w:u w:val="single"/>
          <w14:textFill>
            <w14:solidFill>
              <w14:schemeClr w14:val="tx1"/>
            </w14:solidFill>
          </w14:textFill>
        </w:rPr>
      </w:r>
      <w:r/>
    </w:p>
    <w:p>
      <w:pPr>
        <w:spacing w:line="360" w:lineRule="auto"/>
        <w:shd w:val="clear" w:color="auto" w:fill="ffffff" w:themeFill="background1"/>
        <w:rPr>
          <w:rFonts w:ascii="Times New Roman" w:hAnsi="Times New Roman"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szCs w:val="20"/>
          <w:highlight w:val="none"/>
          <w:u w:val="single"/>
          <w14:textFill>
            <w14:solidFill>
              <w14:schemeClr w14:val="tx1"/>
            </w14:solidFill>
          </w14:textFill>
        </w:rPr>
        <w:t xml:space="preserve">建湖县公安局</w:t>
      </w:r>
      <w:r>
        <w:rPr>
          <w:rFonts w:hint="eastAsia" w:ascii="Times New Roman" w:hAnsi="Times New Roman" w:eastAsia="宋体"/>
          <w:color w:val="000000" w:themeColor="text1"/>
          <w:sz w:val="24"/>
          <w:highlight w:val="none"/>
          <w14:textFill>
            <w14:solidFill>
              <w14:schemeClr w14:val="tx1"/>
            </w14:solidFill>
          </w14:textFill>
        </w:rPr>
        <w:t xml:space="preserve">：</w:t>
      </w:r>
      <w:r/>
    </w:p>
    <w:p>
      <w:pPr>
        <w:ind w:firstLine="480"/>
        <w:spacing w:line="70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我单位</w:t>
      </w:r>
      <w:r>
        <w:rPr>
          <w:rFonts w:hint="eastAsia" w:ascii="宋体" w:hAnsi="宋体" w:eastAsia="宋体"/>
          <w:color w:val="000000" w:themeColor="text1"/>
          <w:sz w:val="24"/>
          <w:szCs w:val="20"/>
          <w:highlight w:val="none"/>
          <w:u w:val="singl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供应商名称）郑重声明：参加政府招标活动前</w:t>
      </w:r>
      <w:r>
        <w:rPr>
          <w:rFonts w:ascii="宋体" w:hAnsi="宋体" w:eastAsia="宋体"/>
          <w:color w:val="000000" w:themeColor="text1"/>
          <w:sz w:val="24"/>
          <w:szCs w:val="20"/>
          <w:highlight w:val="none"/>
          <w14:textFill>
            <w14:solidFill>
              <w14:schemeClr w14:val="tx1"/>
            </w14:solidFill>
          </w14:textFill>
        </w:rPr>
        <w:t xml:space="preserve">3</w:t>
      </w:r>
      <w:r>
        <w:rPr>
          <w:rFonts w:hint="eastAsia" w:ascii="宋体" w:hAnsi="宋体" w:eastAsia="宋体"/>
          <w:color w:val="000000" w:themeColor="text1"/>
          <w:sz w:val="24"/>
          <w:szCs w:val="20"/>
          <w:highlight w:val="none"/>
          <w14:textFill>
            <w14:solidFill>
              <w14:schemeClr w14:val="tx1"/>
            </w14:solidFill>
          </w14:textFill>
        </w:rPr>
        <w:t xml:space="preserve">年内在经营活动中</w:t>
      </w:r>
      <w:r>
        <w:rPr>
          <w:rFonts w:hint="eastAsia" w:ascii="宋体" w:hAnsi="宋体" w:eastAsia="宋体"/>
          <w:color w:val="000000" w:themeColor="text1"/>
          <w:sz w:val="24"/>
          <w:szCs w:val="20"/>
          <w:highlight w:val="none"/>
          <w:u w:val="single"/>
          <w14:textFill>
            <w14:solidFill>
              <w14:schemeClr w14:val="tx1"/>
            </w14:solidFill>
          </w14:textFill>
        </w:rPr>
        <w:t xml:space="preserve"> </w:t>
      </w:r>
      <w:r>
        <w:rPr>
          <w:rFonts w:ascii="宋体" w:hAnsi="宋体" w:eastAsia="宋体"/>
          <w:color w:val="000000" w:themeColor="text1"/>
          <w:sz w:val="24"/>
          <w:szCs w:val="20"/>
          <w:highlight w:val="none"/>
          <w:u w:val="single"/>
          <w14:textFill>
            <w14:solidFill>
              <w14:schemeClr w14:val="tx1"/>
            </w14:solidFill>
          </w14:textFill>
        </w:rPr>
        <w:t xml:space="preserve">     </w:t>
      </w:r>
      <w:r>
        <w:rPr>
          <w:rFonts w:hint="eastAsia" w:ascii="宋体" w:hAnsi="宋体" w:eastAsia="宋体"/>
          <w:color w:val="000000" w:themeColor="text1"/>
          <w:sz w:val="24"/>
          <w:szCs w:val="20"/>
          <w:highlight w:val="none"/>
          <w:u w:val="singl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（在下划线上如实填写：有或没有）重大违法记录。（说明：所称重大违法记录，是指供应商因违法经营受到刑事处罚或者责令停产停业、吊销许可证或者执照、较大数额罚款等行政处罚。）</w:t>
      </w:r>
      <w:r/>
    </w:p>
    <w:p>
      <w:pPr>
        <w:ind w:firstLine="480"/>
        <w:spacing w:line="70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firstLine="480"/>
        <w:spacing w:line="70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投标单位：（公章）</w:t>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jc w:val="right"/>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日 </w:t>
      </w:r>
      <w:r>
        <w:rPr>
          <w:rFonts w:ascii="宋体" w:hAnsi="宋体" w:eastAsia="宋体"/>
          <w:color w:val="000000" w:themeColor="text1"/>
          <w:sz w:val="24"/>
          <w:szCs w:val="20"/>
          <w:highlight w:val="non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 期：     年   月   日</w:t>
      </w:r>
      <w:r/>
    </w:p>
    <w:p>
      <w:pPr>
        <w:ind w:left="-840" w:firstLine="716"/>
        <w:jc w:val="center"/>
        <w:spacing w:line="360" w:lineRule="auto"/>
        <w:shd w:val="clear" w:color="auto" w:fill="ffffff" w:themeFill="background1"/>
        <w:rPr>
          <w:rFonts w:ascii="黑体" w:hAnsi="Times New Roman" w:eastAsia="黑体"/>
          <w:b/>
          <w:color w:val="000000" w:themeColor="text1"/>
          <w:sz w:val="36"/>
          <w:highlight w:val="none"/>
          <w14:textFill>
            <w14:solidFill>
              <w14:schemeClr w14:val="tx1"/>
            </w14:solidFill>
          </w14:textFill>
        </w:rPr>
      </w:pPr>
      <w:r>
        <w:rPr>
          <w:rFonts w:ascii="黑体" w:hAnsi="Times New Roman" w:eastAsia="黑体"/>
          <w:b/>
          <w:color w:val="000000" w:themeColor="text1"/>
          <w:sz w:val="36"/>
          <w:highlight w:val="none"/>
          <w14:textFill>
            <w14:solidFill>
              <w14:schemeClr w14:val="tx1"/>
            </w14:solidFill>
          </w14:textFill>
        </w:rPr>
      </w:r>
      <w:r/>
    </w:p>
    <w:p>
      <w:pPr>
        <w:ind w:firstLine="716"/>
        <w:jc w:val="center"/>
        <w:shd w:val="clear" w:color="auto" w:fill="ffffff" w:themeFill="background1"/>
        <w:rPr>
          <w:rFonts w:hint="eastAsia"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r>
      <w:bookmarkEnd w:id="52"/>
      <w:r/>
    </w:p>
    <w:p>
      <w:pPr>
        <w:ind w:firstLine="716"/>
        <w:jc w:val="center"/>
        <w:shd w:val="clear" w:color="auto" w:fill="ffffff" w:themeFill="background1"/>
        <w:rPr>
          <w:rFonts w:hint="eastAsia"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r>
      <w:r/>
    </w:p>
    <w:p>
      <w:pPr>
        <w:ind w:firstLine="716"/>
        <w:jc w:val="center"/>
        <w:shd w:val="clear" w:color="auto" w:fill="ffffff" w:themeFill="background1"/>
        <w:rPr>
          <w:rFonts w:hint="eastAsia"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r>
      <w:r/>
    </w:p>
    <w:p>
      <w:pPr>
        <w:ind w:firstLine="716"/>
        <w:jc w:val="center"/>
        <w:shd w:val="clear" w:color="auto" w:fill="ffffff" w:themeFill="background1"/>
        <w:rPr>
          <w:rFonts w:hint="eastAsia"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r>
      <w:r/>
    </w:p>
    <w:p>
      <w:pPr>
        <w:ind w:firstLine="716"/>
        <w:jc w:val="center"/>
        <w:shd w:val="clear" w:color="auto" w:fill="ffffff" w:themeFill="background1"/>
        <w:rPr>
          <w:rFonts w:hint="eastAsia"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r>
      <w:r/>
    </w:p>
    <w:p>
      <w:pPr>
        <w:ind w:firstLine="716"/>
        <w:shd w:val="clear" w:color="auto" w:fill="ffffff" w:themeFill="background1"/>
        <w:rPr>
          <w:rFonts w:hint="eastAsia"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r>
      <w:r/>
    </w:p>
    <w:p>
      <w:pPr>
        <w:ind w:firstLine="716"/>
        <w:jc w:val="center"/>
        <w:shd w:val="clear" w:color="auto" w:fill="ffffff" w:themeFill="background1"/>
        <w:rPr>
          <w:rFonts w:hint="eastAsia"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r>
      <w:r/>
    </w:p>
    <w:p>
      <w:pPr>
        <w:pStyle w:val="704"/>
        <w:shd w:val="clear" w:color="auto" w:fill="ffffff" w:themeFill="background1"/>
        <w:rPr>
          <w:rFonts w:ascii="黑体" w:cs="黑体"/>
          <w:color w:val="000000" w:themeColor="text1"/>
          <w:sz w:val="36"/>
          <w:szCs w:val="36"/>
          <w:highlight w:val="none"/>
          <w14:textFill>
            <w14:solidFill>
              <w14:schemeClr w14:val="tx1"/>
            </w14:solidFill>
          </w14:textFill>
        </w:rPr>
      </w:pPr>
      <w:r>
        <w:rPr>
          <w:rFonts w:ascii="黑体" w:cs="黑体"/>
          <w:color w:val="000000" w:themeColor="text1"/>
          <w:sz w:val="36"/>
          <w:szCs w:val="36"/>
          <w:highlight w:val="none"/>
          <w14:textFill>
            <w14:solidFill>
              <w14:schemeClr w14:val="tx1"/>
            </w14:solidFill>
          </w14:textFill>
        </w:rPr>
        <w:br w:type="page" w:clear="all"/>
      </w:r>
      <w:bookmarkStart w:id="53" w:name="_Toc17271"/>
      <w:r>
        <w:rPr>
          <w:rFonts w:hint="eastAsia"/>
          <w:color w:val="000000" w:themeColor="text1"/>
          <w:highlight w:val="none"/>
          <w14:textFill>
            <w14:solidFill>
              <w14:schemeClr w14:val="tx1"/>
            </w14:solidFill>
          </w14:textFill>
        </w:rPr>
        <w:t xml:space="preserve">（四）供应商登记表</w:t>
      </w:r>
      <w:bookmarkEnd w:id="53"/>
      <w:r/>
      <w:r/>
    </w:p>
    <w:p>
      <w:pPr>
        <w:ind w:right="-105"/>
        <w:jc w:val="right"/>
        <w:spacing w:line="360" w:lineRule="auto"/>
        <w:shd w:val="clear" w:color="auto" w:fill="ffffff" w:themeFill="background1"/>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年</w:t>
      </w:r>
      <w:r>
        <w:rPr>
          <w:rFonts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tbl>
      <w:tblPr>
        <w:tblStyle w:val="713"/>
        <w:tblW w:w="9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151"/>
      </w:tblGrid>
      <w:tr>
        <w:trPr>
          <w:trHeight w:val="263"/>
        </w:trPr>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企业名称</w:t>
            </w:r>
            <w:r/>
          </w:p>
        </w:tc>
        <w:tc>
          <w:tcPr>
            <w:gridSpan w:val="5"/>
            <w:tcW w:w="7941"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详细地址</w:t>
            </w:r>
            <w:r/>
          </w:p>
        </w:tc>
        <w:tc>
          <w:tcPr>
            <w:gridSpan w:val="3"/>
            <w:tcW w:w="448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w:t>
            </w:r>
            <w:r>
              <w:rPr>
                <w:rFonts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编</w:t>
            </w:r>
            <w:r/>
          </w:p>
        </w:tc>
        <w:tc>
          <w:tcPr>
            <w:tcW w:w="2151"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法人代表</w:t>
            </w:r>
            <w:r/>
          </w:p>
        </w:tc>
        <w:tc>
          <w:tcPr>
            <w:tcW w:w="118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9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企业性质</w:t>
            </w:r>
            <w:r/>
          </w:p>
        </w:tc>
        <w:tc>
          <w:tcPr>
            <w:tcW w:w="19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注册资金</w:t>
            </w:r>
            <w:r/>
          </w:p>
        </w:tc>
        <w:tc>
          <w:tcPr>
            <w:tcW w:w="2151"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w:t>
            </w:r>
            <w:r/>
          </w:p>
        </w:tc>
        <w:tc>
          <w:tcPr>
            <w:tcW w:w="118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9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职</w:t>
            </w:r>
            <w:r>
              <w:rPr>
                <w:rFonts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务</w:t>
            </w:r>
            <w:r/>
          </w:p>
        </w:tc>
        <w:tc>
          <w:tcPr>
            <w:tcW w:w="19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所在部门</w:t>
            </w:r>
            <w:r/>
          </w:p>
        </w:tc>
        <w:tc>
          <w:tcPr>
            <w:tcW w:w="2151"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营业面积</w:t>
            </w:r>
            <w:r/>
          </w:p>
        </w:tc>
        <w:tc>
          <w:tcPr>
            <w:tcW w:w="118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9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在册员工</w:t>
            </w:r>
            <w:r/>
          </w:p>
        </w:tc>
        <w:tc>
          <w:tcPr>
            <w:tcW w:w="19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w:t>
            </w:r>
            <w:r/>
          </w:p>
        </w:tc>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技术人员</w:t>
            </w:r>
            <w:r/>
          </w:p>
        </w:tc>
        <w:tc>
          <w:tcPr>
            <w:tcW w:w="2151"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w:t>
            </w:r>
            <w:r/>
          </w:p>
        </w:tc>
      </w:tr>
      <w:tr>
        <w:trPr/>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p>
        </w:tc>
        <w:tc>
          <w:tcPr>
            <w:gridSpan w:val="2"/>
            <w:tcW w:w="2580"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9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w:t>
            </w:r>
            <w:r>
              <w:rPr>
                <w:rFonts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真</w:t>
            </w:r>
            <w:r/>
          </w:p>
        </w:tc>
        <w:tc>
          <w:tcPr>
            <w:gridSpan w:val="2"/>
            <w:tcW w:w="3456"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手机号</w:t>
            </w:r>
            <w:r/>
          </w:p>
        </w:tc>
        <w:tc>
          <w:tcPr>
            <w:gridSpan w:val="2"/>
            <w:tcW w:w="2580"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9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网址</w:t>
            </w:r>
            <w:r/>
          </w:p>
        </w:tc>
        <w:tc>
          <w:tcPr>
            <w:gridSpan w:val="2"/>
            <w:tcW w:w="3456"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供应商品</w:t>
            </w:r>
            <w:r/>
          </w:p>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范</w:t>
            </w:r>
            <w:r>
              <w:rPr>
                <w:rFonts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围</w:t>
            </w:r>
            <w:r/>
          </w:p>
        </w:tc>
        <w:tc>
          <w:tcPr>
            <w:gridSpan w:val="5"/>
            <w:tcW w:w="7941"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3194"/>
        </w:trPr>
        <w:tc>
          <w:tcPr>
            <w:gridSpan w:val="6"/>
            <w:tcW w:w="9246"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企业概况</w:t>
            </w:r>
            <w:r/>
          </w:p>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3393"/>
        </w:trPr>
        <w:tc>
          <w:tcPr>
            <w:gridSpan w:val="6"/>
            <w:tcW w:w="9246"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主要业绩</w:t>
            </w:r>
            <w:r/>
          </w:p>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8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left="2" w:firstLine="707"/>
        <w:spacing w:line="200" w:lineRule="exact"/>
        <w:shd w:val="clear" w:color="auto" w:fill="ffffff" w:themeFill="background1"/>
        <w:tabs>
          <w:tab w:val="left" w:pos="180" w:leader="none"/>
        </w:tabs>
        <w:rPr>
          <w:rFonts w:hint="eastAsia" w:ascii="Times New Roman" w:hAnsi="宋体" w:eastAsia="宋体"/>
          <w:b/>
          <w:color w:val="000000" w:themeColor="text1"/>
          <w:spacing w:val="-4"/>
          <w:sz w:val="36"/>
          <w:szCs w:val="36"/>
          <w:highlight w:val="none"/>
          <w14:textFill>
            <w14:solidFill>
              <w14:schemeClr w14:val="tx1"/>
            </w14:solidFill>
          </w14:textFill>
        </w:rPr>
      </w:pPr>
      <w:r>
        <w:rPr>
          <w:rFonts w:hint="eastAsia" w:ascii="Times New Roman" w:hAnsi="宋体" w:eastAsia="宋体"/>
          <w:b/>
          <w:color w:val="000000" w:themeColor="text1"/>
          <w:spacing w:val="-4"/>
          <w:sz w:val="36"/>
          <w:szCs w:val="36"/>
          <w:highlight w:val="none"/>
          <w14:textFill>
            <w14:solidFill>
              <w14:schemeClr w14:val="tx1"/>
            </w14:solidFill>
          </w14:textFill>
        </w:rPr>
      </w:r>
      <w:r/>
    </w:p>
    <w:p>
      <w:pPr>
        <w:ind w:firstLine="716"/>
        <w:spacing w:before="120" w:after="120" w:line="440" w:lineRule="exact"/>
        <w:shd w:val="clear" w:color="auto" w:fill="ffffff" w:themeFill="background1"/>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r>
      <w:r/>
    </w:p>
    <w:p>
      <w:pPr>
        <w:pStyle w:val="704"/>
        <w:shd w:val="clear" w:color="auto" w:fill="ffffff" w:themeFill="background1"/>
        <w:rPr>
          <w:color w:val="000000" w:themeColor="text1"/>
          <w:highlight w:val="none"/>
          <w14:textFill>
            <w14:solidFill>
              <w14:schemeClr w14:val="tx1"/>
            </w14:solidFill>
          </w14:textFill>
        </w:rPr>
      </w:pPr>
      <w:r/>
      <w:bookmarkStart w:id="54" w:name="_Toc14320"/>
      <w:r/>
      <w:bookmarkStart w:id="55" w:name="_Hlk165367528"/>
      <w:r>
        <w:rPr>
          <w:rFonts w:hint="eastAsia"/>
          <w:color w:val="000000" w:themeColor="text1"/>
          <w:highlight w:val="none"/>
          <w14:textFill>
            <w14:solidFill>
              <w14:schemeClr w14:val="tx1"/>
            </w14:solidFill>
          </w14:textFill>
        </w:rPr>
        <w:t xml:space="preserve">（五）法定代表人身份证明书</w:t>
      </w:r>
      <w:bookmarkEnd w:id="54"/>
      <w:r/>
      <w:r/>
    </w:p>
    <w:p>
      <w:pPr>
        <w:ind w:left="2" w:firstLine="475"/>
        <w:spacing w:line="700" w:lineRule="exact"/>
        <w:shd w:val="clear" w:color="auto" w:fill="ffffff" w:themeFill="background1"/>
        <w:rPr>
          <w:rFonts w:hint="eastAsia" w:ascii="宋体" w:hAnsi="宋体" w:eastAsia="宋体"/>
          <w:color w:val="000000" w:themeColor="text1"/>
          <w:sz w:val="24"/>
          <w:szCs w:val="20"/>
          <w:highlight w:val="none"/>
          <w:u w:val="singl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单位名称： </w:t>
      </w:r>
      <w:r/>
    </w:p>
    <w:p>
      <w:pPr>
        <w:ind w:left="2" w:firstLine="475"/>
        <w:spacing w:line="700" w:lineRule="exact"/>
        <w:shd w:val="clear" w:color="auto" w:fill="ffffff" w:themeFill="background1"/>
        <w:rPr>
          <w:rFonts w:hint="eastAsia" w:ascii="宋体" w:hAnsi="宋体" w:eastAsia="宋体"/>
          <w:color w:val="000000" w:themeColor="text1"/>
          <w:sz w:val="24"/>
          <w:szCs w:val="20"/>
          <w:highlight w:val="none"/>
          <w:u w:val="singl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单位性质：</w:t>
      </w:r>
      <w:r/>
    </w:p>
    <w:p>
      <w:pPr>
        <w:ind w:left="2" w:firstLine="475"/>
        <w:spacing w:line="700" w:lineRule="exact"/>
        <w:shd w:val="clear" w:color="auto" w:fill="ffffff" w:themeFill="background1"/>
        <w:rPr>
          <w:rFonts w:hint="eastAsia" w:ascii="宋体" w:hAnsi="宋体" w:eastAsia="宋体"/>
          <w:color w:val="000000" w:themeColor="text1"/>
          <w:sz w:val="24"/>
          <w:szCs w:val="20"/>
          <w:highlight w:val="none"/>
          <w:u w:val="singl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地 </w:t>
      </w:r>
      <w:r>
        <w:rPr>
          <w:rFonts w:ascii="宋体" w:hAnsi="宋体" w:eastAsia="宋体"/>
          <w:color w:val="000000" w:themeColor="text1"/>
          <w:sz w:val="24"/>
          <w:szCs w:val="20"/>
          <w:highlight w:val="non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址：</w:t>
      </w:r>
      <w:r/>
    </w:p>
    <w:p>
      <w:pPr>
        <w:ind w:left="2" w:firstLine="475"/>
        <w:spacing w:line="70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成立时间：</w:t>
      </w:r>
      <w:r>
        <w:rPr>
          <w:rFonts w:hint="eastAsia" w:ascii="宋体" w:hAnsi="宋体" w:eastAsia="宋体"/>
          <w:color w:val="000000" w:themeColor="text1"/>
          <w:sz w:val="24"/>
          <w:szCs w:val="20"/>
          <w:highlight w:val="none"/>
          <w:u w:val="single"/>
          <w14:textFill>
            <w14:solidFill>
              <w14:schemeClr w14:val="tx1"/>
            </w14:solidFill>
          </w14:textFill>
        </w:rPr>
        <w:t xml:space="preserve">        年   月   日</w:t>
      </w:r>
      <w:r/>
    </w:p>
    <w:p>
      <w:pPr>
        <w:ind w:left="2" w:firstLine="475"/>
        <w:spacing w:line="700" w:lineRule="exact"/>
        <w:shd w:val="clear" w:color="auto" w:fill="ffffff" w:themeFill="background1"/>
        <w:rPr>
          <w:rFonts w:hint="eastAsia" w:ascii="宋体" w:hAnsi="宋体" w:eastAsia="宋体"/>
          <w:color w:val="000000" w:themeColor="text1"/>
          <w:sz w:val="24"/>
          <w:szCs w:val="20"/>
          <w:highlight w:val="none"/>
          <w:u w:val="singl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经营期限：</w:t>
      </w:r>
      <w:r/>
    </w:p>
    <w:p>
      <w:pPr>
        <w:ind w:left="2" w:firstLine="475"/>
        <w:spacing w:line="700" w:lineRule="exact"/>
        <w:shd w:val="clear" w:color="auto" w:fill="ffffff" w:themeFill="background1"/>
        <w:rPr>
          <w:rFonts w:hint="eastAsia" w:ascii="宋体" w:hAnsi="宋体" w:eastAsia="宋体"/>
          <w:color w:val="000000" w:themeColor="text1"/>
          <w:sz w:val="24"/>
          <w:szCs w:val="20"/>
          <w:highlight w:val="none"/>
          <w:u w:val="singl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姓 </w:t>
      </w:r>
      <w:r>
        <w:rPr>
          <w:rFonts w:ascii="宋体" w:hAnsi="宋体" w:eastAsia="宋体"/>
          <w:color w:val="000000" w:themeColor="text1"/>
          <w:sz w:val="24"/>
          <w:szCs w:val="20"/>
          <w:highlight w:val="non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名：</w:t>
      </w:r>
      <w:r/>
    </w:p>
    <w:p>
      <w:pPr>
        <w:ind w:left="2" w:firstLine="475"/>
        <w:spacing w:line="700" w:lineRule="exact"/>
        <w:shd w:val="clear" w:color="auto" w:fill="ffffff" w:themeFill="background1"/>
        <w:rPr>
          <w:rFonts w:hint="eastAsia" w:ascii="宋体" w:hAnsi="宋体" w:eastAsia="宋体"/>
          <w:color w:val="000000" w:themeColor="text1"/>
          <w:sz w:val="24"/>
          <w:szCs w:val="20"/>
          <w:highlight w:val="none"/>
          <w:u w:val="singl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联系电话：</w:t>
      </w:r>
      <w:r/>
    </w:p>
    <w:p>
      <w:pPr>
        <w:ind w:left="2" w:firstLine="475"/>
        <w:spacing w:line="700" w:lineRule="exact"/>
        <w:shd w:val="clear" w:color="auto" w:fill="ffffff" w:themeFill="background1"/>
        <w:rPr>
          <w:rFonts w:hint="eastAsia" w:ascii="宋体" w:hAnsi="宋体" w:eastAsia="宋体"/>
          <w:color w:val="000000" w:themeColor="text1"/>
          <w:sz w:val="24"/>
          <w:szCs w:val="20"/>
          <w:highlight w:val="none"/>
          <w:u w:val="singl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身份证号：</w:t>
      </w:r>
      <w:r/>
    </w:p>
    <w:p>
      <w:pPr>
        <w:ind w:left="2" w:firstLine="475"/>
        <w:spacing w:line="70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系</w:t>
      </w:r>
      <w:r>
        <w:rPr>
          <w:rFonts w:hint="eastAsia" w:ascii="宋体" w:hAnsi="宋体" w:eastAsia="宋体"/>
          <w:color w:val="000000" w:themeColor="text1"/>
          <w:sz w:val="24"/>
          <w:szCs w:val="20"/>
          <w:highlight w:val="none"/>
          <w:u w:val="single"/>
          <w14:textFill>
            <w14:solidFill>
              <w14:schemeClr w14:val="tx1"/>
            </w14:solidFill>
          </w14:textFill>
        </w:rPr>
        <w:t xml:space="preserve"> </w:t>
      </w:r>
      <w:r>
        <w:rPr>
          <w:rFonts w:ascii="宋体" w:hAnsi="宋体" w:eastAsia="宋体"/>
          <w:color w:val="000000" w:themeColor="text1"/>
          <w:sz w:val="24"/>
          <w:szCs w:val="20"/>
          <w:highlight w:val="none"/>
          <w:u w:val="singl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（投标单位名称</w:t>
      </w:r>
      <w:r>
        <w:rPr>
          <w:rFonts w:ascii="宋体" w:hAnsi="宋体" w:eastAsia="宋体"/>
          <w:color w:val="000000" w:themeColor="text1"/>
          <w:sz w:val="24"/>
          <w:szCs w:val="20"/>
          <w:highlight w:val="none"/>
          <w14:textFill>
            <w14:solidFill>
              <w14:schemeClr w14:val="tx1"/>
            </w14:solidFill>
          </w14:textFill>
        </w:rPr>
        <w:t xml:space="preserve">）</w:t>
      </w:r>
      <w:r>
        <w:rPr>
          <w:rFonts w:hint="eastAsia" w:ascii="宋体" w:hAnsi="宋体" w:eastAsia="宋体"/>
          <w:color w:val="000000" w:themeColor="text1"/>
          <w:sz w:val="24"/>
          <w:szCs w:val="20"/>
          <w:highlight w:val="none"/>
          <w14:textFill>
            <w14:solidFill>
              <w14:schemeClr w14:val="tx1"/>
            </w14:solidFill>
          </w14:textFill>
        </w:rPr>
        <w:t xml:space="preserve">的法定代表人或单位负责人。</w:t>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特此证明。</w:t>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投标单位</w:t>
      </w:r>
      <w:r>
        <w:rPr>
          <w:rFonts w:ascii="宋体" w:hAnsi="宋体" w:eastAsia="宋体"/>
          <w:color w:val="000000" w:themeColor="text1"/>
          <w:sz w:val="24"/>
          <w:szCs w:val="20"/>
          <w:highlight w:val="none"/>
          <w14:textFill>
            <w14:solidFill>
              <w14:schemeClr w14:val="tx1"/>
            </w14:solidFill>
          </w14:textFill>
        </w:rPr>
        <w:t xml:space="preserve">(</w:t>
      </w:r>
      <w:r>
        <w:rPr>
          <w:rFonts w:hint="eastAsia" w:ascii="宋体" w:hAnsi="宋体" w:eastAsia="宋体"/>
          <w:color w:val="000000" w:themeColor="text1"/>
          <w:sz w:val="24"/>
          <w:szCs w:val="20"/>
          <w:highlight w:val="none"/>
          <w14:textFill>
            <w14:solidFill>
              <w14:schemeClr w14:val="tx1"/>
            </w14:solidFill>
          </w14:textFill>
        </w:rPr>
        <w:t xml:space="preserve">公章</w:t>
      </w:r>
      <w:r>
        <w:rPr>
          <w:rFonts w:ascii="宋体" w:hAnsi="宋体" w:eastAsia="宋体"/>
          <w:color w:val="000000" w:themeColor="text1"/>
          <w:sz w:val="24"/>
          <w:szCs w:val="20"/>
          <w:highlight w:val="non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w:t>
      </w:r>
      <w:r/>
    </w:p>
    <w:p>
      <w:pPr>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日 </w:t>
      </w:r>
      <w:r>
        <w:rPr>
          <w:rFonts w:ascii="宋体" w:hAnsi="宋体" w:eastAsia="宋体"/>
          <w:color w:val="000000" w:themeColor="text1"/>
          <w:sz w:val="24"/>
          <w:szCs w:val="20"/>
          <w:highlight w:val="non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期：     年   月   日</w:t>
      </w:r>
      <w:bookmarkEnd w:id="55"/>
      <w:r/>
    </w:p>
    <w:p>
      <w:pPr>
        <w:ind w:firstLine="716"/>
        <w:spacing w:before="120" w:after="120" w:line="440" w:lineRule="exact"/>
        <w:shd w:val="clear" w:color="auto" w:fill="ffffff" w:themeFill="background1"/>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r>
      <w:r/>
    </w:p>
    <w:p>
      <w:pPr>
        <w:ind w:firstLine="1807"/>
        <w:spacing w:before="120" w:after="120" w:line="440" w:lineRule="exact"/>
        <w:shd w:val="clear" w:color="auto" w:fill="ffffff" w:themeFill="background1"/>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r>
      <w:r/>
    </w:p>
    <w:p>
      <w:pPr>
        <w:ind w:firstLine="1807"/>
        <w:spacing w:before="120" w:after="120" w:line="440" w:lineRule="exact"/>
        <w:shd w:val="clear" w:color="auto" w:fill="ffffff" w:themeFill="background1"/>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r>
      <w:r/>
    </w:p>
    <w:p>
      <w:pPr>
        <w:pStyle w:val="704"/>
        <w:shd w:val="clear" w:color="auto" w:fill="ffffff" w:themeFill="background1"/>
        <w:rPr>
          <w:color w:val="000000" w:themeColor="text1"/>
          <w:highlight w:val="none"/>
          <w14:textFill>
            <w14:solidFill>
              <w14:schemeClr w14:val="tx1"/>
            </w14:solidFill>
          </w14:textFill>
        </w:rPr>
      </w:pPr>
      <w:r/>
      <w:bookmarkStart w:id="56" w:name="_Toc31093"/>
      <w:r/>
      <w:bookmarkStart w:id="57" w:name="_Hlk165367568"/>
      <w:r>
        <w:rPr>
          <w:rFonts w:hint="eastAsia"/>
          <w:color w:val="000000" w:themeColor="text1"/>
          <w:highlight w:val="none"/>
          <w14:textFill>
            <w14:solidFill>
              <w14:schemeClr w14:val="tx1"/>
            </w14:solidFill>
          </w14:textFill>
        </w:rPr>
        <w:t xml:space="preserve">（六）法定代表人授权委托书</w:t>
      </w:r>
      <w:bookmarkEnd w:id="56"/>
      <w:r/>
      <w:r/>
    </w:p>
    <w:p>
      <w:pPr>
        <w:ind w:left="2" w:firstLine="595"/>
        <w:spacing w:line="58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本授权委托书声明：我</w:t>
      </w:r>
      <w:r>
        <w:rPr>
          <w:rFonts w:hint="eastAsia" w:ascii="宋体" w:hAnsi="宋体" w:eastAsia="宋体"/>
          <w:color w:val="000000" w:themeColor="text1"/>
          <w:sz w:val="24"/>
          <w:szCs w:val="20"/>
          <w:highlight w:val="none"/>
          <w:u w:val="singl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（姓名）系</w:t>
      </w:r>
      <w:r>
        <w:rPr>
          <w:rFonts w:hint="eastAsia" w:ascii="宋体" w:hAnsi="宋体" w:eastAsia="宋体"/>
          <w:color w:val="000000" w:themeColor="text1"/>
          <w:sz w:val="24"/>
          <w:szCs w:val="20"/>
          <w:highlight w:val="none"/>
          <w:u w:val="singl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（投标人名称）的法定代表人或单位负责人，现授权委托</w:t>
      </w:r>
      <w:r>
        <w:rPr>
          <w:rFonts w:hint="eastAsia" w:ascii="宋体" w:hAnsi="宋体" w:eastAsia="宋体"/>
          <w:color w:val="000000" w:themeColor="text1"/>
          <w:sz w:val="24"/>
          <w:szCs w:val="20"/>
          <w:highlight w:val="none"/>
          <w:u w:val="singl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（姓名）为我的代理人，以本公司的名义参加</w:t>
      </w:r>
      <w:r>
        <w:rPr>
          <w:rFonts w:hint="eastAsia" w:ascii="宋体" w:hAnsi="宋体" w:eastAsia="宋体"/>
          <w:color w:val="000000" w:themeColor="text1"/>
          <w:sz w:val="24"/>
          <w:szCs w:val="20"/>
          <w:highlight w:val="none"/>
          <w:u w:val="single"/>
          <w14:textFill>
            <w14:solidFill>
              <w14:schemeClr w14:val="tx1"/>
            </w14:solidFill>
          </w14:textFill>
        </w:rPr>
        <w:t xml:space="preserve">2026年交通信号灯路口智能信控优化系统项目</w:t>
      </w:r>
      <w:r>
        <w:rPr>
          <w:rFonts w:hint="eastAsia" w:ascii="宋体" w:hAnsi="宋体" w:eastAsia="宋体"/>
          <w:color w:val="000000" w:themeColor="text1"/>
          <w:sz w:val="24"/>
          <w:szCs w:val="20"/>
          <w:highlight w:val="none"/>
          <w14:textFill>
            <w14:solidFill>
              <w14:schemeClr w14:val="tx1"/>
            </w14:solidFill>
          </w14:textFill>
        </w:rPr>
        <w:t xml:space="preserve">的投标活动。代理人在开标、询标、合同谈判等过程中所签署的一切文件和处理与之有关的一切事务，我均予以承认。</w:t>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代理人无转委权，特此委托。</w:t>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u w:val="singl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代理人联系电话（手机号）：</w:t>
      </w:r>
      <w:r>
        <w:rPr>
          <w:rFonts w:hint="eastAsia" w:ascii="宋体" w:hAnsi="宋体" w:eastAsia="宋体"/>
          <w:color w:val="000000" w:themeColor="text1"/>
          <w:sz w:val="24"/>
          <w:szCs w:val="20"/>
          <w:highlight w:val="none"/>
          <w:u w:val="single"/>
          <w14:textFill>
            <w14:solidFill>
              <w14:schemeClr w14:val="tx1"/>
            </w14:solidFill>
          </w14:textFill>
        </w:rPr>
        <w:t xml:space="preserve">　　 　　      </w:t>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投标单位</w:t>
      </w:r>
      <w:r>
        <w:rPr>
          <w:rFonts w:ascii="宋体" w:hAnsi="宋体" w:eastAsia="宋体"/>
          <w:color w:val="000000" w:themeColor="text1"/>
          <w:sz w:val="24"/>
          <w:szCs w:val="20"/>
          <w:highlight w:val="none"/>
          <w14:textFill>
            <w14:solidFill>
              <w14:schemeClr w14:val="tx1"/>
            </w14:solidFill>
          </w14:textFill>
        </w:rPr>
        <w:t xml:space="preserve">(</w:t>
      </w:r>
      <w:r>
        <w:rPr>
          <w:rFonts w:hint="eastAsia" w:ascii="宋体" w:hAnsi="宋体" w:eastAsia="宋体"/>
          <w:color w:val="000000" w:themeColor="text1"/>
          <w:sz w:val="24"/>
          <w:szCs w:val="20"/>
          <w:highlight w:val="none"/>
          <w14:textFill>
            <w14:solidFill>
              <w14:schemeClr w14:val="tx1"/>
            </w14:solidFill>
          </w14:textFill>
        </w:rPr>
        <w:t xml:space="preserve">公章</w:t>
      </w:r>
      <w:r>
        <w:rPr>
          <w:rFonts w:ascii="宋体" w:hAnsi="宋体" w:eastAsia="宋体"/>
          <w:color w:val="000000" w:themeColor="text1"/>
          <w:sz w:val="24"/>
          <w:szCs w:val="20"/>
          <w:highlight w:val="none"/>
          <w14:textFill>
            <w14:solidFill>
              <w14:schemeClr w14:val="tx1"/>
            </w14:solidFill>
          </w14:textFill>
        </w:rPr>
        <w:t xml:space="preserve">）</w:t>
      </w:r>
      <w:r>
        <w:rPr>
          <w:rFonts w:hint="eastAsia" w:ascii="宋体" w:hAnsi="宋体" w:eastAsia="宋体"/>
          <w:color w:val="000000" w:themeColor="text1"/>
          <w:sz w:val="24"/>
          <w:szCs w:val="20"/>
          <w:highlight w:val="none"/>
          <w14:textFill>
            <w14:solidFill>
              <w14:schemeClr w14:val="tx1"/>
            </w14:solidFill>
          </w14:textFill>
        </w:rPr>
        <w:t xml:space="preserve">：</w:t>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法定代表人</w:t>
      </w:r>
      <w:r>
        <w:rPr>
          <w:rFonts w:ascii="宋体" w:hAnsi="宋体" w:eastAsia="宋体"/>
          <w:color w:val="000000" w:themeColor="text1"/>
          <w:sz w:val="24"/>
          <w:szCs w:val="20"/>
          <w:highlight w:val="none"/>
          <w14:textFill>
            <w14:solidFill>
              <w14:schemeClr w14:val="tx1"/>
            </w14:solidFill>
          </w14:textFill>
        </w:rPr>
        <w:t xml:space="preserve">(</w:t>
      </w:r>
      <w:r>
        <w:rPr>
          <w:rFonts w:hint="eastAsia" w:ascii="宋体" w:hAnsi="宋体" w:eastAsia="宋体"/>
          <w:color w:val="000000" w:themeColor="text1"/>
          <w:sz w:val="24"/>
          <w:szCs w:val="20"/>
          <w:highlight w:val="none"/>
          <w14:textFill>
            <w14:solidFill>
              <w14:schemeClr w14:val="tx1"/>
            </w14:solidFill>
          </w14:textFill>
        </w:rPr>
        <w:t xml:space="preserve">印章或签字</w:t>
      </w:r>
      <w:r>
        <w:rPr>
          <w:rFonts w:ascii="宋体" w:hAnsi="宋体" w:eastAsia="宋体"/>
          <w:color w:val="000000" w:themeColor="text1"/>
          <w:sz w:val="24"/>
          <w:szCs w:val="20"/>
          <w:highlight w:val="none"/>
          <w14:textFill>
            <w14:solidFill>
              <w14:schemeClr w14:val="tx1"/>
            </w14:solidFill>
          </w14:textFill>
        </w:rPr>
        <w:t xml:space="preserve">）</w:t>
      </w:r>
      <w:r>
        <w:rPr>
          <w:rFonts w:hint="eastAsia" w:ascii="宋体" w:hAnsi="宋体" w:eastAsia="宋体"/>
          <w:color w:val="000000" w:themeColor="text1"/>
          <w:sz w:val="24"/>
          <w:szCs w:val="20"/>
          <w:highlight w:val="none"/>
          <w14:textFill>
            <w14:solidFill>
              <w14:schemeClr w14:val="tx1"/>
            </w14:solidFill>
          </w14:textFill>
        </w:rPr>
        <w:t xml:space="preserve">：</w:t>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jc w:val="right"/>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日 期：    年  月  日</w:t>
      </w:r>
      <w:r/>
    </w:p>
    <w:p>
      <w:pPr>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p>
      <w:pPr>
        <w:ind w:firstLine="240"/>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附：</w:t>
      </w:r>
      <w:r/>
    </w:p>
    <w:tbl>
      <w:tblPr>
        <w:tblStyle w:val="713"/>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7"/>
      </w:tblGrid>
      <w:tr>
        <w:trPr>
          <w:jc w:val="center"/>
          <w:trHeight w:val="4030"/>
        </w:trPr>
        <w:tc>
          <w:tcPr>
            <w:tcW w:w="9177" w:type="dxa"/>
            <w:vAlign w:val="center"/>
            <w:textDirection w:val="lrTb"/>
            <w:noWrap w:val="false"/>
          </w:tcPr>
          <w:p>
            <w:pPr>
              <w:jc w:val="center"/>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（代理人身份证复印件粘贴处）</w:t>
            </w:r>
            <w:r/>
          </w:p>
        </w:tc>
      </w:tr>
    </w:tbl>
    <w:p>
      <w:pPr>
        <w:pStyle w:val="704"/>
        <w:shd w:val="clear" w:color="auto" w:fill="ffffff" w:themeFill="background1"/>
        <w:rPr>
          <w:rFonts w:ascii="黑体" w:cs="黑体"/>
          <w:color w:val="000000" w:themeColor="text1"/>
          <w:sz w:val="36"/>
          <w:szCs w:val="36"/>
          <w:highlight w:val="none"/>
          <w14:textFill>
            <w14:solidFill>
              <w14:schemeClr w14:val="tx1"/>
            </w14:solidFill>
          </w14:textFill>
        </w:rPr>
      </w:pPr>
      <w:r>
        <w:rPr>
          <w:rFonts w:ascii="黑体" w:cs="黑体"/>
          <w:color w:val="000000" w:themeColor="text1"/>
          <w:sz w:val="36"/>
          <w:szCs w:val="36"/>
          <w:highlight w:val="none"/>
          <w14:textFill>
            <w14:solidFill>
              <w14:schemeClr w14:val="tx1"/>
            </w14:solidFill>
          </w14:textFill>
        </w:rPr>
        <w:br w:type="page" w:clear="all"/>
      </w:r>
      <w:bookmarkEnd w:id="57"/>
      <w:r/>
      <w:bookmarkStart w:id="58" w:name="_Toc7496"/>
      <w:r/>
      <w:bookmarkStart w:id="59" w:name="_Hlk165367653"/>
      <w:r>
        <w:rPr>
          <w:rFonts w:hint="eastAsia"/>
          <w:color w:val="000000" w:themeColor="text1"/>
          <w:highlight w:val="none"/>
          <w14:textFill>
            <w14:solidFill>
              <w14:schemeClr w14:val="tx1"/>
            </w14:solidFill>
          </w14:textFill>
        </w:rPr>
        <w:t xml:space="preserve">（七）公共资源交易投标信用承诺书</w:t>
      </w:r>
      <w:bookmarkEnd w:id="58"/>
      <w:r/>
      <w:r/>
    </w:p>
    <w:p>
      <w:pPr>
        <w:ind w:firstLine="480"/>
        <w:jc w:val="left"/>
        <w:spacing w:line="52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为营造公开、公平、公正的公共资源交易环境，树立诚信守法的投标人形象，本人代表本单位作出以下承诺：</w:t>
      </w:r>
      <w:r/>
    </w:p>
    <w:p>
      <w:pPr>
        <w:ind w:firstLine="480"/>
        <w:jc w:val="left"/>
        <w:spacing w:line="52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三、严格遵守即时信息公示规定，及时更新公共资源交易中心主体信息库中信息；</w:t>
      </w:r>
      <w:r/>
    </w:p>
    <w:p>
      <w:pPr>
        <w:ind w:firstLine="480"/>
        <w:jc w:val="left"/>
        <w:spacing w:line="52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四、</w:t>
      </w:r>
      <w:r>
        <w:rPr>
          <w:rFonts w:hint="eastAsia" w:ascii="宋体" w:hAnsi="宋体" w:eastAsia="宋体"/>
          <w:color w:val="000000" w:themeColor="text1"/>
          <w:spacing w:val="-4"/>
          <w:sz w:val="24"/>
          <w:highlight w:val="none"/>
          <w14:textFill>
            <w14:solidFill>
              <w14:schemeClr w14:val="tx1"/>
            </w14:solidFill>
          </w14:textFill>
        </w:rPr>
        <w:t xml:space="preserve">自我约束、自我管理，守合同、重信用，不参与围标串标、弄虚作假、骗取中标、干扰评标、违约毁约、恶意投诉等行为，主动维护公共资源交易招标投标的良好秩序</w:t>
      </w:r>
      <w:r>
        <w:rPr>
          <w:rFonts w:hint="eastAsia" w:ascii="宋体" w:hAnsi="宋体" w:eastAsia="宋体"/>
          <w:color w:val="000000" w:themeColor="text1"/>
          <w:sz w:val="24"/>
          <w:highlight w:val="none"/>
          <w14:textFill>
            <w14:solidFill>
              <w14:schemeClr w14:val="tx1"/>
            </w14:solidFill>
          </w14:textFill>
        </w:rPr>
        <w:t xml:space="preserve">；</w:t>
      </w:r>
      <w:r/>
    </w:p>
    <w:p>
      <w:pPr>
        <w:ind w:firstLine="480"/>
        <w:jc w:val="left"/>
        <w:spacing w:line="52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五、自觉接受政府部门、行业组织、社会公众、新闻舆论等监督；</w:t>
      </w:r>
      <w:r/>
    </w:p>
    <w:p>
      <w:pPr>
        <w:ind w:firstLine="480"/>
        <w:jc w:val="left"/>
        <w:spacing w:line="52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七、上述承诺已向本单位员工作了宣传教育。</w:t>
      </w:r>
      <w:r/>
    </w:p>
    <w:p>
      <w:pPr>
        <w:ind w:firstLine="477"/>
        <w:jc w:val="left"/>
        <w:spacing w:before="156" w:after="156" w:line="480" w:lineRule="exact"/>
        <w:shd w:val="clear" w:color="auto" w:fill="ffffff" w:themeFill="background1"/>
        <w:rPr>
          <w:rFonts w:hint="eastAsia" w:ascii="宋体" w:hAnsi="宋体" w:eastAsia="宋体"/>
          <w:b/>
          <w:color w:val="000000" w:themeColor="text1"/>
          <w:sz w:val="24"/>
          <w:highlight w:val="none"/>
          <w14:textFill>
            <w14:solidFill>
              <w14:schemeClr w14:val="tx1"/>
            </w14:solidFill>
          </w14:textFill>
        </w:rPr>
      </w:pPr>
      <w:r>
        <w:rPr>
          <w:rFonts w:hint="eastAsia" w:ascii="宋体" w:hAnsi="宋体" w:eastAsia="宋体"/>
          <w:b/>
          <w:color w:val="000000" w:themeColor="text1"/>
          <w:sz w:val="24"/>
          <w:highlight w:val="none"/>
          <w14:textFill>
            <w14:solidFill>
              <w14:schemeClr w14:val="tx1"/>
            </w14:solidFill>
          </w14:textFill>
        </w:rPr>
      </w:r>
      <w:r/>
    </w:p>
    <w:p>
      <w:pPr>
        <w:ind w:firstLine="480"/>
        <w:spacing w:before="156" w:after="156" w:line="480" w:lineRule="exact"/>
        <w:shd w:val="clear" w:color="auto" w:fill="ffffff" w:themeFill="background1"/>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法定代表人（签名或</w:t>
      </w:r>
      <w:r>
        <w:rPr>
          <w:rFonts w:hint="eastAsia" w:ascii="宋体" w:hAnsi="宋体" w:eastAsia="宋体"/>
          <w:color w:val="000000" w:themeColor="text1"/>
          <w:sz w:val="24"/>
          <w:szCs w:val="22"/>
          <w:highlight w:val="none"/>
          <w14:textFill>
            <w14:solidFill>
              <w14:schemeClr w14:val="tx1"/>
            </w14:solidFill>
          </w14:textFill>
        </w:rPr>
        <w:t xml:space="preserve">盖章</w:t>
      </w:r>
      <w:r>
        <w:rPr>
          <w:rFonts w:hint="eastAsia" w:ascii="宋体" w:hAnsi="宋体" w:eastAsia="宋体"/>
          <w:bCs/>
          <w:color w:val="000000" w:themeColor="text1"/>
          <w:sz w:val="24"/>
          <w:highlight w:val="none"/>
          <w14:textFill>
            <w14:solidFill>
              <w14:schemeClr w14:val="tx1"/>
            </w14:solidFill>
          </w14:textFill>
        </w:rPr>
        <w:t xml:space="preserve">）：</w:t>
      </w:r>
      <w:r/>
    </w:p>
    <w:p>
      <w:pPr>
        <w:ind w:firstLine="480"/>
        <w:spacing w:before="156" w:after="156" w:line="480" w:lineRule="exact"/>
        <w:shd w:val="clear" w:color="auto" w:fill="ffffff" w:themeFill="background1"/>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ind w:firstLine="480"/>
        <w:spacing w:before="156" w:after="156" w:line="480" w:lineRule="exact"/>
        <w:shd w:val="clear" w:color="auto" w:fill="ffffff" w:themeFill="background1"/>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投标单位（盖章）：</w:t>
      </w:r>
      <w:r/>
    </w:p>
    <w:p>
      <w:pPr>
        <w:jc w:val="left"/>
        <w:spacing w:after="156" w:line="480" w:lineRule="exact"/>
        <w:shd w:val="clear" w:color="auto" w:fill="ffffff" w:themeFill="background1"/>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ind w:right="-105"/>
        <w:jc w:val="right"/>
        <w:spacing w:after="156" w:line="480" w:lineRule="exact"/>
        <w:shd w:val="clear" w:color="auto" w:fill="ffffff" w:themeFill="background1"/>
        <w:rPr>
          <w:rFonts w:hint="eastAsia" w:ascii="Times New Roman" w:hAnsi="宋体" w:eastAsia="宋体" w:cs="宋体"/>
          <w:b/>
          <w:color w:val="000000" w:themeColor="text1"/>
          <w:sz w:val="36"/>
          <w:szCs w:val="36"/>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年  月  日</w:t>
      </w:r>
      <w:r/>
    </w:p>
    <w:p>
      <w:pPr>
        <w:pStyle w:val="704"/>
        <w:shd w:val="clear" w:color="auto" w:fill="ffffff" w:themeFill="background1"/>
        <w:rPr>
          <w:rFonts w:ascii="黑体" w:cs="黑体"/>
          <w:color w:val="000000" w:themeColor="text1"/>
          <w:sz w:val="36"/>
          <w:szCs w:val="36"/>
          <w:highlight w:val="none"/>
          <w14:textFill>
            <w14:solidFill>
              <w14:schemeClr w14:val="tx1"/>
            </w14:solidFill>
          </w14:textFill>
        </w:rPr>
      </w:pPr>
      <w:r>
        <w:rPr>
          <w:rFonts w:ascii="黑体" w:cs="黑体"/>
          <w:color w:val="000000" w:themeColor="text1"/>
          <w:sz w:val="36"/>
          <w:szCs w:val="36"/>
          <w:highlight w:val="none"/>
          <w14:textFill>
            <w14:solidFill>
              <w14:schemeClr w14:val="tx1"/>
            </w14:solidFill>
          </w14:textFill>
        </w:rPr>
        <w:br w:type="page" w:clear="all"/>
      </w:r>
      <w:bookmarkEnd w:id="59"/>
      <w:r/>
      <w:bookmarkStart w:id="60" w:name="_Toc26905"/>
      <w:r/>
      <w:bookmarkStart w:id="61" w:name="_Hlk165367703"/>
      <w:r>
        <w:rPr>
          <w:rFonts w:hint="eastAsia"/>
          <w:color w:val="000000" w:themeColor="text1"/>
          <w:highlight w:val="none"/>
          <w14:textFill>
            <w14:solidFill>
              <w14:schemeClr w14:val="tx1"/>
            </w14:solidFill>
          </w14:textFill>
        </w:rPr>
        <w:t xml:space="preserve">（八）建湖县招投标事前信用承诺书</w:t>
      </w:r>
      <w:bookmarkEnd w:id="60"/>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为营造我县公开、公平、公正、诚实守信的招投标交易环境，树立诚信守法的投标人形象，本人代表本单位作出以下承诺：</w:t>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（二）本单位无涉及招投标活动的违法、违规不良记录，我公司及相关负责人无因存在重大隐患整改不力、发生有重大社会影响生产安全事故或其他严重违法违规行为而被列入失信联合惩戒的不良记录；</w:t>
      </w:r>
      <w:r/>
    </w:p>
    <w:p>
      <w:pPr>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ascii="宋体" w:hAnsi="宋体" w:eastAsia="宋体"/>
          <w:color w:val="000000" w:themeColor="text1"/>
          <w:sz w:val="24"/>
          <w:szCs w:val="22"/>
          <w:highlight w:val="none"/>
          <w14:textFill>
            <w14:solidFill>
              <w14:schemeClr w14:val="tx1"/>
            </w14:solidFill>
          </w14:textFill>
        </w:rPr>
        <w:t xml:space="preserve">   </w:t>
      </w:r>
      <w:r>
        <w:rPr>
          <w:rFonts w:hint="eastAsia" w:ascii="宋体" w:hAnsi="宋体" w:eastAsia="宋体"/>
          <w:color w:val="000000" w:themeColor="text1"/>
          <w:sz w:val="24"/>
          <w:szCs w:val="22"/>
          <w:highlight w:val="none"/>
          <w14:textFill>
            <w14:solidFill>
              <w14:schemeClr w14:val="tx1"/>
            </w14:solidFill>
          </w14:textFill>
        </w:rPr>
        <w:t xml:space="preserve">（三）严格依照国家和省、市关于招投标的法律、法规、规章、规范性文件，参加投标活动；积极履行社会责任，促进廉政建设；</w:t>
      </w:r>
      <w:r/>
    </w:p>
    <w:p>
      <w:pPr>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ascii="宋体" w:hAnsi="宋体" w:eastAsia="宋体"/>
          <w:color w:val="000000" w:themeColor="text1"/>
          <w:sz w:val="24"/>
          <w:szCs w:val="22"/>
          <w:highlight w:val="none"/>
          <w14:textFill>
            <w14:solidFill>
              <w14:schemeClr w14:val="tx1"/>
            </w14:solidFill>
          </w14:textFill>
        </w:rPr>
        <w:t xml:space="preserve">   </w:t>
      </w:r>
      <w:r>
        <w:rPr>
          <w:rFonts w:hint="eastAsia" w:ascii="宋体" w:hAnsi="宋体" w:eastAsia="宋体"/>
          <w:color w:val="000000" w:themeColor="text1"/>
          <w:sz w:val="24"/>
          <w:szCs w:val="22"/>
          <w:highlight w:val="none"/>
          <w14:textFill>
            <w14:solidFill>
              <w14:schemeClr w14:val="tx1"/>
            </w14:solidFill>
          </w14:textFill>
        </w:rPr>
        <w:t xml:space="preserve">（四）</w:t>
      </w:r>
      <w:r>
        <w:rPr>
          <w:rFonts w:hint="eastAsia" w:ascii="宋体" w:hAnsi="宋体" w:eastAsia="宋体"/>
          <w:color w:val="000000" w:themeColor="text1"/>
          <w:spacing w:val="4"/>
          <w:sz w:val="24"/>
          <w:szCs w:val="22"/>
          <w:highlight w:val="none"/>
          <w14:textFill>
            <w14:solidFill>
              <w14:schemeClr w14:val="tx1"/>
            </w14:solidFill>
          </w14:textFill>
        </w:rPr>
        <w:t xml:space="preserve">严格遵守即时信息公示规定，及时更新维护建湖县政府采购网中与本单位相关的信息；</w:t>
      </w:r>
      <w:r/>
    </w:p>
    <w:p>
      <w:pPr>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ascii="宋体" w:hAnsi="宋体" w:eastAsia="宋体"/>
          <w:color w:val="000000" w:themeColor="text1"/>
          <w:sz w:val="24"/>
          <w:szCs w:val="22"/>
          <w:highlight w:val="none"/>
          <w14:textFill>
            <w14:solidFill>
              <w14:schemeClr w14:val="tx1"/>
            </w14:solidFill>
          </w14:textFill>
        </w:rPr>
        <w:t xml:space="preserve">   </w:t>
      </w:r>
      <w:r>
        <w:rPr>
          <w:rFonts w:hint="eastAsia" w:ascii="宋体" w:hAnsi="宋体" w:eastAsia="宋体"/>
          <w:color w:val="000000" w:themeColor="text1"/>
          <w:sz w:val="24"/>
          <w:szCs w:val="22"/>
          <w:highlight w:val="none"/>
          <w14:textFill>
            <w14:solidFill>
              <w14:schemeClr w14:val="tx1"/>
            </w14:solidFill>
          </w14:textFill>
        </w:rPr>
        <w:t xml:space="preserve">（五）自我约束、自我管理，守合同、重信用，自觉维护招投标交易的良好秩序，与参与本次招投标活动的其他供应商不存在直接控股或管理关系，不参与围标串标、弄虚作假、骗取中标、干扰评标、违约毁约等行为；</w:t>
      </w:r>
      <w:r/>
    </w:p>
    <w:p>
      <w:pPr>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ascii="宋体" w:hAnsi="宋体" w:eastAsia="宋体"/>
          <w:color w:val="000000" w:themeColor="text1"/>
          <w:sz w:val="24"/>
          <w:szCs w:val="22"/>
          <w:highlight w:val="none"/>
          <w14:textFill>
            <w14:solidFill>
              <w14:schemeClr w14:val="tx1"/>
            </w14:solidFill>
          </w14:textFill>
        </w:rPr>
        <w:t xml:space="preserve">   </w:t>
      </w:r>
      <w:r>
        <w:rPr>
          <w:rFonts w:hint="eastAsia" w:ascii="宋体" w:hAnsi="宋体" w:eastAsia="宋体"/>
          <w:color w:val="000000" w:themeColor="text1"/>
          <w:sz w:val="24"/>
          <w:szCs w:val="22"/>
          <w:highlight w:val="none"/>
          <w14:textFill>
            <w14:solidFill>
              <w14:schemeClr w14:val="tx1"/>
            </w14:solidFill>
          </w14:textFill>
        </w:rPr>
        <w:t xml:space="preserve">（六）自觉接受政府、行业组织、社会公众、新闻舆论的监督；</w:t>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（七）本单位自愿接受监督管理机构和有关行政监督部门的依法检查。如发生违法违规或不良失信行为，自愿接受监督管理机构和有关行政监督部门依法给予的行政处罚（处理），并依法承担相应责任；</w:t>
      </w:r>
      <w:r/>
    </w:p>
    <w:p>
      <w:pPr>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ascii="宋体" w:hAnsi="宋体" w:eastAsia="宋体"/>
          <w:color w:val="000000" w:themeColor="text1"/>
          <w:sz w:val="24"/>
          <w:szCs w:val="22"/>
          <w:highlight w:val="none"/>
          <w14:textFill>
            <w14:solidFill>
              <w14:schemeClr w14:val="tx1"/>
            </w14:solidFill>
          </w14:textFill>
        </w:rPr>
        <w:t xml:space="preserve">   </w:t>
      </w:r>
      <w:r>
        <w:rPr>
          <w:rFonts w:hint="eastAsia" w:ascii="宋体" w:hAnsi="宋体" w:eastAsia="宋体"/>
          <w:color w:val="000000" w:themeColor="text1"/>
          <w:sz w:val="24"/>
          <w:szCs w:val="22"/>
          <w:highlight w:val="none"/>
          <w14:textFill>
            <w14:solidFill>
              <w14:schemeClr w14:val="tx1"/>
            </w14:solidFill>
          </w14:textFill>
        </w:rPr>
        <w:t xml:space="preserve">（八）本人已认真阅读了上述承诺，并向本单位员工作了宣传教育。</w:t>
      </w:r>
      <w:r/>
    </w:p>
    <w:p>
      <w:pPr>
        <w:ind w:firstLine="600"/>
        <w:jc w:val="left"/>
        <w:spacing w:line="52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r>
      <w:r/>
    </w:p>
    <w:p>
      <w:pPr>
        <w:ind w:firstLine="600"/>
        <w:jc w:val="left"/>
        <w:spacing w:line="52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法定代表人（签名或盖章）：</w:t>
      </w:r>
      <w:r/>
    </w:p>
    <w:p>
      <w:pPr>
        <w:ind w:firstLine="600"/>
        <w:jc w:val="left"/>
        <w:spacing w:line="52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r>
      <w:r/>
    </w:p>
    <w:p>
      <w:pPr>
        <w:ind w:firstLine="600"/>
        <w:jc w:val="left"/>
        <w:spacing w:line="52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投标单位（盖章）：</w:t>
      </w:r>
      <w:r/>
    </w:p>
    <w:p>
      <w:pPr>
        <w:ind w:firstLine="600"/>
        <w:jc w:val="right"/>
        <w:spacing w:line="52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日 期：   年  月  日</w:t>
      </w:r>
      <w:bookmarkEnd w:id="61"/>
      <w:r/>
    </w:p>
    <w:p>
      <w:pPr>
        <w:pStyle w:val="704"/>
        <w:shd w:val="clear" w:color="auto" w:fill="ffffff" w:themeFill="background1"/>
        <w:rPr>
          <w:rFonts w:hint="eastAsia"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sz w:val="36"/>
          <w:szCs w:val="36"/>
          <w:highlight w:val="none"/>
          <w:lang w:val="zh-CN"/>
          <w14:textFill>
            <w14:solidFill>
              <w14:schemeClr w14:val="tx1"/>
            </w14:solidFill>
          </w14:textFill>
        </w:rPr>
        <w:br w:type="page" w:clear="all"/>
      </w:r>
      <w:bookmarkStart w:id="62" w:name="_Toc99358141"/>
      <w:r/>
      <w:bookmarkStart w:id="63" w:name="_Toc20083"/>
      <w:r/>
      <w:bookmarkStart w:id="64" w:name="_Hlk165367761"/>
      <w:r>
        <w:rPr>
          <w:rFonts w:hint="eastAsia"/>
          <w:color w:val="000000" w:themeColor="text1"/>
          <w:highlight w:val="none"/>
          <w14:textFill>
            <w14:solidFill>
              <w14:schemeClr w14:val="tx1"/>
            </w14:solidFill>
          </w14:textFill>
        </w:rPr>
        <w:t xml:space="preserve">（九）</w:t>
      </w:r>
      <w:bookmarkEnd w:id="62"/>
      <w:r>
        <w:rPr>
          <w:rFonts w:hint="eastAsia"/>
          <w:color w:val="000000" w:themeColor="text1"/>
          <w:highlight w:val="none"/>
          <w14:textFill>
            <w14:solidFill>
              <w14:schemeClr w14:val="tx1"/>
            </w14:solidFill>
          </w14:textFill>
        </w:rPr>
        <w:t xml:space="preserve">中小企业声明函（货物）（如有）</w:t>
      </w:r>
      <w:bookmarkEnd w:id="63"/>
      <w:r/>
      <w:bookmarkEnd w:id="64"/>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olor w:val="000000" w:themeColor="text1"/>
          <w:sz w:val="24"/>
          <w:szCs w:val="22"/>
          <w:highlight w:val="none"/>
          <w:u w:val="single"/>
          <w14:textFill>
            <w14:solidFill>
              <w14:schemeClr w14:val="tx1"/>
            </w14:solidFill>
          </w14:textFill>
        </w:rPr>
        <w:t xml:space="preserve">建湖县公安局</w:t>
      </w:r>
      <w:r>
        <w:rPr>
          <w:rFonts w:hint="eastAsia" w:ascii="宋体" w:hAnsi="宋体" w:eastAsia="宋体"/>
          <w:color w:val="000000" w:themeColor="text1"/>
          <w:sz w:val="24"/>
          <w:szCs w:val="22"/>
          <w:highlight w:val="none"/>
          <w14:textFill>
            <w14:solidFill>
              <w14:schemeClr w14:val="tx1"/>
            </w14:solidFill>
          </w14:textFill>
        </w:rPr>
        <w:t xml:space="preserve">的</w:t>
      </w:r>
      <w:r>
        <w:rPr>
          <w:rFonts w:hint="eastAsia" w:ascii="宋体" w:hAnsi="宋体" w:eastAsia="宋体"/>
          <w:color w:val="000000" w:themeColor="text1"/>
          <w:sz w:val="24"/>
          <w:szCs w:val="22"/>
          <w:highlight w:val="none"/>
          <w:u w:val="single"/>
          <w14:textFill>
            <w14:solidFill>
              <w14:schemeClr w14:val="tx1"/>
            </w14:solidFill>
          </w14:textFill>
        </w:rPr>
        <w:t xml:space="preserve">2026年交通信号灯路口智能信控优化系统项目</w:t>
      </w:r>
      <w:r>
        <w:rPr>
          <w:rFonts w:hint="eastAsia" w:ascii="宋体" w:hAnsi="宋体" w:eastAsia="宋体"/>
          <w:color w:val="000000" w:themeColor="text1"/>
          <w:sz w:val="24"/>
          <w:szCs w:val="22"/>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u w:val="single"/>
          <w14:textFill>
            <w14:solidFill>
              <w14:schemeClr w14:val="tx1"/>
            </w14:solidFill>
          </w14:textFill>
        </w:rPr>
        <w:t xml:space="preserve">2026年交通信号灯路口智能信控优化系统项目</w:t>
      </w:r>
      <w:r>
        <w:rPr>
          <w:rFonts w:hint="eastAsia" w:ascii="宋体" w:hAnsi="宋体" w:eastAsia="宋体"/>
          <w:color w:val="000000" w:themeColor="text1"/>
          <w:sz w:val="24"/>
          <w:szCs w:val="22"/>
          <w:highlight w:val="none"/>
          <w14:textFill>
            <w14:solidFill>
              <w14:schemeClr w14:val="tx1"/>
            </w14:solidFill>
          </w14:textFill>
        </w:rPr>
        <w:t xml:space="preserve">（标的名称），属于</w:t>
      </w:r>
      <w:r>
        <w:rPr>
          <w:rFonts w:hint="eastAsia" w:ascii="宋体" w:hAnsi="宋体" w:eastAsia="宋体"/>
          <w:color w:val="000000" w:themeColor="text1"/>
          <w:sz w:val="24"/>
          <w:szCs w:val="22"/>
          <w:highlight w:val="none"/>
          <w:u w:val="single"/>
          <w14:textFill>
            <w14:solidFill>
              <w14:schemeClr w14:val="tx1"/>
            </w14:solidFill>
          </w14:textFill>
        </w:rPr>
        <w:t xml:space="preserve">             </w:t>
      </w:r>
      <w:r>
        <w:rPr>
          <w:rFonts w:hint="eastAsia" w:ascii="宋体" w:hAnsi="宋体" w:eastAsia="宋体"/>
          <w:color w:val="000000" w:themeColor="text1"/>
          <w:sz w:val="24"/>
          <w:szCs w:val="22"/>
          <w:highlight w:val="none"/>
          <w14:textFill>
            <w14:solidFill>
              <w14:schemeClr w14:val="tx1"/>
            </w14:solidFill>
          </w14:textFill>
        </w:rPr>
        <w:t xml:space="preserve">（采购文件中明确的所属行业）；制造商为</w:t>
      </w:r>
      <w:r>
        <w:rPr>
          <w:rFonts w:hint="eastAsia" w:ascii="宋体" w:hAnsi="宋体" w:eastAsia="宋体"/>
          <w:color w:val="000000" w:themeColor="text1"/>
          <w:sz w:val="24"/>
          <w:szCs w:val="22"/>
          <w:highlight w:val="none"/>
          <w:u w:val="single"/>
          <w14:textFill>
            <w14:solidFill>
              <w14:schemeClr w14:val="tx1"/>
            </w14:solidFill>
          </w14:textFill>
        </w:rPr>
        <w:t xml:space="preserve">             </w:t>
      </w:r>
      <w:r>
        <w:rPr>
          <w:rFonts w:hint="eastAsia" w:ascii="宋体" w:hAnsi="宋体" w:eastAsia="宋体"/>
          <w:color w:val="000000" w:themeColor="text1"/>
          <w:sz w:val="24"/>
          <w:szCs w:val="22"/>
          <w:highlight w:val="none"/>
          <w14:textFill>
            <w14:solidFill>
              <w14:schemeClr w14:val="tx1"/>
            </w14:solidFill>
          </w14:textFill>
        </w:rPr>
        <w:t xml:space="preserve">（企业名称），从业人员</w:t>
      </w:r>
      <w:r>
        <w:rPr>
          <w:rFonts w:hint="eastAsia" w:ascii="宋体" w:hAnsi="宋体" w:eastAsia="宋体"/>
          <w:color w:val="000000" w:themeColor="text1"/>
          <w:sz w:val="24"/>
          <w:szCs w:val="22"/>
          <w:highlight w:val="none"/>
          <w:u w:val="single"/>
          <w14:textFill>
            <w14:solidFill>
              <w14:schemeClr w14:val="tx1"/>
            </w14:solidFill>
          </w14:textFill>
        </w:rPr>
        <w:t xml:space="preserve">      </w:t>
      </w:r>
      <w:r>
        <w:rPr>
          <w:rFonts w:hint="eastAsia" w:ascii="宋体" w:hAnsi="宋体" w:eastAsia="宋体"/>
          <w:color w:val="000000" w:themeColor="text1"/>
          <w:sz w:val="24"/>
          <w:szCs w:val="22"/>
          <w:highlight w:val="none"/>
          <w14:textFill>
            <w14:solidFill>
              <w14:schemeClr w14:val="tx1"/>
            </w14:solidFill>
          </w14:textFill>
        </w:rPr>
        <w:t xml:space="preserve">人，营业收入为</w:t>
      </w:r>
      <w:r>
        <w:rPr>
          <w:rFonts w:hint="eastAsia" w:ascii="宋体" w:hAnsi="宋体" w:eastAsia="宋体"/>
          <w:color w:val="000000" w:themeColor="text1"/>
          <w:sz w:val="24"/>
          <w:szCs w:val="22"/>
          <w:highlight w:val="none"/>
          <w:u w:val="single"/>
          <w14:textFill>
            <w14:solidFill>
              <w14:schemeClr w14:val="tx1"/>
            </w14:solidFill>
          </w14:textFill>
        </w:rPr>
        <w:t xml:space="preserve">      </w:t>
      </w:r>
      <w:r>
        <w:rPr>
          <w:rFonts w:hint="eastAsia" w:ascii="宋体" w:hAnsi="宋体" w:eastAsia="宋体"/>
          <w:color w:val="000000" w:themeColor="text1"/>
          <w:sz w:val="24"/>
          <w:szCs w:val="22"/>
          <w:highlight w:val="none"/>
          <w14:textFill>
            <w14:solidFill>
              <w14:schemeClr w14:val="tx1"/>
            </w14:solidFill>
          </w14:textFill>
        </w:rPr>
        <w:t xml:space="preserve">万元，资产总额为</w:t>
      </w:r>
      <w:r>
        <w:rPr>
          <w:rFonts w:hint="eastAsia" w:ascii="宋体" w:hAnsi="宋体" w:eastAsia="宋体"/>
          <w:color w:val="000000" w:themeColor="text1"/>
          <w:sz w:val="24"/>
          <w:szCs w:val="22"/>
          <w:highlight w:val="none"/>
          <w:u w:val="single"/>
          <w14:textFill>
            <w14:solidFill>
              <w14:schemeClr w14:val="tx1"/>
            </w14:solidFill>
          </w14:textFill>
        </w:rPr>
        <w:t xml:space="preserve">      </w:t>
      </w:r>
      <w:r>
        <w:rPr>
          <w:rFonts w:hint="eastAsia" w:ascii="宋体" w:hAnsi="宋体" w:eastAsia="宋体"/>
          <w:color w:val="000000" w:themeColor="text1"/>
          <w:sz w:val="24"/>
          <w:szCs w:val="22"/>
          <w:highlight w:val="none"/>
          <w14:textFill>
            <w14:solidFill>
              <w14:schemeClr w14:val="tx1"/>
            </w14:solidFill>
          </w14:textFill>
        </w:rPr>
        <w:t xml:space="preserve">万元，属于</w:t>
      </w:r>
      <w:r>
        <w:rPr>
          <w:rFonts w:hint="eastAsia" w:ascii="宋体" w:hAnsi="宋体" w:eastAsia="宋体"/>
          <w:color w:val="000000" w:themeColor="text1"/>
          <w:sz w:val="24"/>
          <w:szCs w:val="22"/>
          <w:highlight w:val="none"/>
          <w:u w:val="single"/>
          <w14:textFill>
            <w14:solidFill>
              <w14:schemeClr w14:val="tx1"/>
            </w14:solidFill>
          </w14:textFill>
        </w:rPr>
        <w:t xml:space="preserve">      </w:t>
      </w:r>
      <w:r>
        <w:rPr>
          <w:rFonts w:hint="eastAsia" w:ascii="宋体" w:hAnsi="宋体" w:eastAsia="宋体"/>
          <w:color w:val="000000" w:themeColor="text1"/>
          <w:sz w:val="24"/>
          <w:szCs w:val="22"/>
          <w:highlight w:val="none"/>
          <w14:textFill>
            <w14:solidFill>
              <w14:schemeClr w14:val="tx1"/>
            </w14:solidFill>
          </w14:textFill>
        </w:rPr>
        <w:t xml:space="preserve">（中型企业、小型企业、微型企业）；</w:t>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本企业对上述声明内容的真实性负责。如有虚假，将依法承担相应责任。</w:t>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r>
      <w:r/>
    </w:p>
    <w:p>
      <w:pPr>
        <w:ind w:firstLine="480"/>
        <w:jc w:val="center"/>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          企业名称（盖章）：</w:t>
      </w:r>
      <w:r/>
    </w:p>
    <w:p>
      <w:pPr>
        <w:ind w:firstLine="480"/>
        <w:jc w:val="center"/>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r>
      <w:r/>
    </w:p>
    <w:p>
      <w:pPr>
        <w:ind w:firstLine="480"/>
        <w:jc w:val="center"/>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日 期：</w:t>
      </w:r>
      <w:r/>
    </w:p>
    <w:p>
      <w:pPr>
        <w:ind w:firstLine="480"/>
        <w:spacing w:before="120" w:after="240" w:line="480" w:lineRule="exact"/>
        <w:shd w:val="clear" w:color="auto" w:fill="ffffff" w:themeFill="background1"/>
        <w:widowControl/>
        <w:rPr>
          <w:rFonts w:hint="eastAsia" w:ascii="宋体" w:hAnsi="宋体" w:eastAsia="宋体" w:cs="宋体"/>
          <w:color w:val="000000" w:themeColor="text1"/>
          <w:sz w:val="2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0"/>
          <w:highlight w:val="none"/>
          <w14:textFill>
            <w14:solidFill>
              <w14:schemeClr w14:val="tx1"/>
            </w14:solidFill>
          </w14:textFill>
        </w:rPr>
      </w:r>
      <w:r/>
    </w:p>
    <w:p>
      <w:pPr>
        <w:ind w:firstLine="480"/>
        <w:spacing w:before="120" w:after="240" w:line="480" w:lineRule="exact"/>
        <w:shd w:val="clear" w:color="auto" w:fill="ffffff" w:themeFill="background1"/>
        <w:widowControl/>
        <w:rPr>
          <w:rFonts w:hint="eastAsia" w:ascii="宋体" w:hAnsi="宋体" w:eastAsia="宋体" w:cs="宋体"/>
          <w:color w:val="000000" w:themeColor="text1"/>
          <w:sz w:val="2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0"/>
          <w:highlight w:val="none"/>
          <w14:textFill>
            <w14:solidFill>
              <w14:schemeClr w14:val="tx1"/>
            </w14:solidFill>
          </w14:textFill>
        </w:rPr>
      </w:r>
      <w:r/>
    </w:p>
    <w:p>
      <w:pPr>
        <w:spacing w:before="120" w:after="240" w:line="480" w:lineRule="exact"/>
        <w:shd w:val="clear" w:color="auto" w:fill="ffffff" w:themeFill="background1"/>
        <w:widowControl/>
        <w:rPr>
          <w:rFonts w:hint="eastAsia" w:ascii="宋体" w:hAnsi="宋体" w:eastAsia="宋体" w:cs="宋体"/>
          <w:color w:val="000000" w:themeColor="text1"/>
          <w:sz w:val="2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0"/>
          <w:highlight w:val="none"/>
          <w14:textFill>
            <w14:solidFill>
              <w14:schemeClr w14:val="tx1"/>
            </w14:solidFill>
          </w14:textFill>
        </w:rPr>
        <w:t xml:space="preserve">注：因本项目专门面向中小企业采购，不再执行价格评审优惠的扶持政策。从业人员、营业收入、资产总额填报上一年度数据，无上一年度数据的新成立企业可不填报。</w:t>
      </w:r>
      <w:r/>
    </w:p>
    <w:p>
      <w:pPr>
        <w:ind w:firstLine="480"/>
        <w:spacing w:before="120" w:after="240" w:line="480" w:lineRule="exact"/>
        <w:shd w:val="clear" w:color="auto" w:fill="ffffff" w:themeFill="background1"/>
        <w:widowControl/>
        <w:rPr>
          <w:rFonts w:hint="eastAsia" w:ascii="宋体" w:hAnsi="宋体" w:eastAsia="宋体" w:cs="宋体"/>
          <w:color w:val="000000" w:themeColor="text1"/>
          <w:sz w:val="2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0"/>
          <w:highlight w:val="none"/>
          <w14:textFill>
            <w14:solidFill>
              <w14:schemeClr w14:val="tx1"/>
            </w14:solidFill>
          </w14:textFill>
        </w:rPr>
      </w:r>
      <w:r/>
    </w:p>
    <w:p>
      <w:pPr>
        <w:ind w:firstLine="480"/>
        <w:spacing w:before="120" w:after="240" w:line="480" w:lineRule="exact"/>
        <w:shd w:val="clear" w:color="auto" w:fill="ffffff" w:themeFill="background1"/>
        <w:widowControl/>
        <w:rPr>
          <w:rFonts w:hint="eastAsia" w:ascii="宋体" w:hAnsi="宋体" w:eastAsia="宋体" w:cs="宋体"/>
          <w:color w:val="000000" w:themeColor="text1"/>
          <w:sz w:val="2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0"/>
          <w:highlight w:val="none"/>
          <w14:textFill>
            <w14:solidFill>
              <w14:schemeClr w14:val="tx1"/>
            </w14:solidFill>
          </w14:textFill>
        </w:rPr>
      </w:r>
      <w:r/>
    </w:p>
    <w:p>
      <w:pPr>
        <w:ind w:firstLine="480"/>
        <w:spacing w:before="120" w:after="240" w:line="480" w:lineRule="exact"/>
        <w:shd w:val="clear" w:color="auto" w:fill="ffffff" w:themeFill="background1"/>
        <w:widowControl/>
        <w:rPr>
          <w:rFonts w:hint="eastAsia" w:ascii="宋体" w:hAnsi="宋体" w:eastAsia="宋体" w:cs="宋体"/>
          <w:color w:val="000000" w:themeColor="text1"/>
          <w:sz w:val="2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0"/>
          <w:highlight w:val="none"/>
          <w14:textFill>
            <w14:solidFill>
              <w14:schemeClr w14:val="tx1"/>
            </w14:solidFill>
          </w14:textFill>
        </w:rPr>
      </w:r>
      <w:r/>
    </w:p>
    <w:p>
      <w:pPr>
        <w:pStyle w:val="704"/>
        <w:shd w:val="clear" w:color="auto" w:fill="ffffff" w:themeFill="background1"/>
        <w:rPr>
          <w:color w:val="000000" w:themeColor="text1"/>
          <w:highlight w:val="none"/>
          <w14:textFill>
            <w14:solidFill>
              <w14:schemeClr w14:val="tx1"/>
            </w14:solidFill>
          </w14:textFill>
        </w:rPr>
      </w:pPr>
      <w:r/>
      <w:bookmarkStart w:id="65" w:name="_Toc14322"/>
      <w:r/>
      <w:bookmarkStart w:id="66" w:name="_Hlk165367804"/>
      <w:r>
        <w:rPr>
          <w:rFonts w:hint="eastAsia"/>
          <w:color w:val="000000" w:themeColor="text1"/>
          <w:highlight w:val="none"/>
          <w14:textFill>
            <w14:solidFill>
              <w14:schemeClr w14:val="tx1"/>
            </w14:solidFill>
          </w14:textFill>
        </w:rPr>
        <w:t xml:space="preserve">（十）残疾人福利性单位声明函（如有）</w:t>
      </w:r>
      <w:bookmarkEnd w:id="65"/>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olor w:val="000000" w:themeColor="text1"/>
          <w:sz w:val="24"/>
          <w:szCs w:val="22"/>
          <w:highlight w:val="none"/>
          <w:u w:val="single"/>
          <w14:textFill>
            <w14:solidFill>
              <w14:schemeClr w14:val="tx1"/>
            </w14:solidFill>
          </w14:textFill>
        </w:rPr>
        <w:t xml:space="preserve">建湖县公安局</w:t>
      </w:r>
      <w:r>
        <w:rPr>
          <w:rFonts w:hint="eastAsia" w:ascii="宋体" w:hAnsi="宋体" w:eastAsia="宋体"/>
          <w:color w:val="000000" w:themeColor="text1"/>
          <w:sz w:val="24"/>
          <w:szCs w:val="22"/>
          <w:highlight w:val="none"/>
          <w14:textFill>
            <w14:solidFill>
              <w14:schemeClr w14:val="tx1"/>
            </w14:solidFill>
          </w14:textFill>
        </w:rPr>
        <w:t xml:space="preserve">的</w:t>
      </w:r>
      <w:r>
        <w:rPr>
          <w:rFonts w:hint="eastAsia" w:ascii="宋体" w:hAnsi="宋体" w:eastAsia="宋体"/>
          <w:color w:val="000000" w:themeColor="text1"/>
          <w:sz w:val="24"/>
          <w:szCs w:val="22"/>
          <w:highlight w:val="none"/>
          <w:u w:val="single"/>
          <w14:textFill>
            <w14:solidFill>
              <w14:schemeClr w14:val="tx1"/>
            </w14:solidFill>
          </w14:textFill>
        </w:rPr>
        <w:t xml:space="preserve">2026年交通信号灯路口智能信控优化系统项目</w:t>
      </w:r>
      <w:r>
        <w:rPr>
          <w:rFonts w:hint="eastAsia" w:ascii="宋体" w:hAnsi="宋体" w:eastAsia="宋体"/>
          <w:color w:val="000000" w:themeColor="text1"/>
          <w:sz w:val="24"/>
          <w:szCs w:val="22"/>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本单位在本次政府采购活动中提供的残疾人福利单位产品报价合计为</w:t>
      </w:r>
      <w:r>
        <w:rPr>
          <w:rFonts w:hint="eastAsia" w:ascii="宋体" w:hAnsi="宋体" w:eastAsia="宋体"/>
          <w:color w:val="000000" w:themeColor="text1"/>
          <w:sz w:val="24"/>
          <w:szCs w:val="22"/>
          <w:highlight w:val="none"/>
          <w:u w:val="single"/>
          <w14:textFill>
            <w14:solidFill>
              <w14:schemeClr w14:val="tx1"/>
            </w14:solidFill>
          </w14:textFill>
        </w:rPr>
        <w:t xml:space="preserve">人民币（大写）      圆整（￥：     ）</w:t>
      </w:r>
      <w:r>
        <w:rPr>
          <w:rFonts w:hint="eastAsia" w:ascii="宋体" w:hAnsi="宋体" w:eastAsia="宋体"/>
          <w:color w:val="000000" w:themeColor="text1"/>
          <w:sz w:val="24"/>
          <w:szCs w:val="22"/>
          <w:highlight w:val="none"/>
          <w14:textFill>
            <w14:solidFill>
              <w14:schemeClr w14:val="tx1"/>
            </w14:solidFill>
          </w14:textFill>
        </w:rPr>
        <w:t xml:space="preserve">。</w:t>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本单位对上述声明的真实性负责。如有虚假，将依法承担相应责任。</w:t>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授权代表亲笔签名：</w:t>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日 期：      年   月   日</w:t>
      </w:r>
      <w:bookmarkEnd w:id="66"/>
      <w:r/>
    </w:p>
    <w:p>
      <w:pPr>
        <w:ind w:firstLine="480"/>
        <w:spacing w:line="66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1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1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1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1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1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1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1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1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1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04"/>
        <w:shd w:val="clear" w:color="auto" w:fill="ffffff" w:themeFill="background1"/>
        <w:rPr>
          <w:color w:val="000000" w:themeColor="text1"/>
          <w:highlight w:val="none"/>
          <w14:textFill>
            <w14:solidFill>
              <w14:schemeClr w14:val="tx1"/>
            </w14:solidFill>
          </w14:textFill>
        </w:rPr>
      </w:pPr>
      <w:r/>
      <w:bookmarkStart w:id="67" w:name="_Toc4867"/>
      <w:r>
        <w:rPr>
          <w:rFonts w:hint="eastAsia"/>
          <w:color w:val="000000" w:themeColor="text1"/>
          <w:highlight w:val="none"/>
          <w14:textFill>
            <w14:solidFill>
              <w14:schemeClr w14:val="tx1"/>
            </w14:solidFill>
          </w14:textFill>
        </w:rPr>
        <w:t xml:space="preserve">（十一）关于符合本国产品标准的声明函</w:t>
      </w:r>
      <w:bookmarkEnd w:id="67"/>
      <w:r/>
      <w:r/>
    </w:p>
    <w:p>
      <w:pPr>
        <w:ind w:firstLine="420"/>
        <w:jc w:val="left"/>
        <w:spacing w:before="15" w:after="15"/>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1.</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 w:val="24"/>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，生产厂为</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sz w:val="24"/>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，厂址为</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的中国境内生产的组件成本占比≥</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highlight w:val="none"/>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的</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highlight w:val="none"/>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在中国境内生产。</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的</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highlight w:val="none"/>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在中国境内完成。</w:t>
      </w:r>
      <w:r/>
    </w:p>
    <w:p>
      <w:pPr>
        <w:ind w:firstLine="420"/>
        <w:jc w:val="left"/>
        <w:spacing w:before="30" w:after="30" w:line="360" w:lineRule="auto"/>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2.</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，生产厂为</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，厂址为</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的中国境内生产的组件成本占比≥</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的</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在中国境内生产。</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的</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在中国境内完成。</w:t>
      </w:r>
      <w:r/>
    </w:p>
    <w:p>
      <w:pPr>
        <w:ind w:firstLine="420"/>
        <w:jc w:val="left"/>
        <w:spacing w:before="30" w:after="30" w:line="360" w:lineRule="auto"/>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w:t>
      </w:r>
      <w:r/>
    </w:p>
    <w:p>
      <w:pPr>
        <w:ind w:firstLine="420"/>
        <w:jc w:val="left"/>
        <w:spacing w:before="30" w:after="30" w:line="360" w:lineRule="auto"/>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right"/>
        <w:spacing w:before="30" w:after="30" w:line="360" w:lineRule="auto"/>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              公司（单位）名称（加盖CA电子公章）：         </w:t>
      </w:r>
      <w:r/>
    </w:p>
    <w:p>
      <w:pPr>
        <w:jc w:val="center"/>
        <w:spacing w:before="30" w:after="30" w:line="360" w:lineRule="auto"/>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           日  期：  年   月   日         </w:t>
      </w:r>
      <w:r/>
    </w:p>
    <w:p>
      <w:pPr>
        <w:jc w:val="left"/>
        <w:spacing w:before="30" w:after="30" w:line="0" w:lineRule="atLeast"/>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before="30" w:after="30" w:line="0" w:lineRule="atLeast"/>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before="30" w:after="30" w:line="0" w:lineRule="atLeast"/>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_________________</w:t>
      </w:r>
      <w:r/>
    </w:p>
    <w:p>
      <w:pPr>
        <w:jc w:val="left"/>
        <w:spacing w:before="30" w:after="30" w:line="360" w:lineRule="auto"/>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1.产品如有型号，请在“产品名称”栏一并填写。</w:t>
      </w:r>
      <w:r/>
    </w:p>
    <w:p>
      <w:pPr>
        <w:jc w:val="left"/>
        <w:spacing w:before="30" w:after="30" w:line="360" w:lineRule="auto"/>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2.生产厂名与厂址应与生产厂营业执照载明的相关信息保持一致。</w:t>
      </w:r>
      <w:r/>
    </w:p>
    <w:p>
      <w:pPr>
        <w:jc w:val="left"/>
        <w:spacing w:before="30" w:after="30" w:line="360" w:lineRule="auto"/>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4.该产品的关键组件要求实施前，“关键组件”栏可不填，下同。</w:t>
      </w:r>
      <w:r/>
    </w:p>
    <w:p>
      <w:pPr>
        <w:jc w:val="left"/>
        <w:spacing w:before="30" w:after="30" w:line="360" w:lineRule="auto"/>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5.该产品的关键工序要求实施前，“关键工序”栏可不填，下同。</w:t>
      </w:r>
      <w:r/>
    </w:p>
    <w:p>
      <w:pPr>
        <w:jc w:val="left"/>
        <w:spacing w:before="30" w:after="30" w:line="360" w:lineRule="auto"/>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6.《声明函》中标注“</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”的地方无需填写。</w:t>
      </w:r>
      <w:r/>
    </w:p>
    <w:p>
      <w:pPr>
        <w:pStyle w:val="714"/>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80"/>
        <w:spacing w:line="660" w:lineRule="exact"/>
        <w:shd w:val="clear" w:color="auto" w:fill="ffffff" w:themeFill="background1"/>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04"/>
        <w:shd w:val="clear" w:color="auto" w:fill="ffffff" w:themeFill="background1"/>
        <w:rPr>
          <w:color w:val="000000" w:themeColor="text1"/>
          <w:sz w:val="36"/>
          <w:szCs w:val="36"/>
          <w:highlight w:val="none"/>
          <w14:textFill>
            <w14:solidFill>
              <w14:schemeClr w14:val="tx1"/>
            </w14:solidFill>
          </w14:textFill>
        </w:rPr>
      </w:pPr>
      <w:r/>
      <w:bookmarkStart w:id="68" w:name="_Toc20117"/>
      <w:r/>
      <w:bookmarkStart w:id="69" w:name="_Hlk165367850"/>
      <w:r>
        <w:rPr>
          <w:rFonts w:hint="eastAsia"/>
          <w:color w:val="000000" w:themeColor="text1"/>
          <w:highlight w:val="none"/>
          <w14:textFill>
            <w14:solidFill>
              <w14:schemeClr w14:val="tx1"/>
            </w14:solidFill>
          </w14:textFill>
        </w:rPr>
        <w:t xml:space="preserve">（十二）清单报价表</w:t>
      </w:r>
      <w:bookmarkEnd w:id="68"/>
      <w:r/>
      <w:r/>
    </w:p>
    <w:p>
      <w:pPr>
        <w:spacing w:line="480" w:lineRule="exact"/>
        <w:shd w:val="clear" w:color="auto" w:fill="ffffff" w:themeFill="background1"/>
        <w:rPr>
          <w:rFonts w:hint="eastAsia" w:ascii="宋体" w:hAnsi="宋体" w:eastAsia="宋体"/>
          <w:color w:val="000000" w:themeColor="text1"/>
          <w:sz w:val="24"/>
          <w:szCs w:val="20"/>
          <w:highlight w:val="none"/>
          <w:u w:val="single"/>
          <w14:textFill>
            <w14:solidFill>
              <w14:schemeClr w14:val="tx1"/>
            </w14:solidFill>
          </w14:textFill>
        </w:rPr>
      </w:pPr>
      <w:r>
        <w:rPr>
          <w:rFonts w:hint="eastAsia" w:ascii="宋体" w:hAnsi="宋体" w:eastAsia="宋体"/>
          <w:color w:val="000000" w:themeColor="text1"/>
          <w:sz w:val="24"/>
          <w:szCs w:val="20"/>
          <w:highlight w:val="none"/>
          <w:u w:val="single"/>
          <w14:textFill>
            <w14:solidFill>
              <w14:schemeClr w14:val="tx1"/>
            </w14:solidFill>
          </w14:textFill>
        </w:rPr>
        <w:t xml:space="preserve">建湖县公安局</w:t>
      </w:r>
      <w:r>
        <w:rPr>
          <w:rFonts w:hint="eastAsia" w:ascii="宋体" w:hAnsi="宋体" w:eastAsia="宋体"/>
          <w:color w:val="000000" w:themeColor="text1"/>
          <w:sz w:val="24"/>
          <w:szCs w:val="20"/>
          <w:highlight w:val="none"/>
          <w14:textFill>
            <w14:solidFill>
              <w14:schemeClr w14:val="tx1"/>
            </w14:solidFill>
          </w14:textFill>
        </w:rPr>
        <w:t xml:space="preserve">：</w:t>
      </w:r>
      <w:r/>
    </w:p>
    <w:p>
      <w:pPr>
        <w:ind w:firstLine="475"/>
        <w:jc w:val="left"/>
        <w:spacing w:line="480" w:lineRule="exact"/>
        <w:shd w:val="clear" w:color="auto" w:fill="ffffff" w:themeFill="background1"/>
        <w:widowControl/>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我单位愿意按照</w:t>
      </w:r>
      <w:r>
        <w:rPr>
          <w:rFonts w:hint="eastAsia" w:ascii="宋体" w:hAnsi="宋体" w:eastAsia="宋体"/>
          <w:color w:val="000000" w:themeColor="text1"/>
          <w:sz w:val="24"/>
          <w:szCs w:val="20"/>
          <w:highlight w:val="none"/>
          <w:u w:val="single"/>
          <w14:textFill>
            <w14:solidFill>
              <w14:schemeClr w14:val="tx1"/>
            </w14:solidFill>
          </w14:textFill>
        </w:rPr>
        <w:t xml:space="preserve">2026年交通信号灯路口智能信控优化系统项目</w:t>
      </w:r>
      <w:r>
        <w:rPr>
          <w:rFonts w:hint="eastAsia" w:ascii="宋体" w:hAnsi="宋体" w:eastAsia="宋体"/>
          <w:color w:val="000000" w:themeColor="text1"/>
          <w:sz w:val="24"/>
          <w:szCs w:val="20"/>
          <w:highlight w:val="none"/>
          <w14:textFill>
            <w14:solidFill>
              <w14:schemeClr w14:val="tx1"/>
            </w14:solidFill>
          </w14:textFill>
        </w:rPr>
        <w:t xml:space="preserve">招标文件的要求和下面的报价提供所需服务，并保证所供服务为优质服务。                 </w:t>
      </w:r>
      <w:r>
        <w:rPr>
          <w:rFonts w:hint="eastAsia" w:ascii="宋体" w:hAnsi="宋体" w:eastAsia="宋体"/>
          <w:color w:val="000000" w:themeColor="text1"/>
          <w:sz w:val="24"/>
          <w:szCs w:val="20"/>
          <w:highlight w:val="none"/>
          <w14:textFill>
            <w14:solidFill>
              <w14:schemeClr w14:val="tx1"/>
            </w14:solidFill>
          </w14:textFill>
        </w:rPr>
        <w:t xml:space="preserve">单位：元</w:t>
      </w:r>
      <w:r/>
    </w:p>
    <w:tbl>
      <w:tblPr>
        <w:tblStyle w:val="713"/>
        <w:tblW w:w="90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1"/>
        <w:gridCol w:w="2355"/>
        <w:gridCol w:w="1680"/>
        <w:gridCol w:w="675"/>
        <w:gridCol w:w="705"/>
        <w:gridCol w:w="1095"/>
        <w:gridCol w:w="1110"/>
        <w:gridCol w:w="965"/>
      </w:tblGrid>
      <w:tr>
        <w:trPr>
          <w:jc w:val="center"/>
          <w:trHeight w:val="799"/>
        </w:trPr>
        <w:tc>
          <w:tcPr>
            <w:tcW w:w="501" w:type="dxa"/>
            <w:vAlign w:val="center"/>
            <w:textDirection w:val="lrTb"/>
            <w:noWrap w:val="false"/>
          </w:tcPr>
          <w:p>
            <w:pPr>
              <w:jc w:val="center"/>
              <w:shd w:val="clear" w:color="auto" w:fill="ffffff" w:themeFill="background1"/>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序号</w:t>
            </w:r>
            <w:r/>
          </w:p>
        </w:tc>
        <w:tc>
          <w:tcPr>
            <w:tcW w:w="2355" w:type="dxa"/>
            <w:vAlign w:val="center"/>
            <w:textDirection w:val="lrTb"/>
            <w:noWrap w:val="false"/>
          </w:tcPr>
          <w:p>
            <w:pPr>
              <w:jc w:val="center"/>
              <w:shd w:val="clear" w:color="auto" w:fill="ffffff" w:themeFill="background1"/>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设备名称</w:t>
            </w:r>
            <w:r/>
          </w:p>
        </w:tc>
        <w:tc>
          <w:tcPr>
            <w:tcW w:w="1680" w:type="dxa"/>
            <w:vAlign w:val="center"/>
            <w:textDirection w:val="lrTb"/>
            <w:noWrap w:val="false"/>
          </w:tcPr>
          <w:p>
            <w:pPr>
              <w:jc w:val="center"/>
              <w:shd w:val="clear" w:color="auto" w:fill="ffffff" w:themeFill="background1"/>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规格参数要求</w:t>
            </w:r>
            <w:r/>
          </w:p>
        </w:tc>
        <w:tc>
          <w:tcPr>
            <w:tcW w:w="675" w:type="dxa"/>
            <w:vAlign w:val="center"/>
            <w:textDirection w:val="lrTb"/>
            <w:noWrap w:val="false"/>
          </w:tcPr>
          <w:p>
            <w:pPr>
              <w:jc w:val="center"/>
              <w:shd w:val="clear" w:color="auto" w:fill="ffffff" w:themeFill="background1"/>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单位</w:t>
            </w:r>
            <w:r/>
          </w:p>
        </w:tc>
        <w:tc>
          <w:tcPr>
            <w:tcW w:w="705" w:type="dxa"/>
            <w:vAlign w:val="center"/>
            <w:textDirection w:val="lrTb"/>
            <w:noWrap w:val="false"/>
          </w:tcPr>
          <w:p>
            <w:pPr>
              <w:jc w:val="center"/>
              <w:shd w:val="clear" w:color="auto" w:fill="ffffff" w:themeFill="background1"/>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数量</w:t>
            </w:r>
            <w:r/>
          </w:p>
        </w:tc>
        <w:tc>
          <w:tcPr>
            <w:tcW w:w="1095" w:type="dxa"/>
            <w:vAlign w:val="center"/>
            <w:textDirection w:val="lrTb"/>
            <w:noWrap w:val="false"/>
          </w:tcPr>
          <w:p>
            <w:pPr>
              <w:jc w:val="center"/>
              <w:shd w:val="clear" w:color="auto" w:fill="ffffff" w:themeFill="background1"/>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单价（元）</w:t>
            </w:r>
            <w:r/>
          </w:p>
        </w:tc>
        <w:tc>
          <w:tcPr>
            <w:tcW w:w="1110" w:type="dxa"/>
            <w:vAlign w:val="center"/>
            <w:textDirection w:val="lrTb"/>
            <w:noWrap w:val="false"/>
          </w:tcPr>
          <w:p>
            <w:pPr>
              <w:jc w:val="center"/>
              <w:shd w:val="clear" w:color="auto" w:fill="ffffff" w:themeFill="background1"/>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总价（元）</w:t>
            </w:r>
            <w:r/>
          </w:p>
        </w:tc>
        <w:tc>
          <w:tcPr>
            <w:tcW w:w="965" w:type="dxa"/>
            <w:vAlign w:val="center"/>
            <w:textDirection w:val="lrTb"/>
            <w:noWrap w:val="false"/>
          </w:tcPr>
          <w:p>
            <w:pPr>
              <w:jc w:val="center"/>
              <w:shd w:val="clear" w:color="auto" w:fill="ffffff" w:themeFill="background1"/>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品牌及</w:t>
            </w:r>
            <w:r/>
          </w:p>
          <w:p>
            <w:pPr>
              <w:jc w:val="center"/>
              <w:shd w:val="clear" w:color="auto" w:fill="ffffff" w:themeFill="background1"/>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型号 </w:t>
            </w:r>
            <w:r/>
          </w:p>
        </w:tc>
      </w:tr>
      <w:tr>
        <w:trPr>
          <w:jc w:val="center"/>
          <w:trHeight w:val="647"/>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A</w:t>
            </w:r>
            <w:r/>
          </w:p>
        </w:tc>
        <w:tc>
          <w:tcPr>
            <w:gridSpan w:val="7"/>
            <w:tcW w:w="8585" w:type="dxa"/>
            <w:vAlign w:val="center"/>
            <w:textDirection w:val="lrTb"/>
            <w:noWrap w:val="false"/>
          </w:tcPr>
          <w:p>
            <w:pPr>
              <w:jc w:val="left"/>
              <w:shd w:val="clear" w:color="auto" w:fill="ffffff" w:themeFill="background1"/>
              <w:tabs>
                <w:tab w:val="left" w:pos="2703" w:leader="none"/>
              </w:tabs>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3处交通信号灯路口增设智能信控优化设备</w:t>
            </w:r>
            <w:r/>
          </w:p>
        </w:tc>
      </w:tr>
      <w:tr>
        <w:trPr>
          <w:jc w:val="center"/>
          <w:trHeight w:val="623"/>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1</w:t>
            </w:r>
            <w:r/>
          </w:p>
        </w:tc>
        <w:tc>
          <w:tcPr>
            <w:tcW w:w="2355" w:type="dxa"/>
            <w:vAlign w:val="center"/>
            <w:textDirection w:val="lrTb"/>
            <w:noWrap w:val="false"/>
          </w:tcPr>
          <w:p>
            <w:pPr>
              <w:jc w:val="center"/>
              <w:widowControl/>
              <w:rPr>
                <w:rFonts w:hint="eastAsia" w:ascii="宋体" w:hAnsi="宋体" w:eastAsia="宋体" w:cs="宋体"/>
                <w:color w:val="000000" w:themeColor="text1"/>
                <w:sz w:val="20"/>
                <w:szCs w:val="20"/>
                <w:highlight w:val="none"/>
                <w:lang w:bidi="ar"/>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雷达</w:t>
            </w:r>
            <w:r/>
          </w:p>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（微波交通流检测器）</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台</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632"/>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2</w:t>
            </w:r>
            <w:r/>
          </w:p>
        </w:tc>
        <w:tc>
          <w:tcPr>
            <w:tcW w:w="235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边缘计算集成控制设备</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台</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137"/>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3</w:t>
            </w:r>
            <w:r/>
          </w:p>
        </w:tc>
        <w:tc>
          <w:tcPr>
            <w:tcW w:w="235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单路口算法模块</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套</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316"/>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4</w:t>
            </w:r>
            <w:r/>
          </w:p>
        </w:tc>
        <w:tc>
          <w:tcPr>
            <w:tcW w:w="235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运维模块</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套</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5</w:t>
            </w:r>
            <w:r/>
          </w:p>
        </w:tc>
        <w:tc>
          <w:tcPr>
            <w:tcW w:w="235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视频摄像机</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台</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6</w:t>
            </w:r>
            <w:r/>
          </w:p>
        </w:tc>
        <w:tc>
          <w:tcPr>
            <w:tcW w:w="235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倒计时复合疏导屏</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块</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7</w:t>
            </w:r>
            <w:r/>
          </w:p>
        </w:tc>
        <w:tc>
          <w:tcPr>
            <w:tcW w:w="235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箭头组合信号灯组</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组</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8</w:t>
            </w:r>
            <w:r/>
          </w:p>
        </w:tc>
        <w:tc>
          <w:tcPr>
            <w:tcW w:w="235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倒计时复合疏导屏服务端发送软件</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项</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9</w:t>
            </w:r>
            <w:r/>
          </w:p>
        </w:tc>
        <w:tc>
          <w:tcPr>
            <w:tcW w:w="235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倒计时复合疏导屏客户端信息编辑软件</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项</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652"/>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10</w:t>
            </w:r>
            <w:r/>
          </w:p>
        </w:tc>
        <w:tc>
          <w:tcPr>
            <w:tcW w:w="235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倒计时复合疏导屏客户端信信息发布软件</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项</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534"/>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11</w:t>
            </w:r>
            <w:r/>
          </w:p>
        </w:tc>
        <w:tc>
          <w:tcPr>
            <w:tcW w:w="235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圆盘组合信号灯组</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组</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547"/>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12</w:t>
            </w:r>
            <w:r/>
          </w:p>
        </w:tc>
        <w:tc>
          <w:tcPr>
            <w:tcW w:w="2355" w:type="dxa"/>
            <w:vAlign w:val="center"/>
            <w:textDirection w:val="lrTb"/>
            <w:noWrap w:val="false"/>
          </w:tcPr>
          <w:p>
            <w:pPr>
              <w:jc w:val="center"/>
              <w:widowControl/>
              <w:rPr>
                <w:rFonts w:hint="eastAsia" w:ascii="宋体" w:hAnsi="宋体" w:eastAsia="宋体" w:cs="宋体"/>
                <w:color w:val="000000" w:themeColor="text1"/>
                <w:sz w:val="20"/>
                <w:szCs w:val="20"/>
                <w:highlight w:val="none"/>
                <w:lang w:bidi="ar"/>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信号灯双横臂F型</w:t>
            </w:r>
            <w:r/>
          </w:p>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信号灯杆件</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根</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4</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9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13</w:t>
            </w:r>
            <w:r/>
          </w:p>
        </w:tc>
        <w:tc>
          <w:tcPr>
            <w:tcW w:w="235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L型等径立杆</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根</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9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14</w:t>
            </w:r>
            <w:r/>
          </w:p>
        </w:tc>
        <w:tc>
          <w:tcPr>
            <w:tcW w:w="235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立杆基础</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座</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5</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52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15</w:t>
            </w:r>
            <w:r/>
          </w:p>
        </w:tc>
        <w:tc>
          <w:tcPr>
            <w:tcW w:w="235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接地设备</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根</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4</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16</w:t>
            </w:r>
            <w:r/>
          </w:p>
        </w:tc>
        <w:tc>
          <w:tcPr>
            <w:tcW w:w="235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信号灯电缆</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米</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1350</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445"/>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17</w:t>
            </w:r>
            <w:r/>
          </w:p>
        </w:tc>
        <w:tc>
          <w:tcPr>
            <w:tcW w:w="235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信号灯电缆</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米</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300</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18</w:t>
            </w:r>
            <w:r/>
          </w:p>
        </w:tc>
        <w:tc>
          <w:tcPr>
            <w:tcW w:w="235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信号灯电缆</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米</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750</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36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19</w:t>
            </w:r>
            <w:r/>
          </w:p>
        </w:tc>
        <w:tc>
          <w:tcPr>
            <w:tcW w:w="235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电源线</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米</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1350</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385"/>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20</w:t>
            </w:r>
            <w:r/>
          </w:p>
        </w:tc>
        <w:tc>
          <w:tcPr>
            <w:tcW w:w="235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更换主电源线</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米</w:t>
            </w:r>
            <w:r/>
          </w:p>
        </w:tc>
        <w:tc>
          <w:tcPr>
            <w:tcW w:w="705" w:type="dxa"/>
            <w:vAlign w:val="center"/>
            <w:textDirection w:val="lrTb"/>
            <w:noWrap w:val="false"/>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300</w:t>
            </w:r>
            <w:r/>
          </w:p>
        </w:tc>
        <w:tc>
          <w:tcPr>
            <w:tcW w:w="109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val="false"/>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21</w:t>
            </w:r>
            <w:r/>
          </w:p>
        </w:tc>
        <w:tc>
          <w:tcPr>
            <w:tcW w:w="235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网线</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米</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1050</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22</w:t>
            </w:r>
            <w:r/>
          </w:p>
        </w:tc>
        <w:tc>
          <w:tcPr>
            <w:tcW w:w="235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光纤</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米</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1050</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23</w:t>
            </w:r>
            <w:r/>
          </w:p>
        </w:tc>
        <w:tc>
          <w:tcPr>
            <w:tcW w:w="235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光纤收发器</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对</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24</w:t>
            </w:r>
            <w:r/>
          </w:p>
        </w:tc>
        <w:tc>
          <w:tcPr>
            <w:tcW w:w="235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抱杆箱</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只</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25</w:t>
            </w:r>
            <w:r/>
          </w:p>
        </w:tc>
        <w:tc>
          <w:tcPr>
            <w:tcW w:w="235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8口工业级交换机</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只</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26</w:t>
            </w:r>
            <w:r/>
          </w:p>
        </w:tc>
        <w:tc>
          <w:tcPr>
            <w:tcW w:w="235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摄像机支架</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只</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27</w:t>
            </w:r>
            <w:r/>
          </w:p>
        </w:tc>
        <w:tc>
          <w:tcPr>
            <w:tcW w:w="235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摄像机电源</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只</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28</w:t>
            </w:r>
            <w:r/>
          </w:p>
        </w:tc>
        <w:tc>
          <w:tcPr>
            <w:tcW w:w="2355" w:type="dxa"/>
            <w:vAlign w:val="center"/>
            <w:textDirection w:val="lrTb"/>
            <w:noWrap/>
          </w:tcPr>
          <w:p>
            <w:pPr>
              <w:jc w:val="center"/>
              <w:spacing w:line="280" w:lineRule="exact"/>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双P</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只</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29</w:t>
            </w:r>
            <w:r/>
          </w:p>
        </w:tc>
        <w:tc>
          <w:tcPr>
            <w:tcW w:w="2355" w:type="dxa"/>
            <w:vAlign w:val="center"/>
            <w:textDirection w:val="lrTb"/>
            <w:noWrap/>
          </w:tcPr>
          <w:p>
            <w:pPr>
              <w:jc w:val="center"/>
              <w:spacing w:line="280" w:lineRule="exact"/>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多孔插座</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只</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30</w:t>
            </w:r>
            <w:r/>
          </w:p>
        </w:tc>
        <w:tc>
          <w:tcPr>
            <w:tcW w:w="2355" w:type="dxa"/>
            <w:vAlign w:val="center"/>
            <w:textDirection w:val="lrTb"/>
            <w:noWrap/>
          </w:tcPr>
          <w:p>
            <w:pPr>
              <w:jc w:val="center"/>
              <w:spacing w:line="280" w:lineRule="exact"/>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防雷器</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只</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31</w:t>
            </w:r>
            <w:r/>
          </w:p>
        </w:tc>
        <w:tc>
          <w:tcPr>
            <w:tcW w:w="2355" w:type="dxa"/>
            <w:vAlign w:val="center"/>
            <w:textDirection w:val="lrTb"/>
            <w:noWrap/>
          </w:tcPr>
          <w:p>
            <w:pPr>
              <w:jc w:val="center"/>
              <w:spacing w:line="280" w:lineRule="exact"/>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自动复位重合闸开关</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只</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32</w:t>
            </w:r>
            <w:r/>
          </w:p>
        </w:tc>
        <w:tc>
          <w:tcPr>
            <w:tcW w:w="2355" w:type="dxa"/>
            <w:vAlign w:val="center"/>
            <w:textDirection w:val="lrTb"/>
            <w:noWrap/>
          </w:tcPr>
          <w:p>
            <w:pPr>
              <w:jc w:val="center"/>
              <w:spacing w:line="280" w:lineRule="exact"/>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路牙，绿化带人工开挖</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米</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450</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33</w:t>
            </w:r>
            <w:r/>
          </w:p>
        </w:tc>
        <w:tc>
          <w:tcPr>
            <w:tcW w:w="2355" w:type="dxa"/>
            <w:vAlign w:val="center"/>
            <w:textDirection w:val="lrTb"/>
            <w:noWrap/>
          </w:tcPr>
          <w:p>
            <w:pPr>
              <w:jc w:val="center"/>
              <w:spacing w:line="280" w:lineRule="exact"/>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顶管</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米</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450</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34</w:t>
            </w:r>
            <w:r/>
          </w:p>
        </w:tc>
        <w:tc>
          <w:tcPr>
            <w:tcW w:w="2355" w:type="dxa"/>
            <w:vAlign w:val="center"/>
            <w:textDirection w:val="lrTb"/>
            <w:noWrap/>
          </w:tcPr>
          <w:p>
            <w:pPr>
              <w:jc w:val="center"/>
              <w:spacing w:line="280" w:lineRule="exact"/>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PE管</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米</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450</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35</w:t>
            </w:r>
            <w:r/>
          </w:p>
        </w:tc>
        <w:tc>
          <w:tcPr>
            <w:tcW w:w="2355" w:type="dxa"/>
            <w:vAlign w:val="center"/>
            <w:textDirection w:val="lrTb"/>
            <w:noWrap/>
          </w:tcPr>
          <w:p>
            <w:pPr>
              <w:jc w:val="center"/>
              <w:spacing w:line="280" w:lineRule="exact"/>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手井</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座</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12</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36</w:t>
            </w:r>
            <w:r/>
          </w:p>
        </w:tc>
        <w:tc>
          <w:tcPr>
            <w:tcW w:w="2355" w:type="dxa"/>
            <w:vAlign w:val="center"/>
            <w:textDirection w:val="lrTb"/>
            <w:noWrap/>
          </w:tcPr>
          <w:p>
            <w:pPr>
              <w:jc w:val="center"/>
              <w:spacing w:line="280" w:lineRule="exact"/>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辅材</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批</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37</w:t>
            </w:r>
            <w:r/>
          </w:p>
        </w:tc>
        <w:tc>
          <w:tcPr>
            <w:tcW w:w="2355" w:type="dxa"/>
            <w:vAlign w:val="center"/>
            <w:textDirection w:val="lrTb"/>
            <w:noWrap/>
          </w:tcPr>
          <w:p>
            <w:pPr>
              <w:jc w:val="center"/>
              <w:spacing w:line="280" w:lineRule="exact"/>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渣土清理费</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项</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38</w:t>
            </w:r>
            <w:r/>
          </w:p>
        </w:tc>
        <w:tc>
          <w:tcPr>
            <w:tcW w:w="2355" w:type="dxa"/>
            <w:vAlign w:val="center"/>
            <w:textDirection w:val="lrTb"/>
            <w:noWrap/>
          </w:tcPr>
          <w:p>
            <w:pPr>
              <w:jc w:val="center"/>
              <w:spacing w:line="280" w:lineRule="exact"/>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施工费</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路口</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39</w:t>
            </w:r>
            <w:r/>
          </w:p>
        </w:tc>
        <w:tc>
          <w:tcPr>
            <w:tcW w:w="2355" w:type="dxa"/>
            <w:vAlign w:val="center"/>
            <w:textDirection w:val="lrTb"/>
            <w:noWrap/>
          </w:tcPr>
          <w:p>
            <w:pPr>
              <w:jc w:val="center"/>
              <w:spacing w:line="280" w:lineRule="exact"/>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调试费</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路口</w:t>
            </w:r>
            <w:r/>
          </w:p>
        </w:tc>
        <w:tc>
          <w:tcPr>
            <w:tcW w:w="70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b/>
                <w:bCs/>
                <w:color w:val="000000" w:themeColor="text1"/>
                <w:sz w:val="20"/>
                <w:szCs w:val="20"/>
                <w:highlight w:val="none"/>
                <w14:textFill>
                  <w14:solidFill>
                    <w14:schemeClr w14:val="tx1"/>
                  </w14:solidFill>
                </w14:textFill>
              </w:rPr>
              <w:t xml:space="preserve">B</w:t>
            </w:r>
            <w:r/>
          </w:p>
        </w:tc>
        <w:tc>
          <w:tcPr>
            <w:gridSpan w:val="7"/>
            <w:tcW w:w="8585" w:type="dxa"/>
            <w:vAlign w:val="center"/>
            <w:textDirection w:val="lrTb"/>
            <w:noWrap/>
          </w:tcPr>
          <w:p>
            <w:pPr>
              <w:jc w:val="left"/>
              <w:shd w:val="clear" w:color="auto" w:fill="ffffff" w:themeFill="background1"/>
              <w:tabs>
                <w:tab w:val="left" w:pos="2703" w:leader="none"/>
              </w:tabs>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更换信控优化路口老旧信号机3台</w:t>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1</w:t>
            </w:r>
            <w:r/>
          </w:p>
        </w:tc>
        <w:tc>
          <w:tcPr>
            <w:tcW w:w="2355" w:type="dxa"/>
            <w:vAlign w:val="center"/>
            <w:textDirection w:val="lrTb"/>
            <w:noWrap/>
          </w:tcPr>
          <w:p>
            <w:pPr>
              <w:jc w:val="center"/>
              <w:widowControl/>
              <w:rPr>
                <w:rFonts w:hint="eastAsia" w:ascii="宋体" w:hAnsi="宋体" w:eastAsia="宋体" w:cs="宋体"/>
                <w:color w:val="000000" w:themeColor="text1"/>
                <w:sz w:val="20"/>
                <w:szCs w:val="20"/>
                <w:highlight w:val="none"/>
                <w:lang w:bidi="ar"/>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交通信号灯控制机</w:t>
            </w:r>
            <w:r/>
          </w:p>
          <w:p>
            <w:pPr>
              <w:jc w:val="center"/>
              <w:widowControl/>
              <w:rPr>
                <w:rFonts w:hint="eastAsia" w:ascii="宋体" w:hAnsi="宋体" w:eastAsia="宋体" w:cs="宋体"/>
                <w:color w:val="000000" w:themeColor="text1"/>
                <w:sz w:val="20"/>
                <w:szCs w:val="20"/>
                <w:highlight w:val="none"/>
                <w:lang w:bidi="ar"/>
                <w14:textFill>
                  <w14:solidFill>
                    <w14:schemeClr w14:val="tx1"/>
                  </w14:solidFill>
                </w14:textFill>
              </w:rPr>
            </w:pPr>
            <w:r>
              <w:rPr>
                <w:rFonts w:hint="eastAsia" w:ascii="宋体" w:hAnsi="宋体" w:eastAsia="宋体" w:cs="宋体"/>
                <w:b/>
                <w:bCs/>
                <w:color w:val="000000" w:themeColor="text1"/>
                <w:sz w:val="20"/>
                <w:szCs w:val="20"/>
                <w:highlight w:val="none"/>
                <w:lang w:bidi="ar"/>
                <w14:textFill>
                  <w14:solidFill>
                    <w14:schemeClr w14:val="tx1"/>
                  </w14:solidFill>
                </w14:textFill>
              </w:rPr>
              <w:t xml:space="preserve">（核心产品）</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台</w:t>
            </w:r>
            <w:r/>
          </w:p>
        </w:tc>
        <w:tc>
          <w:tcPr>
            <w:tcW w:w="705" w:type="dxa"/>
            <w:vAlign w:val="center"/>
            <w:textDirection w:val="lrTb"/>
            <w:noWrap/>
          </w:tcPr>
          <w:p>
            <w:pPr>
              <w:jc w:val="center"/>
              <w:widowControl/>
              <w:rPr>
                <w:rFonts w:hint="eastAsia" w:ascii="宋体" w:hAnsi="宋体" w:eastAsia="宋体" w:cs="宋体"/>
                <w:color w:val="000000" w:themeColor="text1"/>
                <w:sz w:val="20"/>
                <w:szCs w:val="20"/>
                <w:highlight w:val="none"/>
                <w:lang w:bidi="ar"/>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2</w:t>
            </w:r>
            <w:r/>
          </w:p>
        </w:tc>
        <w:tc>
          <w:tcPr>
            <w:tcW w:w="2355" w:type="dxa"/>
            <w:vAlign w:val="center"/>
            <w:textDirection w:val="lrTb"/>
            <w:noWrap/>
          </w:tcPr>
          <w:p>
            <w:pPr>
              <w:jc w:val="center"/>
              <w:widowControl/>
              <w:rPr>
                <w:rFonts w:hint="eastAsia" w:ascii="宋体" w:hAnsi="宋体" w:eastAsia="宋体" w:cs="宋体"/>
                <w:color w:val="000000" w:themeColor="text1"/>
                <w:sz w:val="20"/>
                <w:szCs w:val="20"/>
                <w:highlight w:val="none"/>
                <w:lang w:bidi="ar"/>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信号机基础</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座</w:t>
            </w:r>
            <w:r/>
          </w:p>
        </w:tc>
        <w:tc>
          <w:tcPr>
            <w:tcW w:w="705" w:type="dxa"/>
            <w:vAlign w:val="center"/>
            <w:textDirection w:val="lrTb"/>
            <w:noWrap/>
          </w:tcPr>
          <w:p>
            <w:pPr>
              <w:jc w:val="center"/>
              <w:widowControl/>
              <w:rPr>
                <w:rFonts w:hint="eastAsia" w:ascii="宋体" w:hAnsi="宋体" w:eastAsia="宋体" w:cs="宋体"/>
                <w:color w:val="000000" w:themeColor="text1"/>
                <w:sz w:val="20"/>
                <w:szCs w:val="20"/>
                <w:highlight w:val="none"/>
                <w:lang w:bidi="ar"/>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3</w:t>
            </w:r>
            <w:r/>
          </w:p>
        </w:tc>
        <w:tc>
          <w:tcPr>
            <w:tcW w:w="2355" w:type="dxa"/>
            <w:vAlign w:val="center"/>
            <w:textDirection w:val="lrTb"/>
            <w:noWrap/>
          </w:tcPr>
          <w:p>
            <w:pPr>
              <w:jc w:val="center"/>
              <w:widowControl/>
              <w:rPr>
                <w:rFonts w:hint="eastAsia" w:ascii="宋体" w:hAnsi="宋体" w:eastAsia="宋体" w:cs="宋体"/>
                <w:color w:val="000000" w:themeColor="text1"/>
                <w:sz w:val="20"/>
                <w:szCs w:val="20"/>
                <w:highlight w:val="none"/>
                <w:lang w:bidi="ar"/>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更换信号机、信号灯安装及调试</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olor w:val="000000" w:themeColor="text1"/>
                <w:sz w:val="20"/>
                <w:szCs w:val="20"/>
                <w:highlight w:val="none"/>
                <w14:textFill>
                  <w14:solidFill>
                    <w14:schemeClr w14:val="tx1"/>
                  </w14:solidFill>
                </w14:textFill>
              </w:rPr>
              <w:t xml:space="preserve">详见技术参数要求及相关说明</w:t>
            </w:r>
            <w:r/>
          </w:p>
        </w:tc>
        <w:tc>
          <w:tcPr>
            <w:tcW w:w="675" w:type="dxa"/>
            <w:vAlign w:val="center"/>
            <w:textDirection w:val="lrTb"/>
            <w:noWrap/>
          </w:tcPr>
          <w:p>
            <w:pPr>
              <w:jc w:val="center"/>
              <w:widowControl/>
              <w:rPr>
                <w:rFonts w:hint="eastAsia" w:ascii="宋体" w:hAnsi="宋体" w:eastAsia="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路口</w:t>
            </w:r>
            <w:r/>
          </w:p>
        </w:tc>
        <w:tc>
          <w:tcPr>
            <w:tcW w:w="705" w:type="dxa"/>
            <w:vAlign w:val="center"/>
            <w:textDirection w:val="lrTb"/>
            <w:noWrap/>
          </w:tcPr>
          <w:p>
            <w:pPr>
              <w:jc w:val="center"/>
              <w:widowControl/>
              <w:rPr>
                <w:rFonts w:hint="eastAsia" w:ascii="宋体" w:hAnsi="宋体" w:eastAsia="宋体" w:cs="宋体"/>
                <w:color w:val="000000" w:themeColor="text1"/>
                <w:sz w:val="20"/>
                <w:szCs w:val="20"/>
                <w:highlight w:val="none"/>
                <w:lang w:bidi="ar"/>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3</w:t>
            </w:r>
            <w:r/>
          </w:p>
        </w:tc>
        <w:tc>
          <w:tcPr>
            <w:tcW w:w="109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10"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965" w:type="dxa"/>
            <w:vAlign w:val="center"/>
            <w:textDirection w:val="lrTb"/>
            <w:noWrap/>
          </w:tcPr>
          <w:p>
            <w:pPr>
              <w:jc w:val="center"/>
              <w:spacing w:line="280" w:lineRule="exact"/>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jc w:val="center"/>
          <w:trHeight w:val="832"/>
        </w:trPr>
        <w:tc>
          <w:tcPr>
            <w:gridSpan w:val="3"/>
            <w:tcW w:w="4536"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0"/>
                <w:szCs w:val="20"/>
                <w:highlight w:val="none"/>
                <w14:textFill>
                  <w14:solidFill>
                    <w14:schemeClr w14:val="tx1"/>
                  </w14:solidFill>
                </w14:textFill>
              </w:rPr>
            </w:pPr>
            <w:r>
              <w:rPr>
                <w:rFonts w:hint="eastAsia" w:asciiTheme="majorEastAsia" w:hAnsiTheme="majorEastAsia" w:eastAsiaTheme="majorEastAsia" w:cstheme="majorEastAsia"/>
                <w:color w:val="000000" w:themeColor="text1"/>
                <w:sz w:val="20"/>
                <w:szCs w:val="20"/>
                <w:highlight w:val="none"/>
                <w14:textFill>
                  <w14:solidFill>
                    <w14:schemeClr w14:val="tx1"/>
                  </w14:solidFill>
                </w14:textFill>
              </w:rPr>
              <w:t xml:space="preserve">合计（与开标一览表一致）</w:t>
            </w:r>
            <w:r/>
          </w:p>
        </w:tc>
        <w:tc>
          <w:tcPr>
            <w:gridSpan w:val="5"/>
            <w:tcW w:w="4550" w:type="dxa"/>
            <w:vAlign w:val="center"/>
            <w:textDirection w:val="lrTb"/>
            <w:noWrap/>
          </w:tcPr>
          <w:p>
            <w:pPr>
              <w:jc w:val="left"/>
              <w:spacing w:line="400" w:lineRule="exact"/>
              <w:widowControl/>
              <w:rPr>
                <w:rFonts w:hint="eastAsia" w:asciiTheme="majorEastAsia" w:hAnsiTheme="majorEastAsia" w:eastAsiaTheme="majorEastAsia" w:cstheme="majorEastAsia"/>
                <w:color w:val="000000" w:themeColor="text1"/>
                <w:sz w:val="20"/>
                <w:szCs w:val="20"/>
                <w:highlight w:val="none"/>
                <w:u w:val="single"/>
                <w14:textFill>
                  <w14:solidFill>
                    <w14:schemeClr w14:val="tx1"/>
                  </w14:solidFill>
                </w14:textFill>
              </w:rPr>
            </w:pPr>
            <w:r>
              <w:rPr>
                <w:rFonts w:hint="eastAsia" w:asciiTheme="majorEastAsia" w:hAnsiTheme="majorEastAsia" w:eastAsiaTheme="majorEastAsia" w:cstheme="majorEastAsia"/>
                <w:color w:val="000000" w:themeColor="text1"/>
                <w:sz w:val="20"/>
                <w:szCs w:val="20"/>
                <w:highlight w:val="none"/>
                <w14:textFill>
                  <w14:solidFill>
                    <w14:schemeClr w14:val="tx1"/>
                  </w14:solidFill>
                </w14:textFill>
              </w:rPr>
              <w:t xml:space="preserve">大写：</w:t>
            </w:r>
            <w:r/>
          </w:p>
          <w:p>
            <w:pPr>
              <w:jc w:val="left"/>
              <w:spacing w:line="400" w:lineRule="exact"/>
              <w:widowControl/>
              <w:rPr>
                <w:rFonts w:hint="eastAsia" w:asciiTheme="majorEastAsia" w:hAnsiTheme="majorEastAsia" w:eastAsiaTheme="majorEastAsia" w:cstheme="majorEastAsia"/>
                <w:color w:val="000000" w:themeColor="text1"/>
                <w:sz w:val="20"/>
                <w:szCs w:val="20"/>
                <w:highlight w:val="none"/>
                <w:u w:val="single"/>
                <w14:textFill>
                  <w14:solidFill>
                    <w14:schemeClr w14:val="tx1"/>
                  </w14:solidFill>
                </w14:textFill>
              </w:rPr>
            </w:pPr>
            <w:r>
              <w:rPr>
                <w:rFonts w:hint="eastAsia" w:asciiTheme="majorEastAsia" w:hAnsiTheme="majorEastAsia" w:eastAsiaTheme="majorEastAsia" w:cstheme="majorEastAsia"/>
                <w:color w:val="000000" w:themeColor="text1"/>
                <w:sz w:val="20"/>
                <w:szCs w:val="20"/>
                <w:highlight w:val="none"/>
                <w14:textFill>
                  <w14:solidFill>
                    <w14:schemeClr w14:val="tx1"/>
                  </w14:solidFill>
                </w14:textFill>
              </w:rPr>
              <w:t xml:space="preserve">小写：</w:t>
            </w:r>
            <w:r/>
          </w:p>
        </w:tc>
      </w:tr>
    </w:tbl>
    <w:p>
      <w:pPr>
        <w:jc w:val="left"/>
        <w:spacing w:line="480" w:lineRule="exact"/>
        <w:shd w:val="clear" w:color="auto" w:fill="ffffff" w:themeFill="background1"/>
        <w:widowControl/>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注：1、投标报价应是招标范围内全部工作内容的价格体现，报价应包括设备的供货、运输、安装、辅材、人工、材料、机械、管理、运杂、调试、验收、技术服务等其它相关费用、规费、税金、备品备件、伴随服务、招标代理服务费、人员培训费等所有费用。对投标人认为未考虑到的费用项目采购人将不予支付，并认为此项费用已包含在投标报价中。2、本项目预算金额为110万元，高于该预算价的作无效标论处。3、各投标人必须使用本报价表且须逐格填写，除规定法定代表人或委托代理人签字处手写外，其余内容均要采用电脑打印。</w:t>
      </w:r>
      <w:r/>
    </w:p>
    <w:p>
      <w:pPr>
        <w:pStyle w:val="722"/>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投标单位：（盖章）</w:t>
      </w:r>
      <w:r/>
    </w:p>
    <w:p>
      <w:pPr>
        <w:jc w:val="left"/>
        <w:spacing w:line="480" w:lineRule="exact"/>
        <w:shd w:val="clear" w:color="auto" w:fill="ffffff" w:themeFill="background1"/>
        <w:widowControl/>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firstLine="480"/>
        <w:jc w:val="left"/>
        <w:spacing w:line="480" w:lineRule="exact"/>
        <w:shd w:val="clear" w:color="auto" w:fill="ffffff" w:themeFill="background1"/>
        <w:widowControl/>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法定代表人或委托代理人：（签字或盖章）</w:t>
      </w:r>
      <w:r/>
    </w:p>
    <w:p>
      <w:pPr>
        <w:pStyle w:val="721"/>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75"/>
        <w:jc w:val="right"/>
        <w:spacing w:line="480" w:lineRule="exact"/>
        <w:shd w:val="clear" w:color="auto" w:fill="ffffff" w:themeFill="background1"/>
        <w:widowControl/>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日 期：   年 </w:t>
      </w:r>
      <w:r>
        <w:rPr>
          <w:rFonts w:ascii="宋体" w:hAnsi="宋体" w:eastAsia="宋体"/>
          <w:color w:val="000000" w:themeColor="text1"/>
          <w:sz w:val="24"/>
          <w:szCs w:val="20"/>
          <w:highlight w:val="non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月 </w:t>
      </w:r>
      <w:r>
        <w:rPr>
          <w:rFonts w:ascii="宋体" w:hAnsi="宋体" w:eastAsia="宋体"/>
          <w:color w:val="000000" w:themeColor="text1"/>
          <w:sz w:val="24"/>
          <w:szCs w:val="20"/>
          <w:highlight w:val="non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日</w:t>
      </w:r>
      <w:r/>
    </w:p>
    <w:p>
      <w:pPr>
        <w:pStyle w:val="721"/>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p>
    <w:p>
      <w:pPr>
        <w:pStyle w:val="722"/>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p>
    <w:p>
      <w:pPr>
        <w:pStyle w:val="722"/>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p>
    <w:p>
      <w:pPr>
        <w:pStyle w:val="722"/>
        <w:rPr>
          <w:highlight w:val="none"/>
          <w14:textFill>
            <w14:solidFill>
              <w14:schemeClr w14:val="tx1"/>
            </w14:solidFill>
          </w14:textFill>
        </w:rPr>
      </w:pPr>
      <w:r>
        <w:rPr>
          <w:color w:val="000000" w:themeColor="text1"/>
          <w:highlight w:val="none"/>
          <w14:textFill>
            <w14:solidFill>
              <w14:schemeClr w14:val="tx1"/>
            </w14:solidFill>
          </w14:textFill>
        </w:rPr>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69"/>
      <w:r/>
    </w:p>
    <w:p>
      <w:pPr>
        <w:pStyle w:val="704"/>
        <w:shd w:val="clear" w:color="auto" w:fill="ffffff" w:themeFill="background1"/>
        <w:rPr>
          <w:color w:val="000000" w:themeColor="text1"/>
          <w:highlight w:val="none"/>
          <w14:textFill>
            <w14:solidFill>
              <w14:schemeClr w14:val="tx1"/>
            </w14:solidFill>
          </w14:textFill>
        </w:rPr>
      </w:pPr>
      <w:r/>
      <w:bookmarkStart w:id="70" w:name="_Toc99358146"/>
      <w:r/>
      <w:bookmarkStart w:id="71" w:name="_Toc75795074"/>
      <w:r/>
      <w:bookmarkStart w:id="72" w:name="_Toc15166"/>
      <w:r/>
      <w:bookmarkStart w:id="73" w:name="_Toc62737817"/>
      <w:r/>
      <w:bookmarkStart w:id="74" w:name="_Toc50475178"/>
      <w:r/>
      <w:bookmarkStart w:id="75" w:name="_Toc58591911"/>
      <w:r/>
      <w:bookmarkStart w:id="76" w:name="_Toc76718106"/>
      <w:r/>
      <w:bookmarkStart w:id="77" w:name="_Hlk165367886"/>
      <w:r>
        <w:rPr>
          <w:rFonts w:hint="eastAsia"/>
          <w:color w:val="000000" w:themeColor="text1"/>
          <w:highlight w:val="none"/>
          <w14:textFill>
            <w14:solidFill>
              <w14:schemeClr w14:val="tx1"/>
            </w14:solidFill>
          </w14:textFill>
        </w:rPr>
        <w:t xml:space="preserve">（十三）技术参数响应表</w:t>
      </w:r>
      <w:bookmarkEnd w:id="70"/>
      <w:r/>
      <w:bookmarkEnd w:id="71"/>
      <w:r/>
      <w:bookmarkEnd w:id="72"/>
      <w:r/>
      <w:bookmarkEnd w:id="73"/>
      <w:r/>
      <w:bookmarkEnd w:id="74"/>
      <w:r/>
      <w:bookmarkEnd w:id="75"/>
      <w:r/>
      <w:bookmarkEnd w:id="76"/>
      <w:r/>
      <w:r/>
    </w:p>
    <w:tbl>
      <w:tblPr>
        <w:tblStyle w:val="713"/>
        <w:tblW w:w="915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450"/>
        <w:gridCol w:w="2405"/>
        <w:gridCol w:w="2019"/>
        <w:gridCol w:w="1498"/>
      </w:tblGrid>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hd w:val="clear" w:color="auto" w:fill="ffffff" w:themeFill="background1"/>
              <w:rPr>
                <w:rFonts w:hint="eastAsia" w:ascii="宋体" w:hAnsi="宋体" w:eastAsia="宋体"/>
                <w:b/>
                <w:color w:val="000000" w:themeColor="text1"/>
                <w:szCs w:val="21"/>
                <w:highlight w:val="none"/>
                <w14:textFill>
                  <w14:solidFill>
                    <w14:schemeClr w14:val="tx1"/>
                  </w14:solidFill>
                </w14:textFill>
              </w:rPr>
            </w:pPr>
            <w:r>
              <w:rPr>
                <w:rFonts w:hint="eastAsia" w:ascii="宋体" w:hAnsi="宋体" w:eastAsia="宋体"/>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shd w:val="clear" w:color="auto" w:fill="ffffff" w:themeFill="background1"/>
              <w:rPr>
                <w:rFonts w:hint="eastAsia" w:ascii="宋体" w:hAnsi="宋体" w:eastAsia="宋体"/>
                <w:b/>
                <w:color w:val="000000" w:themeColor="text1"/>
                <w:szCs w:val="21"/>
                <w:highlight w:val="none"/>
                <w14:textFill>
                  <w14:solidFill>
                    <w14:schemeClr w14:val="tx1"/>
                  </w14:solidFill>
                </w14:textFill>
              </w:rPr>
            </w:pPr>
            <w:r>
              <w:rPr>
                <w:rFonts w:hint="eastAsia" w:ascii="宋体" w:hAnsi="宋体" w:eastAsia="宋体"/>
                <w:b/>
                <w:color w:val="000000" w:themeColor="text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hd w:val="clear" w:color="auto" w:fill="ffffff" w:themeFill="background1"/>
              <w:rPr>
                <w:rFonts w:hint="eastAsia" w:ascii="宋体" w:hAnsi="宋体" w:eastAsia="宋体"/>
                <w:b/>
                <w:color w:val="000000" w:themeColor="text1"/>
                <w:szCs w:val="21"/>
                <w:highlight w:val="none"/>
                <w14:textFill>
                  <w14:solidFill>
                    <w14:schemeClr w14:val="tx1"/>
                  </w14:solidFill>
                </w14:textFill>
              </w:rPr>
            </w:pPr>
            <w:r>
              <w:rPr>
                <w:rFonts w:hint="eastAsia" w:ascii="宋体" w:hAnsi="宋体" w:eastAsia="宋体"/>
                <w:b/>
                <w:color w:val="000000" w:themeColor="text1"/>
                <w:szCs w:val="21"/>
                <w:highlight w:val="none"/>
                <w14:textFill>
                  <w14:solidFill>
                    <w14:schemeClr w14:val="tx1"/>
                  </w14:solidFill>
                </w14:textFill>
              </w:rPr>
              <w:t xml:space="preserve">招标文件技术要求</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shd w:val="clear" w:color="auto" w:fill="ffffff" w:themeFill="background1"/>
              <w:rPr>
                <w:rFonts w:hint="eastAsia" w:ascii="宋体" w:hAnsi="宋体" w:eastAsia="宋体"/>
                <w:b/>
                <w:color w:val="000000" w:themeColor="text1"/>
                <w:szCs w:val="21"/>
                <w:highlight w:val="none"/>
                <w14:textFill>
                  <w14:solidFill>
                    <w14:schemeClr w14:val="tx1"/>
                  </w14:solidFill>
                </w14:textFill>
              </w:rPr>
            </w:pPr>
            <w:r>
              <w:rPr>
                <w:rFonts w:hint="eastAsia" w:ascii="宋体" w:hAnsi="宋体" w:eastAsia="宋体"/>
                <w:b/>
                <w:color w:val="000000" w:themeColor="text1"/>
                <w:szCs w:val="21"/>
                <w:highlight w:val="none"/>
                <w14:textFill>
                  <w14:solidFill>
                    <w14:schemeClr w14:val="tx1"/>
                  </w14:solidFill>
                </w14:textFill>
              </w:rPr>
              <w:t xml:space="preserve">投标技术指标(不得完全复制，并且必须逐条对应招标文件技术要求）</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hd w:val="clear" w:color="auto" w:fill="ffffff" w:themeFill="background1"/>
              <w:rPr>
                <w:rFonts w:hint="eastAsia" w:ascii="宋体" w:hAnsi="宋体" w:eastAsia="宋体"/>
                <w:b/>
                <w:color w:val="000000" w:themeColor="text1"/>
                <w:szCs w:val="21"/>
                <w:highlight w:val="none"/>
                <w14:textFill>
                  <w14:solidFill>
                    <w14:schemeClr w14:val="tx1"/>
                  </w14:solidFill>
                </w14:textFill>
              </w:rPr>
            </w:pPr>
            <w:r>
              <w:rPr>
                <w:rFonts w:hint="eastAsia" w:ascii="宋体" w:hAnsi="宋体" w:eastAsia="宋体"/>
                <w:b/>
                <w:color w:val="000000" w:themeColor="text1"/>
                <w:szCs w:val="21"/>
                <w:highlight w:val="none"/>
                <w14:textFill>
                  <w14:solidFill>
                    <w14:schemeClr w14:val="tx1"/>
                  </w14:solidFill>
                </w14:textFill>
              </w:rPr>
              <w:t xml:space="preserve">偏离情况</w:t>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0"/>
                <w:szCs w:val="20"/>
                <w:highlight w:val="none"/>
                <w14:textFill>
                  <w14:solidFill>
                    <w14:schemeClr w14:val="tx1"/>
                  </w14:solidFill>
                </w14:textFill>
              </w:rPr>
              <w:t xml:space="preserve">2026年交通信号灯路口智能信控优化系统项目</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0"/>
                <w:szCs w:val="20"/>
                <w:highlight w:val="none"/>
                <w14:textFill>
                  <w14:solidFill>
                    <w14:schemeClr w14:val="tx1"/>
                  </w14:solidFill>
                </w14:textFill>
              </w:rPr>
              <w:t xml:space="preserve">招标文件第三章 招标内容及要求“二、技术要求及相关说明”全部内容</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pacing w:line="480" w:lineRule="exact"/>
              <w:shd w:val="clear" w:color="auto" w:fill="ffffff" w:themeFill="background1"/>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r>
    </w:tbl>
    <w:p>
      <w:pPr>
        <w:ind w:left="2"/>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注：1、投标人应根据投标服务的指标、对照招标文件要求在“偏离情况”栏注明“正偏离”或“无偏离”，投标人按照自身实际服务能力填写投标技术参数要求，所有技术参数要求必须在此表体现，不接受其他形式的投标技术响应说明；投标技术参数要求不得低于招标文件要求的技术参数，未填写投标技术参数要求及达不到技术参数要求的按本项目评分标准中技术符合性的约定作相应处理。2、投标人如在投标过程中提供虚假材料谋取中标成交的或采取不正当手段诋毁、排挤其他供应商的,将承担相应法律责任。</w:t>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法定代表人或委托代理人：</w:t>
      </w:r>
      <w:r>
        <w:rPr>
          <w:rFonts w:ascii="宋体" w:hAnsi="宋体" w:eastAsia="宋体"/>
          <w:color w:val="000000" w:themeColor="text1"/>
          <w:sz w:val="24"/>
          <w:szCs w:val="20"/>
          <w:highlight w:val="none"/>
          <w14:textFill>
            <w14:solidFill>
              <w14:schemeClr w14:val="tx1"/>
            </w14:solidFill>
          </w14:textFill>
        </w:rPr>
        <w:t xml:space="preserve">(</w:t>
      </w:r>
      <w:r>
        <w:rPr>
          <w:rFonts w:hint="eastAsia" w:ascii="宋体" w:hAnsi="宋体" w:eastAsia="宋体"/>
          <w:color w:val="000000" w:themeColor="text1"/>
          <w:sz w:val="24"/>
          <w:szCs w:val="20"/>
          <w:highlight w:val="none"/>
          <w14:textFill>
            <w14:solidFill>
              <w14:schemeClr w14:val="tx1"/>
            </w14:solidFill>
          </w14:textFill>
        </w:rPr>
        <w:t xml:space="preserve">盖章或签字</w:t>
      </w:r>
      <w:r>
        <w:rPr>
          <w:rFonts w:ascii="宋体" w:hAnsi="宋体" w:eastAsia="宋体"/>
          <w:color w:val="000000" w:themeColor="text1"/>
          <w:sz w:val="24"/>
          <w:szCs w:val="20"/>
          <w:highlight w:val="none"/>
          <w14:textFill>
            <w14:solidFill>
              <w14:schemeClr w14:val="tx1"/>
            </w14:solidFill>
          </w14:textFill>
        </w:rPr>
        <w:t xml:space="preserve">）</w:t>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75"/>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投标单位：</w:t>
      </w:r>
      <w:r>
        <w:rPr>
          <w:rFonts w:ascii="宋体" w:hAnsi="宋体" w:eastAsia="宋体"/>
          <w:color w:val="000000" w:themeColor="text1"/>
          <w:sz w:val="24"/>
          <w:szCs w:val="20"/>
          <w:highlight w:val="non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全称并加盖公章</w:t>
      </w:r>
      <w:r>
        <w:rPr>
          <w:rFonts w:ascii="宋体" w:hAnsi="宋体" w:eastAsia="宋体"/>
          <w:color w:val="000000" w:themeColor="text1"/>
          <w:sz w:val="24"/>
          <w:szCs w:val="20"/>
          <w:highlight w:val="none"/>
          <w14:textFill>
            <w14:solidFill>
              <w14:schemeClr w14:val="tx1"/>
            </w14:solidFill>
          </w14:textFill>
        </w:rPr>
        <w:t xml:space="preserve">）</w:t>
      </w:r>
      <w:r/>
    </w:p>
    <w:p>
      <w:pPr>
        <w:ind w:left="2" w:firstLine="475"/>
        <w:jc w:val="right"/>
        <w:spacing w:line="520" w:lineRule="exact"/>
        <w:shd w:val="clear" w:color="auto" w:fill="ffffff" w:themeFill="background1"/>
        <w:rPr>
          <w:rFonts w:hint="eastAsia" w:ascii="宋体" w:hAnsi="宋体" w:eastAsia="宋体"/>
          <w:sz w:val="24"/>
          <w:szCs w:val="24"/>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日 期： </w:t>
      </w:r>
      <w:r>
        <w:rPr>
          <w:rFonts w:ascii="宋体" w:hAnsi="宋体" w:eastAsia="宋体"/>
          <w:color w:val="000000" w:themeColor="text1"/>
          <w:sz w:val="24"/>
          <w:szCs w:val="20"/>
          <w:highlight w:val="non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年 </w:t>
      </w:r>
      <w:r>
        <w:rPr>
          <w:rFonts w:ascii="宋体" w:hAnsi="宋体" w:eastAsia="宋体"/>
          <w:color w:val="000000" w:themeColor="text1"/>
          <w:sz w:val="24"/>
          <w:szCs w:val="20"/>
          <w:highlight w:val="non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月 </w:t>
      </w:r>
      <w:r>
        <w:rPr>
          <w:rFonts w:ascii="宋体" w:hAnsi="宋体" w:eastAsia="宋体"/>
          <w:color w:val="000000" w:themeColor="text1"/>
          <w:sz w:val="24"/>
          <w:szCs w:val="20"/>
          <w:highlight w:val="non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日</w:t>
      </w:r>
      <w:bookmarkEnd w:id="77"/>
      <w:r/>
    </w:p>
    <w:p>
      <w:pPr>
        <w:ind w:left="2" w:firstLine="475"/>
        <w:jc w:val="right"/>
        <w:spacing w:line="520" w:lineRule="exact"/>
        <w:shd w:val="clear" w:color="auto" w:fill="ffffff" w:themeFill="background1"/>
        <w:rPr>
          <w:rFonts w:hint="eastAsia" w:ascii="宋体" w:hAnsi="宋体" w:eastAsia="宋体"/>
          <w:sz w:val="24"/>
          <w:szCs w:val="24"/>
          <w:highlight w:val="none"/>
          <w14:textFill>
            <w14:solidFill>
              <w14:schemeClr w14:val="tx1"/>
            </w14:solidFill>
          </w14:textFill>
        </w:rPr>
      </w:pPr>
      <w:r>
        <w:rPr>
          <w:rFonts w:hint="eastAsia" w:ascii="宋体" w:hAnsi="宋体" w:eastAsia="宋体"/>
          <w:sz w:val="24"/>
          <w:szCs w:val="24"/>
          <w:highlight w:val="none"/>
          <w14:textFill>
            <w14:solidFill>
              <w14:schemeClr w14:val="tx1"/>
            </w14:solidFill>
          </w14:textFill>
        </w:rPr>
      </w:r>
      <w:r>
        <w:rPr>
          <w:rFonts w:hint="eastAsia" w:ascii="宋体" w:hAnsi="宋体" w:eastAsia="宋体"/>
          <w:sz w:val="24"/>
          <w:szCs w:val="24"/>
          <w:highlight w:val="none"/>
          <w14:textFill>
            <w14:solidFill>
              <w14:schemeClr w14:val="tx1"/>
            </w14:solidFill>
          </w14:textFill>
        </w:rPr>
      </w:r>
    </w:p>
    <w:p>
      <w:pPr>
        <w:ind w:left="2" w:firstLine="475"/>
        <w:jc w:val="right"/>
        <w:spacing w:line="520" w:lineRule="exact"/>
        <w:shd w:val="clear" w:color="auto" w:fill="ffffff" w:themeFill="background1"/>
        <w:rPr>
          <w:rFonts w:hint="eastAsia" w:ascii="宋体" w:hAnsi="宋体" w:eastAsia="宋体"/>
          <w:sz w:val="24"/>
          <w:szCs w:val="24"/>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rPr>
          <w:rFonts w:hint="eastAsia" w:ascii="宋体" w:hAnsi="宋体" w:eastAsia="宋体"/>
          <w:color w:val="000000" w:themeColor="text1"/>
          <w:sz w:val="24"/>
          <w:szCs w:val="20"/>
          <w:highlight w:val="none"/>
          <w14:textFill>
            <w14:solidFill>
              <w14:schemeClr w14:val="tx1"/>
            </w14:solidFill>
          </w14:textFill>
        </w:rPr>
      </w:r>
    </w:p>
    <w:p>
      <w:pPr>
        <w:pStyle w:val="704"/>
        <w:shd w:val="clear" w:color="auto" w:fill="ffffff" w:themeFill="background1"/>
        <w:rPr>
          <w:color w:val="000000" w:themeColor="text1"/>
          <w:highlight w:val="none"/>
          <w14:textFill>
            <w14:solidFill>
              <w14:schemeClr w14:val="tx1"/>
            </w14:solidFill>
          </w14:textFill>
        </w:rPr>
      </w:pPr>
      <w:r/>
      <w:bookmarkStart w:id="78" w:name="_Toc17942"/>
      <w:r>
        <w:rPr>
          <w:rFonts w:hint="eastAsia"/>
          <w:color w:val="000000" w:themeColor="text1"/>
          <w:highlight w:val="none"/>
          <w14:textFill>
            <w14:solidFill>
              <w14:schemeClr w14:val="tx1"/>
            </w14:solidFill>
          </w14:textFill>
        </w:rPr>
        <w:t xml:space="preserve">（</w:t>
      </w:r>
      <w:bookmarkStart w:id="79" w:name="_Hlk165367999"/>
      <w:r>
        <w:rPr>
          <w:rFonts w:hint="eastAsia"/>
          <w:color w:val="000000" w:themeColor="text1"/>
          <w:highlight w:val="none"/>
          <w14:textFill>
            <w14:solidFill>
              <w14:schemeClr w14:val="tx1"/>
            </w14:solidFill>
          </w14:textFill>
        </w:rPr>
        <w:t xml:space="preserve">十四）售后服务及承诺</w:t>
      </w:r>
      <w:bookmarkEnd w:id="78"/>
      <w:r/>
      <w:r/>
    </w:p>
    <w:tbl>
      <w:tblPr>
        <w:tblStyle w:val="713"/>
        <w:tblW w:w="9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4"/>
        <w:gridCol w:w="7403"/>
      </w:tblGrid>
      <w:tr>
        <w:trPr>
          <w:jc w:val="center"/>
          <w:trHeight w:val="5690"/>
        </w:trPr>
        <w:tc>
          <w:tcPr>
            <w:tcW w:w="1734" w:type="dxa"/>
            <w:vAlign w:val="center"/>
            <w:textDirection w:val="lrTb"/>
            <w:noWrap w:val="false"/>
          </w:tcPr>
          <w:p>
            <w:pPr>
              <w:jc w:val="center"/>
              <w:spacing w:line="320" w:lineRule="exact"/>
              <w:shd w:val="clear" w:color="auto" w:fill="ffffff" w:themeFill="background1"/>
              <w:tabs>
                <w:tab w:val="left" w:pos="0" w:leader="none"/>
              </w:tabs>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服务内容</w:t>
            </w:r>
            <w:r/>
          </w:p>
        </w:tc>
        <w:tc>
          <w:tcPr>
            <w:tcW w:w="7403" w:type="dxa"/>
            <w:textDirection w:val="lrTb"/>
            <w:noWrap w:val="false"/>
          </w:tcPr>
          <w:p>
            <w:pPr>
              <w:ind w:left="2"/>
              <w:spacing w:line="320" w:lineRule="exact"/>
              <w:shd w:val="clear" w:color="auto" w:fill="ffffff" w:themeFill="background1"/>
              <w:rPr>
                <w:rFonts w:hint="eastAsia" w:ascii="宋体" w:hAnsi="宋体" w:eastAsia="宋体"/>
                <w:color w:val="000000" w:themeColor="text1"/>
                <w:sz w:val="22"/>
                <w:szCs w:val="18"/>
                <w:highlight w:val="none"/>
                <w14:textFill>
                  <w14:solidFill>
                    <w14:schemeClr w14:val="tx1"/>
                  </w14:solidFill>
                </w14:textFill>
              </w:rPr>
            </w:pPr>
            <w:r>
              <w:rPr>
                <w:rFonts w:hint="eastAsia" w:ascii="宋体" w:hAnsi="宋体" w:eastAsia="宋体"/>
                <w:color w:val="000000" w:themeColor="text1"/>
                <w:sz w:val="22"/>
                <w:szCs w:val="18"/>
                <w:highlight w:val="none"/>
                <w14:textFill>
                  <w14:solidFill>
                    <w14:schemeClr w14:val="tx1"/>
                  </w14:solidFill>
                </w14:textFill>
              </w:rPr>
              <w:t xml:space="preserve">1、供应商必须严格按照本次招标技术参数要求进行合理报价并供货，如后期出现验收不合格情形视同虚假承诺谋取中标成交，将被列入不良行为记录名单。</w:t>
            </w:r>
            <w:r/>
          </w:p>
          <w:p>
            <w:pPr>
              <w:ind w:left="2"/>
              <w:spacing w:line="320" w:lineRule="exact"/>
              <w:shd w:val="clear" w:color="auto" w:fill="ffffff" w:themeFill="background1"/>
              <w:rPr>
                <w:rFonts w:hint="eastAsia" w:ascii="宋体" w:hAnsi="宋体" w:eastAsia="宋体"/>
                <w:color w:val="000000" w:themeColor="text1"/>
                <w:sz w:val="22"/>
                <w:szCs w:val="18"/>
                <w:highlight w:val="none"/>
                <w14:textFill>
                  <w14:solidFill>
                    <w14:schemeClr w14:val="tx1"/>
                  </w14:solidFill>
                </w14:textFill>
              </w:rPr>
            </w:pPr>
            <w:r>
              <w:rPr>
                <w:rFonts w:hint="eastAsia" w:ascii="宋体" w:hAnsi="宋体" w:eastAsia="宋体"/>
                <w:color w:val="000000" w:themeColor="text1"/>
                <w:sz w:val="22"/>
                <w:szCs w:val="18"/>
                <w:highlight w:val="none"/>
                <w14:textFill>
                  <w14:solidFill>
                    <w14:schemeClr w14:val="tx1"/>
                  </w14:solidFill>
                </w14:textFill>
              </w:rPr>
              <w:t xml:space="preserve">2、所有产品所报配置为主要配置，其他按标准配置配备，均为原厂原装产品，不得在原厂标准配置的基础上减少或降低技术配置。</w:t>
            </w:r>
            <w:r/>
          </w:p>
          <w:p>
            <w:pPr>
              <w:ind w:left="2"/>
              <w:spacing w:line="320" w:lineRule="exact"/>
              <w:shd w:val="clear" w:color="auto" w:fill="ffffff" w:themeFill="background1"/>
              <w:rPr>
                <w:rFonts w:hint="eastAsia" w:ascii="宋体" w:hAnsi="宋体" w:eastAsia="宋体"/>
                <w:color w:val="000000" w:themeColor="text1"/>
                <w:sz w:val="22"/>
                <w:szCs w:val="18"/>
                <w:highlight w:val="none"/>
                <w14:textFill>
                  <w14:solidFill>
                    <w14:schemeClr w14:val="tx1"/>
                  </w14:solidFill>
                </w14:textFill>
              </w:rPr>
            </w:pPr>
            <w:r>
              <w:rPr>
                <w:rFonts w:hint="eastAsia" w:ascii="宋体" w:hAnsi="宋体" w:eastAsia="宋体"/>
                <w:color w:val="000000" w:themeColor="text1"/>
                <w:sz w:val="22"/>
                <w:szCs w:val="18"/>
                <w:highlight w:val="none"/>
                <w14:textFill>
                  <w14:solidFill>
                    <w14:schemeClr w14:val="tx1"/>
                  </w14:solidFill>
                </w14:textFill>
              </w:rPr>
              <w:t xml:space="preserve">3、本项目在建设过程及质保期间无需驻场人员，但供应商在项目建设周期内需组织一个长期稳定服务团队，其中项目核心技术人员要完全投入到本项目中，并且整个项目团队的人员要相对稳定，必须确保项目顺利如期实施、交付并通过验收。</w:t>
            </w:r>
            <w:r/>
          </w:p>
          <w:p>
            <w:pPr>
              <w:ind w:left="2"/>
              <w:spacing w:line="320" w:lineRule="exact"/>
              <w:shd w:val="clear" w:color="auto" w:fill="ffffff" w:themeFill="background1"/>
              <w:rPr>
                <w:rFonts w:hint="eastAsia" w:ascii="宋体" w:hAnsi="宋体" w:eastAsia="宋体"/>
                <w:color w:val="000000" w:themeColor="text1"/>
                <w:sz w:val="22"/>
                <w:szCs w:val="18"/>
                <w:highlight w:val="none"/>
                <w14:textFill>
                  <w14:solidFill>
                    <w14:schemeClr w14:val="tx1"/>
                  </w14:solidFill>
                </w14:textFill>
              </w:rPr>
            </w:pPr>
            <w:r>
              <w:rPr>
                <w:rFonts w:hint="eastAsia" w:ascii="宋体" w:hAnsi="宋体" w:eastAsia="宋体"/>
                <w:color w:val="000000" w:themeColor="text1"/>
                <w:sz w:val="22"/>
                <w:szCs w:val="18"/>
                <w:highlight w:val="none"/>
                <w14:textFill>
                  <w14:solidFill>
                    <w14:schemeClr w14:val="tx1"/>
                  </w14:solidFill>
                </w14:textFill>
              </w:rPr>
              <w:t xml:space="preserve">4、供应商自行承担运输、安装、调试、售后服务等全过程中的所有安全责任。</w:t>
            </w:r>
            <w:r/>
          </w:p>
          <w:p>
            <w:pPr>
              <w:ind w:left="2"/>
              <w:spacing w:line="320" w:lineRule="exact"/>
              <w:shd w:val="clear" w:color="auto" w:fill="ffffff" w:themeFill="background1"/>
              <w:rPr>
                <w:rFonts w:hint="eastAsia" w:ascii="宋体" w:hAnsi="宋体" w:eastAsia="宋体"/>
                <w:color w:val="000000" w:themeColor="text1"/>
                <w:sz w:val="22"/>
                <w:szCs w:val="18"/>
                <w:highlight w:val="none"/>
                <w14:textFill>
                  <w14:solidFill>
                    <w14:schemeClr w14:val="tx1"/>
                  </w14:solidFill>
                </w14:textFill>
              </w:rPr>
            </w:pPr>
            <w:r>
              <w:rPr>
                <w:rFonts w:hint="eastAsia" w:ascii="宋体" w:hAnsi="宋体" w:eastAsia="宋体"/>
                <w:color w:val="000000" w:themeColor="text1"/>
                <w:sz w:val="22"/>
                <w:szCs w:val="18"/>
                <w:highlight w:val="none"/>
                <w14:textFill>
                  <w14:solidFill>
                    <w14:schemeClr w14:val="tx1"/>
                  </w14:solidFill>
                </w14:textFill>
              </w:rPr>
              <w:t xml:space="preserve">5、所有产品免费质保期为三年，投标单位需提供及时服务，免费质保期间出现的问题，必须以优良的服务态度，便利快捷的方式在2小时内响应，12个小时内到达现场，24小时内修复。如需要更换设备或送修，必须在7日内完成，并提供备品。质保期满后出现的问题，也应以优良的服务态度，便利快捷的方式为采购方解决问题。</w:t>
            </w:r>
            <w:r/>
          </w:p>
          <w:p>
            <w:pPr>
              <w:ind w:left="2"/>
              <w:spacing w:line="320" w:lineRule="exact"/>
              <w:shd w:val="clear" w:color="auto" w:fill="ffffff" w:themeFill="background1"/>
              <w:rPr>
                <w:rFonts w:hint="eastAsia" w:ascii="宋体" w:hAnsi="宋体" w:eastAsia="宋体" w:cs="宋体"/>
                <w:color w:val="000000" w:themeColor="text1"/>
                <w:sz w:val="24"/>
                <w:highlight w:val="none"/>
                <w:lang w:bidi="zh-CN"/>
                <w14:textFill>
                  <w14:solidFill>
                    <w14:schemeClr w14:val="tx1"/>
                  </w14:solidFill>
                </w14:textFill>
              </w:rPr>
            </w:pPr>
            <w:r>
              <w:rPr>
                <w:rFonts w:hint="eastAsia" w:ascii="宋体" w:hAnsi="宋体" w:eastAsia="宋体"/>
                <w:color w:val="000000" w:themeColor="text1"/>
                <w:sz w:val="22"/>
                <w:szCs w:val="18"/>
                <w:highlight w:val="none"/>
                <w14:textFill>
                  <w14:solidFill>
                    <w14:schemeClr w14:val="tx1"/>
                  </w14:solidFill>
                </w14:textFill>
              </w:rPr>
              <w:t xml:space="preserve">6、供应商在设备安装过程中涉及第三方产品知识产权情况，若出现技术、经济或法律上的纠纷，应由供应商全面承担并全权解决，并确保不影响项目的进度。</w:t>
            </w:r>
            <w:r/>
          </w:p>
        </w:tc>
      </w:tr>
      <w:tr>
        <w:trPr>
          <w:jc w:val="center"/>
          <w:trHeight w:val="2520"/>
        </w:trPr>
        <w:tc>
          <w:tcPr>
            <w:tcW w:w="1734" w:type="dxa"/>
            <w:vAlign w:val="center"/>
            <w:textDirection w:val="lrTb"/>
            <w:noWrap w:val="false"/>
          </w:tcPr>
          <w:p>
            <w:pPr>
              <w:jc w:val="center"/>
              <w:spacing w:line="480" w:lineRule="exact"/>
              <w:shd w:val="clear" w:color="auto" w:fill="ffffff" w:themeFill="background1"/>
              <w:tabs>
                <w:tab w:val="left" w:pos="0" w:leader="none"/>
              </w:tabs>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投标承诺</w:t>
            </w:r>
            <w:r/>
          </w:p>
        </w:tc>
        <w:tc>
          <w:tcPr>
            <w:tcW w:w="7403" w:type="dxa"/>
            <w:textDirection w:val="lrTb"/>
            <w:noWrap w:val="false"/>
          </w:tcPr>
          <w:p>
            <w:pPr>
              <w:jc w:val="left"/>
              <w:spacing w:line="480" w:lineRule="exact"/>
              <w:shd w:val="clear" w:color="auto" w:fill="ffffff" w:themeFill="background1"/>
              <w:widowControl/>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r>
    </w:tbl>
    <w:p>
      <w:pPr>
        <w:ind w:left="2"/>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注：各投标人须响应本项目招标文件“售后服务及承诺”，要求逐条响应，未响应作无效标处理。</w:t>
      </w:r>
      <w:r/>
    </w:p>
    <w:p>
      <w:pPr>
        <w:ind w:left="2"/>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投标单位（盖章）：</w:t>
      </w:r>
      <w:r/>
    </w:p>
    <w:p>
      <w:pPr>
        <w:ind w:left="2"/>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法定代表人或委托代理人：（签字或盖章）</w:t>
      </w:r>
      <w:r/>
    </w:p>
    <w:p>
      <w:pPr>
        <w:ind w:left="2"/>
        <w:jc w:val="right"/>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日 期：    年 </w:t>
      </w:r>
      <w:r>
        <w:rPr>
          <w:rFonts w:ascii="宋体" w:hAnsi="宋体" w:eastAsia="宋体"/>
          <w:color w:val="000000" w:themeColor="text1"/>
          <w:sz w:val="24"/>
          <w:szCs w:val="20"/>
          <w:highlight w:val="non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月 </w:t>
      </w:r>
      <w:r>
        <w:rPr>
          <w:rFonts w:ascii="宋体" w:hAnsi="宋体" w:eastAsia="宋体"/>
          <w:color w:val="000000" w:themeColor="text1"/>
          <w:sz w:val="24"/>
          <w:szCs w:val="20"/>
          <w:highlight w:val="non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日</w:t>
      </w:r>
      <w:r/>
    </w:p>
    <w:p>
      <w:pPr>
        <w:ind w:left="2"/>
        <w:spacing w:line="520" w:lineRule="exact"/>
        <w:shd w:val="clear" w:color="auto" w:fill="ffffff" w:themeFill="background1"/>
        <w:rPr>
          <w:color w:val="000000" w:themeColor="text1"/>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注：</w:t>
      </w:r>
      <w:r>
        <w:rPr>
          <w:rFonts w:hint="eastAsia" w:ascii="宋体" w:hAnsi="宋体" w:eastAsia="宋体"/>
          <w:color w:val="000000" w:themeColor="text1"/>
          <w:sz w:val="24"/>
          <w:szCs w:val="20"/>
          <w:highlight w:val="none"/>
          <w:u w:val="single"/>
          <w14:textFill>
            <w14:solidFill>
              <w14:schemeClr w14:val="tx1"/>
            </w14:solidFill>
          </w14:textFill>
        </w:rPr>
        <w:t xml:space="preserve">此表不够可复制和放大</w:t>
      </w:r>
      <w:r>
        <w:rPr>
          <w:rFonts w:hint="eastAsia" w:ascii="宋体" w:hAnsi="宋体" w:eastAsia="宋体"/>
          <w:color w:val="000000" w:themeColor="text1"/>
          <w:sz w:val="24"/>
          <w:szCs w:val="20"/>
          <w:highlight w:val="none"/>
          <w14:textFill>
            <w14:solidFill>
              <w14:schemeClr w14:val="tx1"/>
            </w14:solidFill>
          </w14:textFill>
        </w:rPr>
        <w:t xml:space="preserve">。</w:t>
      </w:r>
      <w:bookmarkEnd w:id="79"/>
      <w:r/>
    </w:p>
    <w:p>
      <w:pPr>
        <w:pStyle w:val="704"/>
        <w:jc w:val="both"/>
        <w:shd w:val="clear" w:color="auto" w:fill="ffffff" w:themeFill="background1"/>
        <w:rPr>
          <w:color w:val="000000" w:themeColor="text1"/>
          <w:highlight w:val="none"/>
          <w14:textFill>
            <w14:solidFill>
              <w14:schemeClr w14:val="tx1"/>
            </w14:solidFill>
          </w14:textFill>
        </w:rPr>
      </w:pPr>
      <w:r/>
      <w:bookmarkStart w:id="80" w:name="_Toc26182"/>
      <w:r/>
      <w:bookmarkStart w:id="81" w:name="_Hlk165368035"/>
      <w:r>
        <w:rPr>
          <w:rFonts w:hint="eastAsia"/>
          <w:color w:val="000000" w:themeColor="text1"/>
          <w:highlight w:val="none"/>
          <w14:textFill>
            <w14:solidFill>
              <w14:schemeClr w14:val="tx1"/>
            </w14:solidFill>
          </w14:textFill>
        </w:rPr>
        <w:t xml:space="preserve">（十五）具备履行合同所必需的设备和专业技术能力的书面声明</w:t>
      </w:r>
      <w:bookmarkEnd w:id="80"/>
      <w:r/>
      <w:r/>
    </w:p>
    <w:p>
      <w:pPr>
        <w:ind w:left="2" w:firstLine="480"/>
        <w:spacing w:line="70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我公司郑重声明：具备履行本项采购合同所必需的设备和专业技术能力，为履行本项采购合同我方具备如下主要设备和主要专业技术能力：</w:t>
      </w:r>
      <w:r/>
    </w:p>
    <w:p>
      <w:pPr>
        <w:ind w:left="2" w:firstLine="480"/>
        <w:spacing w:line="70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主要设备有：</w:t>
      </w:r>
      <w:r>
        <w:rPr>
          <w:rFonts w:hint="eastAsia" w:ascii="宋体" w:hAnsi="宋体" w:eastAsia="宋体"/>
          <w:color w:val="000000" w:themeColor="text1"/>
          <w:sz w:val="24"/>
          <w:szCs w:val="20"/>
          <w:highlight w:val="none"/>
          <w:u w:val="single"/>
          <w14:textFill>
            <w14:solidFill>
              <w14:schemeClr w14:val="tx1"/>
            </w14:solidFill>
          </w14:textFill>
        </w:rPr>
        <w:t xml:space="preserve">                </w:t>
      </w:r>
      <w:r>
        <w:rPr>
          <w:rFonts w:ascii="宋体" w:hAnsi="宋体" w:eastAsia="宋体"/>
          <w:color w:val="000000" w:themeColor="text1"/>
          <w:sz w:val="24"/>
          <w:szCs w:val="20"/>
          <w:highlight w:val="none"/>
          <w:u w:val="single"/>
          <w14:textFill>
            <w14:solidFill>
              <w14:schemeClr w14:val="tx1"/>
            </w14:solidFill>
          </w14:textFill>
        </w:rPr>
        <w:t xml:space="preserve">        </w:t>
      </w:r>
      <w:r>
        <w:rPr>
          <w:rFonts w:hint="eastAsia" w:ascii="宋体" w:hAnsi="宋体" w:eastAsia="宋体"/>
          <w:color w:val="000000" w:themeColor="text1"/>
          <w:sz w:val="24"/>
          <w:szCs w:val="20"/>
          <w:highlight w:val="none"/>
          <w:u w:val="singl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w:t>
      </w:r>
      <w:r/>
    </w:p>
    <w:p>
      <w:pPr>
        <w:ind w:left="2" w:firstLine="480"/>
        <w:spacing w:line="70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主要专业技术能力有：</w:t>
      </w:r>
      <w:r>
        <w:rPr>
          <w:rFonts w:hint="eastAsia" w:ascii="宋体" w:hAnsi="宋体" w:eastAsia="宋体"/>
          <w:color w:val="000000" w:themeColor="text1"/>
          <w:sz w:val="24"/>
          <w:szCs w:val="20"/>
          <w:highlight w:val="none"/>
          <w:u w:val="singl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w:t>
      </w:r>
      <w:r/>
    </w:p>
    <w:p>
      <w:pPr>
        <w:ind w:left="2" w:firstLine="480"/>
        <w:spacing w:line="70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80"/>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80"/>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80"/>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供应商名称（公章）：</w:t>
      </w:r>
      <w:r/>
    </w:p>
    <w:p>
      <w:pPr>
        <w:ind w:left="2" w:firstLine="480"/>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r>
      <w:r/>
    </w:p>
    <w:p>
      <w:pPr>
        <w:ind w:left="2" w:firstLine="480"/>
        <w:jc w:val="right"/>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日 期：      年 </w:t>
      </w:r>
      <w:r>
        <w:rPr>
          <w:rFonts w:ascii="宋体" w:hAnsi="宋体" w:eastAsia="宋体"/>
          <w:color w:val="000000" w:themeColor="text1"/>
          <w:sz w:val="24"/>
          <w:szCs w:val="20"/>
          <w:highlight w:val="non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月 </w:t>
      </w:r>
      <w:r>
        <w:rPr>
          <w:rFonts w:ascii="宋体" w:hAnsi="宋体" w:eastAsia="宋体"/>
          <w:color w:val="000000" w:themeColor="text1"/>
          <w:sz w:val="24"/>
          <w:szCs w:val="20"/>
          <w:highlight w:val="none"/>
          <w14:textFill>
            <w14:solidFill>
              <w14:schemeClr w14:val="tx1"/>
            </w14:solidFill>
          </w14:textFill>
        </w:rPr>
        <w:t xml:space="preserve"> </w:t>
      </w:r>
      <w:r>
        <w:rPr>
          <w:rFonts w:hint="eastAsia" w:ascii="宋体" w:hAnsi="宋体" w:eastAsia="宋体"/>
          <w:color w:val="000000" w:themeColor="text1"/>
          <w:sz w:val="24"/>
          <w:szCs w:val="20"/>
          <w:highlight w:val="none"/>
          <w14:textFill>
            <w14:solidFill>
              <w14:schemeClr w14:val="tx1"/>
            </w14:solidFill>
          </w14:textFill>
        </w:rPr>
        <w:t xml:space="preserve">日</w:t>
      </w:r>
      <w:bookmarkEnd w:id="81"/>
      <w:r/>
    </w:p>
    <w:p>
      <w:pPr>
        <w:ind w:firstLine="716"/>
        <w:jc w:val="center"/>
        <w:shd w:val="clear" w:color="auto" w:fill="ffffff" w:themeFill="background1"/>
        <w:rPr>
          <w:rFonts w:hint="eastAsia" w:ascii="宋体" w:hAnsi="宋体" w:eastAsia="宋体" w:cs="宋体"/>
          <w:b/>
          <w:color w:val="000000" w:themeColor="text1"/>
          <w:sz w:val="36"/>
          <w:szCs w:val="36"/>
          <w:highlight w:val="none"/>
          <w:lang w:val="zh-CN"/>
          <w14:textFill>
            <w14:solidFill>
              <w14:schemeClr w14:val="tx1"/>
            </w14:solidFill>
          </w14:textFill>
        </w:rPr>
        <w:outlineLvl w:val="1"/>
      </w:pPr>
      <w:r>
        <w:rPr>
          <w:rFonts w:hint="eastAsia" w:ascii="宋体" w:hAnsi="宋体" w:eastAsia="宋体" w:cs="宋体"/>
          <w:b/>
          <w:color w:val="000000" w:themeColor="text1"/>
          <w:sz w:val="36"/>
          <w:szCs w:val="36"/>
          <w:highlight w:val="none"/>
          <w:lang w:val="zh-CN"/>
          <w14:textFill>
            <w14:solidFill>
              <w14:schemeClr w14:val="tx1"/>
            </w14:solidFill>
          </w14:textFill>
        </w:rPr>
      </w:r>
      <w:r/>
    </w:p>
    <w:p>
      <w:pPr>
        <w:ind w:firstLine="716"/>
        <w:jc w:val="center"/>
        <w:shd w:val="clear" w:color="auto" w:fill="ffffff" w:themeFill="background1"/>
        <w:rPr>
          <w:rFonts w:hint="eastAsia" w:ascii="宋体" w:hAnsi="宋体" w:eastAsia="宋体" w:cs="宋体"/>
          <w:b/>
          <w:color w:val="000000" w:themeColor="text1"/>
          <w:sz w:val="36"/>
          <w:szCs w:val="36"/>
          <w:highlight w:val="none"/>
          <w:lang w:val="zh-CN"/>
          <w14:textFill>
            <w14:solidFill>
              <w14:schemeClr w14:val="tx1"/>
            </w14:solidFill>
          </w14:textFill>
        </w:rPr>
        <w:outlineLvl w:val="1"/>
      </w:pPr>
      <w:r>
        <w:rPr>
          <w:rFonts w:hint="eastAsia" w:ascii="宋体" w:hAnsi="宋体" w:eastAsia="宋体" w:cs="宋体"/>
          <w:b/>
          <w:color w:val="000000" w:themeColor="text1"/>
          <w:sz w:val="36"/>
          <w:szCs w:val="36"/>
          <w:highlight w:val="none"/>
          <w:lang w:val="zh-CN"/>
          <w14:textFill>
            <w14:solidFill>
              <w14:schemeClr w14:val="tx1"/>
            </w14:solidFill>
          </w14:textFill>
        </w:rPr>
      </w:r>
      <w:r/>
    </w:p>
    <w:p>
      <w:pPr>
        <w:ind w:firstLine="716"/>
        <w:jc w:val="center"/>
        <w:shd w:val="clear" w:color="auto" w:fill="ffffff" w:themeFill="background1"/>
        <w:rPr>
          <w:rFonts w:hint="eastAsia" w:ascii="宋体" w:hAnsi="宋体" w:eastAsia="宋体" w:cs="宋体"/>
          <w:b/>
          <w:color w:val="000000" w:themeColor="text1"/>
          <w:sz w:val="36"/>
          <w:szCs w:val="36"/>
          <w:highlight w:val="none"/>
          <w:lang w:val="zh-CN"/>
          <w14:textFill>
            <w14:solidFill>
              <w14:schemeClr w14:val="tx1"/>
            </w14:solidFill>
          </w14:textFill>
        </w:rPr>
        <w:outlineLvl w:val="1"/>
      </w:pPr>
      <w:r>
        <w:rPr>
          <w:rFonts w:hint="eastAsia" w:ascii="宋体" w:hAnsi="宋体" w:eastAsia="宋体" w:cs="宋体"/>
          <w:b/>
          <w:color w:val="000000" w:themeColor="text1"/>
          <w:sz w:val="36"/>
          <w:szCs w:val="36"/>
          <w:highlight w:val="none"/>
          <w:lang w:val="zh-CN"/>
          <w14:textFill>
            <w14:solidFill>
              <w14:schemeClr w14:val="tx1"/>
            </w14:solidFill>
          </w14:textFill>
        </w:rPr>
      </w:r>
      <w:r/>
    </w:p>
    <w:p>
      <w:pPr>
        <w:ind w:firstLine="716"/>
        <w:jc w:val="center"/>
        <w:shd w:val="clear" w:color="auto" w:fill="ffffff" w:themeFill="background1"/>
        <w:rPr>
          <w:rFonts w:hint="eastAsia" w:ascii="宋体" w:hAnsi="宋体" w:eastAsia="宋体" w:cs="宋体"/>
          <w:b/>
          <w:color w:val="000000" w:themeColor="text1"/>
          <w:sz w:val="36"/>
          <w:szCs w:val="36"/>
          <w:highlight w:val="none"/>
          <w:lang w:val="zh-CN"/>
          <w14:textFill>
            <w14:solidFill>
              <w14:schemeClr w14:val="tx1"/>
            </w14:solidFill>
          </w14:textFill>
        </w:rPr>
        <w:outlineLvl w:val="1"/>
      </w:pPr>
      <w:r>
        <w:rPr>
          <w:rFonts w:hint="eastAsia" w:ascii="宋体" w:hAnsi="宋体" w:eastAsia="宋体" w:cs="宋体"/>
          <w:b/>
          <w:color w:val="000000" w:themeColor="text1"/>
          <w:sz w:val="36"/>
          <w:szCs w:val="36"/>
          <w:highlight w:val="none"/>
          <w:lang w:val="zh-CN"/>
          <w14:textFill>
            <w14:solidFill>
              <w14:schemeClr w14:val="tx1"/>
            </w14:solidFill>
          </w14:textFill>
        </w:rPr>
      </w:r>
      <w:r/>
    </w:p>
    <w:p>
      <w:pPr>
        <w:ind w:firstLine="716"/>
        <w:jc w:val="center"/>
        <w:shd w:val="clear" w:color="auto" w:fill="ffffff" w:themeFill="background1"/>
        <w:rPr>
          <w:rFonts w:hint="eastAsia" w:ascii="宋体" w:hAnsi="宋体" w:eastAsia="宋体" w:cs="宋体"/>
          <w:b/>
          <w:color w:val="000000" w:themeColor="text1"/>
          <w:sz w:val="36"/>
          <w:szCs w:val="36"/>
          <w:highlight w:val="none"/>
          <w:lang w:val="zh-CN"/>
          <w14:textFill>
            <w14:solidFill>
              <w14:schemeClr w14:val="tx1"/>
            </w14:solidFill>
          </w14:textFill>
        </w:rPr>
        <w:outlineLvl w:val="1"/>
      </w:pPr>
      <w:r>
        <w:rPr>
          <w:rFonts w:hint="eastAsia" w:ascii="宋体" w:hAnsi="宋体" w:eastAsia="宋体" w:cs="宋体"/>
          <w:b/>
          <w:color w:val="000000" w:themeColor="text1"/>
          <w:sz w:val="36"/>
          <w:szCs w:val="36"/>
          <w:highlight w:val="none"/>
          <w:lang w:val="zh-CN"/>
          <w14:textFill>
            <w14:solidFill>
              <w14:schemeClr w14:val="tx1"/>
            </w14:solidFill>
          </w14:textFill>
        </w:rPr>
      </w:r>
      <w:r/>
    </w:p>
    <w:p>
      <w:pPr>
        <w:ind w:firstLine="716"/>
        <w:jc w:val="center"/>
        <w:shd w:val="clear" w:color="auto" w:fill="ffffff" w:themeFill="background1"/>
        <w:rPr>
          <w:rFonts w:hint="eastAsia" w:ascii="宋体" w:hAnsi="宋体" w:eastAsia="宋体" w:cs="宋体"/>
          <w:b/>
          <w:color w:val="000000" w:themeColor="text1"/>
          <w:sz w:val="36"/>
          <w:szCs w:val="36"/>
          <w:highlight w:val="none"/>
          <w:lang w:val="zh-CN"/>
          <w14:textFill>
            <w14:solidFill>
              <w14:schemeClr w14:val="tx1"/>
            </w14:solidFill>
          </w14:textFill>
        </w:rPr>
        <w:outlineLvl w:val="1"/>
      </w:pPr>
      <w:r>
        <w:rPr>
          <w:rFonts w:hint="eastAsia" w:ascii="宋体" w:hAnsi="宋体" w:eastAsia="宋体" w:cs="宋体"/>
          <w:b/>
          <w:color w:val="000000" w:themeColor="text1"/>
          <w:sz w:val="36"/>
          <w:szCs w:val="36"/>
          <w:highlight w:val="none"/>
          <w:lang w:val="zh-CN"/>
          <w14:textFill>
            <w14:solidFill>
              <w14:schemeClr w14:val="tx1"/>
            </w14:solidFill>
          </w14:textFill>
        </w:rPr>
      </w:r>
      <w:r/>
    </w:p>
    <w:p>
      <w:pPr>
        <w:ind w:firstLine="716"/>
        <w:jc w:val="center"/>
        <w:shd w:val="clear" w:color="auto" w:fill="ffffff" w:themeFill="background1"/>
        <w:rPr>
          <w:rFonts w:hint="eastAsia" w:ascii="宋体" w:hAnsi="宋体" w:eastAsia="宋体" w:cs="宋体"/>
          <w:b/>
          <w:color w:val="000000" w:themeColor="text1"/>
          <w:sz w:val="36"/>
          <w:szCs w:val="36"/>
          <w:highlight w:val="none"/>
          <w:lang w:val="zh-CN"/>
          <w14:textFill>
            <w14:solidFill>
              <w14:schemeClr w14:val="tx1"/>
            </w14:solidFill>
          </w14:textFill>
        </w:rPr>
        <w:outlineLvl w:val="1"/>
      </w:pPr>
      <w:r>
        <w:rPr>
          <w:rFonts w:hint="eastAsia" w:ascii="宋体" w:hAnsi="宋体" w:eastAsia="宋体" w:cs="宋体"/>
          <w:b/>
          <w:color w:val="000000" w:themeColor="text1"/>
          <w:sz w:val="36"/>
          <w:szCs w:val="36"/>
          <w:highlight w:val="none"/>
          <w:lang w:val="zh-CN"/>
          <w14:textFill>
            <w14:solidFill>
              <w14:schemeClr w14:val="tx1"/>
            </w14:solidFill>
          </w14:textFill>
        </w:rPr>
      </w:r>
      <w:r/>
    </w:p>
    <w:p>
      <w:pPr>
        <w:ind w:firstLine="716"/>
        <w:jc w:val="center"/>
        <w:shd w:val="clear" w:color="auto" w:fill="ffffff" w:themeFill="background1"/>
        <w:rPr>
          <w:rFonts w:hint="eastAsia" w:ascii="宋体" w:hAnsi="宋体" w:eastAsia="宋体" w:cs="宋体"/>
          <w:b/>
          <w:color w:val="000000" w:themeColor="text1"/>
          <w:sz w:val="36"/>
          <w:szCs w:val="36"/>
          <w:highlight w:val="none"/>
          <w:lang w:val="zh-CN"/>
          <w14:textFill>
            <w14:solidFill>
              <w14:schemeClr w14:val="tx1"/>
            </w14:solidFill>
          </w14:textFill>
        </w:rPr>
        <w:outlineLvl w:val="1"/>
      </w:pPr>
      <w:r>
        <w:rPr>
          <w:rFonts w:hint="eastAsia" w:ascii="宋体" w:hAnsi="宋体" w:eastAsia="宋体" w:cs="宋体"/>
          <w:b/>
          <w:color w:val="000000" w:themeColor="text1"/>
          <w:sz w:val="36"/>
          <w:szCs w:val="36"/>
          <w:highlight w:val="none"/>
          <w:lang w:val="zh-CN"/>
          <w14:textFill>
            <w14:solidFill>
              <w14:schemeClr w14:val="tx1"/>
            </w14:solidFill>
          </w14:textFill>
        </w:rPr>
      </w:r>
      <w:r/>
    </w:p>
    <w:p>
      <w:pPr>
        <w:ind w:firstLine="716"/>
        <w:jc w:val="center"/>
        <w:shd w:val="clear" w:color="auto" w:fill="ffffff" w:themeFill="background1"/>
        <w:rPr>
          <w:rFonts w:hint="eastAsia" w:ascii="宋体" w:hAnsi="宋体" w:eastAsia="宋体" w:cs="宋体"/>
          <w:b/>
          <w:color w:val="000000" w:themeColor="text1"/>
          <w:sz w:val="36"/>
          <w:szCs w:val="36"/>
          <w:highlight w:val="none"/>
          <w:lang w:val="zh-CN"/>
          <w14:textFill>
            <w14:solidFill>
              <w14:schemeClr w14:val="tx1"/>
            </w14:solidFill>
          </w14:textFill>
        </w:rPr>
        <w:outlineLvl w:val="1"/>
      </w:pPr>
      <w:r>
        <w:rPr>
          <w:rFonts w:hint="eastAsia" w:ascii="宋体" w:hAnsi="宋体" w:eastAsia="宋体" w:cs="宋体"/>
          <w:b/>
          <w:color w:val="000000" w:themeColor="text1"/>
          <w:sz w:val="36"/>
          <w:szCs w:val="36"/>
          <w:highlight w:val="none"/>
          <w:lang w:val="zh-CN"/>
          <w14:textFill>
            <w14:solidFill>
              <w14:schemeClr w14:val="tx1"/>
            </w14:solidFill>
          </w14:textFill>
        </w:rPr>
      </w:r>
      <w:r/>
    </w:p>
    <w:p>
      <w:pPr>
        <w:ind w:firstLine="716"/>
        <w:jc w:val="center"/>
        <w:shd w:val="clear" w:color="auto" w:fill="ffffff" w:themeFill="background1"/>
        <w:rPr>
          <w:rFonts w:hint="eastAsia" w:ascii="宋体" w:hAnsi="宋体" w:eastAsia="宋体" w:cs="宋体"/>
          <w:b/>
          <w:bCs/>
          <w:sz w:val="36"/>
          <w:szCs w:val="36"/>
          <w:highlight w:val="none"/>
          <w:lang w:val="zh-CN"/>
          <w14:textFill>
            <w14:solidFill>
              <w14:schemeClr w14:val="tx1"/>
            </w14:solidFill>
          </w14:textFill>
        </w:rPr>
        <w:outlineLvl w:val="1"/>
      </w:pPr>
      <w:r>
        <w:rPr>
          <w:rFonts w:hint="eastAsia" w:ascii="宋体" w:hAnsi="宋体" w:eastAsia="宋体" w:cs="宋体"/>
          <w:b/>
          <w:color w:val="000000" w:themeColor="text1"/>
          <w:sz w:val="36"/>
          <w:szCs w:val="36"/>
          <w:highlight w:val="none"/>
          <w:lang w:val="zh-CN"/>
          <w14:textFill>
            <w14:solidFill>
              <w14:schemeClr w14:val="tx1"/>
            </w14:solidFill>
          </w14:textFill>
        </w:rPr>
      </w:r>
      <w:r>
        <w:rPr>
          <w:rFonts w:hint="eastAsia" w:ascii="宋体" w:hAnsi="宋体" w:eastAsia="宋体" w:cs="宋体"/>
          <w:b/>
          <w:color w:val="000000" w:themeColor="text1"/>
          <w:sz w:val="36"/>
          <w:szCs w:val="36"/>
          <w:highlight w:val="none"/>
          <w:lang w:val="zh-CN"/>
          <w14:textFill>
            <w14:solidFill>
              <w14:schemeClr w14:val="tx1"/>
            </w14:solidFill>
          </w14:textFill>
        </w:rPr>
      </w:r>
    </w:p>
    <w:p>
      <w:pPr>
        <w:ind w:firstLine="716"/>
        <w:jc w:val="center"/>
        <w:shd w:val="clear" w:color="auto" w:fill="ffffff" w:themeFill="background1"/>
        <w:rPr>
          <w:rFonts w:hint="eastAsia" w:ascii="宋体" w:hAnsi="宋体" w:eastAsia="宋体" w:cs="宋体"/>
          <w:b/>
          <w:bCs/>
          <w:sz w:val="36"/>
          <w:szCs w:val="36"/>
          <w:highlight w:val="none"/>
          <w:lang w:val="zh-CN"/>
          <w14:textFill>
            <w14:solidFill>
              <w14:schemeClr w14:val="tx1"/>
            </w14:solidFill>
          </w14:textFill>
        </w:rPr>
        <w:outlineLvl w:val="1"/>
      </w:pPr>
      <w:r>
        <w:rPr>
          <w:rFonts w:hint="eastAsia" w:ascii="宋体" w:hAnsi="宋体" w:eastAsia="宋体" w:cs="宋体"/>
          <w:b/>
          <w:bCs/>
          <w:sz w:val="36"/>
          <w:szCs w:val="36"/>
          <w:highlight w:val="none"/>
          <w:lang w:val="zh-CN"/>
          <w14:textFill>
            <w14:solidFill>
              <w14:schemeClr w14:val="tx1"/>
            </w14:solidFill>
          </w14:textFill>
        </w:rPr>
      </w:r>
      <w:r>
        <w:rPr>
          <w:rFonts w:hint="eastAsia" w:ascii="宋体" w:hAnsi="宋体" w:eastAsia="宋体" w:cs="宋体"/>
          <w:b/>
          <w:bCs/>
          <w:sz w:val="36"/>
          <w:szCs w:val="36"/>
          <w:highlight w:val="none"/>
          <w:lang w:val="zh-CN"/>
          <w14:textFill>
            <w14:solidFill>
              <w14:schemeClr w14:val="tx1"/>
            </w14:solidFill>
          </w14:textFill>
        </w:rPr>
      </w:r>
    </w:p>
    <w:p>
      <w:pPr>
        <w:ind w:firstLine="716"/>
        <w:jc w:val="center"/>
        <w:shd w:val="clear" w:color="auto" w:fill="ffffff" w:themeFill="background1"/>
        <w:rPr>
          <w:rFonts w:hint="eastAsia" w:ascii="宋体" w:hAnsi="宋体" w:eastAsia="宋体" w:cs="宋体"/>
          <w:b/>
          <w:bCs/>
          <w:sz w:val="36"/>
          <w:szCs w:val="36"/>
          <w:highlight w:val="none"/>
          <w:lang w:val="zh-CN"/>
          <w14:textFill>
            <w14:solidFill>
              <w14:schemeClr w14:val="tx1"/>
            </w14:solidFill>
          </w14:textFill>
        </w:rPr>
        <w:outlineLvl w:val="1"/>
      </w:pPr>
      <w:r>
        <w:rPr>
          <w:rFonts w:hint="eastAsia" w:ascii="宋体" w:hAnsi="宋体" w:eastAsia="宋体" w:cs="宋体"/>
          <w:b/>
          <w:bCs/>
          <w:sz w:val="36"/>
          <w:szCs w:val="36"/>
          <w:highlight w:val="none"/>
          <w:lang w:val="zh-CN"/>
          <w14:textFill>
            <w14:solidFill>
              <w14:schemeClr w14:val="tx1"/>
            </w14:solidFill>
          </w14:textFill>
        </w:rPr>
      </w:r>
      <w:r>
        <w:rPr>
          <w:rFonts w:hint="eastAsia" w:ascii="宋体" w:hAnsi="宋体" w:eastAsia="宋体" w:cs="宋体"/>
          <w:b/>
          <w:bCs/>
          <w:sz w:val="36"/>
          <w:szCs w:val="36"/>
          <w:highlight w:val="none"/>
          <w:lang w:val="zh-CN"/>
          <w14:textFill>
            <w14:solidFill>
              <w14:schemeClr w14:val="tx1"/>
            </w14:solidFill>
          </w14:textFill>
        </w:rPr>
      </w:r>
    </w:p>
    <w:p>
      <w:pPr>
        <w:ind w:firstLine="716"/>
        <w:jc w:val="center"/>
        <w:shd w:val="clear" w:color="auto" w:fill="ffffff" w:themeFill="background1"/>
        <w:rPr>
          <w:rFonts w:hint="eastAsia" w:ascii="宋体" w:hAnsi="宋体" w:eastAsia="宋体" w:cs="宋体"/>
          <w:b/>
          <w:bCs/>
          <w:sz w:val="36"/>
          <w:szCs w:val="36"/>
          <w:highlight w:val="none"/>
          <w:lang w:val="zh-CN"/>
          <w14:textFill>
            <w14:solidFill>
              <w14:schemeClr w14:val="tx1"/>
            </w14:solidFill>
          </w14:textFill>
        </w:rPr>
        <w:outlineLvl w:val="1"/>
      </w:pPr>
      <w:r>
        <w:rPr>
          <w:rFonts w:hint="eastAsia" w:ascii="宋体" w:hAnsi="宋体" w:eastAsia="宋体" w:cs="宋体"/>
          <w:b/>
          <w:bCs/>
          <w:sz w:val="36"/>
          <w:szCs w:val="36"/>
          <w:highlight w:val="none"/>
          <w:lang w:val="zh-CN"/>
          <w14:textFill>
            <w14:solidFill>
              <w14:schemeClr w14:val="tx1"/>
            </w14:solidFill>
          </w14:textFill>
        </w:rPr>
      </w:r>
      <w:r>
        <w:rPr>
          <w:rFonts w:hint="eastAsia" w:ascii="宋体" w:hAnsi="宋体" w:eastAsia="宋体" w:cs="宋体"/>
          <w:b/>
          <w:bCs/>
          <w:sz w:val="36"/>
          <w:szCs w:val="36"/>
          <w:highlight w:val="none"/>
          <w:lang w:val="zh-CN"/>
          <w14:textFill>
            <w14:solidFill>
              <w14:schemeClr w14:val="tx1"/>
            </w14:solidFill>
          </w14:textFill>
        </w:rPr>
      </w:r>
    </w:p>
    <w:p>
      <w:pPr>
        <w:ind w:firstLine="716"/>
        <w:jc w:val="center"/>
        <w:shd w:val="clear" w:color="auto" w:fill="ffffff" w:themeFill="background1"/>
        <w:rPr>
          <w:rFonts w:hint="eastAsia" w:ascii="宋体" w:hAnsi="宋体" w:eastAsia="宋体" w:cs="宋体"/>
          <w:b/>
          <w:bCs/>
          <w:sz w:val="36"/>
          <w:szCs w:val="36"/>
          <w:highlight w:val="none"/>
          <w:lang w:val="zh-CN"/>
          <w14:textFill>
            <w14:solidFill>
              <w14:schemeClr w14:val="tx1"/>
            </w14:solidFill>
          </w14:textFill>
        </w:rPr>
        <w:outlineLvl w:val="1"/>
      </w:pPr>
      <w:r>
        <w:rPr>
          <w:rFonts w:hint="eastAsia" w:ascii="宋体" w:hAnsi="宋体" w:eastAsia="宋体" w:cs="宋体"/>
          <w:b/>
          <w:color w:val="000000" w:themeColor="text1"/>
          <w:sz w:val="36"/>
          <w:szCs w:val="36"/>
          <w:highlight w:val="none"/>
          <w:lang w:val="zh-CN"/>
          <w14:textFill>
            <w14:solidFill>
              <w14:schemeClr w14:val="tx1"/>
            </w14:solidFill>
          </w14:textFill>
        </w:rPr>
      </w:r>
      <w:r/>
    </w:p>
    <w:p>
      <w:pPr>
        <w:spacing w:line="520" w:lineRule="exact"/>
        <w:shd w:val="clear" w:color="auto" w:fill="ffffff" w:themeFill="background1"/>
        <w:rPr>
          <w:rFonts w:ascii="宋体" w:hAnsi="Times New Roman" w:eastAsia="宋体" w:cs="宋体"/>
          <w:color w:val="000000" w:themeColor="text1"/>
          <w:sz w:val="24"/>
          <w:szCs w:val="20"/>
          <w:highlight w:val="none"/>
          <w14:textFill>
            <w14:solidFill>
              <w14:schemeClr w14:val="tx1"/>
            </w14:solidFill>
          </w14:textFill>
        </w:rPr>
      </w:pPr>
      <w:r/>
      <w:bookmarkStart w:id="82" w:name="_Toc83386929"/>
      <w:r/>
      <w:r/>
    </w:p>
    <w:p>
      <w:pPr>
        <w:pStyle w:val="704"/>
        <w:shd w:val="clear" w:color="auto" w:fill="ffffff" w:themeFill="background1"/>
        <w:rPr>
          <w:color w:val="000000" w:themeColor="text1"/>
          <w:highlight w:val="none"/>
          <w14:textFill>
            <w14:solidFill>
              <w14:schemeClr w14:val="tx1"/>
            </w14:solidFill>
          </w14:textFill>
        </w:rPr>
      </w:pPr>
      <w:r/>
      <w:bookmarkStart w:id="83" w:name="_Toc27137"/>
      <w:r>
        <w:rPr>
          <w:rFonts w:hint="eastAsia"/>
          <w:color w:val="000000" w:themeColor="text1"/>
          <w:highlight w:val="none"/>
          <w14:textFill>
            <w14:solidFill>
              <w14:schemeClr w14:val="tx1"/>
            </w14:solidFill>
          </w14:textFill>
        </w:rPr>
        <w:t xml:space="preserve">（十六）项目业绩汇总表</w:t>
      </w:r>
      <w:bookmarkEnd w:id="82"/>
      <w:r/>
      <w:bookmarkEnd w:id="83"/>
      <w:r/>
      <w:r/>
    </w:p>
    <w:tbl>
      <w:tblPr>
        <w:tblStyle w:val="713"/>
        <w:tblW w:w="9142" w:type="dxa"/>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2248"/>
        <w:gridCol w:w="1929"/>
        <w:gridCol w:w="2201"/>
        <w:gridCol w:w="1767"/>
      </w:tblGrid>
      <w:tr>
        <w:trPr>
          <w:jc w:val="center"/>
          <w:trHeight w:val="673"/>
        </w:trPr>
        <w:tc>
          <w:tcPr>
            <w:tcMar>
              <w:left w:w="108" w:type="dxa"/>
            </w:tcMar>
            <w:tcW w:w="997" w:type="dxa"/>
            <w:vAlign w:val="center"/>
            <w:textDirection w:val="lrTb"/>
            <w:noWrap w:val="false"/>
          </w:tcPr>
          <w:p>
            <w:pPr>
              <w:jc w:val="center"/>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Mar>
              <w:left w:w="108" w:type="dxa"/>
            </w:tcMar>
            <w:tcW w:w="2248" w:type="dxa"/>
            <w:vAlign w:val="center"/>
            <w:textDirection w:val="lrTb"/>
            <w:noWrap w:val="false"/>
          </w:tcPr>
          <w:p>
            <w:pPr>
              <w:jc w:val="center"/>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Mar>
              <w:left w:w="108" w:type="dxa"/>
            </w:tcMar>
            <w:tcW w:w="1929" w:type="dxa"/>
            <w:vAlign w:val="center"/>
            <w:textDirection w:val="lrTb"/>
            <w:noWrap w:val="false"/>
          </w:tcPr>
          <w:p>
            <w:pPr>
              <w:jc w:val="center"/>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项目内容</w:t>
            </w:r>
            <w:r/>
          </w:p>
        </w:tc>
        <w:tc>
          <w:tcPr>
            <w:tcBorders>
              <w:right w:val="single" w:color="auto" w:sz="4" w:space="0"/>
            </w:tcBorders>
            <w:tcMar>
              <w:left w:w="108" w:type="dxa"/>
            </w:tcMar>
            <w:tcW w:w="2201" w:type="dxa"/>
            <w:vAlign w:val="center"/>
            <w:textDirection w:val="lrTb"/>
            <w:noWrap w:val="false"/>
          </w:tcPr>
          <w:p>
            <w:pPr>
              <w:jc w:val="center"/>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项目金额（万元）</w:t>
            </w:r>
            <w:r/>
          </w:p>
        </w:tc>
        <w:tc>
          <w:tcPr>
            <w:tcBorders>
              <w:left w:val="single" w:color="auto" w:sz="4" w:space="0"/>
            </w:tcBorders>
            <w:tcW w:w="1767" w:type="dxa"/>
            <w:vAlign w:val="center"/>
            <w:textDirection w:val="lrTb"/>
            <w:noWrap w:val="false"/>
          </w:tcPr>
          <w:p>
            <w:pPr>
              <w:jc w:val="center"/>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hint="eastAsia" w:ascii="宋体" w:hAnsi="Times New Roman" w:eastAsia="宋体" w:cs="宋体"/>
                <w:color w:val="000000" w:themeColor="text1"/>
                <w:sz w:val="24"/>
                <w:highlight w:val="none"/>
                <w14:textFill>
                  <w14:solidFill>
                    <w14:schemeClr w14:val="tx1"/>
                  </w14:solidFill>
                </w14:textFill>
              </w:rPr>
              <w:t xml:space="preserve">合同签订日期</w:t>
            </w:r>
            <w:r/>
          </w:p>
        </w:tc>
      </w:tr>
      <w:tr>
        <w:trPr>
          <w:jc w:val="center"/>
          <w:trHeight w:val="673"/>
        </w:trPr>
        <w:tc>
          <w:tcPr>
            <w:tcMar>
              <w:left w:w="108" w:type="dxa"/>
            </w:tcMar>
            <w:tcW w:w="997"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1</w:t>
            </w:r>
            <w:r/>
          </w:p>
        </w:tc>
        <w:tc>
          <w:tcPr>
            <w:tcMar>
              <w:left w:w="108" w:type="dxa"/>
            </w:tcMar>
            <w:tcW w:w="2248"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08" w:type="dxa"/>
            </w:tcMar>
            <w:tcW w:w="1929"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right w:val="single" w:color="auto" w:sz="4" w:space="0"/>
            </w:tcBorders>
            <w:tcMar>
              <w:left w:w="108" w:type="dxa"/>
            </w:tcMar>
            <w:tcW w:w="2201"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left w:val="single" w:color="auto" w:sz="4" w:space="0"/>
            </w:tcBorders>
            <w:tcW w:w="1767"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73"/>
        </w:trPr>
        <w:tc>
          <w:tcPr>
            <w:tcMar>
              <w:left w:w="108" w:type="dxa"/>
            </w:tcMar>
            <w:tcW w:w="997"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2</w:t>
            </w:r>
            <w:r/>
          </w:p>
        </w:tc>
        <w:tc>
          <w:tcPr>
            <w:tcMar>
              <w:left w:w="108" w:type="dxa"/>
            </w:tcMar>
            <w:tcW w:w="2248"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08" w:type="dxa"/>
            </w:tcMar>
            <w:tcW w:w="1929"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right w:val="single" w:color="auto" w:sz="4" w:space="0"/>
            </w:tcBorders>
            <w:tcMar>
              <w:left w:w="108" w:type="dxa"/>
            </w:tcMar>
            <w:tcW w:w="2201"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left w:val="single" w:color="auto" w:sz="4" w:space="0"/>
            </w:tcBorders>
            <w:tcW w:w="1767"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73"/>
        </w:trPr>
        <w:tc>
          <w:tcPr>
            <w:tcMar>
              <w:left w:w="108" w:type="dxa"/>
            </w:tcMar>
            <w:tcW w:w="997"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3</w:t>
            </w:r>
            <w:r/>
          </w:p>
        </w:tc>
        <w:tc>
          <w:tcPr>
            <w:tcMar>
              <w:left w:w="108" w:type="dxa"/>
            </w:tcMar>
            <w:tcW w:w="2248"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08" w:type="dxa"/>
            </w:tcMar>
            <w:tcW w:w="1929"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right w:val="single" w:color="auto" w:sz="4" w:space="0"/>
            </w:tcBorders>
            <w:tcMar>
              <w:left w:w="108" w:type="dxa"/>
            </w:tcMar>
            <w:tcW w:w="2201"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left w:val="single" w:color="auto" w:sz="4" w:space="0"/>
            </w:tcBorders>
            <w:tcW w:w="1767"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73"/>
        </w:trPr>
        <w:tc>
          <w:tcPr>
            <w:tcMar>
              <w:left w:w="108" w:type="dxa"/>
            </w:tcMar>
            <w:tcW w:w="997"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w:t>
            </w:r>
            <w:r/>
          </w:p>
        </w:tc>
        <w:tc>
          <w:tcPr>
            <w:tcMar>
              <w:left w:w="108" w:type="dxa"/>
            </w:tcMar>
            <w:tcW w:w="2248"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w:t>
            </w:r>
            <w:r/>
          </w:p>
        </w:tc>
        <w:tc>
          <w:tcPr>
            <w:tcMar>
              <w:left w:w="108" w:type="dxa"/>
            </w:tcMar>
            <w:tcW w:w="1929"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w:t>
            </w:r>
            <w:r/>
          </w:p>
        </w:tc>
        <w:tc>
          <w:tcPr>
            <w:tcBorders>
              <w:right w:val="single" w:color="auto" w:sz="4" w:space="0"/>
            </w:tcBorders>
            <w:tcMar>
              <w:left w:w="108" w:type="dxa"/>
            </w:tcMar>
            <w:tcW w:w="2201"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w:t>
            </w:r>
            <w:r/>
          </w:p>
        </w:tc>
        <w:tc>
          <w:tcPr>
            <w:tcBorders>
              <w:left w:val="single" w:color="auto" w:sz="4" w:space="0"/>
            </w:tcBorders>
            <w:tcW w:w="1767" w:type="dxa"/>
            <w:vAlign w:val="center"/>
            <w:textDirection w:val="lrTb"/>
            <w:noWrap w:val="false"/>
          </w:tcPr>
          <w:p>
            <w:pPr>
              <w:jc w:val="center"/>
              <w:spacing w:line="360" w:lineRule="auto"/>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w:t>
            </w:r>
            <w:r/>
          </w:p>
        </w:tc>
      </w:tr>
    </w:tbl>
    <w:p>
      <w:pPr>
        <w:ind w:left="2"/>
        <w:spacing w:line="520" w:lineRule="exact"/>
        <w:shd w:val="clear" w:color="auto" w:fill="ffffff" w:themeFill="background1"/>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注：</w:t>
      </w:r>
      <w:r>
        <w:rPr>
          <w:rFonts w:hint="eastAsia" w:ascii="宋体" w:hAnsi="宋体" w:eastAsia="宋体"/>
          <w:color w:val="000000" w:themeColor="text1"/>
          <w:sz w:val="24"/>
          <w:szCs w:val="20"/>
          <w:highlight w:val="none"/>
          <w:u w:val="single"/>
          <w14:textFill>
            <w14:solidFill>
              <w14:schemeClr w14:val="tx1"/>
            </w14:solidFill>
          </w14:textFill>
        </w:rPr>
        <w:t xml:space="preserve">此表不够可复制和放大</w:t>
      </w:r>
      <w:r>
        <w:rPr>
          <w:rFonts w:hint="eastAsia" w:ascii="宋体" w:hAnsi="宋体" w:eastAsia="宋体"/>
          <w:color w:val="000000" w:themeColor="text1"/>
          <w:sz w:val="24"/>
          <w:szCs w:val="20"/>
          <w:highlight w:val="none"/>
          <w14:textFill>
            <w14:solidFill>
              <w14:schemeClr w14:val="tx1"/>
            </w14:solidFill>
          </w14:textFill>
        </w:rPr>
        <w:t xml:space="preserve">。</w:t>
      </w:r>
      <w:r/>
    </w:p>
    <w:p>
      <w:pPr>
        <w:spacing w:line="360" w:lineRule="auto"/>
        <w:shd w:val="clear" w:color="auto" w:fill="ffffff" w:themeFill="background1"/>
        <w:rPr>
          <w:rFonts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r>
      <w:r/>
    </w:p>
    <w:p>
      <w:pPr>
        <w:ind w:firstLine="1800"/>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ascii="宋体" w:hAnsi="Times New Roman" w:eastAsia="宋体" w:cs="宋体"/>
          <w:color w:val="000000" w:themeColor="text1"/>
          <w:sz w:val="24"/>
          <w:highlight w:val="none"/>
          <w14:textFill>
            <w14:solidFill>
              <w14:schemeClr w14:val="tx1"/>
            </w14:solidFill>
          </w14:textFill>
        </w:rPr>
      </w:r>
      <w:r/>
    </w:p>
    <w:p>
      <w:pPr>
        <w:jc w:val="left"/>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投标单位</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盖章</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1800"/>
        <w:jc w:val="left"/>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ascii="宋体" w:hAnsi="Times New Roman" w:eastAsia="宋体" w:cs="宋体"/>
          <w:color w:val="000000" w:themeColor="text1"/>
          <w:sz w:val="24"/>
          <w:highlight w:val="none"/>
          <w14:textFill>
            <w14:solidFill>
              <w14:schemeClr w14:val="tx1"/>
            </w14:solidFill>
          </w14:textFill>
        </w:rPr>
      </w:r>
      <w:r/>
    </w:p>
    <w:p>
      <w:pPr>
        <w:ind w:firstLine="1800"/>
        <w:jc w:val="left"/>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ascii="宋体" w:hAnsi="Times New Roman" w:eastAsia="宋体" w:cs="宋体"/>
          <w:color w:val="000000" w:themeColor="text1"/>
          <w:sz w:val="24"/>
          <w:highlight w:val="none"/>
          <w14:textFill>
            <w14:solidFill>
              <w14:schemeClr w14:val="tx1"/>
            </w14:solidFill>
          </w14:textFill>
        </w:rPr>
      </w:r>
      <w:r/>
    </w:p>
    <w:p>
      <w:pPr>
        <w:jc w:val="left"/>
        <w:shd w:val="clear" w:color="auto" w:fill="ffffff" w:themeFill="background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负责人（或委托代理人）：</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盖章或签字</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ind w:left="4901" w:right="-867" w:firstLine="475"/>
        <w:jc w:val="left"/>
        <w:spacing w:line="460" w:lineRule="exact"/>
        <w:shd w:val="clear" w:color="auto" w:fill="ffffff" w:themeFill="background1"/>
        <w:rPr>
          <w:rFonts w:ascii="宋体" w:hAnsi="Times New Roman" w:eastAsia="宋体" w:cs="宋体"/>
          <w:color w:val="000000" w:themeColor="text1"/>
          <w:sz w:val="24"/>
          <w:highlight w:val="none"/>
          <w:u w:val="single"/>
          <w14:textFill>
            <w14:solidFill>
              <w14:schemeClr w14:val="tx1"/>
            </w14:solidFill>
          </w14:textFill>
        </w:rPr>
      </w:pPr>
      <w:r>
        <w:rPr>
          <w:rFonts w:ascii="宋体" w:hAnsi="Times New Roman" w:eastAsia="宋体" w:cs="宋体"/>
          <w:color w:val="000000" w:themeColor="text1"/>
          <w:sz w:val="24"/>
          <w:highlight w:val="none"/>
          <w:u w:val="single"/>
          <w14:textFill>
            <w14:solidFill>
              <w14:schemeClr w14:val="tx1"/>
            </w14:solidFill>
          </w14:textFill>
        </w:rPr>
      </w:r>
      <w:r/>
    </w:p>
    <w:p>
      <w:pPr>
        <w:ind w:right="-105"/>
        <w:jc w:val="right"/>
        <w:spacing w:line="460" w:lineRule="exact"/>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日 期：     </w:t>
      </w:r>
      <w:r>
        <w:rPr>
          <w:rFonts w:hint="eastAsia" w:ascii="宋体" w:hAnsi="宋体" w:eastAsia="宋体" w:cs="宋体"/>
          <w:color w:val="000000" w:themeColor="text1"/>
          <w:sz w:val="24"/>
          <w:highlight w:val="none"/>
          <w14:textFill>
            <w14:solidFill>
              <w14:schemeClr w14:val="tx1"/>
            </w14:solidFill>
          </w14:textFill>
        </w:rPr>
        <w:t xml:space="preserve">年  月  日</w:t>
      </w:r>
      <w:r/>
    </w:p>
    <w:p>
      <w:pPr>
        <w:spacing w:line="480" w:lineRule="exact"/>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ascii="宋体" w:hAnsi="Times New Roman" w:eastAsia="宋体" w:cs="宋体"/>
          <w:color w:val="000000" w:themeColor="text1"/>
          <w:sz w:val="24"/>
          <w:highlight w:val="none"/>
          <w14:textFill>
            <w14:solidFill>
              <w14:schemeClr w14:val="tx1"/>
            </w14:solidFill>
          </w14:textFill>
        </w:rPr>
      </w:r>
      <w:r/>
    </w:p>
    <w:p>
      <w:pPr>
        <w:spacing w:line="480" w:lineRule="exact"/>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ascii="宋体" w:hAnsi="Times New Roman" w:eastAsia="宋体" w:cs="宋体"/>
          <w:color w:val="000000" w:themeColor="text1"/>
          <w:sz w:val="24"/>
          <w:highlight w:val="none"/>
          <w14:textFill>
            <w14:solidFill>
              <w14:schemeClr w14:val="tx1"/>
            </w14:solidFill>
          </w14:textFill>
        </w:rPr>
      </w:r>
      <w:r/>
    </w:p>
    <w:p>
      <w:pPr>
        <w:spacing w:line="480" w:lineRule="exact"/>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ascii="宋体" w:hAnsi="Times New Roman" w:eastAsia="宋体" w:cs="宋体"/>
          <w:color w:val="000000" w:themeColor="text1"/>
          <w:sz w:val="24"/>
          <w:highlight w:val="none"/>
          <w14:textFill>
            <w14:solidFill>
              <w14:schemeClr w14:val="tx1"/>
            </w14:solidFill>
          </w14:textFill>
        </w:rPr>
      </w:r>
      <w:r/>
    </w:p>
    <w:p>
      <w:pPr>
        <w:spacing w:line="480" w:lineRule="exact"/>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ascii="宋体" w:hAnsi="Times New Roman" w:eastAsia="宋体" w:cs="宋体"/>
          <w:color w:val="000000" w:themeColor="text1"/>
          <w:sz w:val="24"/>
          <w:highlight w:val="none"/>
          <w14:textFill>
            <w14:solidFill>
              <w14:schemeClr w14:val="tx1"/>
            </w14:solidFill>
          </w14:textFill>
        </w:rPr>
      </w:r>
      <w:r/>
    </w:p>
    <w:p>
      <w:pPr>
        <w:spacing w:line="480" w:lineRule="exact"/>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ascii="宋体" w:hAnsi="Times New Roman" w:eastAsia="宋体" w:cs="宋体"/>
          <w:color w:val="000000" w:themeColor="text1"/>
          <w:sz w:val="24"/>
          <w:highlight w:val="none"/>
          <w14:textFill>
            <w14:solidFill>
              <w14:schemeClr w14:val="tx1"/>
            </w14:solidFill>
          </w14:textFill>
        </w:rPr>
      </w:r>
      <w:r/>
    </w:p>
    <w:p>
      <w:pPr>
        <w:spacing w:line="480" w:lineRule="exact"/>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ascii="宋体" w:hAnsi="Times New Roman" w:eastAsia="宋体" w:cs="宋体"/>
          <w:color w:val="000000" w:themeColor="text1"/>
          <w:sz w:val="24"/>
          <w:highlight w:val="none"/>
          <w14:textFill>
            <w14:solidFill>
              <w14:schemeClr w14:val="tx1"/>
            </w14:solidFill>
          </w14:textFill>
        </w:rPr>
      </w:r>
      <w:r/>
    </w:p>
    <w:p>
      <w:pPr>
        <w:spacing w:line="480" w:lineRule="exact"/>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ascii="宋体" w:hAnsi="Times New Roman" w:eastAsia="宋体" w:cs="宋体"/>
          <w:color w:val="000000" w:themeColor="text1"/>
          <w:sz w:val="24"/>
          <w:highlight w:val="none"/>
          <w14:textFill>
            <w14:solidFill>
              <w14:schemeClr w14:val="tx1"/>
            </w14:solidFill>
          </w14:textFill>
        </w:rPr>
      </w:r>
      <w:r/>
    </w:p>
    <w:p>
      <w:pPr>
        <w:spacing w:line="480" w:lineRule="exact"/>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ascii="宋体" w:hAnsi="Times New Roman" w:eastAsia="宋体" w:cs="宋体"/>
          <w:color w:val="000000" w:themeColor="text1"/>
          <w:sz w:val="24"/>
          <w:highlight w:val="none"/>
          <w14:textFill>
            <w14:solidFill>
              <w14:schemeClr w14:val="tx1"/>
            </w14:solidFill>
          </w14:textFill>
        </w:rPr>
      </w:r>
      <w:r/>
    </w:p>
    <w:p>
      <w:pPr>
        <w:spacing w:line="480" w:lineRule="exact"/>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ascii="宋体" w:hAnsi="Times New Roman" w:eastAsia="宋体" w:cs="宋体"/>
          <w:color w:val="000000" w:themeColor="text1"/>
          <w:sz w:val="24"/>
          <w:highlight w:val="none"/>
          <w14:textFill>
            <w14:solidFill>
              <w14:schemeClr w14:val="tx1"/>
            </w14:solidFill>
          </w14:textFill>
        </w:rPr>
      </w:r>
      <w:r/>
    </w:p>
    <w:p>
      <w:pPr>
        <w:spacing w:line="480" w:lineRule="exact"/>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ascii="宋体" w:hAnsi="Times New Roman" w:eastAsia="宋体" w:cs="宋体"/>
          <w:color w:val="000000" w:themeColor="text1"/>
          <w:sz w:val="24"/>
          <w:highlight w:val="none"/>
          <w14:textFill>
            <w14:solidFill>
              <w14:schemeClr w14:val="tx1"/>
            </w14:solidFill>
          </w14:textFill>
        </w:rPr>
      </w:r>
      <w:r/>
    </w:p>
    <w:p>
      <w:pPr>
        <w:spacing w:line="480" w:lineRule="exact"/>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ascii="宋体" w:hAnsi="Times New Roman" w:eastAsia="宋体" w:cs="宋体"/>
          <w:color w:val="000000" w:themeColor="text1"/>
          <w:sz w:val="24"/>
          <w:highlight w:val="none"/>
          <w14:textFill>
            <w14:solidFill>
              <w14:schemeClr w14:val="tx1"/>
            </w14:solidFill>
          </w14:textFill>
        </w:rPr>
      </w:r>
      <w:r/>
    </w:p>
    <w:p>
      <w:pPr>
        <w:spacing w:line="480" w:lineRule="exact"/>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ascii="宋体" w:hAnsi="Times New Roman" w:eastAsia="宋体" w:cs="宋体"/>
          <w:color w:val="000000" w:themeColor="text1"/>
          <w:sz w:val="24"/>
          <w:highlight w:val="none"/>
          <w14:textFill>
            <w14:solidFill>
              <w14:schemeClr w14:val="tx1"/>
            </w14:solidFill>
          </w14:textFill>
        </w:rPr>
      </w:r>
      <w:r/>
    </w:p>
    <w:p>
      <w:pPr>
        <w:spacing w:line="480" w:lineRule="exact"/>
        <w:shd w:val="clear" w:color="auto" w:fill="ffffff" w:themeFill="background1"/>
        <w:rPr>
          <w:rFonts w:ascii="宋体" w:hAnsi="Times New Roman" w:eastAsia="宋体" w:cs="宋体"/>
          <w:color w:val="000000" w:themeColor="text1"/>
          <w:sz w:val="24"/>
          <w:highlight w:val="none"/>
          <w14:textFill>
            <w14:solidFill>
              <w14:schemeClr w14:val="tx1"/>
            </w14:solidFill>
          </w14:textFill>
        </w:rPr>
      </w:pPr>
      <w:r>
        <w:rPr>
          <w:rFonts w:ascii="宋体" w:hAnsi="Times New Roman" w:eastAsia="宋体" w:cs="宋体"/>
          <w:color w:val="000000" w:themeColor="text1"/>
          <w:sz w:val="24"/>
          <w:highlight w:val="none"/>
          <w14:textFill>
            <w14:solidFill>
              <w14:schemeClr w14:val="tx1"/>
            </w14:solidFill>
          </w14:textFill>
        </w:rPr>
      </w:r>
      <w:r/>
    </w:p>
    <w:p>
      <w:pPr>
        <w:pStyle w:val="704"/>
        <w:shd w:val="clear" w:color="auto" w:fill="ffffff" w:themeFill="background1"/>
        <w:rPr>
          <w:color w:val="000000" w:themeColor="text1"/>
          <w:highlight w:val="none"/>
          <w14:textFill>
            <w14:solidFill>
              <w14:schemeClr w14:val="tx1"/>
            </w14:solidFill>
          </w14:textFill>
        </w:rPr>
      </w:pPr>
      <w:r/>
      <w:bookmarkStart w:id="84" w:name="_Toc32412"/>
      <w:r/>
      <w:bookmarkStart w:id="85" w:name="_Hlk165367919"/>
      <w:r>
        <w:rPr>
          <w:rFonts w:hint="eastAsia"/>
          <w:color w:val="000000" w:themeColor="text1"/>
          <w:highlight w:val="none"/>
          <w14:textFill>
            <w14:solidFill>
              <w14:schemeClr w14:val="tx1"/>
            </w14:solidFill>
          </w14:textFill>
        </w:rPr>
        <w:t xml:space="preserve">（十七）</w:t>
      </w:r>
      <w:bookmarkStart w:id="86" w:name="_Toc164697444"/>
      <w:r/>
      <w:bookmarkStart w:id="87" w:name="_Toc159601944"/>
      <w:r/>
      <w:bookmarkStart w:id="88" w:name="_Toc135749302"/>
      <w:r>
        <w:rPr>
          <w:color w:val="000000" w:themeColor="text1"/>
          <w:highlight w:val="none"/>
          <w14:textFill>
            <w14:solidFill>
              <w14:schemeClr w14:val="tx1"/>
            </w14:solidFill>
          </w14:textFill>
        </w:rPr>
        <w:t xml:space="preserve">投入本项目人员配置表</w:t>
      </w:r>
      <w:bookmarkEnd w:id="84"/>
      <w:r/>
      <w:bookmarkEnd w:id="86"/>
      <w:r/>
      <w:bookmarkEnd w:id="87"/>
      <w:r/>
      <w:bookmarkEnd w:id="88"/>
      <w:r/>
      <w:r/>
    </w:p>
    <w:tbl>
      <w:tblPr>
        <w:tblStyle w:val="713"/>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1116"/>
        <w:gridCol w:w="1897"/>
        <w:gridCol w:w="1625"/>
        <w:gridCol w:w="1824"/>
        <w:gridCol w:w="1559"/>
      </w:tblGrid>
      <w:tr>
        <w:trPr>
          <w:trHeight w:val="964"/>
        </w:trPr>
        <w:tc>
          <w:tcPr>
            <w:tcW w:w="1188"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机构</w:t>
            </w:r>
            <w:r/>
          </w:p>
        </w:tc>
        <w:tc>
          <w:tcPr>
            <w:tcW w:w="1116"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职位</w:t>
            </w:r>
            <w:r/>
          </w:p>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名称</w:t>
            </w:r>
            <w:r/>
          </w:p>
        </w:tc>
        <w:tc>
          <w:tcPr>
            <w:tcW w:w="1897" w:type="dxa"/>
            <w:vAlign w:val="center"/>
            <w:textDirection w:val="lrTb"/>
            <w:noWrap/>
          </w:tcPr>
          <w:p>
            <w:pPr>
              <w:jc w:val="center"/>
              <w:shd w:val="clear" w:color="auto" w:fill="ffffff" w:themeFill="background1"/>
              <w:widowControl/>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姓名</w:t>
            </w:r>
            <w:r/>
          </w:p>
        </w:tc>
        <w:tc>
          <w:tcPr>
            <w:tcW w:w="1625" w:type="dxa"/>
            <w:vAlign w:val="center"/>
            <w:textDirection w:val="lrTb"/>
            <w:noWrap/>
          </w:tcPr>
          <w:p>
            <w:pPr>
              <w:jc w:val="center"/>
              <w:shd w:val="clear" w:color="auto" w:fill="ffffff" w:themeFill="background1"/>
              <w:widowControl/>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证书名称</w:t>
            </w:r>
            <w:r/>
          </w:p>
        </w:tc>
        <w:tc>
          <w:tcPr>
            <w:tcW w:w="1824" w:type="dxa"/>
            <w:vAlign w:val="center"/>
            <w:textDirection w:val="lrTb"/>
            <w:noWrap/>
          </w:tcPr>
          <w:p>
            <w:pPr>
              <w:jc w:val="center"/>
              <w:shd w:val="clear" w:color="auto" w:fill="ffffff" w:themeFill="background1"/>
              <w:widowControl/>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专职或兼职</w:t>
            </w:r>
            <w:r/>
          </w:p>
        </w:tc>
        <w:tc>
          <w:tcPr>
            <w:tcW w:w="1559" w:type="dxa"/>
            <w:vAlign w:val="center"/>
            <w:textDirection w:val="lrTb"/>
            <w:noWrap/>
          </w:tcPr>
          <w:p>
            <w:pPr>
              <w:jc w:val="center"/>
              <w:shd w:val="clear" w:color="auto" w:fill="ffffff" w:themeFill="background1"/>
              <w:widowControl/>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其他情况</w:t>
            </w:r>
            <w:r/>
          </w:p>
        </w:tc>
      </w:tr>
      <w:tr>
        <w:trPr>
          <w:cantSplit/>
          <w:trHeight w:val="984"/>
        </w:trPr>
        <w:tc>
          <w:tcPr>
            <w:tcW w:w="1188" w:type="dxa"/>
            <w:vAlign w:val="center"/>
            <w:vMerge w:val="restart"/>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投标人项目部人员</w:t>
            </w:r>
            <w:r/>
          </w:p>
        </w:tc>
        <w:tc>
          <w:tcPr>
            <w:tcBorders>
              <w:bottom w:val="single" w:color="auto" w:sz="4" w:space="0"/>
            </w:tcBorders>
            <w:tcW w:w="1116" w:type="dxa"/>
            <w:vAlign w:val="center"/>
            <w:textDirection w:val="lrTb"/>
            <w:noWrap/>
          </w:tcPr>
          <w:p>
            <w:pPr>
              <w:jc w:val="center"/>
              <w:shd w:val="clear" w:color="auto" w:fill="ffffff" w:themeFill="background1"/>
              <w:rPr>
                <w:rFonts w:ascii="宋体" w:eastAsia="宋体"/>
                <w:color w:val="000000" w:themeColor="text1"/>
                <w:sz w:val="24"/>
                <w:highlight w:val="none"/>
                <w14:textFill>
                  <w14:solidFill>
                    <w14:schemeClr w14:val="tx1"/>
                  </w14:solidFill>
                </w14:textFill>
              </w:rPr>
            </w:pPr>
            <w:r>
              <w:rPr>
                <w:rFonts w:hint="eastAsia" w:ascii="宋体" w:eastAsia="宋体"/>
                <w:color w:val="000000" w:themeColor="text1"/>
                <w:sz w:val="24"/>
                <w:highlight w:val="none"/>
                <w14:textFill>
                  <w14:solidFill>
                    <w14:schemeClr w14:val="tx1"/>
                  </w14:solidFill>
                </w14:textFill>
              </w:rPr>
              <w:t xml:space="preserve">项 </w:t>
            </w:r>
            <w:r>
              <w:rPr>
                <w:rFonts w:ascii="宋体" w:eastAsia="宋体"/>
                <w:color w:val="000000" w:themeColor="text1"/>
                <w:sz w:val="24"/>
                <w:highlight w:val="none"/>
                <w14:textFill>
                  <w14:solidFill>
                    <w14:schemeClr w14:val="tx1"/>
                  </w14:solidFill>
                </w14:textFill>
              </w:rPr>
              <w:t xml:space="preserve"> </w:t>
            </w:r>
            <w:r>
              <w:rPr>
                <w:rFonts w:hint="eastAsia" w:ascii="宋体" w:eastAsia="宋体"/>
                <w:color w:val="000000" w:themeColor="text1"/>
                <w:sz w:val="24"/>
                <w:highlight w:val="none"/>
                <w14:textFill>
                  <w14:solidFill>
                    <w14:schemeClr w14:val="tx1"/>
                  </w14:solidFill>
                </w14:textFill>
              </w:rPr>
              <w:t xml:space="preserve">目</w:t>
            </w:r>
            <w:r/>
          </w:p>
          <w:p>
            <w:pPr>
              <w:jc w:val="center"/>
              <w:shd w:val="clear" w:color="auto" w:fill="ffffff" w:themeFill="background1"/>
              <w:rPr>
                <w:rFonts w:ascii="宋体" w:eastAsia="宋体"/>
                <w:color w:val="000000" w:themeColor="text1"/>
                <w:sz w:val="24"/>
                <w:highlight w:val="none"/>
                <w14:textFill>
                  <w14:solidFill>
                    <w14:schemeClr w14:val="tx1"/>
                  </w14:solidFill>
                </w14:textFill>
              </w:rPr>
            </w:pPr>
            <w:r>
              <w:rPr>
                <w:rFonts w:hint="eastAsia" w:ascii="宋体" w:eastAsia="宋体"/>
                <w:color w:val="000000" w:themeColor="text1"/>
                <w:sz w:val="24"/>
                <w:highlight w:val="none"/>
                <w14:textFill>
                  <w14:solidFill>
                    <w14:schemeClr w14:val="tx1"/>
                  </w14:solidFill>
                </w14:textFill>
              </w:rPr>
              <w:t xml:space="preserve">负责人</w:t>
            </w:r>
            <w:r/>
          </w:p>
        </w:tc>
        <w:tc>
          <w:tcPr>
            <w:tcBorders>
              <w:bottom w:val="single" w:color="auto" w:sz="4" w:space="0"/>
            </w:tcBorders>
            <w:tcW w:w="1897"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625"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824"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559"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r>
      <w:tr>
        <w:trPr>
          <w:cantSplit/>
          <w:trHeight w:val="984"/>
        </w:trPr>
        <w:tc>
          <w:tcPr>
            <w:tcW w:w="1188" w:type="dxa"/>
            <w:vAlign w:val="center"/>
            <w:vMerge w:val="continue"/>
            <w:textDirection w:val="lrTb"/>
            <w:noWrap/>
          </w:tcPr>
          <w:p>
            <w:pPr>
              <w:jc w:val="center"/>
              <w:shd w:val="clear" w:color="auto" w:fill="ffffff" w:themeFill="background1"/>
              <w:widowControl/>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tc>
        <w:tc>
          <w:tcPr>
            <w:tcW w:w="1116" w:type="dxa"/>
            <w:vAlign w:val="center"/>
            <w:vMerge w:val="restart"/>
            <w:textDirection w:val="lrTb"/>
            <w:noWrap/>
          </w:tcPr>
          <w:p>
            <w:pPr>
              <w:jc w:val="center"/>
              <w:shd w:val="clear" w:color="auto" w:fill="ffffff" w:themeFill="background1"/>
              <w:rPr>
                <w:rFonts w:ascii="宋体" w:eastAsia="宋体"/>
                <w:color w:val="000000" w:themeColor="text1"/>
                <w:sz w:val="24"/>
                <w:highlight w:val="none"/>
                <w14:textFill>
                  <w14:solidFill>
                    <w14:schemeClr w14:val="tx1"/>
                  </w14:solidFill>
                </w14:textFill>
              </w:rPr>
            </w:pPr>
            <w:r>
              <w:rPr>
                <w:rFonts w:hint="eastAsia" w:ascii="宋体" w:eastAsia="宋体"/>
                <w:color w:val="000000" w:themeColor="text1"/>
                <w:sz w:val="24"/>
                <w:highlight w:val="none"/>
                <w14:textFill>
                  <w14:solidFill>
                    <w14:schemeClr w14:val="tx1"/>
                  </w14:solidFill>
                </w14:textFill>
              </w:rPr>
              <w:t xml:space="preserve">项目组</w:t>
            </w:r>
            <w:r/>
          </w:p>
          <w:p>
            <w:pPr>
              <w:jc w:val="center"/>
              <w:shd w:val="clear" w:color="auto" w:fill="ffffff" w:themeFill="background1"/>
              <w:rPr>
                <w:rFonts w:ascii="宋体" w:eastAsia="宋体"/>
                <w:color w:val="000000" w:themeColor="text1"/>
                <w:sz w:val="24"/>
                <w:highlight w:val="none"/>
                <w14:textFill>
                  <w14:solidFill>
                    <w14:schemeClr w14:val="tx1"/>
                  </w14:solidFill>
                </w14:textFill>
              </w:rPr>
            </w:pPr>
            <w:r>
              <w:rPr>
                <w:rFonts w:hint="eastAsia" w:ascii="宋体" w:eastAsia="宋体"/>
                <w:color w:val="000000" w:themeColor="text1"/>
                <w:sz w:val="24"/>
                <w:highlight w:val="none"/>
                <w14:textFill>
                  <w14:solidFill>
                    <w14:schemeClr w14:val="tx1"/>
                  </w14:solidFill>
                </w14:textFill>
              </w:rPr>
              <w:t xml:space="preserve">成  员</w:t>
            </w:r>
            <w:r/>
          </w:p>
        </w:tc>
        <w:tc>
          <w:tcPr>
            <w:tcBorders>
              <w:bottom w:val="single" w:color="auto" w:sz="4" w:space="0"/>
            </w:tcBorders>
            <w:tcW w:w="1897"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625"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824"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559"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116" w:type="dxa"/>
            <w:vAlign w:val="center"/>
            <w:vMerge w:val="continue"/>
            <w:textDirection w:val="lrTb"/>
            <w:noWrap/>
          </w:tcPr>
          <w:p>
            <w:pPr>
              <w:jc w:val="center"/>
              <w:shd w:val="clear" w:color="auto" w:fill="ffffff" w:themeFill="background1"/>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Borders>
              <w:top w:val="single" w:color="auto" w:sz="4" w:space="0"/>
            </w:tcBorders>
            <w:tcW w:w="1897"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625"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824"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559"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116" w:type="dxa"/>
            <w:vAlign w:val="center"/>
            <w:vMerge w:val="continue"/>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897"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625"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824"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559"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116" w:type="dxa"/>
            <w:vAlign w:val="center"/>
            <w:vMerge w:val="continue"/>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897"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625"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824"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559"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116" w:type="dxa"/>
            <w:vAlign w:val="center"/>
            <w:vMerge w:val="continue"/>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897"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625"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824"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559"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116" w:type="dxa"/>
            <w:vAlign w:val="center"/>
            <w:vMerge w:val="continue"/>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897"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625"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824"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559"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116" w:type="dxa"/>
            <w:vAlign w:val="center"/>
            <w:vMerge w:val="continue"/>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897"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625"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824"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559"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116" w:type="dxa"/>
            <w:vAlign w:val="center"/>
            <w:vMerge w:val="continue"/>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897"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625"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824"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c>
          <w:tcPr>
            <w:tcW w:w="1559" w:type="dxa"/>
            <w:vAlign w:val="center"/>
            <w:textDirection w:val="lrTb"/>
            <w:noWrap/>
          </w:tcPr>
          <w:p>
            <w:pPr>
              <w:jc w:val="center"/>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tc>
      </w:tr>
    </w:tbl>
    <w:p>
      <w:pPr>
        <w:jc w:val="left"/>
        <w:spacing w:line="480" w:lineRule="exact"/>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hAnsi="宋体" w:eastAsia="宋体"/>
          <w:color w:val="000000" w:themeColor="text1"/>
          <w:szCs w:val="21"/>
          <w:highlight w:val="none"/>
          <w:u w:val="single"/>
          <w14:textFill>
            <w14:solidFill>
              <w14:schemeClr w14:val="tx1"/>
            </w14:solidFill>
          </w14:textFill>
        </w:rPr>
        <w:t xml:space="preserve">备注、此表格式供投标单位参考，投标人可以自行扩展</w:t>
      </w:r>
      <w:r>
        <w:rPr>
          <w:rFonts w:ascii="宋体" w:hAnsi="宋体" w:eastAsia="宋体"/>
          <w:color w:val="000000" w:themeColor="text1"/>
          <w:szCs w:val="21"/>
          <w:highlight w:val="none"/>
          <w14:textFill>
            <w14:solidFill>
              <w14:schemeClr w14:val="tx1"/>
            </w14:solidFill>
          </w14:textFill>
        </w:rPr>
        <w:t xml:space="preserve">。</w:t>
      </w:r>
      <w:r/>
    </w:p>
    <w:p>
      <w:pPr>
        <w:ind w:firstLine="480"/>
        <w:jc w:val="right"/>
        <w:spacing w:line="480" w:lineRule="exact"/>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p>
      <w:pPr>
        <w:ind w:firstLine="480"/>
        <w:jc w:val="right"/>
        <w:spacing w:line="480" w:lineRule="exact"/>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投标单位：（盖章）</w:t>
      </w:r>
      <w:r>
        <w:rPr>
          <w:rFonts w:hint="eastAsia" w:ascii="宋体" w:hAnsi="宋体" w:eastAsia="宋体"/>
          <w:color w:val="000000" w:themeColor="text1"/>
          <w:sz w:val="24"/>
          <w:highlight w:val="none"/>
          <w14:textFill>
            <w14:solidFill>
              <w14:schemeClr w14:val="tx1"/>
            </w14:solidFill>
          </w14:textFill>
        </w:rPr>
        <w:t xml:space="preserve"> </w:t>
      </w:r>
      <w:r>
        <w:rPr>
          <w:rFonts w:ascii="宋体" w:hAnsi="宋体" w:eastAsia="宋体"/>
          <w:color w:val="000000" w:themeColor="text1"/>
          <w:sz w:val="24"/>
          <w:highlight w:val="none"/>
          <w14:textFill>
            <w14:solidFill>
              <w14:schemeClr w14:val="tx1"/>
            </w14:solidFill>
          </w14:textFill>
        </w:rPr>
        <w:t xml:space="preserve">                        </w:t>
      </w:r>
      <w:r/>
    </w:p>
    <w:p>
      <w:pPr>
        <w:ind w:firstLine="480"/>
        <w:jc w:val="right"/>
        <w:spacing w:line="480" w:lineRule="exact"/>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p>
      <w:pPr>
        <w:ind w:firstLine="480"/>
        <w:jc w:val="right"/>
        <w:spacing w:line="480" w:lineRule="exact"/>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法定代表人（或委托代理人）： （签字或盖章）</w:t>
      </w:r>
      <w:r/>
    </w:p>
    <w:p>
      <w:pPr>
        <w:ind w:firstLine="480"/>
        <w:jc w:val="right"/>
        <w:spacing w:line="480" w:lineRule="exact"/>
        <w:shd w:val="clear" w:color="auto" w:fill="ffffff" w:themeFill="background1"/>
        <w:widowControl/>
        <w:rPr>
          <w:rFonts w:ascii="宋体" w:eastAsia="宋体"/>
          <w:color w:val="000000" w:themeColor="text1"/>
          <w:sz w:val="24"/>
          <w:highlight w:val="none"/>
          <w14:textFill>
            <w14:solidFill>
              <w14:schemeClr w14:val="tx1"/>
            </w14:solidFill>
          </w14:textFill>
        </w:rPr>
      </w:pPr>
      <w:r>
        <w:rPr>
          <w:rFonts w:ascii="宋体" w:eastAsia="宋体"/>
          <w:color w:val="000000" w:themeColor="text1"/>
          <w:sz w:val="24"/>
          <w:highlight w:val="none"/>
          <w14:textFill>
            <w14:solidFill>
              <w14:schemeClr w14:val="tx1"/>
            </w14:solidFill>
          </w14:textFill>
        </w:rPr>
      </w:r>
      <w:r/>
    </w:p>
    <w:p>
      <w:pPr>
        <w:ind w:firstLine="480"/>
        <w:jc w:val="right"/>
        <w:spacing w:line="480" w:lineRule="exact"/>
        <w:shd w:val="clear" w:color="auto" w:fill="ffffff" w:themeFill="background1"/>
        <w:widowControl/>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年   月   日</w:t>
      </w:r>
      <w:bookmarkEnd w:id="85"/>
      <w:r/>
    </w:p>
    <w:p>
      <w:pPr>
        <w:pStyle w:val="704"/>
        <w:shd w:val="clear" w:color="auto" w:fill="ffffff" w:themeFill="background1"/>
        <w:rPr>
          <w:color w:val="000000" w:themeColor="text1"/>
          <w:highlight w:val="none"/>
          <w14:textFill>
            <w14:solidFill>
              <w14:schemeClr w14:val="tx1"/>
            </w14:solidFill>
          </w14:textFill>
        </w:rPr>
      </w:pPr>
      <w:r/>
      <w:bookmarkStart w:id="89" w:name="_Hlk164697342"/>
      <w:r/>
      <w:bookmarkStart w:id="90" w:name="_Toc15187"/>
      <w:r/>
      <w:bookmarkStart w:id="91" w:name="_Toc159601945"/>
      <w:r/>
      <w:bookmarkStart w:id="92" w:name="_Toc164697445"/>
      <w:r/>
      <w:bookmarkStart w:id="93" w:name="_Hlk165367959"/>
      <w:r>
        <w:rPr>
          <w:rFonts w:hint="eastAsia"/>
          <w:color w:val="000000" w:themeColor="text1"/>
          <w:highlight w:val="none"/>
          <w14:textFill>
            <w14:solidFill>
              <w14:schemeClr w14:val="tx1"/>
            </w14:solidFill>
          </w14:textFill>
        </w:rPr>
        <w:t xml:space="preserve">（十八）</w:t>
      </w:r>
      <w:bookmarkEnd w:id="89"/>
      <w:r>
        <w:rPr>
          <w:rFonts w:hint="eastAsia"/>
          <w:color w:val="000000" w:themeColor="text1"/>
          <w:highlight w:val="none"/>
          <w14:textFill>
            <w14:solidFill>
              <w14:schemeClr w14:val="tx1"/>
            </w14:solidFill>
          </w14:textFill>
        </w:rPr>
        <w:t xml:space="preserve">本单位缴纳养老保险承诺函</w:t>
      </w:r>
      <w:bookmarkEnd w:id="90"/>
      <w:r/>
      <w:bookmarkEnd w:id="91"/>
      <w:r/>
      <w:bookmarkEnd w:id="92"/>
      <w:r/>
      <w:r/>
    </w:p>
    <w:p>
      <w:pPr>
        <w:spacing w:line="600" w:lineRule="exact"/>
        <w:shd w:val="clear" w:color="auto" w:fill="ffffff" w:themeFill="background1"/>
        <w:rPr>
          <w:rFonts w:hint="eastAsia" w:ascii="宋体" w:hAnsi="宋体" w:eastAsia="宋体" w:cs="宋体"/>
          <w:color w:val="000000" w:themeColor="text1"/>
          <w:sz w:val="26"/>
          <w:szCs w:val="20"/>
          <w:highlight w:val="none"/>
          <w14:textFill>
            <w14:solidFill>
              <w14:schemeClr w14:val="tx1"/>
            </w14:solidFill>
          </w14:textFill>
        </w:rPr>
      </w:pPr>
      <w:r>
        <w:rPr>
          <w:rFonts w:hint="eastAsia" w:ascii="宋体" w:hAnsi="宋体" w:eastAsia="宋体" w:cs="宋体"/>
          <w:bCs/>
          <w:color w:val="000000" w:themeColor="text1"/>
          <w:sz w:val="26"/>
          <w:szCs w:val="20"/>
          <w:highlight w:val="none"/>
          <w14:textFill>
            <w14:solidFill>
              <w14:schemeClr w14:val="tx1"/>
            </w14:solidFill>
          </w14:textFill>
        </w:rPr>
        <w:t xml:space="preserve">采购人：</w:t>
      </w:r>
      <w:r>
        <w:rPr>
          <w:rFonts w:hint="eastAsia" w:ascii="宋体" w:hAnsi="宋体" w:eastAsia="宋体" w:cs="宋体"/>
          <w:bCs/>
          <w:color w:val="000000" w:themeColor="text1"/>
          <w:sz w:val="26"/>
          <w:szCs w:val="20"/>
          <w:highlight w:val="none"/>
          <w:u w:val="single"/>
          <w14:textFill>
            <w14:solidFill>
              <w14:schemeClr w14:val="tx1"/>
            </w14:solidFill>
          </w14:textFill>
        </w:rPr>
        <w:t xml:space="preserve">建湖县公安局</w:t>
      </w:r>
      <w:r/>
    </w:p>
    <w:p>
      <w:pPr>
        <w:ind w:firstLine="480"/>
        <w:spacing w:line="600" w:lineRule="exact"/>
        <w:shd w:val="clear" w:color="auto" w:fill="ffffff" w:themeFill="background1"/>
        <w:rPr>
          <w:rFonts w:hint="eastAsia" w:ascii="宋体" w:hAnsi="宋体" w:eastAsia="宋体"/>
          <w:color w:val="000000" w:themeColor="text1"/>
          <w:sz w:val="24"/>
          <w:szCs w:val="22"/>
          <w:highlight w:val="none"/>
          <w14:textFill>
            <w14:solidFill>
              <w14:schemeClr w14:val="tx1"/>
            </w14:solidFill>
          </w14:textFill>
        </w:rPr>
      </w:pPr>
      <w:r>
        <w:rPr>
          <w:rFonts w:ascii="宋体" w:hAnsi="宋体" w:eastAsia="宋体"/>
          <w:color w:val="000000" w:themeColor="text1"/>
          <w:sz w:val="24"/>
          <w:szCs w:val="22"/>
          <w:highlight w:val="none"/>
          <w14:textFill>
            <w14:solidFill>
              <w14:schemeClr w14:val="tx1"/>
            </w14:solidFill>
          </w14:textFill>
        </w:rPr>
        <w:t xml:space="preserve">我单位承诺</w:t>
      </w:r>
      <w:r>
        <w:rPr>
          <w:rFonts w:ascii="宋体" w:hAnsi="宋体" w:eastAsia="宋体"/>
          <w:color w:val="000000" w:themeColor="text1"/>
          <w:sz w:val="24"/>
          <w:highlight w:val="none"/>
          <w14:textFill>
            <w14:solidFill>
              <w14:schemeClr w14:val="tx1"/>
            </w14:solidFill>
          </w14:textFill>
        </w:rPr>
        <w:t xml:space="preserve">投标人项目部人员</w:t>
      </w:r>
      <w:r>
        <w:rPr>
          <w:rFonts w:ascii="宋体" w:hAnsi="宋体" w:eastAsia="宋体"/>
          <w:color w:val="000000" w:themeColor="text1"/>
          <w:sz w:val="24"/>
          <w:szCs w:val="22"/>
          <w:highlight w:val="none"/>
          <w14:textFill>
            <w14:solidFill>
              <w14:schemeClr w14:val="tx1"/>
            </w14:solidFill>
          </w14:textFill>
        </w:rPr>
        <w:t xml:space="preserve">均为本单位的正式职工，并确保在本项目开标前1个月（不含投标当月）在本单位缴纳社会养老保险。如违反上述承诺，可视为我单位存在弄虚作假行为，我单位自愿放弃中标资格，并接受你方及行业主管部门的相关处罚。</w:t>
      </w:r>
      <w:r/>
    </w:p>
    <w:p>
      <w:pPr>
        <w:ind w:firstLine="480"/>
        <w:spacing w:line="600" w:lineRule="exact"/>
        <w:shd w:val="clear" w:color="auto" w:fill="ffffff" w:themeFill="background1"/>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r>
      <w:r/>
    </w:p>
    <w:p>
      <w:pPr>
        <w:ind w:firstLine="480"/>
        <w:spacing w:line="600" w:lineRule="exact"/>
        <w:shd w:val="clear" w:color="auto" w:fill="ffffff" w:themeFill="background1"/>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特此声明！</w:t>
      </w:r>
      <w:r/>
    </w:p>
    <w:p>
      <w:pPr>
        <w:ind w:firstLine="480"/>
        <w:spacing w:line="600" w:lineRule="exact"/>
        <w:shd w:val="clear" w:color="auto" w:fill="ffffff" w:themeFill="background1"/>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r>
      <w:r/>
    </w:p>
    <w:p>
      <w:pPr>
        <w:ind w:firstLine="480"/>
        <w:spacing w:line="600" w:lineRule="exact"/>
        <w:shd w:val="clear" w:color="auto" w:fill="ffffff" w:themeFill="background1"/>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投标单位：(盖章）</w:t>
      </w:r>
      <w:r/>
    </w:p>
    <w:p>
      <w:pPr>
        <w:ind w:firstLine="480"/>
        <w:spacing w:line="600" w:lineRule="exact"/>
        <w:shd w:val="clear" w:color="auto" w:fill="ffffff" w:themeFill="background1"/>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r>
      <w:r/>
    </w:p>
    <w:p>
      <w:pPr>
        <w:ind w:firstLine="480"/>
        <w:spacing w:line="600" w:lineRule="exact"/>
        <w:shd w:val="clear" w:color="auto" w:fill="ffffff" w:themeFill="background1"/>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t xml:space="preserve">法定代表人或委托代理人：(盖章或签字）</w:t>
      </w:r>
      <w:r/>
    </w:p>
    <w:p>
      <w:pPr>
        <w:ind w:left="5250" w:firstLine="499"/>
        <w:spacing w:line="480" w:lineRule="exact"/>
        <w:shd w:val="clear" w:color="auto" w:fill="ffffff" w:themeFill="background1"/>
        <w:rPr>
          <w:rFonts w:ascii="宋体" w:hAnsi="宋体" w:eastAsia="楷体_GB2312"/>
          <w:color w:val="000000" w:themeColor="text1"/>
          <w:sz w:val="26"/>
          <w:szCs w:val="20"/>
          <w:highlight w:val="none"/>
          <w14:textFill>
            <w14:solidFill>
              <w14:schemeClr w14:val="tx1"/>
            </w14:solidFill>
          </w14:textFill>
        </w:rPr>
      </w:pPr>
      <w:r>
        <w:rPr>
          <w:rFonts w:ascii="宋体" w:hAnsi="宋体" w:eastAsia="楷体_GB2312"/>
          <w:color w:val="000000" w:themeColor="text1"/>
          <w:sz w:val="26"/>
          <w:szCs w:val="20"/>
          <w:highlight w:val="none"/>
          <w14:textFill>
            <w14:solidFill>
              <w14:schemeClr w14:val="tx1"/>
            </w14:solidFill>
          </w14:textFill>
        </w:rPr>
      </w:r>
      <w:r/>
    </w:p>
    <w:p>
      <w:pPr>
        <w:ind w:left="5250" w:firstLine="499"/>
        <w:spacing w:line="480" w:lineRule="exact"/>
        <w:shd w:val="clear" w:color="auto" w:fill="ffffff" w:themeFill="background1"/>
        <w:rPr>
          <w:rFonts w:ascii="宋体" w:hAnsi="宋体" w:eastAsia="楷体_GB2312"/>
          <w:color w:val="000000" w:themeColor="text1"/>
          <w:sz w:val="26"/>
          <w:szCs w:val="20"/>
          <w:highlight w:val="none"/>
          <w14:textFill>
            <w14:solidFill>
              <w14:schemeClr w14:val="tx1"/>
            </w14:solidFill>
          </w14:textFill>
        </w:rPr>
      </w:pPr>
      <w:r>
        <w:rPr>
          <w:rFonts w:ascii="宋体" w:hAnsi="宋体" w:eastAsia="楷体_GB2312"/>
          <w:color w:val="000000" w:themeColor="text1"/>
          <w:sz w:val="26"/>
          <w:szCs w:val="20"/>
          <w:highlight w:val="none"/>
          <w14:textFill>
            <w14:solidFill>
              <w14:schemeClr w14:val="tx1"/>
            </w14:solidFill>
          </w14:textFill>
        </w:rPr>
      </w:r>
      <w:r/>
    </w:p>
    <w:p>
      <w:pPr>
        <w:jc w:val="right"/>
        <w:shd w:val="clear" w:color="auto" w:fill="ffffff" w:themeFill="background1"/>
        <w:rPr>
          <w:rFonts w:ascii="Times New Roman" w:hAnsi="Times New Roman" w:eastAsia="宋体"/>
          <w:color w:val="000000" w:themeColor="text1"/>
          <w:sz w:val="24"/>
          <w:szCs w:val="22"/>
          <w:highlight w:val="none"/>
          <w14:textFill>
            <w14:solidFill>
              <w14:schemeClr w14:val="tx1"/>
            </w14:solidFill>
          </w14:textFill>
        </w:rPr>
      </w:pPr>
      <w:r>
        <w:rPr>
          <w:rFonts w:hint="eastAsia" w:ascii="Times New Roman" w:hAnsi="Times New Roman" w:eastAsia="宋体"/>
          <w:color w:val="000000" w:themeColor="text1"/>
          <w:sz w:val="24"/>
          <w:szCs w:val="22"/>
          <w:highlight w:val="none"/>
          <w14:textFill>
            <w14:solidFill>
              <w14:schemeClr w14:val="tx1"/>
            </w14:solidFill>
          </w14:textFill>
        </w:rPr>
        <w:t xml:space="preserve">日 </w:t>
      </w:r>
      <w:r>
        <w:rPr>
          <w:rFonts w:ascii="Times New Roman" w:hAnsi="Times New Roman" w:eastAsia="宋体"/>
          <w:color w:val="000000" w:themeColor="text1"/>
          <w:sz w:val="24"/>
          <w:szCs w:val="22"/>
          <w:highlight w:val="none"/>
          <w14:textFill>
            <w14:solidFill>
              <w14:schemeClr w14:val="tx1"/>
            </w14:solidFill>
          </w14:textFill>
        </w:rPr>
        <w:t xml:space="preserve">  </w:t>
      </w:r>
      <w:r>
        <w:rPr>
          <w:rFonts w:hint="eastAsia" w:ascii="Times New Roman" w:hAnsi="Times New Roman" w:eastAsia="宋体"/>
          <w:color w:val="000000" w:themeColor="text1"/>
          <w:sz w:val="24"/>
          <w:szCs w:val="22"/>
          <w:highlight w:val="none"/>
          <w14:textFill>
            <w14:solidFill>
              <w14:schemeClr w14:val="tx1"/>
            </w14:solidFill>
          </w14:textFill>
        </w:rPr>
        <w:t xml:space="preserve">期：   年   月   日</w:t>
      </w:r>
      <w:r/>
    </w:p>
    <w:p>
      <w:pPr>
        <w:jc w:val="center"/>
        <w:spacing w:line="480" w:lineRule="exact"/>
        <w:shd w:val="clear" w:color="auto" w:fill="ffffff" w:themeFill="background1"/>
        <w:rPr>
          <w:rFonts w:ascii="宋体" w:hAnsi="Courier New" w:eastAsia="宋体"/>
          <w:b/>
          <w:color w:val="000000" w:themeColor="text1"/>
          <w:sz w:val="44"/>
          <w:szCs w:val="44"/>
          <w:highlight w:val="none"/>
          <w14:textFill>
            <w14:solidFill>
              <w14:schemeClr w14:val="tx1"/>
            </w14:solidFill>
          </w14:textFill>
        </w:rPr>
      </w:pPr>
      <w:r>
        <w:rPr>
          <w:rFonts w:ascii="宋体" w:hAnsi="Courier New" w:eastAsia="宋体"/>
          <w:b/>
          <w:color w:val="000000" w:themeColor="text1"/>
          <w:sz w:val="44"/>
          <w:szCs w:val="44"/>
          <w:highlight w:val="none"/>
          <w14:textFill>
            <w14:solidFill>
              <w14:schemeClr w14:val="tx1"/>
            </w14:solidFill>
          </w14:textFill>
        </w:rPr>
      </w:r>
      <w:bookmarkEnd w:id="93"/>
      <w:r/>
    </w:p>
    <w:p>
      <w:pPr>
        <w:pStyle w:val="704"/>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4"/>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4"/>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4"/>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1"/>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4"/>
        <w:jc w:val="left"/>
        <w:shd w:val="clear" w:color="auto" w:fill="ffffff" w:themeFill="background1"/>
        <w:tabs>
          <w:tab w:val="left" w:pos="2886" w:leader="none"/>
          <w:tab w:val="center" w:pos="5237" w:leader="none"/>
        </w:tabs>
        <w:rPr>
          <w:color w:val="000000" w:themeColor="text1"/>
          <w:highlight w:val="none"/>
          <w14:textFill>
            <w14:solidFill>
              <w14:schemeClr w14:val="tx1"/>
            </w14:solidFill>
          </w14:textFill>
        </w:rPr>
      </w:pPr>
      <w:r/>
      <w:bookmarkStart w:id="94" w:name="_Toc165201446"/>
      <w:r>
        <w:rPr>
          <w:rFonts w:hint="eastAsia" w:asciiTheme="majorEastAsia" w:hAnsiTheme="majorEastAsia" w:eastAsiaTheme="majorEastAsia" w:cstheme="majorEastAsia"/>
          <w:color w:val="000000" w:themeColor="text1"/>
          <w:highlight w:val="none"/>
          <w:lang w:val="zh-CN"/>
          <w14:textFill>
            <w14:solidFill>
              <w14:schemeClr w14:val="tx1"/>
            </w14:solidFill>
          </w14:textFill>
        </w:rPr>
        <w:tab/>
      </w:r>
      <w:bookmarkStart w:id="95" w:name="_Toc18377"/>
      <w:r>
        <w:rPr>
          <w:rFonts w:hint="eastAsia"/>
          <w:color w:val="000000" w:themeColor="text1"/>
          <w:highlight w:val="none"/>
          <w14:textFill>
            <w14:solidFill>
              <w14:schemeClr w14:val="tx1"/>
            </w14:solidFill>
          </w14:textFill>
        </w:rPr>
        <w:t xml:space="preserve">（十九）</w:t>
      </w:r>
      <w:r>
        <w:rPr>
          <w:rFonts w:hint="eastAsia"/>
          <w:color w:val="000000" w:themeColor="text1"/>
          <w:highlight w:val="none"/>
          <w:lang w:val="zh-CN"/>
          <w14:textFill>
            <w14:solidFill>
              <w14:schemeClr w14:val="tx1"/>
            </w14:solidFill>
          </w14:textFill>
        </w:rPr>
        <w:t xml:space="preserve">实施方案</w:t>
      </w:r>
      <w:bookmarkEnd w:id="95"/>
      <w:r/>
      <w:r/>
    </w:p>
    <w:p>
      <w:pPr>
        <w:pStyle w:val="704"/>
        <w:ind w:firstLine="840"/>
        <w:jc w:val="both"/>
        <w:shd w:val="clear" w:color="auto" w:fill="ffffff" w:themeFill="background1"/>
        <w:rPr>
          <w:rFonts w:hint="eastAsia" w:ascii="宋体" w:hAnsi="宋体" w:eastAsia="宋体" w:cs="宋体"/>
          <w:b w:val="0"/>
          <w:bCs w:val="0"/>
          <w:color w:val="000000" w:themeColor="text1"/>
          <w:sz w:val="28"/>
          <w:szCs w:val="28"/>
          <w:highlight w:val="none"/>
          <w14:textFill>
            <w14:solidFill>
              <w14:schemeClr w14:val="tx1"/>
            </w14:solidFill>
          </w14:textFill>
        </w:rPr>
      </w:pPr>
      <w:r/>
      <w:bookmarkStart w:id="96" w:name="_Toc1029"/>
      <w:r/>
      <w:bookmarkStart w:id="97" w:name="_Toc11923"/>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bookmarkEnd w:id="94"/>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投标人根据评标细则中的相关要求自行编制，格式自制）</w:t>
      </w:r>
      <w:bookmarkEnd w:id="96"/>
      <w:r/>
      <w:bookmarkEnd w:id="97"/>
      <w:r/>
      <w:r/>
    </w:p>
    <w:p>
      <w:pPr>
        <w:pStyle w:val="704"/>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4"/>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1"/>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2"/>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Symbol">
    <w:panose1 w:val="020B0502040204020203"/>
  </w:font>
  <w:font w:name="TimesNewRomanPSMT">
    <w:panose1 w:val="02020603050405020304"/>
  </w:font>
  <w:font w:name="方正小标宋简体">
    <w:panose1 w:val="020B0503020202020204"/>
  </w:font>
  <w:font w:name="MingLiU">
    <w:panose1 w:val="02020500000000000000"/>
  </w:font>
  <w:font w:name="华文细黑">
    <w:panose1 w:val="02010600040101010101"/>
  </w:font>
  <w:font w:name="楷体_GB2312">
    <w:panose1 w:val="02010609060101010101"/>
  </w:font>
  <w:font w:name="等线 Light">
    <w:panose1 w:val="02010600030101010101"/>
  </w:font>
  <w:font w:name="仿宋">
    <w:panose1 w:val="02010609060101010101"/>
  </w:font>
  <w:font w:name="等线">
    <w:panose1 w:val="02010600030101010101"/>
  </w:font>
  <w:font w:name="Cambria">
    <w:panose1 w:val="02040503050406030204"/>
  </w:font>
  <w:font w:name="MS Sans Serif">
    <w:panose1 w:val="020B0503020202020204"/>
  </w:font>
  <w:font w:name="Courier New">
    <w:panose1 w:val="02070309020205020404"/>
  </w:font>
  <w:font w:name="Tahoma">
    <w:panose1 w:val="020B0604030504040204"/>
  </w:font>
  <w:font w:name="黑体">
    <w:panose1 w:val="02010609060101010101"/>
  </w:font>
  <w:font w:name="Tms Rmn">
    <w:panose1 w:val="020B0503020202020204"/>
  </w:font>
  <w:font w:name="华文中宋">
    <w:panose1 w:val="02010600040101010101"/>
  </w:font>
  <w:font w:name="仿宋_GB2312">
    <w:panose1 w:val="02010609060101010101"/>
  </w:font>
  <w:font w:name="Helvetica Neue">
    <w:panose1 w:val="020B0503020202020204"/>
  </w:font>
  <w:font w:name="Calibri">
    <w:panose1 w:val="020F0502020204030204"/>
  </w:font>
  <w:font w:name="微软雅黑">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3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33"/>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3"/>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cs="Times New Roman"/>
      </w:rPr>
    </w:lvl>
    <w:lvl w:ilvl="1">
      <w:start w:val="1"/>
      <w:numFmt w:val="lowerLetter"/>
      <w:pStyle w:val="819"/>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18"/>
      <w:isLgl w:val="false"/>
      <w:suff w:val="tab"/>
      <w:lvlText w:val="%1、"/>
      <w:lvlJc w:val="left"/>
      <w:pPr>
        <w:ind w:left="720" w:hanging="720"/>
      </w:pPr>
      <w:rPr>
        <w:rFonts w:hint="default" w:cs="Times New Roman"/>
      </w:rPr>
    </w:lvl>
    <w:lvl w:ilvl="1">
      <w:start w:val="1"/>
      <w:numFmt w:val="lowerLetter"/>
      <w:isLgl w:val="false"/>
      <w:suff w:val="tab"/>
      <w:lvlText w:val="%2)"/>
      <w:lvlJc w:val="left"/>
      <w:pPr>
        <w:ind w:left="840" w:hanging="420"/>
      </w:pPr>
      <w:rPr>
        <w:rFonts w:cs="Times New Roman"/>
      </w:rPr>
    </w:lvl>
    <w:lvl w:ilvl="2">
      <w:start w:val="1"/>
      <w:numFmt w:val="lowerRoman"/>
      <w:pStyle w:val="820"/>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pStyle w:val="708"/>
      <w:isLgl w:val="false"/>
      <w:suff w:val="tab"/>
      <w:lvlText w:val="%6."/>
      <w:lvlJc w:val="right"/>
      <w:pPr>
        <w:ind w:left="2520" w:hanging="420"/>
      </w:pPr>
      <w:rPr>
        <w:rFonts w:cs="Times New Roman"/>
      </w:rPr>
    </w:lvl>
    <w:lvl w:ilvl="6">
      <w:start w:val="1"/>
      <w:numFmt w:val="decimal"/>
      <w:pStyle w:val="709"/>
      <w:isLgl w:val="false"/>
      <w:suff w:val="tab"/>
      <w:lvlText w:val="%7."/>
      <w:lvlJc w:val="left"/>
      <w:pPr>
        <w:ind w:left="2940" w:hanging="420"/>
      </w:pPr>
      <w:rPr>
        <w:rFonts w:cs="Times New Roman"/>
      </w:rPr>
    </w:lvl>
    <w:lvl w:ilvl="7">
      <w:start w:val="1"/>
      <w:numFmt w:val="lowerLetter"/>
      <w:pStyle w:val="710"/>
      <w:isLgl w:val="false"/>
      <w:suff w:val="tab"/>
      <w:lvlText w:val="%8)"/>
      <w:lvlJc w:val="left"/>
      <w:pPr>
        <w:ind w:left="3360" w:hanging="420"/>
      </w:pPr>
      <w:rPr>
        <w:rFonts w:cs="Times New Roman"/>
      </w:rPr>
    </w:lvl>
    <w:lvl w:ilvl="8">
      <w:start w:val="1"/>
      <w:numFmt w:val="lowerRoman"/>
      <w:pStyle w:val="711"/>
      <w:isLgl w:val="false"/>
      <w:suff w:val="tab"/>
      <w:lvlText w:val="%9."/>
      <w:lvlJc w:val="right"/>
      <w:pPr>
        <w:ind w:left="3780" w:hanging="420"/>
      </w:pPr>
      <w:rPr>
        <w:rFonts w:cs="Times New Roman"/>
      </w:rPr>
    </w:lvl>
  </w:abstractNum>
  <w:abstractNum w:abstractNumId="3">
    <w:multiLevelType w:val="hybridMultilevel"/>
    <w:lvl w:ilvl="0">
      <w:start w:val="1"/>
      <w:numFmt w:val="upperLetter"/>
      <w:pStyle w:val="1225"/>
      <w:isLgl w:val="false"/>
      <w:suff w:val="tab"/>
      <w:lvlText w:val="%1."/>
      <w:lvlJc w:val="left"/>
      <w:pPr>
        <w:ind w:left="1702" w:hanging="567"/>
        <w:tabs>
          <w:tab w:val="left" w:pos="1702" w:leader="none"/>
        </w:tabs>
      </w:pPr>
      <w:rPr>
        <w:rFonts w:hint="default" w:ascii="Times New Roman" w:hAnsi="Times New Roman" w:cs="Times New Roman"/>
        <w:b w:val="0"/>
        <w:sz w:val="22"/>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2"/>
    <w:link w:val="703"/>
    <w:uiPriority w:val="9"/>
    <w:rPr>
      <w:rFonts w:ascii="Arial" w:hAnsi="Arial" w:eastAsia="Arial" w:cs="Arial"/>
      <w:sz w:val="40"/>
      <w:szCs w:val="40"/>
    </w:rPr>
  </w:style>
  <w:style w:type="character" w:styleId="15">
    <w:name w:val="Heading 2 Char"/>
    <w:basedOn w:val="712"/>
    <w:link w:val="704"/>
    <w:uiPriority w:val="9"/>
    <w:rPr>
      <w:rFonts w:ascii="Arial" w:hAnsi="Arial" w:eastAsia="Arial" w:cs="Arial"/>
      <w:sz w:val="34"/>
    </w:rPr>
  </w:style>
  <w:style w:type="character" w:styleId="17">
    <w:name w:val="Heading 3 Char"/>
    <w:basedOn w:val="712"/>
    <w:link w:val="705"/>
    <w:uiPriority w:val="9"/>
    <w:rPr>
      <w:rFonts w:ascii="Arial" w:hAnsi="Arial" w:eastAsia="Arial" w:cs="Arial"/>
      <w:sz w:val="30"/>
      <w:szCs w:val="30"/>
    </w:rPr>
  </w:style>
  <w:style w:type="character" w:styleId="19">
    <w:name w:val="Heading 4 Char"/>
    <w:basedOn w:val="712"/>
    <w:link w:val="706"/>
    <w:uiPriority w:val="9"/>
    <w:rPr>
      <w:rFonts w:ascii="Arial" w:hAnsi="Arial" w:eastAsia="Arial" w:cs="Arial"/>
      <w:b/>
      <w:bCs/>
      <w:sz w:val="26"/>
      <w:szCs w:val="26"/>
    </w:rPr>
  </w:style>
  <w:style w:type="character" w:styleId="21">
    <w:name w:val="Heading 5 Char"/>
    <w:basedOn w:val="712"/>
    <w:link w:val="707"/>
    <w:uiPriority w:val="9"/>
    <w:rPr>
      <w:rFonts w:ascii="Arial" w:hAnsi="Arial" w:eastAsia="Arial" w:cs="Arial"/>
      <w:b/>
      <w:bCs/>
      <w:sz w:val="24"/>
      <w:szCs w:val="24"/>
    </w:rPr>
  </w:style>
  <w:style w:type="character" w:styleId="23">
    <w:name w:val="Heading 6 Char"/>
    <w:basedOn w:val="712"/>
    <w:link w:val="708"/>
    <w:uiPriority w:val="9"/>
    <w:rPr>
      <w:rFonts w:ascii="Arial" w:hAnsi="Arial" w:eastAsia="Arial" w:cs="Arial"/>
      <w:b/>
      <w:bCs/>
      <w:sz w:val="22"/>
      <w:szCs w:val="22"/>
    </w:rPr>
  </w:style>
  <w:style w:type="character" w:styleId="25">
    <w:name w:val="Heading 7 Char"/>
    <w:basedOn w:val="712"/>
    <w:link w:val="709"/>
    <w:uiPriority w:val="9"/>
    <w:rPr>
      <w:rFonts w:ascii="Arial" w:hAnsi="Arial" w:eastAsia="Arial" w:cs="Arial"/>
      <w:b/>
      <w:bCs/>
      <w:i/>
      <w:iCs/>
      <w:sz w:val="22"/>
      <w:szCs w:val="22"/>
    </w:rPr>
  </w:style>
  <w:style w:type="character" w:styleId="27">
    <w:name w:val="Heading 8 Char"/>
    <w:basedOn w:val="712"/>
    <w:link w:val="710"/>
    <w:uiPriority w:val="9"/>
    <w:rPr>
      <w:rFonts w:ascii="Arial" w:hAnsi="Arial" w:eastAsia="Arial" w:cs="Arial"/>
      <w:i/>
      <w:iCs/>
      <w:sz w:val="22"/>
      <w:szCs w:val="22"/>
    </w:rPr>
  </w:style>
  <w:style w:type="character" w:styleId="29">
    <w:name w:val="Heading 9 Char"/>
    <w:basedOn w:val="712"/>
    <w:link w:val="71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12"/>
    <w:link w:val="747"/>
    <w:uiPriority w:val="10"/>
    <w:rPr>
      <w:sz w:val="48"/>
      <w:szCs w:val="48"/>
    </w:rPr>
  </w:style>
  <w:style w:type="character" w:styleId="36">
    <w:name w:val="Subtitle Char"/>
    <w:basedOn w:val="712"/>
    <w:link w:val="737"/>
    <w:uiPriority w:val="11"/>
    <w:rPr>
      <w:sz w:val="24"/>
      <w:szCs w:val="24"/>
    </w:rPr>
  </w:style>
  <w:style w:type="paragraph" w:styleId="37">
    <w:name w:val="Quote"/>
    <w:basedOn w:val="702"/>
    <w:next w:val="702"/>
    <w:link w:val="38"/>
    <w:uiPriority w:val="29"/>
    <w:qFormat/>
    <w:pPr>
      <w:ind w:left="720" w:right="720"/>
    </w:pPr>
    <w:rPr>
      <w:i/>
    </w:rPr>
  </w:style>
  <w:style w:type="character" w:styleId="38">
    <w:name w:val="Quote Char"/>
    <w:link w:val="37"/>
    <w:uiPriority w:val="29"/>
    <w:rPr>
      <w:i/>
    </w:rPr>
  </w:style>
  <w:style w:type="paragraph" w:styleId="39">
    <w:name w:val="Intense Quote"/>
    <w:basedOn w:val="702"/>
    <w:next w:val="7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2"/>
    <w:link w:val="734"/>
    <w:uiPriority w:val="99"/>
  </w:style>
  <w:style w:type="character" w:styleId="44">
    <w:name w:val="Footer Char"/>
    <w:basedOn w:val="712"/>
    <w:link w:val="733"/>
    <w:uiPriority w:val="99"/>
  </w:style>
  <w:style w:type="paragraph" w:styleId="45">
    <w:name w:val="Caption"/>
    <w:basedOn w:val="702"/>
    <w:next w:val="702"/>
    <w:uiPriority w:val="35"/>
    <w:semiHidden/>
    <w:unhideWhenUsed/>
    <w:qFormat/>
    <w:pPr>
      <w:spacing w:line="276" w:lineRule="auto"/>
    </w:pPr>
    <w:rPr>
      <w:b/>
      <w:bCs/>
      <w:color w:val="4f81bd" w:themeColor="accent1"/>
      <w:sz w:val="18"/>
      <w:szCs w:val="18"/>
    </w:rPr>
  </w:style>
  <w:style w:type="character" w:styleId="46">
    <w:name w:val="Caption Char"/>
    <w:basedOn w:val="45"/>
    <w:link w:val="733"/>
    <w:uiPriority w:val="99"/>
  </w:style>
  <w:style w:type="table" w:styleId="48">
    <w:name w:val="Table Grid Light"/>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39"/>
    <w:uiPriority w:val="99"/>
    <w:rPr>
      <w:sz w:val="18"/>
    </w:rPr>
  </w:style>
  <w:style w:type="character" w:styleId="178">
    <w:name w:val="Endnote Text Char"/>
    <w:link w:val="731"/>
    <w:uiPriority w:val="99"/>
    <w:rPr>
      <w:sz w:val="20"/>
    </w:rPr>
  </w:style>
  <w:style w:type="paragraph" w:styleId="189">
    <w:name w:val="TOC Heading"/>
    <w:uiPriority w:val="39"/>
    <w:unhideWhenUsed/>
  </w:style>
  <w:style w:type="paragraph" w:styleId="190">
    <w:name w:val="table of figures"/>
    <w:basedOn w:val="702"/>
    <w:next w:val="702"/>
    <w:uiPriority w:val="99"/>
    <w:unhideWhenUsed/>
    <w:pPr>
      <w:spacing w:after="0" w:afterAutospacing="0"/>
    </w:pPr>
  </w:style>
  <w:style w:type="paragraph" w:styleId="702" w:default="1">
    <w:name w:val="Normal"/>
    <w:next w:val="714"/>
    <w:uiPriority w:val="0"/>
    <w:qFormat/>
    <w:pPr>
      <w:jc w:val="both"/>
      <w:widowControl w:val="off"/>
    </w:pPr>
    <w:rPr>
      <w:rFonts w:ascii="Calibri" w:hAnsi="Calibri" w:eastAsia="微软雅黑" w:cs="Times New Roman"/>
      <w:sz w:val="21"/>
      <w:szCs w:val="24"/>
      <w:lang w:val="en-US" w:eastAsia="zh-CN" w:bidi="ar-SA"/>
    </w:rPr>
  </w:style>
  <w:style w:type="paragraph" w:styleId="703">
    <w:name w:val="Heading 1"/>
    <w:basedOn w:val="702"/>
    <w:next w:val="702"/>
    <w:link w:val="774"/>
    <w:uiPriority w:val="0"/>
    <w:qFormat/>
    <w:pPr>
      <w:keepLines/>
      <w:keepNext/>
      <w:spacing w:before="340" w:after="330" w:line="578" w:lineRule="auto"/>
      <w:outlineLvl w:val="0"/>
    </w:pPr>
    <w:rPr>
      <w:b/>
      <w:bCs/>
      <w:sz w:val="44"/>
      <w:szCs w:val="44"/>
    </w:rPr>
  </w:style>
  <w:style w:type="paragraph" w:styleId="704">
    <w:name w:val="Heading 2"/>
    <w:basedOn w:val="702"/>
    <w:next w:val="702"/>
    <w:link w:val="775"/>
    <w:uiPriority w:val="0"/>
    <w:qFormat/>
    <w:pPr>
      <w:jc w:val="center"/>
      <w:keepLines/>
      <w:keepNext/>
      <w:spacing w:before="260" w:after="260" w:line="360" w:lineRule="exact"/>
      <w:outlineLvl w:val="1"/>
    </w:pPr>
    <w:rPr>
      <w:rFonts w:ascii="Arial" w:hAnsi="Arial" w:eastAsia="黑体"/>
      <w:b/>
      <w:bCs/>
      <w:sz w:val="32"/>
      <w:szCs w:val="32"/>
    </w:rPr>
  </w:style>
  <w:style w:type="paragraph" w:styleId="705">
    <w:name w:val="Heading 3"/>
    <w:basedOn w:val="702"/>
    <w:next w:val="702"/>
    <w:link w:val="776"/>
    <w:uiPriority w:val="0"/>
    <w:unhideWhenUsed/>
    <w:qFormat/>
    <w:pPr>
      <w:keepLines/>
      <w:keepNext/>
      <w:spacing w:before="260" w:after="260" w:line="416" w:lineRule="auto"/>
      <w:outlineLvl w:val="2"/>
    </w:pPr>
    <w:rPr>
      <w:b/>
      <w:bCs/>
      <w:sz w:val="32"/>
      <w:szCs w:val="32"/>
    </w:rPr>
  </w:style>
  <w:style w:type="paragraph" w:styleId="706">
    <w:name w:val="Heading 4"/>
    <w:basedOn w:val="702"/>
    <w:next w:val="702"/>
    <w:link w:val="777"/>
    <w:uiPriority w:val="0"/>
    <w:qFormat/>
    <w:pPr>
      <w:jc w:val="center"/>
      <w:keepLines/>
      <w:keepNext/>
      <w:spacing w:before="120" w:after="120" w:line="360" w:lineRule="auto"/>
      <w:widowControl/>
      <w:outlineLvl w:val="3"/>
    </w:pPr>
    <w:rPr>
      <w:rFonts w:ascii="Arial" w:hAnsi="Arial" w:eastAsia="黑体"/>
      <w:sz w:val="28"/>
      <w:szCs w:val="20"/>
    </w:rPr>
  </w:style>
  <w:style w:type="paragraph" w:styleId="707">
    <w:name w:val="Heading 5"/>
    <w:basedOn w:val="702"/>
    <w:next w:val="702"/>
    <w:link w:val="778"/>
    <w:uiPriority w:val="0"/>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708">
    <w:name w:val="Heading 6"/>
    <w:basedOn w:val="702"/>
    <w:next w:val="702"/>
    <w:link w:val="779"/>
    <w:uiPriority w:val="0"/>
    <w:qFormat/>
    <w:pPr>
      <w:numPr>
        <w:ilvl w:val="5"/>
        <w:numId w:val="1"/>
      </w:numPr>
      <w:jc w:val="left"/>
      <w:keepLines/>
      <w:keepNext/>
      <w:spacing w:before="240" w:after="64" w:line="320" w:lineRule="auto"/>
      <w:widowControl/>
      <w:tabs>
        <w:tab w:val="left" w:pos="1440" w:leader="none"/>
      </w:tabs>
      <w:outlineLvl w:val="5"/>
    </w:pPr>
    <w:rPr>
      <w:rFonts w:ascii="Arial" w:hAnsi="Arial" w:eastAsia="黑体"/>
      <w:b/>
      <w:bCs/>
      <w:sz w:val="24"/>
    </w:rPr>
  </w:style>
  <w:style w:type="paragraph" w:styleId="709">
    <w:name w:val="Heading 7"/>
    <w:basedOn w:val="702"/>
    <w:next w:val="702"/>
    <w:link w:val="780"/>
    <w:uiPriority w:val="0"/>
    <w:qFormat/>
    <w:pPr>
      <w:numPr>
        <w:ilvl w:val="6"/>
        <w:numId w:val="1"/>
      </w:numPr>
      <w:jc w:val="left"/>
      <w:keepLines/>
      <w:keepNext/>
      <w:spacing w:before="240" w:after="64" w:line="320" w:lineRule="auto"/>
      <w:widowControl/>
      <w:tabs>
        <w:tab w:val="left" w:pos="2520" w:leader="none"/>
      </w:tabs>
      <w:outlineLvl w:val="6"/>
    </w:pPr>
    <w:rPr>
      <w:rFonts w:ascii="Times New Roman" w:hAnsi="Times New Roman" w:eastAsia="宋体"/>
      <w:b/>
      <w:bCs/>
      <w:sz w:val="24"/>
    </w:rPr>
  </w:style>
  <w:style w:type="paragraph" w:styleId="710">
    <w:name w:val="Heading 8"/>
    <w:basedOn w:val="702"/>
    <w:next w:val="702"/>
    <w:link w:val="781"/>
    <w:uiPriority w:val="0"/>
    <w:qFormat/>
    <w:pPr>
      <w:numPr>
        <w:ilvl w:val="7"/>
        <w:numId w:val="1"/>
      </w:numPr>
      <w:jc w:val="left"/>
      <w:keepLines/>
      <w:keepNext/>
      <w:spacing w:before="240" w:after="64" w:line="320" w:lineRule="auto"/>
      <w:widowControl/>
      <w:tabs>
        <w:tab w:val="left" w:pos="1440" w:leader="none"/>
      </w:tabs>
      <w:outlineLvl w:val="7"/>
    </w:pPr>
    <w:rPr>
      <w:rFonts w:ascii="Arial" w:hAnsi="Arial" w:eastAsia="黑体"/>
      <w:sz w:val="24"/>
    </w:rPr>
  </w:style>
  <w:style w:type="paragraph" w:styleId="711">
    <w:name w:val="Heading 9"/>
    <w:basedOn w:val="702"/>
    <w:next w:val="702"/>
    <w:link w:val="782"/>
    <w:uiPriority w:val="0"/>
    <w:qFormat/>
    <w:pPr>
      <w:numPr>
        <w:ilvl w:val="8"/>
        <w:numId w:val="1"/>
      </w:numPr>
      <w:jc w:val="left"/>
      <w:keepLines/>
      <w:keepNext/>
      <w:spacing w:before="240" w:after="64" w:line="320" w:lineRule="auto"/>
      <w:widowControl/>
      <w:tabs>
        <w:tab w:val="left" w:pos="1584" w:leader="none"/>
      </w:tabs>
      <w:outlineLvl w:val="8"/>
    </w:pPr>
    <w:rPr>
      <w:rFonts w:ascii="Arial" w:hAnsi="Arial" w:eastAsia="黑体"/>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customStyle="1">
    <w:name w:val="普通正文"/>
    <w:basedOn w:val="702"/>
    <w:uiPriority w:val="0"/>
    <w:qFormat/>
    <w:pPr>
      <w:ind w:firstLine="480"/>
      <w:jc w:val="left"/>
      <w:spacing w:before="120" w:after="120" w:line="360" w:lineRule="auto"/>
    </w:pPr>
    <w:rPr>
      <w:rFonts w:ascii="Arial" w:hAnsi="Arial" w:eastAsia="宋体"/>
      <w:sz w:val="24"/>
    </w:rPr>
  </w:style>
  <w:style w:type="paragraph" w:styleId="715">
    <w:name w:val="toc 7"/>
    <w:basedOn w:val="702"/>
    <w:next w:val="702"/>
    <w:uiPriority w:val="39"/>
    <w:qFormat/>
    <w:pPr>
      <w:ind w:left="1200"/>
      <w:jc w:val="left"/>
      <w:widowControl/>
    </w:pPr>
    <w:rPr>
      <w:rFonts w:ascii="Times New Roman" w:hAnsi="Times New Roman" w:eastAsia="宋体"/>
      <w:sz w:val="20"/>
      <w:szCs w:val="21"/>
    </w:rPr>
  </w:style>
  <w:style w:type="paragraph" w:styleId="716">
    <w:name w:val="table of authorities"/>
    <w:basedOn w:val="702"/>
    <w:next w:val="702"/>
    <w:uiPriority w:val="99"/>
    <w:qFormat/>
    <w:pPr>
      <w:ind w:left="420"/>
      <w:spacing w:line="300" w:lineRule="auto"/>
    </w:pPr>
    <w:rPr>
      <w:rFonts w:eastAsia="宋体"/>
    </w:rPr>
  </w:style>
  <w:style w:type="paragraph" w:styleId="717">
    <w:name w:val="Normal Indent"/>
    <w:basedOn w:val="702"/>
    <w:link w:val="783"/>
    <w:uiPriority w:val="0"/>
    <w:qFormat/>
    <w:pPr>
      <w:ind w:firstLine="420"/>
    </w:pPr>
    <w:rPr>
      <w:rFonts w:ascii="Times New Roman" w:hAnsi="Times New Roman" w:eastAsia="宋体"/>
      <w:szCs w:val="20"/>
    </w:rPr>
  </w:style>
  <w:style w:type="paragraph" w:styleId="718">
    <w:name w:val="Document Map"/>
    <w:basedOn w:val="702"/>
    <w:link w:val="784"/>
    <w:uiPriority w:val="99"/>
    <w:semiHidden/>
    <w:qFormat/>
    <w:pPr>
      <w:jc w:val="left"/>
      <w:shd w:val="clear" w:color="auto" w:fill="000080"/>
      <w:widowControl/>
    </w:pPr>
    <w:rPr>
      <w:rFonts w:ascii="Times New Roman" w:hAnsi="Times New Roman" w:eastAsia="宋体"/>
      <w:sz w:val="20"/>
      <w:szCs w:val="20"/>
    </w:rPr>
  </w:style>
  <w:style w:type="paragraph" w:styleId="719">
    <w:name w:val="annotation text"/>
    <w:basedOn w:val="702"/>
    <w:link w:val="785"/>
    <w:uiPriority w:val="99"/>
    <w:qFormat/>
    <w:pPr>
      <w:jc w:val="left"/>
    </w:pPr>
    <w:rPr>
      <w:rFonts w:ascii="Times New Roman" w:hAnsi="Times New Roman" w:eastAsia="宋体"/>
    </w:rPr>
  </w:style>
  <w:style w:type="paragraph" w:styleId="720">
    <w:name w:val="Body Text"/>
    <w:basedOn w:val="702"/>
    <w:next w:val="702"/>
    <w:link w:val="786"/>
    <w:uiPriority w:val="99"/>
    <w:qFormat/>
    <w:pPr>
      <w:spacing w:after="120"/>
    </w:pPr>
    <w:rPr>
      <w:rFonts w:ascii="Tahoma" w:hAnsi="Tahoma" w:eastAsia="宋体"/>
    </w:rPr>
  </w:style>
  <w:style w:type="paragraph" w:styleId="721">
    <w:name w:val="Body Text Indent"/>
    <w:basedOn w:val="702"/>
    <w:next w:val="722"/>
    <w:link w:val="787"/>
    <w:uiPriority w:val="0"/>
    <w:qFormat/>
    <w:pPr>
      <w:ind w:left="420"/>
      <w:spacing w:after="120"/>
    </w:pPr>
  </w:style>
  <w:style w:type="paragraph" w:styleId="722">
    <w:name w:val="envelope return"/>
    <w:basedOn w:val="702"/>
    <w:uiPriority w:val="99"/>
    <w:qFormat/>
    <w:pPr>
      <w:jc w:val="center"/>
    </w:pPr>
    <w:rPr>
      <w:rFonts w:ascii="Arial" w:hAnsi="Arial" w:eastAsia="宋体"/>
      <w:sz w:val="28"/>
      <w:szCs w:val="28"/>
    </w:rPr>
  </w:style>
  <w:style w:type="paragraph" w:styleId="723">
    <w:name w:val="List 2"/>
    <w:basedOn w:val="702"/>
    <w:uiPriority w:val="0"/>
    <w:qFormat/>
    <w:pPr>
      <w:ind w:left="100" w:hanging="200"/>
      <w:jc w:val="left"/>
      <w:widowControl/>
    </w:pPr>
    <w:rPr>
      <w:rFonts w:ascii="Times New Roman" w:hAnsi="Times New Roman" w:eastAsia="宋体"/>
      <w:sz w:val="20"/>
      <w:szCs w:val="20"/>
    </w:rPr>
  </w:style>
  <w:style w:type="paragraph" w:styleId="724">
    <w:name w:val="Block Text"/>
    <w:basedOn w:val="702"/>
    <w:uiPriority w:val="0"/>
    <w:qFormat/>
    <w:pPr>
      <w:ind w:left="420" w:right="33"/>
      <w:jc w:val="left"/>
    </w:pPr>
    <w:rPr>
      <w:rFonts w:ascii="Times New Roman" w:hAnsi="Times New Roman" w:eastAsia="宋体"/>
      <w:sz w:val="24"/>
      <w:szCs w:val="20"/>
    </w:rPr>
  </w:style>
  <w:style w:type="paragraph" w:styleId="725">
    <w:name w:val="toc 5"/>
    <w:basedOn w:val="702"/>
    <w:next w:val="702"/>
    <w:uiPriority w:val="39"/>
    <w:qFormat/>
    <w:pPr>
      <w:ind w:left="800"/>
      <w:jc w:val="left"/>
      <w:widowControl/>
    </w:pPr>
    <w:rPr>
      <w:rFonts w:ascii="Times New Roman" w:hAnsi="Times New Roman" w:eastAsia="宋体"/>
      <w:sz w:val="20"/>
      <w:szCs w:val="21"/>
    </w:rPr>
  </w:style>
  <w:style w:type="paragraph" w:styleId="726">
    <w:name w:val="toc 3"/>
    <w:basedOn w:val="702"/>
    <w:next w:val="702"/>
    <w:uiPriority w:val="39"/>
    <w:qFormat/>
    <w:pPr>
      <w:ind w:left="840"/>
    </w:pPr>
  </w:style>
  <w:style w:type="paragraph" w:styleId="727">
    <w:name w:val="Plain Text"/>
    <w:basedOn w:val="702"/>
    <w:link w:val="788"/>
    <w:uiPriority w:val="99"/>
    <w:qFormat/>
    <w:rPr>
      <w:rFonts w:ascii="宋体" w:hAnsi="Courier New" w:eastAsia="宋体"/>
    </w:rPr>
  </w:style>
  <w:style w:type="paragraph" w:styleId="728">
    <w:name w:val="toc 8"/>
    <w:basedOn w:val="702"/>
    <w:next w:val="702"/>
    <w:uiPriority w:val="39"/>
    <w:qFormat/>
    <w:pPr>
      <w:ind w:left="1400"/>
      <w:jc w:val="left"/>
      <w:widowControl/>
    </w:pPr>
    <w:rPr>
      <w:rFonts w:ascii="Times New Roman" w:hAnsi="Times New Roman" w:eastAsia="宋体"/>
      <w:sz w:val="20"/>
      <w:szCs w:val="21"/>
    </w:rPr>
  </w:style>
  <w:style w:type="paragraph" w:styleId="729">
    <w:name w:val="Date"/>
    <w:basedOn w:val="702"/>
    <w:next w:val="702"/>
    <w:link w:val="789"/>
    <w:uiPriority w:val="99"/>
    <w:unhideWhenUsed/>
    <w:qFormat/>
    <w:pPr>
      <w:ind w:left="100"/>
    </w:pPr>
  </w:style>
  <w:style w:type="paragraph" w:styleId="730">
    <w:name w:val="Body Text Indent 2"/>
    <w:basedOn w:val="702"/>
    <w:link w:val="790"/>
    <w:uiPriority w:val="99"/>
    <w:qFormat/>
    <w:pPr>
      <w:ind w:firstLine="555"/>
      <w:spacing w:line="360" w:lineRule="auto"/>
      <w:widowControl/>
    </w:pPr>
    <w:rPr>
      <w:rFonts w:ascii="宋体" w:hAnsi="MS Sans Serif" w:eastAsia="宋体"/>
      <w:spacing w:val="12"/>
      <w:sz w:val="24"/>
      <w:szCs w:val="20"/>
    </w:rPr>
  </w:style>
  <w:style w:type="paragraph" w:styleId="731">
    <w:name w:val="endnote text"/>
    <w:basedOn w:val="702"/>
    <w:link w:val="791"/>
    <w:uiPriority w:val="99"/>
    <w:semiHidden/>
    <w:qFormat/>
    <w:pPr>
      <w:jc w:val="left"/>
      <w:widowControl/>
    </w:pPr>
    <w:rPr>
      <w:rFonts w:ascii="Times New Roman" w:hAnsi="Times New Roman" w:eastAsia="宋体"/>
      <w:sz w:val="20"/>
      <w:szCs w:val="20"/>
    </w:rPr>
  </w:style>
  <w:style w:type="paragraph" w:styleId="732">
    <w:name w:val="Balloon Text"/>
    <w:basedOn w:val="702"/>
    <w:link w:val="792"/>
    <w:uiPriority w:val="0"/>
    <w:qFormat/>
    <w:rPr>
      <w:rFonts w:ascii="Times New Roman" w:hAnsi="Times New Roman" w:eastAsia="宋体"/>
      <w:sz w:val="18"/>
      <w:szCs w:val="18"/>
    </w:rPr>
  </w:style>
  <w:style w:type="paragraph" w:styleId="733">
    <w:name w:val="Footer"/>
    <w:basedOn w:val="702"/>
    <w:link w:val="793"/>
    <w:uiPriority w:val="99"/>
    <w:qFormat/>
    <w:pPr>
      <w:ind w:firstLine="356"/>
      <w:jc w:val="center"/>
      <w:tabs>
        <w:tab w:val="center" w:pos="4153" w:leader="none"/>
        <w:tab w:val="right" w:pos="8306" w:leader="none"/>
      </w:tabs>
    </w:pPr>
    <w:rPr>
      <w:rFonts w:ascii="Times New Roman" w:hAnsi="Times New Roman" w:eastAsia="宋体"/>
      <w:sz w:val="18"/>
    </w:rPr>
  </w:style>
  <w:style w:type="paragraph" w:styleId="734">
    <w:name w:val="Header"/>
    <w:basedOn w:val="702"/>
    <w:link w:val="794"/>
    <w:uiPriority w:val="0"/>
    <w:qFormat/>
    <w:pPr>
      <w:jc w:val="center"/>
      <w:tabs>
        <w:tab w:val="center" w:pos="4153" w:leader="none"/>
        <w:tab w:val="right" w:pos="8306" w:leader="none"/>
      </w:tabs>
      <w:pBdr>
        <w:bottom w:val="single" w:color="000000" w:sz="6" w:space="1"/>
      </w:pBdr>
    </w:pPr>
    <w:rPr>
      <w:rFonts w:ascii="Times New Roman" w:hAnsi="Times New Roman" w:eastAsia="宋体"/>
      <w:sz w:val="18"/>
    </w:rPr>
  </w:style>
  <w:style w:type="paragraph" w:styleId="735">
    <w:name w:val="toc 1"/>
    <w:basedOn w:val="702"/>
    <w:next w:val="702"/>
    <w:uiPriority w:val="39"/>
    <w:qFormat/>
  </w:style>
  <w:style w:type="paragraph" w:styleId="736">
    <w:name w:val="toc 4"/>
    <w:basedOn w:val="702"/>
    <w:next w:val="702"/>
    <w:uiPriority w:val="39"/>
    <w:qFormat/>
    <w:pPr>
      <w:ind w:left="600"/>
      <w:jc w:val="left"/>
      <w:widowControl/>
    </w:pPr>
    <w:rPr>
      <w:rFonts w:ascii="Times New Roman" w:hAnsi="Times New Roman" w:eastAsia="宋体"/>
      <w:sz w:val="20"/>
      <w:szCs w:val="21"/>
    </w:rPr>
  </w:style>
  <w:style w:type="paragraph" w:styleId="737">
    <w:name w:val="Subtitle"/>
    <w:basedOn w:val="702"/>
    <w:next w:val="702"/>
    <w:link w:val="1171"/>
    <w:uiPriority w:val="11"/>
    <w:qFormat/>
    <w:pPr>
      <w:jc w:val="center"/>
      <w:spacing w:before="240" w:after="60" w:line="312" w:lineRule="auto"/>
      <w:outlineLvl w:val="1"/>
    </w:pPr>
    <w:rPr>
      <w:rFonts w:ascii="Cambria" w:hAnsi="Cambria" w:eastAsia="宋体"/>
      <w:b/>
      <w:bCs/>
      <w:sz w:val="32"/>
      <w:szCs w:val="32"/>
      <w:lang w:val="zh-CN"/>
    </w:rPr>
  </w:style>
  <w:style w:type="paragraph" w:styleId="738">
    <w:name w:val="List"/>
    <w:basedOn w:val="702"/>
    <w:uiPriority w:val="99"/>
    <w:semiHidden/>
    <w:unhideWhenUsed/>
    <w:qFormat/>
    <w:pPr>
      <w:ind w:left="200" w:hanging="200"/>
    </w:pPr>
    <w:rPr>
      <w:rFonts w:ascii="等线" w:hAnsi="等线" w:eastAsia="等线"/>
    </w:rPr>
  </w:style>
  <w:style w:type="paragraph" w:styleId="739">
    <w:name w:val="footnote text"/>
    <w:basedOn w:val="702"/>
    <w:link w:val="795"/>
    <w:uiPriority w:val="0"/>
    <w:semiHidden/>
    <w:qFormat/>
    <w:pPr>
      <w:jc w:val="left"/>
    </w:pPr>
    <w:rPr>
      <w:sz w:val="18"/>
      <w:szCs w:val="18"/>
    </w:rPr>
  </w:style>
  <w:style w:type="paragraph" w:styleId="740">
    <w:name w:val="toc 6"/>
    <w:basedOn w:val="702"/>
    <w:next w:val="702"/>
    <w:uiPriority w:val="39"/>
    <w:qFormat/>
    <w:pPr>
      <w:ind w:left="1000"/>
      <w:jc w:val="left"/>
      <w:widowControl/>
    </w:pPr>
    <w:rPr>
      <w:rFonts w:ascii="Times New Roman" w:hAnsi="Times New Roman" w:eastAsia="宋体"/>
      <w:sz w:val="20"/>
      <w:szCs w:val="21"/>
    </w:rPr>
  </w:style>
  <w:style w:type="paragraph" w:styleId="741">
    <w:name w:val="Body Text Indent 3"/>
    <w:basedOn w:val="702"/>
    <w:link w:val="796"/>
    <w:uiPriority w:val="99"/>
    <w:qFormat/>
    <w:pPr>
      <w:ind w:firstLine="540"/>
      <w:spacing w:line="360" w:lineRule="auto"/>
      <w:widowControl/>
    </w:pPr>
    <w:rPr>
      <w:rFonts w:ascii="宋体" w:hAnsi="MS Sans Serif" w:eastAsia="宋体"/>
      <w:color w:val="000000"/>
      <w:sz w:val="24"/>
      <w:szCs w:val="20"/>
    </w:rPr>
  </w:style>
  <w:style w:type="paragraph" w:styleId="742">
    <w:name w:val="toc 2"/>
    <w:basedOn w:val="702"/>
    <w:next w:val="702"/>
    <w:uiPriority w:val="39"/>
    <w:qFormat/>
    <w:pPr>
      <w:jc w:val="center"/>
      <w:tabs>
        <w:tab w:val="right" w:pos="9356" w:leader="dot"/>
      </w:tabs>
    </w:pPr>
    <w:rPr>
      <w:b/>
      <w:sz w:val="28"/>
      <w:szCs w:val="28"/>
    </w:rPr>
  </w:style>
  <w:style w:type="paragraph" w:styleId="743">
    <w:name w:val="toc 9"/>
    <w:basedOn w:val="702"/>
    <w:next w:val="702"/>
    <w:uiPriority w:val="39"/>
    <w:qFormat/>
    <w:pPr>
      <w:ind w:left="1600"/>
      <w:jc w:val="left"/>
      <w:widowControl/>
    </w:pPr>
    <w:rPr>
      <w:rFonts w:ascii="Times New Roman" w:hAnsi="Times New Roman" w:eastAsia="宋体"/>
      <w:sz w:val="20"/>
      <w:szCs w:val="21"/>
    </w:rPr>
  </w:style>
  <w:style w:type="paragraph" w:styleId="744">
    <w:name w:val="Body Text 2"/>
    <w:basedOn w:val="702"/>
    <w:link w:val="797"/>
    <w:uiPriority w:val="99"/>
    <w:qFormat/>
    <w:pPr>
      <w:jc w:val="left"/>
      <w:spacing w:line="360" w:lineRule="exact"/>
      <w:widowControl/>
    </w:pPr>
    <w:rPr>
      <w:rFonts w:ascii="Times New Roman" w:hAnsi="Times New Roman" w:eastAsia="宋体"/>
      <w:sz w:val="28"/>
      <w:szCs w:val="20"/>
    </w:rPr>
  </w:style>
  <w:style w:type="paragraph" w:styleId="745">
    <w:name w:val="HTML Preformatted"/>
    <w:basedOn w:val="702"/>
    <w:link w:val="844"/>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746">
    <w:name w:val="Normal (Web)"/>
    <w:basedOn w:val="702"/>
    <w:uiPriority w:val="99"/>
    <w:qFormat/>
    <w:pPr>
      <w:jc w:val="left"/>
      <w:spacing w:before="100" w:beforeAutospacing="1" w:after="100" w:afterAutospacing="1"/>
      <w:widowControl/>
    </w:pPr>
    <w:rPr>
      <w:rFonts w:ascii="宋体" w:hAnsi="Times New Roman" w:eastAsia="宋体" w:cs="宋体"/>
      <w:sz w:val="24"/>
    </w:rPr>
  </w:style>
  <w:style w:type="paragraph" w:styleId="747">
    <w:name w:val="Title"/>
    <w:basedOn w:val="702"/>
    <w:next w:val="702"/>
    <w:link w:val="1172"/>
    <w:uiPriority w:val="0"/>
    <w:qFormat/>
    <w:pPr>
      <w:jc w:val="center"/>
      <w:spacing w:before="240" w:after="60" w:line="520" w:lineRule="atLeast"/>
      <w:outlineLvl w:val="0"/>
    </w:pPr>
    <w:rPr>
      <w:rFonts w:ascii="Cambria" w:hAnsi="Cambria" w:eastAsia="宋体"/>
      <w:b/>
      <w:bCs/>
      <w:sz w:val="32"/>
      <w:szCs w:val="32"/>
      <w:lang w:val="zh-CN"/>
    </w:rPr>
  </w:style>
  <w:style w:type="paragraph" w:styleId="748">
    <w:name w:val="annotation subject"/>
    <w:basedOn w:val="719"/>
    <w:next w:val="719"/>
    <w:link w:val="798"/>
    <w:uiPriority w:val="99"/>
    <w:semiHidden/>
    <w:qFormat/>
    <w:pPr>
      <w:widowControl/>
    </w:pPr>
    <w:rPr>
      <w:b/>
      <w:bCs/>
      <w:sz w:val="20"/>
      <w:szCs w:val="20"/>
    </w:rPr>
  </w:style>
  <w:style w:type="paragraph" w:styleId="749">
    <w:name w:val="Body Text First Indent"/>
    <w:basedOn w:val="750"/>
    <w:next w:val="702"/>
    <w:link w:val="799"/>
    <w:uiPriority w:val="99"/>
    <w:qFormat/>
    <w:pPr>
      <w:ind w:firstLine="200"/>
      <w:spacing w:line="360" w:lineRule="auto"/>
    </w:pPr>
    <w:rPr>
      <w:rFonts w:ascii="仿宋_GB2312" w:hAnsi="Times New Roman" w:eastAsia="仿宋_GB2312"/>
      <w:sz w:val="30"/>
      <w:szCs w:val="30"/>
    </w:rPr>
  </w:style>
  <w:style w:type="paragraph" w:styleId="750" w:customStyle="1">
    <w:name w:val="正文文本113"/>
    <w:basedOn w:val="702"/>
    <w:next w:val="751"/>
    <w:uiPriority w:val="0"/>
    <w:qFormat/>
    <w:pPr>
      <w:spacing w:after="120"/>
    </w:pPr>
    <w:rPr>
      <w:sz w:val="28"/>
    </w:rPr>
  </w:style>
  <w:style w:type="paragraph" w:styleId="751" w:customStyle="1">
    <w:name w:val="一级条标题"/>
    <w:basedOn w:val="752"/>
    <w:next w:val="7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2" w:customStyle="1">
    <w:name w:val="章标题"/>
    <w:next w:val="70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53" w:customStyle="1">
    <w:name w:val="段"/>
    <w:next w:val="754"/>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54" w:customStyle="1">
    <w:name w:val="正文 A"/>
    <w:next w:val="753"/>
    <w:uiPriority w:val="0"/>
    <w:qFormat/>
    <w:pPr>
      <w:jc w:val="both"/>
      <w:widowControl w:val="off"/>
    </w:pPr>
    <w:rPr>
      <w:rFonts w:ascii="Calibri" w:hAnsi="Calibri" w:eastAsia="Calibri" w:cs="Calibri"/>
      <w:color w:val="000000"/>
      <w:sz w:val="21"/>
      <w:szCs w:val="21"/>
      <w:lang w:val="en-US" w:eastAsia="zh-CN" w:bidi="ar-SA"/>
    </w:rPr>
  </w:style>
  <w:style w:type="paragraph" w:styleId="755">
    <w:name w:val="Body Text First Indent 2"/>
    <w:basedOn w:val="721"/>
    <w:link w:val="800"/>
    <w:uiPriority w:val="99"/>
    <w:qFormat/>
    <w:pPr>
      <w:ind w:left="0" w:firstLine="420"/>
      <w:spacing w:after="0" w:line="200" w:lineRule="exact"/>
    </w:pPr>
    <w:rPr>
      <w:rFonts w:ascii="Times New Roman" w:hAnsi="Times New Roman" w:eastAsia="宋体"/>
      <w:spacing w:val="-4"/>
      <w:sz w:val="18"/>
    </w:rPr>
  </w:style>
  <w:style w:type="table" w:styleId="756">
    <w:name w:val="Table Grid"/>
    <w:basedOn w:val="71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7">
    <w:name w:val="Strong"/>
    <w:basedOn w:val="712"/>
    <w:uiPriority w:val="22"/>
    <w:qFormat/>
  </w:style>
  <w:style w:type="character" w:styleId="758">
    <w:name w:val="endnote reference"/>
    <w:uiPriority w:val="0"/>
    <w:semiHidden/>
    <w:qFormat/>
    <w:rPr>
      <w:vertAlign w:val="superscript"/>
    </w:rPr>
  </w:style>
  <w:style w:type="character" w:styleId="759">
    <w:name w:val="page number"/>
    <w:uiPriority w:val="0"/>
    <w:qFormat/>
    <w:rPr>
      <w:rFonts w:cs="Times New Roman"/>
    </w:rPr>
  </w:style>
  <w:style w:type="character" w:styleId="760">
    <w:name w:val="FollowedHyperlink"/>
    <w:basedOn w:val="712"/>
    <w:uiPriority w:val="99"/>
    <w:semiHidden/>
    <w:unhideWhenUsed/>
    <w:qFormat/>
    <w:rPr>
      <w:color w:val="800080" w:themeColor="followedHyperlink"/>
      <w:u w:val="single"/>
    </w:rPr>
  </w:style>
  <w:style w:type="character" w:styleId="761">
    <w:name w:val="Emphasis"/>
    <w:basedOn w:val="712"/>
    <w:uiPriority w:val="0"/>
    <w:qFormat/>
  </w:style>
  <w:style w:type="character" w:styleId="762">
    <w:name w:val="HTML Definition"/>
    <w:basedOn w:val="712"/>
    <w:uiPriority w:val="99"/>
    <w:semiHidden/>
    <w:unhideWhenUsed/>
    <w:qFormat/>
  </w:style>
  <w:style w:type="character" w:styleId="763">
    <w:name w:val="HTML Typewriter"/>
    <w:basedOn w:val="712"/>
    <w:uiPriority w:val="99"/>
    <w:semiHidden/>
    <w:unhideWhenUsed/>
    <w:qFormat/>
    <w:rPr>
      <w:rFonts w:hint="default" w:ascii="monospace" w:hAnsi="monospace" w:eastAsia="monospace" w:cs="monospace"/>
      <w:sz w:val="20"/>
    </w:rPr>
  </w:style>
  <w:style w:type="character" w:styleId="764">
    <w:name w:val="HTML Acronym"/>
    <w:basedOn w:val="712"/>
    <w:uiPriority w:val="99"/>
    <w:semiHidden/>
    <w:unhideWhenUsed/>
    <w:qFormat/>
  </w:style>
  <w:style w:type="character" w:styleId="765">
    <w:name w:val="HTML Variable"/>
    <w:basedOn w:val="712"/>
    <w:uiPriority w:val="99"/>
    <w:semiHidden/>
    <w:unhideWhenUsed/>
    <w:qFormat/>
  </w:style>
  <w:style w:type="character" w:styleId="766">
    <w:name w:val="Hyperlink"/>
    <w:uiPriority w:val="99"/>
    <w:qFormat/>
    <w:rPr>
      <w:rFonts w:cs="Times New Roman"/>
      <w:color w:val="0000ff"/>
      <w:u w:val="single"/>
    </w:rPr>
  </w:style>
  <w:style w:type="character" w:styleId="767">
    <w:name w:val="HTML Code"/>
    <w:basedOn w:val="712"/>
    <w:uiPriority w:val="99"/>
    <w:semiHidden/>
    <w:unhideWhenUsed/>
    <w:qFormat/>
    <w:rPr>
      <w:rFonts w:hint="default" w:ascii="monospace" w:hAnsi="monospace" w:eastAsia="monospace" w:cs="monospace"/>
      <w:sz w:val="20"/>
    </w:rPr>
  </w:style>
  <w:style w:type="character" w:styleId="768">
    <w:name w:val="annotation reference"/>
    <w:uiPriority w:val="0"/>
    <w:semiHidden/>
    <w:qFormat/>
    <w:rPr>
      <w:sz w:val="21"/>
      <w:szCs w:val="21"/>
    </w:rPr>
  </w:style>
  <w:style w:type="character" w:styleId="769">
    <w:name w:val="HTML Cite"/>
    <w:basedOn w:val="712"/>
    <w:uiPriority w:val="99"/>
    <w:semiHidden/>
    <w:unhideWhenUsed/>
    <w:qFormat/>
  </w:style>
  <w:style w:type="character" w:styleId="770">
    <w:name w:val="footnote reference"/>
    <w:uiPriority w:val="0"/>
    <w:semiHidden/>
    <w:qFormat/>
    <w:rPr>
      <w:rFonts w:cs="Times New Roman"/>
      <w:vertAlign w:val="superscript"/>
    </w:rPr>
  </w:style>
  <w:style w:type="character" w:styleId="771">
    <w:name w:val="HTML Keyboard"/>
    <w:basedOn w:val="712"/>
    <w:uiPriority w:val="99"/>
    <w:semiHidden/>
    <w:unhideWhenUsed/>
    <w:qFormat/>
    <w:rPr>
      <w:rFonts w:hint="default" w:ascii="monospace" w:hAnsi="monospace" w:eastAsia="monospace" w:cs="monospace"/>
      <w:sz w:val="20"/>
    </w:rPr>
  </w:style>
  <w:style w:type="character" w:styleId="772">
    <w:name w:val="HTML Sample"/>
    <w:basedOn w:val="712"/>
    <w:uiPriority w:val="99"/>
    <w:semiHidden/>
    <w:unhideWhenUsed/>
    <w:qFormat/>
    <w:rPr>
      <w:rFonts w:ascii="monospace" w:hAnsi="monospace" w:eastAsia="monospace" w:cs="monospace"/>
    </w:rPr>
  </w:style>
  <w:style w:type="paragraph" w:styleId="773" w:customStyle="1">
    <w:name w:val="正文1"/>
    <w:basedOn w:val="702"/>
    <w:next w:val="702"/>
    <w:uiPriority w:val="99"/>
    <w:qFormat/>
    <w:pPr>
      <w:ind w:right="-167"/>
      <w:spacing w:line="440" w:lineRule="exact"/>
      <w:widowControl/>
    </w:pPr>
    <w:rPr>
      <w:rFonts w:ascii="Times New Roman" w:hAnsi="Times New Roman" w:eastAsia="宋体"/>
      <w:b/>
    </w:rPr>
  </w:style>
  <w:style w:type="character" w:styleId="774" w:customStyle="1">
    <w:name w:val="标题 1 字符"/>
    <w:basedOn w:val="712"/>
    <w:link w:val="703"/>
    <w:uiPriority w:val="0"/>
    <w:qFormat/>
    <w:rPr>
      <w:b/>
      <w:bCs/>
      <w:sz w:val="44"/>
      <w:szCs w:val="44"/>
    </w:rPr>
  </w:style>
  <w:style w:type="character" w:styleId="775" w:customStyle="1">
    <w:name w:val="标题 2 字符"/>
    <w:link w:val="704"/>
    <w:uiPriority w:val="0"/>
    <w:qFormat/>
    <w:rPr>
      <w:rFonts w:ascii="Arial" w:hAnsi="Arial" w:eastAsia="黑体"/>
      <w:b/>
      <w:bCs/>
      <w:sz w:val="32"/>
      <w:szCs w:val="32"/>
    </w:rPr>
  </w:style>
  <w:style w:type="character" w:styleId="776" w:customStyle="1">
    <w:name w:val="标题 3 字符"/>
    <w:basedOn w:val="712"/>
    <w:link w:val="705"/>
    <w:uiPriority w:val="0"/>
    <w:qFormat/>
    <w:rPr>
      <w:b/>
      <w:bCs/>
      <w:sz w:val="32"/>
      <w:szCs w:val="32"/>
    </w:rPr>
  </w:style>
  <w:style w:type="character" w:styleId="777" w:customStyle="1">
    <w:name w:val="标题 4 字符"/>
    <w:basedOn w:val="712"/>
    <w:link w:val="706"/>
    <w:uiPriority w:val="0"/>
    <w:qFormat/>
    <w:rPr>
      <w:rFonts w:ascii="Arial" w:hAnsi="Arial" w:eastAsia="黑体"/>
      <w:sz w:val="28"/>
    </w:rPr>
  </w:style>
  <w:style w:type="character" w:styleId="778" w:customStyle="1">
    <w:name w:val="标题 5 字符"/>
    <w:basedOn w:val="712"/>
    <w:link w:val="707"/>
    <w:uiPriority w:val="0"/>
    <w:qFormat/>
    <w:rPr>
      <w:rFonts w:ascii="宋体" w:hAnsi="宋体" w:eastAsia="宋体"/>
      <w:b/>
      <w:sz w:val="24"/>
    </w:rPr>
  </w:style>
  <w:style w:type="character" w:styleId="779" w:customStyle="1">
    <w:name w:val="标题 6 字符"/>
    <w:basedOn w:val="712"/>
    <w:link w:val="708"/>
    <w:uiPriority w:val="0"/>
    <w:qFormat/>
    <w:rPr>
      <w:rFonts w:ascii="Arial" w:hAnsi="Arial" w:eastAsia="黑体"/>
      <w:b/>
      <w:bCs/>
      <w:sz w:val="24"/>
      <w:szCs w:val="24"/>
    </w:rPr>
  </w:style>
  <w:style w:type="character" w:styleId="780" w:customStyle="1">
    <w:name w:val="标题 7 字符"/>
    <w:basedOn w:val="712"/>
    <w:link w:val="709"/>
    <w:uiPriority w:val="0"/>
    <w:qFormat/>
    <w:rPr>
      <w:rFonts w:ascii="Times New Roman" w:hAnsi="Times New Roman" w:eastAsia="宋体"/>
      <w:b/>
      <w:bCs/>
      <w:sz w:val="24"/>
      <w:szCs w:val="24"/>
    </w:rPr>
  </w:style>
  <w:style w:type="character" w:styleId="781" w:customStyle="1">
    <w:name w:val="标题 8 字符"/>
    <w:basedOn w:val="712"/>
    <w:link w:val="710"/>
    <w:uiPriority w:val="0"/>
    <w:qFormat/>
    <w:rPr>
      <w:rFonts w:ascii="Arial" w:hAnsi="Arial" w:eastAsia="黑体"/>
      <w:sz w:val="24"/>
      <w:szCs w:val="24"/>
    </w:rPr>
  </w:style>
  <w:style w:type="character" w:styleId="782" w:customStyle="1">
    <w:name w:val="标题 9 字符"/>
    <w:basedOn w:val="712"/>
    <w:link w:val="711"/>
    <w:uiPriority w:val="0"/>
    <w:qFormat/>
    <w:rPr>
      <w:rFonts w:ascii="Arial" w:hAnsi="Arial" w:eastAsia="黑体"/>
      <w:sz w:val="21"/>
      <w:szCs w:val="21"/>
    </w:rPr>
  </w:style>
  <w:style w:type="character" w:styleId="783" w:customStyle="1">
    <w:name w:val="正文缩进 字符"/>
    <w:link w:val="717"/>
    <w:uiPriority w:val="0"/>
    <w:qFormat/>
    <w:rPr>
      <w:rFonts w:ascii="Times New Roman" w:hAnsi="Times New Roman" w:eastAsia="宋体"/>
      <w:sz w:val="21"/>
    </w:rPr>
  </w:style>
  <w:style w:type="character" w:styleId="784" w:customStyle="1">
    <w:name w:val="文档结构图 字符"/>
    <w:basedOn w:val="712"/>
    <w:link w:val="718"/>
    <w:uiPriority w:val="99"/>
    <w:semiHidden/>
    <w:qFormat/>
    <w:rPr>
      <w:rFonts w:ascii="Times New Roman" w:hAnsi="Times New Roman" w:eastAsia="宋体"/>
      <w:shd w:val="clear" w:color="auto" w:fill="000080"/>
    </w:rPr>
  </w:style>
  <w:style w:type="character" w:styleId="785" w:customStyle="1">
    <w:name w:val="批注文字 字符"/>
    <w:link w:val="719"/>
    <w:uiPriority w:val="99"/>
    <w:qFormat/>
    <w:rPr>
      <w:rFonts w:ascii="Times New Roman" w:hAnsi="Times New Roman" w:eastAsia="宋体" w:cs="Times New Roman"/>
      <w:sz w:val="24"/>
      <w:szCs w:val="24"/>
    </w:rPr>
  </w:style>
  <w:style w:type="character" w:styleId="786" w:customStyle="1">
    <w:name w:val="正文文本 字符"/>
    <w:link w:val="720"/>
    <w:uiPriority w:val="99"/>
    <w:qFormat/>
    <w:rPr>
      <w:rFonts w:ascii="Tahoma" w:hAnsi="Tahoma" w:eastAsia="宋体" w:cs="Times New Roman"/>
      <w:sz w:val="24"/>
      <w:szCs w:val="24"/>
    </w:rPr>
  </w:style>
  <w:style w:type="character" w:styleId="787" w:customStyle="1">
    <w:name w:val="正文文本缩进 字符"/>
    <w:link w:val="721"/>
    <w:uiPriority w:val="99"/>
    <w:qFormat/>
    <w:rPr>
      <w:sz w:val="21"/>
      <w:szCs w:val="24"/>
    </w:rPr>
  </w:style>
  <w:style w:type="character" w:styleId="788" w:customStyle="1">
    <w:name w:val="纯文本 字符"/>
    <w:link w:val="727"/>
    <w:uiPriority w:val="99"/>
    <w:qFormat/>
    <w:rPr>
      <w:rFonts w:ascii="宋体" w:hAnsi="Courier New" w:eastAsia="宋体" w:cs="Times New Roman"/>
      <w:sz w:val="24"/>
      <w:szCs w:val="24"/>
    </w:rPr>
  </w:style>
  <w:style w:type="character" w:styleId="789" w:customStyle="1">
    <w:name w:val="日期 字符"/>
    <w:basedOn w:val="712"/>
    <w:link w:val="729"/>
    <w:uiPriority w:val="99"/>
    <w:semiHidden/>
    <w:qFormat/>
    <w:rPr>
      <w:sz w:val="21"/>
      <w:szCs w:val="24"/>
    </w:rPr>
  </w:style>
  <w:style w:type="character" w:styleId="790" w:customStyle="1">
    <w:name w:val="正文文本缩进 2 字符"/>
    <w:basedOn w:val="712"/>
    <w:link w:val="730"/>
    <w:uiPriority w:val="99"/>
    <w:qFormat/>
    <w:rPr>
      <w:rFonts w:ascii="宋体" w:hAnsi="MS Sans Serif" w:eastAsia="宋体"/>
      <w:spacing w:val="12"/>
      <w:sz w:val="24"/>
    </w:rPr>
  </w:style>
  <w:style w:type="character" w:styleId="791" w:customStyle="1">
    <w:name w:val="尾注文本 字符"/>
    <w:basedOn w:val="712"/>
    <w:link w:val="731"/>
    <w:uiPriority w:val="99"/>
    <w:semiHidden/>
    <w:qFormat/>
    <w:rPr>
      <w:rFonts w:ascii="Times New Roman" w:hAnsi="Times New Roman" w:eastAsia="宋体"/>
    </w:rPr>
  </w:style>
  <w:style w:type="character" w:styleId="792" w:customStyle="1">
    <w:name w:val="批注框文本 字符"/>
    <w:link w:val="732"/>
    <w:uiPriority w:val="0"/>
    <w:qFormat/>
    <w:rPr>
      <w:rFonts w:ascii="Times New Roman" w:hAnsi="Times New Roman" w:eastAsia="宋体" w:cs="Times New Roman"/>
      <w:sz w:val="18"/>
      <w:szCs w:val="18"/>
    </w:rPr>
  </w:style>
  <w:style w:type="character" w:styleId="793" w:customStyle="1">
    <w:name w:val="页脚 字符"/>
    <w:link w:val="733"/>
    <w:uiPriority w:val="99"/>
    <w:qFormat/>
    <w:rPr>
      <w:rFonts w:ascii="Times New Roman" w:hAnsi="Times New Roman" w:eastAsia="宋体"/>
      <w:sz w:val="18"/>
      <w:szCs w:val="24"/>
    </w:rPr>
  </w:style>
  <w:style w:type="character" w:styleId="794" w:customStyle="1">
    <w:name w:val="页眉 字符"/>
    <w:link w:val="734"/>
    <w:uiPriority w:val="0"/>
    <w:qFormat/>
    <w:rPr>
      <w:rFonts w:ascii="Times New Roman" w:hAnsi="Times New Roman" w:eastAsia="宋体" w:cs="Times New Roman"/>
      <w:sz w:val="24"/>
      <w:szCs w:val="24"/>
    </w:rPr>
  </w:style>
  <w:style w:type="character" w:styleId="795" w:customStyle="1">
    <w:name w:val="脚注文本 字符"/>
    <w:link w:val="739"/>
    <w:uiPriority w:val="99"/>
    <w:semiHidden/>
    <w:qFormat/>
    <w:rPr>
      <w:rFonts w:cs="Times New Roman"/>
      <w:sz w:val="18"/>
      <w:szCs w:val="18"/>
    </w:rPr>
  </w:style>
  <w:style w:type="character" w:styleId="796" w:customStyle="1">
    <w:name w:val="正文文本缩进 3 字符"/>
    <w:basedOn w:val="712"/>
    <w:link w:val="741"/>
    <w:uiPriority w:val="99"/>
    <w:qFormat/>
    <w:rPr>
      <w:rFonts w:ascii="宋体" w:hAnsi="MS Sans Serif" w:eastAsia="宋体"/>
      <w:color w:val="000000"/>
      <w:sz w:val="24"/>
    </w:rPr>
  </w:style>
  <w:style w:type="character" w:styleId="797" w:customStyle="1">
    <w:name w:val="正文文本 2 字符"/>
    <w:basedOn w:val="712"/>
    <w:link w:val="744"/>
    <w:uiPriority w:val="99"/>
    <w:qFormat/>
    <w:rPr>
      <w:rFonts w:ascii="Times New Roman" w:hAnsi="Times New Roman" w:eastAsia="宋体"/>
      <w:sz w:val="28"/>
    </w:rPr>
  </w:style>
  <w:style w:type="character" w:styleId="798" w:customStyle="1">
    <w:name w:val="批注主题 字符"/>
    <w:basedOn w:val="785"/>
    <w:link w:val="748"/>
    <w:uiPriority w:val="99"/>
    <w:semiHidden/>
    <w:qFormat/>
    <w:rPr>
      <w:rFonts w:ascii="Times New Roman" w:hAnsi="Times New Roman" w:eastAsia="宋体" w:cs="Times New Roman"/>
      <w:b/>
      <w:bCs/>
      <w:sz w:val="24"/>
      <w:szCs w:val="24"/>
    </w:rPr>
  </w:style>
  <w:style w:type="character" w:styleId="799" w:customStyle="1">
    <w:name w:val="正文文本首行缩进 字符"/>
    <w:link w:val="749"/>
    <w:uiPriority w:val="99"/>
    <w:qFormat/>
    <w:rPr>
      <w:rFonts w:ascii="仿宋_GB2312" w:hAnsi="Times New Roman" w:eastAsia="仿宋_GB2312" w:cs="Times New Roman"/>
      <w:sz w:val="30"/>
      <w:szCs w:val="30"/>
    </w:rPr>
  </w:style>
  <w:style w:type="character" w:styleId="800" w:customStyle="1">
    <w:name w:val="正文文本首行缩进 2 字符"/>
    <w:link w:val="755"/>
    <w:uiPriority w:val="99"/>
    <w:qFormat/>
    <w:rPr>
      <w:rFonts w:ascii="Times New Roman" w:hAnsi="Times New Roman" w:eastAsia="宋体" w:cs="Times New Roman"/>
      <w:spacing w:val="-4"/>
      <w:sz w:val="24"/>
      <w:szCs w:val="24"/>
    </w:rPr>
  </w:style>
  <w:style w:type="character" w:styleId="801" w:customStyle="1">
    <w:name w:val="NormalCharacter"/>
    <w:uiPriority w:val="99"/>
    <w:semiHidden/>
    <w:qFormat/>
    <w:rPr>
      <w:rFonts w:ascii="Times New Roman" w:hAnsi="Times New Roman" w:eastAsia="宋体"/>
      <w:sz w:val="24"/>
      <w:lang w:val="en-US" w:eastAsia="zh-CN"/>
    </w:rPr>
  </w:style>
  <w:style w:type="paragraph" w:styleId="802" w:customStyle="1">
    <w:name w:val="BodyText1I2"/>
    <w:basedOn w:val="803"/>
    <w:uiPriority w:val="99"/>
    <w:qFormat/>
    <w:pPr>
      <w:ind w:firstLine="420"/>
      <w:spacing w:line="360" w:lineRule="auto"/>
    </w:pPr>
    <w:rPr>
      <w:rFonts w:ascii="宋体" w:hAnsi="宋体" w:eastAsia="宋体"/>
      <w:sz w:val="21"/>
      <w:szCs w:val="20"/>
    </w:rPr>
  </w:style>
  <w:style w:type="paragraph" w:styleId="803" w:customStyle="1">
    <w:name w:val="BodyTextIndent"/>
    <w:basedOn w:val="702"/>
    <w:next w:val="804"/>
    <w:uiPriority w:val="99"/>
    <w:qFormat/>
    <w:pPr>
      <w:ind w:firstLine="645"/>
    </w:pPr>
    <w:rPr>
      <w:rFonts w:ascii="楷体_GB2312" w:hAnsi="Times New Roman" w:eastAsia="楷体_GB2312"/>
      <w:sz w:val="32"/>
      <w:szCs w:val="32"/>
    </w:rPr>
  </w:style>
  <w:style w:type="paragraph" w:styleId="804" w:customStyle="1">
    <w:name w:val="EnvelopeReturn"/>
    <w:basedOn w:val="702"/>
    <w:uiPriority w:val="99"/>
    <w:qFormat/>
    <w:rPr>
      <w:rFonts w:ascii="Arial" w:hAnsi="Arial" w:eastAsia="宋体"/>
    </w:rPr>
  </w:style>
  <w:style w:type="paragraph" w:styleId="805"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806" w:customStyle="1">
    <w:name w:val="纯文本3"/>
    <w:basedOn w:val="702"/>
    <w:uiPriority w:val="99"/>
    <w:qFormat/>
    <w:rPr>
      <w:rFonts w:ascii="宋体" w:hAnsi="Courier New" w:eastAsia="宋体" w:cs="宋体"/>
    </w:rPr>
  </w:style>
  <w:style w:type="paragraph" w:styleId="807" w:customStyle="1">
    <w:name w:val="Table Paragraph"/>
    <w:basedOn w:val="702"/>
    <w:uiPriority w:val="1"/>
    <w:qFormat/>
    <w:pPr>
      <w:jc w:val="left"/>
    </w:pPr>
    <w:rPr>
      <w:rFonts w:ascii="宋体" w:hAnsi="宋体" w:eastAsia="宋体" w:cs="宋体"/>
      <w:sz w:val="22"/>
      <w:szCs w:val="22"/>
      <w:lang w:eastAsia="en-US"/>
    </w:rPr>
  </w:style>
  <w:style w:type="character" w:styleId="808" w:customStyle="1">
    <w:name w:val="font11"/>
    <w:uiPriority w:val="0"/>
    <w:qFormat/>
    <w:rPr>
      <w:rFonts w:ascii="宋体" w:hAnsi="宋体" w:eastAsia="宋体" w:cs="宋体"/>
      <w:color w:val="000000"/>
      <w:sz w:val="20"/>
      <w:szCs w:val="20"/>
      <w:u w:val="none"/>
    </w:rPr>
  </w:style>
  <w:style w:type="character" w:styleId="809" w:customStyle="1">
    <w:name w:val="font01"/>
    <w:uiPriority w:val="0"/>
    <w:qFormat/>
    <w:rPr>
      <w:rFonts w:ascii="宋体" w:hAnsi="宋体" w:eastAsia="宋体" w:cs="宋体"/>
      <w:color w:val="000000"/>
      <w:sz w:val="20"/>
      <w:szCs w:val="20"/>
      <w:u w:val="none"/>
    </w:rPr>
  </w:style>
  <w:style w:type="character" w:styleId="810" w:customStyle="1">
    <w:name w:val="正文文本缩进 Char1"/>
    <w:uiPriority w:val="99"/>
    <w:semiHidden/>
    <w:qFormat/>
    <w:rPr>
      <w:rFonts w:ascii="Tahoma" w:hAnsi="Tahoma" w:cs="Times New Roman"/>
    </w:rPr>
  </w:style>
  <w:style w:type="paragraph" w:styleId="811" w:customStyle="1">
    <w:name w:val="black1"/>
    <w:basedOn w:val="702"/>
    <w:uiPriority w:val="99"/>
    <w:qFormat/>
    <w:pPr>
      <w:jc w:val="left"/>
      <w:spacing w:before="100" w:beforeAutospacing="1" w:after="100" w:afterAutospacing="1"/>
      <w:widowControl/>
    </w:pPr>
    <w:rPr>
      <w:rFonts w:ascii="宋体" w:hAnsi="宋体" w:eastAsia="宋体"/>
      <w:sz w:val="24"/>
    </w:rPr>
  </w:style>
  <w:style w:type="paragraph" w:styleId="812">
    <w:name w:val="List Paragraph"/>
    <w:basedOn w:val="702"/>
    <w:uiPriority w:val="34"/>
    <w:qFormat/>
    <w:pPr>
      <w:ind w:firstLine="420"/>
    </w:pPr>
  </w:style>
  <w:style w:type="paragraph" w:styleId="813" w:customStyle="1">
    <w:name w:val="_Style 90"/>
    <w:uiPriority w:val="0"/>
    <w:qFormat/>
    <w:pPr>
      <w:jc w:val="both"/>
      <w:widowControl w:val="off"/>
    </w:pPr>
    <w:rPr>
      <w:rFonts w:ascii="Calibri" w:hAnsi="Calibri" w:eastAsia="微软雅黑" w:cs="Times New Roman"/>
      <w:sz w:val="21"/>
      <w:szCs w:val="24"/>
      <w:lang w:val="en-US" w:eastAsia="zh-CN" w:bidi="ar-SA"/>
    </w:rPr>
  </w:style>
  <w:style w:type="character" w:styleId="814" w:customStyle="1">
    <w:name w:val="Para head"/>
    <w:uiPriority w:val="0"/>
    <w:qFormat/>
    <w:rPr>
      <w:rFonts w:ascii="Arial" w:hAnsi="Arial" w:eastAsia="Times New Roman"/>
      <w:sz w:val="20"/>
    </w:rPr>
  </w:style>
  <w:style w:type="paragraph" w:styleId="815" w:customStyle="1">
    <w:name w:val="目录文字"/>
    <w:basedOn w:val="702"/>
    <w:uiPriority w:val="0"/>
    <w:qFormat/>
    <w:pPr>
      <w:jc w:val="left"/>
      <w:spacing w:line="480" w:lineRule="auto"/>
      <w:widowControl/>
    </w:pPr>
    <w:rPr>
      <w:rFonts w:ascii="宋体" w:hAnsi="宋体" w:eastAsia="宋体"/>
      <w:sz w:val="24"/>
      <w:szCs w:val="20"/>
    </w:rPr>
  </w:style>
  <w:style w:type="paragraph" w:styleId="816" w:customStyle="1">
    <w:name w:val="正文缩进1"/>
    <w:basedOn w:val="702"/>
    <w:uiPriority w:val="0"/>
    <w:qFormat/>
    <w:pPr>
      <w:ind w:firstLine="420"/>
      <w:jc w:val="left"/>
      <w:spacing w:line="360" w:lineRule="atLeast"/>
      <w:widowControl/>
    </w:pPr>
    <w:rPr>
      <w:rFonts w:ascii="Times New Roman" w:hAnsi="Times New Roman" w:eastAsia="宋体"/>
      <w:sz w:val="24"/>
      <w:szCs w:val="22"/>
    </w:rPr>
  </w:style>
  <w:style w:type="paragraph" w:styleId="817" w:customStyle="1">
    <w:name w:val="Preformatted"/>
    <w:basedOn w:val="70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818" w:customStyle="1">
    <w:name w:val="TOC 标题1"/>
    <w:basedOn w:val="703"/>
    <w:next w:val="702"/>
    <w:uiPriority w:val="39"/>
    <w:qFormat/>
    <w:pPr>
      <w:numPr>
        <w:ilvl w:val="0"/>
        <w:numId w:val="1"/>
      </w:numPr>
      <w:jc w:val="left"/>
      <w:keepLines w:val="0"/>
      <w:spacing w:before="480" w:after="0" w:line="276" w:lineRule="auto"/>
      <w:widowControl/>
      <w:tabs>
        <w:tab w:val="left" w:pos="432" w:leader="none"/>
        <w:tab w:val="left" w:pos="720" w:leader="none"/>
        <w:tab w:val="left" w:pos="1260" w:leader="none"/>
        <w:tab w:val="left" w:pos="1800" w:leader="none"/>
        <w:tab w:val="left" w:pos="2520" w:leader="none"/>
        <w:tab w:val="left" w:pos="3870" w:leader="none"/>
        <w:tab w:val="left" w:pos="4680" w:leader="none"/>
        <w:tab w:val="left" w:pos="5940" w:leader="none"/>
      </w:tabs>
      <w:outlineLvl w:val="9"/>
    </w:pPr>
    <w:rPr>
      <w:rFonts w:ascii="Cambria" w:hAnsi="Cambria" w:eastAsia="宋体"/>
      <w:b w:val="0"/>
      <w:bCs w:val="0"/>
      <w:color w:val="365f91"/>
      <w:sz w:val="28"/>
      <w:szCs w:val="28"/>
    </w:rPr>
  </w:style>
  <w:style w:type="paragraph" w:styleId="819" w:customStyle="1">
    <w:name w:val="节"/>
    <w:basedOn w:val="704"/>
    <w:uiPriority w:val="0"/>
    <w:qFormat/>
    <w:pPr>
      <w:numPr>
        <w:ilvl w:val="1"/>
        <w:numId w:val="2"/>
      </w:numPr>
      <w:jc w:val="left"/>
      <w:spacing w:after="0" w:line="240" w:lineRule="auto"/>
      <w:widowControl/>
      <w:tabs>
        <w:tab w:val="left" w:pos="576" w:leader="none"/>
      </w:tabs>
    </w:pPr>
    <w:rPr>
      <w:rFonts w:ascii="黑体"/>
      <w:b w:val="0"/>
      <w:bCs w:val="0"/>
      <w:color w:val="000000"/>
      <w:sz w:val="28"/>
      <w:szCs w:val="28"/>
      <w:lang w:val="zh-CN"/>
    </w:rPr>
  </w:style>
  <w:style w:type="paragraph" w:styleId="820" w:customStyle="1">
    <w:name w:val="菲页2"/>
    <w:basedOn w:val="705"/>
    <w:uiPriority w:val="0"/>
    <w:qFormat/>
    <w:pPr>
      <w:numPr>
        <w:ilvl w:val="2"/>
        <w:numId w:val="1"/>
      </w:numPr>
      <w:jc w:val="center"/>
      <w:spacing w:before="120" w:after="120" w:line="360" w:lineRule="auto"/>
      <w:widowControl/>
      <w:tabs>
        <w:tab w:val="left" w:pos="720" w:leader="none"/>
      </w:tabs>
    </w:pPr>
    <w:rPr>
      <w:rFonts w:ascii="黑体" w:hAnsi="宋体" w:eastAsia="黑体"/>
      <w:b w:val="0"/>
      <w:bCs w:val="0"/>
      <w:sz w:val="44"/>
      <w:szCs w:val="20"/>
    </w:rPr>
  </w:style>
  <w:style w:type="paragraph" w:styleId="821" w:customStyle="1">
    <w:name w:val="样式1"/>
    <w:basedOn w:val="702"/>
    <w:uiPriority w:val="0"/>
    <w:qFormat/>
    <w:pPr>
      <w:spacing w:before="120" w:after="120" w:line="300" w:lineRule="auto"/>
    </w:pPr>
    <w:rPr>
      <w:rFonts w:ascii="宋体" w:hAnsi="宋体" w:eastAsia="宋体"/>
      <w:b/>
      <w:sz w:val="24"/>
      <w:szCs w:val="20"/>
    </w:rPr>
  </w:style>
  <w:style w:type="paragraph" w:styleId="822" w:customStyle="1">
    <w:name w:val="菲页(卷)"/>
    <w:basedOn w:val="703"/>
    <w:next w:val="823"/>
    <w:uiPriority w:val="0"/>
    <w:qFormat/>
    <w:pPr>
      <w:ind w:left="720" w:hanging="720"/>
      <w:jc w:val="center"/>
      <w:keepLines w:val="0"/>
      <w:spacing w:before="0" w:after="0" w:line="240" w:lineRule="auto"/>
      <w:widowControl/>
      <w:tabs>
        <w:tab w:val="left" w:pos="432" w:leader="none"/>
      </w:tabs>
      <w:outlineLvl w:val="1"/>
    </w:pPr>
    <w:rPr>
      <w:rFonts w:ascii="黑体" w:hAnsi="Times New Roman" w:eastAsia="黑体"/>
      <w:b w:val="0"/>
      <w:bCs w:val="0"/>
      <w:sz w:val="52"/>
      <w:szCs w:val="20"/>
    </w:rPr>
  </w:style>
  <w:style w:type="paragraph" w:styleId="823"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824" w:customStyle="1">
    <w:name w:val="列表延续 3"/>
    <w:basedOn w:val="723"/>
    <w:uiPriority w:val="0"/>
    <w:qFormat/>
    <w:pPr>
      <w:ind w:left="1800" w:right="480" w:firstLine="0"/>
      <w:jc w:val="both"/>
      <w:spacing w:line="360" w:lineRule="auto"/>
      <w:widowControl w:val="off"/>
      <w:tabs>
        <w:tab w:val="left" w:pos="1584" w:leader="none"/>
      </w:tabs>
    </w:pPr>
    <w:rPr>
      <w:rFonts w:hAnsi="Tms Rmn" w:eastAsia="楷体_GB2312"/>
      <w:sz w:val="28"/>
    </w:rPr>
  </w:style>
  <w:style w:type="paragraph" w:styleId="825" w:customStyle="1">
    <w:name w:val="目录"/>
    <w:basedOn w:val="702"/>
    <w:uiPriority w:val="0"/>
    <w:qFormat/>
    <w:pPr>
      <w:jc w:val="center"/>
      <w:widowControl/>
    </w:pPr>
    <w:rPr>
      <w:rFonts w:ascii="宋体" w:hAnsi="Times New Roman" w:eastAsia="宋体"/>
      <w:b/>
      <w:sz w:val="36"/>
      <w:szCs w:val="20"/>
    </w:rPr>
  </w:style>
  <w:style w:type="paragraph" w:styleId="826" w:customStyle="1">
    <w:name w:val="菲页1"/>
    <w:basedOn w:val="704"/>
    <w:uiPriority w:val="0"/>
    <w:qFormat/>
    <w:pPr>
      <w:spacing w:after="0" w:line="300" w:lineRule="auto"/>
      <w:widowControl/>
    </w:pPr>
    <w:rPr>
      <w:rFonts w:ascii="黑体" w:hAnsi="宋体" w:eastAsia="宋体"/>
      <w:b w:val="0"/>
      <w:bCs w:val="0"/>
      <w:color w:val="000000"/>
      <w:sz w:val="52"/>
      <w:szCs w:val="28"/>
    </w:rPr>
  </w:style>
  <w:style w:type="paragraph" w:styleId="827" w:customStyle="1">
    <w:name w:val="_Style 12"/>
    <w:basedOn w:val="702"/>
    <w:uiPriority w:val="34"/>
    <w:qFormat/>
    <w:pPr>
      <w:ind w:firstLine="420"/>
      <w:jc w:val="left"/>
      <w:widowControl/>
    </w:pPr>
    <w:rPr>
      <w:rFonts w:ascii="Times New Roman" w:hAnsi="Times New Roman" w:eastAsia="宋体"/>
      <w:sz w:val="20"/>
      <w:szCs w:val="22"/>
    </w:rPr>
  </w:style>
  <w:style w:type="paragraph" w:styleId="828" w:customStyle="1">
    <w:name w:val="msonormal"/>
    <w:basedOn w:val="702"/>
    <w:uiPriority w:val="0"/>
    <w:qFormat/>
    <w:pPr>
      <w:jc w:val="left"/>
      <w:spacing w:before="100" w:beforeAutospacing="1" w:after="100" w:afterAutospacing="1"/>
      <w:widowControl/>
    </w:pPr>
    <w:rPr>
      <w:rFonts w:ascii="宋体" w:hAnsi="宋体" w:eastAsia="宋体" w:cs="宋体"/>
      <w:sz w:val="24"/>
    </w:rPr>
  </w:style>
  <w:style w:type="paragraph" w:styleId="829" w:customStyle="1">
    <w:name w:val="font5"/>
    <w:basedOn w:val="702"/>
    <w:uiPriority w:val="0"/>
    <w:qFormat/>
    <w:pPr>
      <w:jc w:val="left"/>
      <w:spacing w:before="100" w:beforeAutospacing="1" w:after="100" w:afterAutospacing="1"/>
      <w:widowControl/>
    </w:pPr>
    <w:rPr>
      <w:rFonts w:ascii="宋体" w:hAnsi="宋体" w:eastAsia="宋体" w:cs="宋体"/>
      <w:sz w:val="18"/>
      <w:szCs w:val="18"/>
    </w:rPr>
  </w:style>
  <w:style w:type="paragraph" w:styleId="830" w:customStyle="1">
    <w:name w:val="xl115"/>
    <w:basedOn w:val="702"/>
    <w:uiPriority w:val="99"/>
    <w:qFormat/>
    <w:pPr>
      <w:jc w:val="left"/>
      <w:spacing w:before="100" w:beforeAutospacing="1" w:after="100" w:afterAutospacing="1"/>
      <w:shd w:val="clear" w:color="000000" w:fill="ffffff"/>
      <w:widowControl/>
    </w:pPr>
    <w:rPr>
      <w:rFonts w:ascii="宋体" w:hAnsi="宋体" w:eastAsia="宋体" w:cs="宋体"/>
      <w:sz w:val="24"/>
    </w:rPr>
  </w:style>
  <w:style w:type="paragraph" w:styleId="831" w:customStyle="1">
    <w:name w:val="xl116"/>
    <w:basedOn w:val="702"/>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Cs w:val="21"/>
    </w:rPr>
  </w:style>
  <w:style w:type="paragraph" w:styleId="832" w:customStyle="1">
    <w:name w:val="xl117"/>
    <w:basedOn w:val="702"/>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Cs w:val="21"/>
    </w:rPr>
  </w:style>
  <w:style w:type="paragraph" w:styleId="833" w:customStyle="1">
    <w:name w:val="xl118"/>
    <w:basedOn w:val="702"/>
    <w:uiPriority w:val="99"/>
    <w:qFormat/>
    <w:pPr>
      <w:jc w:val="righ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Cs w:val="21"/>
    </w:rPr>
  </w:style>
  <w:style w:type="paragraph" w:styleId="834" w:customStyle="1">
    <w:name w:val="xl119"/>
    <w:basedOn w:val="702"/>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Cs w:val="21"/>
    </w:rPr>
  </w:style>
  <w:style w:type="paragraph" w:styleId="835" w:customStyle="1">
    <w:name w:val="xl120"/>
    <w:basedOn w:val="702"/>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836" w:customStyle="1">
    <w:name w:val="xl121"/>
    <w:basedOn w:val="702"/>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837" w:customStyle="1">
    <w:name w:val="xl122"/>
    <w:basedOn w:val="702"/>
    <w:uiPriority w:val="99"/>
    <w:qFormat/>
    <w:pPr>
      <w:jc w:val="left"/>
      <w:spacing w:before="100" w:beforeAutospacing="1" w:after="100" w:afterAutospacing="1"/>
      <w:shd w:val="clear" w:color="000000" w:fill="ffffff"/>
      <w:widowControl/>
    </w:pPr>
    <w:rPr>
      <w:rFonts w:ascii="宋体" w:hAnsi="宋体" w:eastAsia="宋体" w:cs="宋体"/>
      <w:sz w:val="24"/>
    </w:rPr>
  </w:style>
  <w:style w:type="paragraph" w:styleId="838" w:customStyle="1">
    <w:name w:val="xl123"/>
    <w:basedOn w:val="702"/>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839" w:customStyle="1">
    <w:name w:val="xl124"/>
    <w:basedOn w:val="702"/>
    <w:uiPriority w:val="99"/>
    <w:qFormat/>
    <w:pPr>
      <w:jc w:val="center"/>
      <w:spacing w:before="100" w:beforeAutospacing="1" w:after="100" w:afterAutospacing="1"/>
      <w:shd w:val="clear" w:color="000000" w:fill="ffffff"/>
      <w:widowControl/>
    </w:pPr>
    <w:rPr>
      <w:rFonts w:ascii="宋体" w:hAnsi="宋体" w:eastAsia="宋体" w:cs="宋体"/>
      <w:sz w:val="24"/>
    </w:rPr>
  </w:style>
  <w:style w:type="paragraph" w:styleId="840" w:customStyle="1">
    <w:name w:val="xl125"/>
    <w:basedOn w:val="702"/>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841" w:customStyle="1">
    <w:name w:val="xl126"/>
    <w:basedOn w:val="702"/>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842" w:customStyle="1">
    <w:name w:val="xl127"/>
    <w:basedOn w:val="702"/>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b/>
      <w:bCs/>
      <w:sz w:val="20"/>
      <w:szCs w:val="20"/>
    </w:rPr>
  </w:style>
  <w:style w:type="paragraph" w:styleId="843" w:customStyle="1">
    <w:name w:val="xl128"/>
    <w:basedOn w:val="702"/>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b/>
      <w:bCs/>
      <w:sz w:val="20"/>
      <w:szCs w:val="20"/>
    </w:rPr>
  </w:style>
  <w:style w:type="character" w:styleId="844" w:customStyle="1">
    <w:name w:val="HTML 预设格式 字符"/>
    <w:basedOn w:val="712"/>
    <w:link w:val="745"/>
    <w:uiPriority w:val="99"/>
    <w:semiHidden/>
    <w:qFormat/>
    <w:rPr>
      <w:rFonts w:ascii="宋体" w:hAnsi="宋体" w:eastAsia="宋体" w:cs="宋体"/>
      <w:sz w:val="24"/>
      <w:szCs w:val="24"/>
    </w:rPr>
  </w:style>
  <w:style w:type="character" w:styleId="845" w:customStyle="1">
    <w:name w:val="标题 字符"/>
    <w:basedOn w:val="712"/>
    <w:uiPriority w:val="0"/>
    <w:qFormat/>
    <w:rPr>
      <w:rFonts w:asciiTheme="majorHAnsi" w:hAnsiTheme="majorHAnsi" w:eastAsiaTheme="majorEastAsia" w:cstheme="majorBidi"/>
      <w:b/>
      <w:bCs/>
      <w:sz w:val="32"/>
      <w:szCs w:val="32"/>
    </w:rPr>
  </w:style>
  <w:style w:type="character" w:styleId="846" w:customStyle="1">
    <w:name w:val="副标题 字符"/>
    <w:basedOn w:val="712"/>
    <w:uiPriority w:val="11"/>
    <w:qFormat/>
    <w:rPr>
      <w:rFonts w:asciiTheme="minorHAnsi" w:hAnsiTheme="minorHAnsi" w:eastAsiaTheme="minorEastAsia" w:cstheme="minorBidi"/>
      <w:b/>
      <w:bCs/>
      <w:sz w:val="32"/>
      <w:szCs w:val="32"/>
    </w:rPr>
  </w:style>
  <w:style w:type="paragraph" w:styleId="847" w:customStyle="1">
    <w:name w:val="！正文"/>
    <w:basedOn w:val="702"/>
    <w:uiPriority w:val="99"/>
    <w:qFormat/>
    <w:pPr>
      <w:ind w:firstLine="480"/>
      <w:jc w:val="left"/>
      <w:spacing w:line="360" w:lineRule="auto"/>
      <w:widowControl/>
    </w:pPr>
    <w:rPr>
      <w:rFonts w:ascii="宋体" w:hAnsi="宋体" w:eastAsia="等线" w:cs="宋体"/>
      <w:sz w:val="24"/>
    </w:rPr>
  </w:style>
  <w:style w:type="character" w:styleId="848" w:customStyle="1">
    <w:name w:val="1.1 字符"/>
    <w:basedOn w:val="778"/>
    <w:link w:val="849"/>
    <w:uiPriority w:val="0"/>
    <w:qFormat/>
    <w:rPr>
      <w:rFonts w:ascii="宋体" w:hAnsi="宋体" w:eastAsia="宋体"/>
      <w:sz w:val="24"/>
      <w:szCs w:val="24"/>
    </w:rPr>
  </w:style>
  <w:style w:type="paragraph" w:styleId="849" w:customStyle="1">
    <w:name w:val="1.1"/>
    <w:basedOn w:val="702"/>
    <w:link w:val="848"/>
    <w:uiPriority w:val="0"/>
    <w:qFormat/>
    <w:pPr>
      <w:spacing w:line="360" w:lineRule="auto"/>
      <w:outlineLvl w:val="2"/>
    </w:pPr>
    <w:rPr>
      <w:b/>
      <w:sz w:val="24"/>
    </w:rPr>
  </w:style>
  <w:style w:type="paragraph" w:styleId="850" w:customStyle="1">
    <w:name w:val="（一）"/>
    <w:basedOn w:val="705"/>
    <w:uiPriority w:val="99"/>
    <w:qFormat/>
    <w:pPr>
      <w:jc w:val="center"/>
      <w:keepLines w:val="0"/>
      <w:keepNext w:val="0"/>
      <w:spacing w:after="0" w:line="360" w:lineRule="auto"/>
    </w:pPr>
    <w:rPr>
      <w:rFonts w:ascii="Times New Roman" w:hAnsi="Times New Roman" w:eastAsia="仿宋"/>
      <w:sz w:val="28"/>
      <w:szCs w:val="24"/>
    </w:rPr>
  </w:style>
  <w:style w:type="character" w:styleId="851" w:customStyle="1">
    <w:name w:val="1. 字符"/>
    <w:basedOn w:val="777"/>
    <w:link w:val="852"/>
    <w:uiPriority w:val="0"/>
    <w:qFormat/>
    <w:rPr>
      <w:rFonts w:ascii="Arial" w:hAnsi="Arial" w:eastAsia="仿宋"/>
      <w:b/>
      <w:sz w:val="24"/>
      <w:szCs w:val="24"/>
    </w:rPr>
  </w:style>
  <w:style w:type="paragraph" w:styleId="852" w:customStyle="1">
    <w:name w:val="1."/>
    <w:basedOn w:val="706"/>
    <w:link w:val="851"/>
    <w:uiPriority w:val="0"/>
    <w:qFormat/>
    <w:pPr>
      <w:jc w:val="left"/>
      <w:spacing w:after="0"/>
      <w:widowControl w:val="off"/>
      <w:tabs>
        <w:tab w:val="left" w:pos="432" w:leader="none"/>
      </w:tabs>
    </w:pPr>
    <w:rPr>
      <w:rFonts w:eastAsia="仿宋"/>
      <w:b/>
      <w:sz w:val="24"/>
      <w:szCs w:val="24"/>
    </w:rPr>
  </w:style>
  <w:style w:type="paragraph" w:styleId="853" w:customStyle="1">
    <w:name w:val="+正文"/>
    <w:uiPriority w:val="99"/>
    <w:qFormat/>
    <w:pPr>
      <w:ind w:firstLine="200"/>
      <w:jc w:val="both"/>
      <w:spacing w:line="360" w:lineRule="auto"/>
      <w:widowControl w:val="off"/>
    </w:pPr>
    <w:rPr>
      <w:rFonts w:ascii="Calibri" w:hAnsi="Calibri" w:eastAsia="仿宋" w:cs="Times New Roman"/>
      <w:sz w:val="24"/>
      <w:szCs w:val="28"/>
      <w:lang w:val="en-US" w:eastAsia="zh-CN" w:bidi="ar-SA"/>
    </w:rPr>
  </w:style>
  <w:style w:type="paragraph" w:styleId="854" w:customStyle="1">
    <w:name w:val="TOC 标题2"/>
    <w:basedOn w:val="703"/>
    <w:next w:val="702"/>
    <w:uiPriority w:val="39"/>
    <w:qFormat/>
    <w:pPr>
      <w:jc w:val="left"/>
      <w:spacing w:before="480" w:after="0" w:line="276" w:lineRule="auto"/>
      <w:widowControl/>
      <w:outlineLvl w:val="9"/>
    </w:pPr>
    <w:rPr>
      <w:rFonts w:ascii="等线 Light" w:hAnsi="等线 Light" w:eastAsia="等线 Light"/>
      <w:color w:val="2e74b5"/>
      <w:sz w:val="28"/>
      <w:szCs w:val="28"/>
    </w:rPr>
  </w:style>
  <w:style w:type="paragraph" w:styleId="855" w:customStyle="1">
    <w:name w:val="WPSOffice手动目录 3"/>
    <w:uiPriority w:val="99"/>
    <w:qFormat/>
    <w:pPr>
      <w:ind w:left="400"/>
    </w:pPr>
    <w:rPr>
      <w:rFonts w:ascii="Times New Roman" w:hAnsi="Times New Roman" w:eastAsia="宋体" w:cs="Times New Roman"/>
      <w:lang w:val="en-US" w:eastAsia="zh-CN" w:bidi="ar-SA"/>
    </w:rPr>
  </w:style>
  <w:style w:type="paragraph" w:styleId="856" w:customStyle="1">
    <w:name w:val="WPSOffice手动目录 1"/>
    <w:uiPriority w:val="99"/>
    <w:qFormat/>
    <w:rPr>
      <w:rFonts w:ascii="Times New Roman" w:hAnsi="Times New Roman" w:eastAsia="宋体" w:cs="Times New Roman"/>
      <w:lang w:val="en-US" w:eastAsia="zh-CN" w:bidi="ar-SA"/>
    </w:rPr>
  </w:style>
  <w:style w:type="paragraph" w:styleId="857" w:customStyle="1">
    <w:name w:val="WPSOffice手动目录 2"/>
    <w:uiPriority w:val="99"/>
    <w:qFormat/>
    <w:pPr>
      <w:ind w:left="200"/>
    </w:pPr>
    <w:rPr>
      <w:rFonts w:ascii="Times New Roman" w:hAnsi="Times New Roman" w:eastAsia="宋体" w:cs="Times New Roman"/>
      <w:lang w:val="en-US" w:eastAsia="zh-CN" w:bidi="ar-SA"/>
    </w:rPr>
  </w:style>
  <w:style w:type="paragraph" w:styleId="858" w:customStyle="1">
    <w:name w:val="正文01"/>
    <w:basedOn w:val="702"/>
    <w:uiPriority w:val="99"/>
    <w:qFormat/>
    <w:pPr>
      <w:ind w:firstLine="200"/>
      <w:spacing w:before="60" w:line="460" w:lineRule="exact"/>
    </w:pPr>
    <w:rPr>
      <w:rFonts w:ascii="等线" w:hAnsi="等线" w:eastAsia="宋体"/>
      <w:szCs w:val="20"/>
    </w:rPr>
  </w:style>
  <w:style w:type="paragraph" w:styleId="859" w:customStyle="1">
    <w:name w:val="表格标题"/>
    <w:basedOn w:val="702"/>
    <w:uiPriority w:val="99"/>
    <w:qFormat/>
    <w:pPr>
      <w:jc w:val="center"/>
      <w:spacing w:before="60" w:line="460" w:lineRule="exact"/>
    </w:pPr>
    <w:rPr>
      <w:rFonts w:ascii="Arial" w:hAnsi="Arial" w:eastAsia="宋体"/>
    </w:rPr>
  </w:style>
  <w:style w:type="paragraph" w:styleId="860" w:customStyle="1">
    <w:name w:val="Char Char Char Char"/>
    <w:basedOn w:val="702"/>
    <w:uiPriority w:val="99"/>
    <w:qFormat/>
    <w:rPr>
      <w:rFonts w:ascii="等线" w:hAnsi="等线" w:eastAsia="等线"/>
    </w:rPr>
  </w:style>
  <w:style w:type="paragraph" w:styleId="861" w:customStyle="1">
    <w:name w:val="标题1"/>
    <w:basedOn w:val="703"/>
    <w:uiPriority w:val="99"/>
    <w:qFormat/>
    <w:pPr>
      <w:jc w:val="center"/>
      <w:spacing w:line="240" w:lineRule="auto"/>
    </w:pPr>
    <w:rPr>
      <w:rFonts w:ascii="宋体" w:hAnsi="宋体" w:eastAsia="等线"/>
      <w:sz w:val="36"/>
    </w:rPr>
  </w:style>
  <w:style w:type="character" w:styleId="862" w:customStyle="1">
    <w:name w:val="样式2 Char"/>
    <w:link w:val="863"/>
    <w:uiPriority w:val="0"/>
    <w:qFormat/>
    <w:rPr>
      <w:rFonts w:ascii="Arial" w:hAnsi="Arial"/>
      <w:spacing w:val="60"/>
      <w:sz w:val="24"/>
    </w:rPr>
  </w:style>
  <w:style w:type="paragraph" w:styleId="863" w:customStyle="1">
    <w:name w:val="样式2"/>
    <w:basedOn w:val="702"/>
    <w:link w:val="862"/>
    <w:uiPriority w:val="0"/>
    <w:qFormat/>
    <w:pPr>
      <w:jc w:val="center"/>
      <w:spacing w:before="120" w:after="120"/>
    </w:pPr>
    <w:rPr>
      <w:rFonts w:ascii="Arial" w:hAnsi="Arial"/>
      <w:spacing w:val="60"/>
      <w:sz w:val="24"/>
      <w:szCs w:val="20"/>
    </w:rPr>
  </w:style>
  <w:style w:type="paragraph" w:styleId="864" w:customStyle="1">
    <w:name w:val="标题3"/>
    <w:basedOn w:val="703"/>
    <w:uiPriority w:val="99"/>
    <w:qFormat/>
    <w:pPr>
      <w:spacing w:line="400" w:lineRule="exact"/>
    </w:pPr>
    <w:rPr>
      <w:rFonts w:ascii="宋体" w:hAnsi="宋体" w:eastAsia="等线"/>
      <w:sz w:val="24"/>
      <w:szCs w:val="24"/>
    </w:rPr>
  </w:style>
  <w:style w:type="paragraph" w:styleId="865" w:customStyle="1">
    <w:name w:val="A1"/>
    <w:basedOn w:val="702"/>
    <w:next w:val="702"/>
    <w:uiPriority w:val="99"/>
    <w:qFormat/>
    <w:pPr>
      <w:jc w:val="center"/>
      <w:keepLines/>
      <w:keepNext/>
      <w:pageBreakBefore/>
      <w:spacing w:line="360" w:lineRule="auto"/>
      <w:outlineLvl w:val="0"/>
    </w:pPr>
    <w:rPr>
      <w:rFonts w:ascii="等线" w:hAnsi="等线" w:eastAsia="等线"/>
      <w:b/>
      <w:bCs/>
      <w:sz w:val="36"/>
      <w:szCs w:val="36"/>
    </w:rPr>
  </w:style>
  <w:style w:type="paragraph" w:styleId="866" w:customStyle="1">
    <w:name w:val="正文正文"/>
    <w:basedOn w:val="702"/>
    <w:uiPriority w:val="99"/>
    <w:qFormat/>
    <w:pPr>
      <w:ind w:firstLine="420"/>
      <w:jc w:val="left"/>
      <w:spacing w:after="200" w:line="276" w:lineRule="auto"/>
      <w:widowControl/>
    </w:pPr>
    <w:rPr>
      <w:rFonts w:eastAsia="等线"/>
      <w:sz w:val="22"/>
      <w:szCs w:val="22"/>
      <w:lang w:eastAsia="en-US" w:bidi="en-US"/>
    </w:rPr>
  </w:style>
  <w:style w:type="paragraph" w:styleId="867" w:customStyle="1">
    <w:name w:val="样式 Arial 小四 左侧:  1.48 厘米 行距: 多倍行距 1.25 字行"/>
    <w:basedOn w:val="702"/>
    <w:uiPriority w:val="99"/>
    <w:qFormat/>
    <w:pPr>
      <w:ind w:firstLine="480"/>
      <w:spacing w:line="360" w:lineRule="auto"/>
    </w:pPr>
    <w:rPr>
      <w:rFonts w:ascii="宋体" w:hAnsi="宋体" w:eastAsia="等线" w:cs="Arial"/>
      <w:sz w:val="24"/>
    </w:rPr>
  </w:style>
  <w:style w:type="paragraph" w:styleId="868" w:customStyle="1">
    <w:name w:val="列出段落1"/>
    <w:basedOn w:val="702"/>
    <w:uiPriority w:val="34"/>
    <w:qFormat/>
    <w:pPr>
      <w:ind w:firstLine="420"/>
    </w:pPr>
    <w:rPr>
      <w:rFonts w:ascii="等线" w:hAnsi="等线" w:eastAsia="等线"/>
    </w:rPr>
  </w:style>
  <w:style w:type="paragraph" w:styleId="869" w:customStyle="1">
    <w:name w:val="列出段落2"/>
    <w:basedOn w:val="702"/>
    <w:uiPriority w:val="99"/>
    <w:qFormat/>
    <w:pPr>
      <w:ind w:firstLine="420"/>
    </w:pPr>
    <w:rPr>
      <w:rFonts w:ascii="Times New Roman" w:hAnsi="Times New Roman" w:eastAsia="宋体"/>
      <w:szCs w:val="20"/>
    </w:rPr>
  </w:style>
  <w:style w:type="paragraph" w:styleId="870" w:customStyle="1">
    <w:name w:val="_Style 92"/>
    <w:uiPriority w:val="61"/>
    <w:qFormat/>
    <w:rPr>
      <w:rFonts w:ascii="Calibri" w:hAnsi="Calibri" w:eastAsia="宋体" w:cs="Times New Roman"/>
      <w:sz w:val="21"/>
      <w:szCs w:val="22"/>
      <w:lang w:val="en-US" w:eastAsia="zh-CN" w:bidi="ar-SA"/>
    </w:rPr>
  </w:style>
  <w:style w:type="character" w:styleId="871" w:customStyle="1">
    <w:name w:val="正文文本 (6)_"/>
    <w:link w:val="872"/>
    <w:uiPriority w:val="99"/>
    <w:qFormat/>
    <w:rPr>
      <w:rFonts w:ascii="MingLiU" w:eastAsia="MingLiU"/>
      <w:spacing w:val="30"/>
      <w:sz w:val="29"/>
      <w:shd w:val="clear" w:color="auto" w:fill="ffffff"/>
    </w:rPr>
  </w:style>
  <w:style w:type="paragraph" w:styleId="872" w:customStyle="1">
    <w:name w:val="正文文本 (6)"/>
    <w:basedOn w:val="702"/>
    <w:link w:val="871"/>
    <w:uiPriority w:val="99"/>
    <w:qFormat/>
    <w:pPr>
      <w:jc w:val="left"/>
      <w:spacing w:before="1260" w:line="734" w:lineRule="exact"/>
      <w:shd w:val="clear" w:color="auto" w:fill="ffffff"/>
    </w:pPr>
    <w:rPr>
      <w:rFonts w:ascii="MingLiU" w:eastAsia="MingLiU"/>
      <w:spacing w:val="30"/>
      <w:sz w:val="29"/>
      <w:szCs w:val="20"/>
    </w:rPr>
  </w:style>
  <w:style w:type="paragraph" w:styleId="873" w:customStyle="1">
    <w:name w:val="字标"/>
    <w:basedOn w:val="702"/>
    <w:uiPriority w:val="99"/>
    <w:qFormat/>
    <w:pPr>
      <w:jc w:val="left"/>
      <w:spacing w:line="216" w:lineRule="auto"/>
      <w:widowControl/>
    </w:pPr>
    <w:rPr>
      <w:rFonts w:ascii="Arial" w:hAnsi="Arial" w:eastAsia="方正小标宋简体"/>
      <w:sz w:val="19"/>
      <w:szCs w:val="20"/>
      <w:lang w:val="en-GB"/>
    </w:rPr>
  </w:style>
  <w:style w:type="paragraph" w:styleId="874" w:customStyle="1">
    <w:name w:val="无间隔1"/>
    <w:uiPriority w:val="1"/>
    <w:qFormat/>
    <w:pPr>
      <w:jc w:val="both"/>
      <w:widowControl w:val="off"/>
    </w:pPr>
    <w:rPr>
      <w:rFonts w:ascii="Times New Roman" w:hAnsi="Times New Roman" w:eastAsia="宋体" w:cs="Times New Roman"/>
      <w:sz w:val="21"/>
      <w:lang w:val="en-US" w:eastAsia="zh-CN" w:bidi="ar-SA"/>
    </w:rPr>
  </w:style>
  <w:style w:type="paragraph" w:styleId="875" w:customStyle="1">
    <w:name w:val="目录 11"/>
    <w:basedOn w:val="702"/>
    <w:uiPriority w:val="1"/>
    <w:qFormat/>
    <w:pPr>
      <w:jc w:val="left"/>
      <w:spacing w:before="255"/>
    </w:pPr>
    <w:rPr>
      <w:rFonts w:ascii="仿宋" w:hAnsi="仿宋" w:eastAsia="仿宋"/>
      <w:b/>
      <w:bCs/>
      <w:sz w:val="24"/>
      <w:lang w:eastAsia="en-US"/>
    </w:rPr>
  </w:style>
  <w:style w:type="paragraph" w:styleId="876" w:customStyle="1">
    <w:name w:val="表格样式 2"/>
    <w:uiPriority w:val="99"/>
    <w:qFormat/>
    <w:pPr>
      <w:framePr w:wrap="around" w:vAnchor="margin" w:hAnchor="text" w:y="1"/>
    </w:pPr>
    <w:rPr>
      <w:rFonts w:ascii="Helvetica Neue" w:hAnsi="Helvetica Neue" w:eastAsia="Helvetica Neue" w:cs="Helvetica Neue"/>
      <w:color w:val="000000"/>
      <w:lang w:val="en-US" w:eastAsia="zh-CN" w:bidi="ar-SA"/>
    </w:rPr>
  </w:style>
  <w:style w:type="paragraph" w:styleId="877" w:customStyle="1">
    <w:name w:val="样式 标题 1"/>
    <w:basedOn w:val="704"/>
    <w:uiPriority w:val="99"/>
    <w:qFormat/>
    <w:pPr>
      <w:keepLines w:val="0"/>
      <w:keepNext w:val="0"/>
      <w:spacing w:before="120" w:after="120" w:line="360" w:lineRule="auto"/>
      <w:tabs>
        <w:tab w:val="left" w:pos="780" w:leader="none"/>
        <w:tab w:val="left" w:pos="840" w:leader="none"/>
      </w:tabs>
    </w:pPr>
    <w:rPr>
      <w:rFonts w:ascii="宋体" w:hAnsi="Courier New" w:cs="宋体"/>
      <w:sz w:val="24"/>
      <w:szCs w:val="20"/>
    </w:rPr>
  </w:style>
  <w:style w:type="paragraph" w:styleId="878" w:customStyle="1">
    <w:name w:val="表格 2"/>
    <w:basedOn w:val="702"/>
    <w:uiPriority w:val="99"/>
    <w:qFormat/>
    <w:pPr>
      <w:jc w:val="center"/>
    </w:pPr>
    <w:rPr>
      <w:rFonts w:ascii="Times New Roman" w:hAnsi="Times New Roman" w:eastAsia="仿宋"/>
      <w:szCs w:val="21"/>
    </w:rPr>
  </w:style>
  <w:style w:type="paragraph" w:styleId="879" w:customStyle="1">
    <w:name w:val="（1）"/>
    <w:basedOn w:val="702"/>
    <w:uiPriority w:val="99"/>
    <w:qFormat/>
    <w:pPr>
      <w:ind w:firstLine="200"/>
      <w:spacing w:line="360" w:lineRule="auto"/>
    </w:pPr>
    <w:rPr>
      <w:rFonts w:ascii="Times New Roman" w:hAnsi="Times New Roman" w:eastAsia="仿宋"/>
      <w:b/>
      <w:sz w:val="24"/>
      <w:szCs w:val="30"/>
    </w:rPr>
  </w:style>
  <w:style w:type="paragraph" w:styleId="880" w:customStyle="1">
    <w:name w:val="1）"/>
    <w:basedOn w:val="853"/>
    <w:uiPriority w:val="99"/>
    <w:qFormat/>
    <w:pPr>
      <w:ind w:left="-141" w:firstLine="0"/>
    </w:pPr>
    <w:rPr>
      <w:rFonts w:ascii="Times New Roman" w:hAnsi="Times New Roman"/>
    </w:rPr>
  </w:style>
  <w:style w:type="paragraph" w:styleId="881" w:customStyle="1">
    <w:name w:val="缺省文本"/>
    <w:basedOn w:val="702"/>
    <w:uiPriority w:val="99"/>
    <w:qFormat/>
    <w:pPr>
      <w:jc w:val="left"/>
    </w:pPr>
    <w:rPr>
      <w:rFonts w:ascii="Times New Roman" w:hAnsi="Times New Roman" w:eastAsia="宋体"/>
      <w:sz w:val="24"/>
      <w:szCs w:val="20"/>
    </w:rPr>
  </w:style>
  <w:style w:type="paragraph" w:styleId="882" w:customStyle="1">
    <w:name w:val="_Style 136"/>
    <w:basedOn w:val="702"/>
    <w:next w:val="812"/>
    <w:uiPriority w:val="34"/>
    <w:qFormat/>
    <w:pPr>
      <w:ind w:firstLine="420"/>
    </w:pPr>
    <w:rPr>
      <w:rFonts w:ascii="Times New Roman" w:hAnsi="Times New Roman" w:eastAsia="宋体"/>
      <w:szCs w:val="22"/>
    </w:rPr>
  </w:style>
  <w:style w:type="paragraph" w:styleId="883" w:customStyle="1">
    <w:name w:val="font6"/>
    <w:basedOn w:val="702"/>
    <w:uiPriority w:val="0"/>
    <w:qFormat/>
    <w:pPr>
      <w:jc w:val="left"/>
      <w:spacing w:before="100" w:beforeAutospacing="1" w:after="100" w:afterAutospacing="1"/>
      <w:widowControl/>
    </w:pPr>
    <w:rPr>
      <w:rFonts w:ascii="Times New Roman" w:hAnsi="Times New Roman" w:eastAsia="宋体"/>
      <w:b/>
      <w:bCs/>
      <w:sz w:val="24"/>
    </w:rPr>
  </w:style>
  <w:style w:type="paragraph" w:styleId="884" w:customStyle="1">
    <w:name w:val="font7"/>
    <w:basedOn w:val="702"/>
    <w:uiPriority w:val="0"/>
    <w:qFormat/>
    <w:pPr>
      <w:jc w:val="left"/>
      <w:spacing w:before="100" w:beforeAutospacing="1" w:after="100" w:afterAutospacing="1"/>
      <w:widowControl/>
    </w:pPr>
    <w:rPr>
      <w:rFonts w:ascii="宋体" w:hAnsi="宋体" w:eastAsia="宋体" w:cs="宋体"/>
      <w:b/>
      <w:bCs/>
      <w:sz w:val="24"/>
    </w:rPr>
  </w:style>
  <w:style w:type="paragraph" w:styleId="885" w:customStyle="1">
    <w:name w:val="font8"/>
    <w:basedOn w:val="702"/>
    <w:uiPriority w:val="99"/>
    <w:qFormat/>
    <w:pPr>
      <w:jc w:val="left"/>
      <w:spacing w:before="100" w:beforeAutospacing="1" w:after="100" w:afterAutospacing="1"/>
      <w:widowControl/>
    </w:pPr>
    <w:rPr>
      <w:rFonts w:ascii="宋体" w:hAnsi="宋体" w:eastAsia="宋体" w:cs="宋体"/>
      <w:b/>
      <w:bCs/>
      <w:color w:val="000000"/>
      <w:sz w:val="24"/>
    </w:rPr>
  </w:style>
  <w:style w:type="paragraph" w:styleId="886" w:customStyle="1">
    <w:name w:val="font9"/>
    <w:basedOn w:val="702"/>
    <w:uiPriority w:val="99"/>
    <w:qFormat/>
    <w:pPr>
      <w:jc w:val="left"/>
      <w:spacing w:before="100" w:beforeAutospacing="1" w:after="100" w:afterAutospacing="1"/>
      <w:widowControl/>
    </w:pPr>
    <w:rPr>
      <w:rFonts w:ascii="Times New Roman" w:hAnsi="Times New Roman" w:eastAsia="宋体"/>
      <w:color w:val="000000"/>
      <w:szCs w:val="21"/>
    </w:rPr>
  </w:style>
  <w:style w:type="paragraph" w:styleId="887" w:customStyle="1">
    <w:name w:val="font10"/>
    <w:basedOn w:val="702"/>
    <w:uiPriority w:val="99"/>
    <w:qFormat/>
    <w:pPr>
      <w:jc w:val="left"/>
      <w:spacing w:before="100" w:beforeAutospacing="1" w:after="100" w:afterAutospacing="1"/>
      <w:widowControl/>
    </w:pPr>
    <w:rPr>
      <w:rFonts w:ascii="宋体" w:hAnsi="宋体" w:eastAsia="宋体" w:cs="宋体"/>
      <w:color w:val="000000"/>
      <w:sz w:val="24"/>
    </w:rPr>
  </w:style>
  <w:style w:type="paragraph" w:styleId="888" w:customStyle="1">
    <w:name w:val="font12"/>
    <w:basedOn w:val="702"/>
    <w:uiPriority w:val="99"/>
    <w:qFormat/>
    <w:pPr>
      <w:jc w:val="left"/>
      <w:spacing w:before="100" w:beforeAutospacing="1" w:after="100" w:afterAutospacing="1"/>
      <w:widowControl/>
    </w:pPr>
    <w:rPr>
      <w:rFonts w:ascii="宋体" w:hAnsi="宋体" w:eastAsia="宋体" w:cs="宋体"/>
      <w:color w:val="000000"/>
      <w:szCs w:val="21"/>
    </w:rPr>
  </w:style>
  <w:style w:type="paragraph" w:styleId="889" w:customStyle="1">
    <w:name w:val="font13"/>
    <w:basedOn w:val="702"/>
    <w:uiPriority w:val="99"/>
    <w:qFormat/>
    <w:pPr>
      <w:jc w:val="left"/>
      <w:spacing w:before="100" w:beforeAutospacing="1" w:after="100" w:afterAutospacing="1"/>
      <w:widowControl/>
    </w:pPr>
    <w:rPr>
      <w:rFonts w:ascii="宋体" w:hAnsi="宋体" w:eastAsia="宋体" w:cs="宋体"/>
      <w:b/>
      <w:bCs/>
      <w:color w:val="000000"/>
      <w:sz w:val="24"/>
    </w:rPr>
  </w:style>
  <w:style w:type="paragraph" w:styleId="890" w:customStyle="1">
    <w:name w:val="font14"/>
    <w:basedOn w:val="702"/>
    <w:uiPriority w:val="99"/>
    <w:qFormat/>
    <w:pPr>
      <w:jc w:val="left"/>
      <w:spacing w:before="100" w:beforeAutospacing="1" w:after="100" w:afterAutospacing="1"/>
      <w:widowControl/>
    </w:pPr>
    <w:rPr>
      <w:rFonts w:ascii="Times New Roman" w:hAnsi="Times New Roman" w:eastAsia="宋体"/>
      <w:color w:val="000000"/>
      <w:sz w:val="24"/>
    </w:rPr>
  </w:style>
  <w:style w:type="paragraph" w:styleId="891" w:customStyle="1">
    <w:name w:val="font15"/>
    <w:basedOn w:val="702"/>
    <w:uiPriority w:val="99"/>
    <w:qFormat/>
    <w:pPr>
      <w:jc w:val="left"/>
      <w:spacing w:before="100" w:beforeAutospacing="1" w:after="100" w:afterAutospacing="1"/>
      <w:widowControl/>
    </w:pPr>
    <w:rPr>
      <w:rFonts w:ascii="Times New Roman" w:hAnsi="Times New Roman" w:eastAsia="宋体"/>
      <w:color w:val="000000"/>
      <w:sz w:val="24"/>
    </w:rPr>
  </w:style>
  <w:style w:type="paragraph" w:styleId="892" w:customStyle="1">
    <w:name w:val="font16"/>
    <w:basedOn w:val="702"/>
    <w:uiPriority w:val="99"/>
    <w:qFormat/>
    <w:pPr>
      <w:jc w:val="left"/>
      <w:spacing w:before="100" w:beforeAutospacing="1" w:after="100" w:afterAutospacing="1"/>
      <w:widowControl/>
    </w:pPr>
    <w:rPr>
      <w:rFonts w:ascii="宋体" w:hAnsi="宋体" w:eastAsia="宋体" w:cs="宋体"/>
      <w:color w:val="000000"/>
      <w:sz w:val="24"/>
    </w:rPr>
  </w:style>
  <w:style w:type="paragraph" w:styleId="893" w:customStyle="1">
    <w:name w:val="font17"/>
    <w:basedOn w:val="702"/>
    <w:uiPriority w:val="99"/>
    <w:qFormat/>
    <w:pPr>
      <w:jc w:val="left"/>
      <w:spacing w:before="100" w:beforeAutospacing="1" w:after="100" w:afterAutospacing="1"/>
      <w:widowControl/>
    </w:pPr>
    <w:rPr>
      <w:rFonts w:ascii="宋体" w:hAnsi="宋体" w:eastAsia="宋体" w:cs="宋体"/>
      <w:color w:val="000000"/>
      <w:sz w:val="24"/>
    </w:rPr>
  </w:style>
  <w:style w:type="paragraph" w:styleId="894" w:customStyle="1">
    <w:name w:val="font18"/>
    <w:basedOn w:val="702"/>
    <w:uiPriority w:val="99"/>
    <w:qFormat/>
    <w:pPr>
      <w:jc w:val="left"/>
      <w:spacing w:before="100" w:beforeAutospacing="1" w:after="100" w:afterAutospacing="1"/>
      <w:widowControl/>
    </w:pPr>
    <w:rPr>
      <w:rFonts w:ascii="宋体" w:hAnsi="宋体" w:eastAsia="宋体" w:cs="宋体"/>
      <w:color w:val="000000"/>
      <w:sz w:val="24"/>
    </w:rPr>
  </w:style>
  <w:style w:type="paragraph" w:styleId="895" w:customStyle="1">
    <w:name w:val="font19"/>
    <w:basedOn w:val="702"/>
    <w:uiPriority w:val="99"/>
    <w:qFormat/>
    <w:pPr>
      <w:jc w:val="left"/>
      <w:spacing w:before="100" w:beforeAutospacing="1" w:after="100" w:afterAutospacing="1"/>
      <w:widowControl/>
    </w:pPr>
    <w:rPr>
      <w:rFonts w:ascii="Times New Roman" w:hAnsi="Times New Roman" w:eastAsia="宋体"/>
      <w:sz w:val="24"/>
    </w:rPr>
  </w:style>
  <w:style w:type="paragraph" w:styleId="896" w:customStyle="1">
    <w:name w:val="font20"/>
    <w:basedOn w:val="702"/>
    <w:uiPriority w:val="99"/>
    <w:qFormat/>
    <w:pPr>
      <w:jc w:val="left"/>
      <w:spacing w:before="100" w:beforeAutospacing="1" w:after="100" w:afterAutospacing="1"/>
      <w:widowControl/>
    </w:pPr>
    <w:rPr>
      <w:rFonts w:ascii="宋体" w:hAnsi="宋体" w:eastAsia="宋体" w:cs="宋体"/>
      <w:sz w:val="24"/>
    </w:rPr>
  </w:style>
  <w:style w:type="paragraph" w:styleId="897" w:customStyle="1">
    <w:name w:val="font22"/>
    <w:basedOn w:val="702"/>
    <w:uiPriority w:val="99"/>
    <w:qFormat/>
    <w:pPr>
      <w:jc w:val="left"/>
      <w:spacing w:before="100" w:beforeAutospacing="1" w:after="100" w:afterAutospacing="1"/>
      <w:widowControl/>
    </w:pPr>
    <w:rPr>
      <w:rFonts w:ascii="等线" w:hAnsi="等线" w:eastAsia="等线" w:cs="宋体"/>
      <w:b/>
      <w:bCs/>
      <w:sz w:val="24"/>
    </w:rPr>
  </w:style>
  <w:style w:type="paragraph" w:styleId="898" w:customStyle="1">
    <w:name w:val="xl70"/>
    <w:basedOn w:val="702"/>
    <w:uiPriority w:val="0"/>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Times New Roman" w:hAnsi="Times New Roman" w:eastAsia="宋体"/>
      <w:b/>
      <w:bCs/>
      <w:sz w:val="24"/>
    </w:rPr>
  </w:style>
  <w:style w:type="paragraph" w:styleId="899" w:customStyle="1">
    <w:name w:val="xl71"/>
    <w:basedOn w:val="702"/>
    <w:uiPriority w:val="0"/>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Times New Roman" w:hAnsi="Times New Roman" w:eastAsia="宋体"/>
      <w:b/>
      <w:bCs/>
      <w:sz w:val="24"/>
    </w:rPr>
  </w:style>
  <w:style w:type="paragraph" w:styleId="900" w:customStyle="1">
    <w:name w:val="xl72"/>
    <w:basedOn w:val="702"/>
    <w:uiPriority w:val="0"/>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Times New Roman" w:hAnsi="Times New Roman" w:eastAsia="宋体"/>
      <w:b/>
      <w:bCs/>
      <w:sz w:val="24"/>
    </w:rPr>
  </w:style>
  <w:style w:type="paragraph" w:styleId="901" w:customStyle="1">
    <w:name w:val="xl73"/>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902" w:customStyle="1">
    <w:name w:val="xl74"/>
    <w:basedOn w:val="702"/>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903" w:customStyle="1">
    <w:name w:val="xl75"/>
    <w:basedOn w:val="702"/>
    <w:uiPriority w:val="0"/>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宋体" w:hAnsi="宋体" w:eastAsia="宋体" w:cs="宋体"/>
      <w:b/>
      <w:bCs/>
      <w:sz w:val="24"/>
    </w:rPr>
  </w:style>
  <w:style w:type="paragraph" w:styleId="904" w:customStyle="1">
    <w:name w:val="xl76"/>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905" w:customStyle="1">
    <w:name w:val="xl77"/>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906" w:customStyle="1">
    <w:name w:val="xl78"/>
    <w:basedOn w:val="7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907" w:customStyle="1">
    <w:name w:val="xl79"/>
    <w:basedOn w:val="702"/>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908" w:customStyle="1">
    <w:name w:val="xl80"/>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color w:val="000000"/>
      <w:sz w:val="24"/>
    </w:rPr>
  </w:style>
  <w:style w:type="paragraph" w:styleId="909" w:customStyle="1">
    <w:name w:val="xl81"/>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10" w:customStyle="1">
    <w:name w:val="xl82"/>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11" w:customStyle="1">
    <w:name w:val="xl83"/>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12" w:customStyle="1">
    <w:name w:val="xl84"/>
    <w:basedOn w:val="7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13" w:customStyle="1">
    <w:name w:val="xl85"/>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914" w:customStyle="1">
    <w:name w:val="xl86"/>
    <w:basedOn w:val="7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915" w:customStyle="1">
    <w:name w:val="xl87"/>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16" w:customStyle="1">
    <w:name w:val="xl88"/>
    <w:basedOn w:val="70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17" w:customStyle="1">
    <w:name w:val="xl89"/>
    <w:basedOn w:val="702"/>
    <w:uiPriority w:val="0"/>
    <w:qFormat/>
    <w:pPr>
      <w:jc w:val="left"/>
      <w:spacing w:before="100" w:beforeAutospacing="1" w:after="100" w:afterAutospacing="1"/>
      <w:widowControl/>
    </w:pPr>
    <w:rPr>
      <w:rFonts w:ascii="宋体" w:hAnsi="宋体" w:eastAsia="宋体" w:cs="宋体"/>
      <w:sz w:val="24"/>
    </w:rPr>
  </w:style>
  <w:style w:type="paragraph" w:styleId="918" w:customStyle="1">
    <w:name w:val="xl90"/>
    <w:basedOn w:val="7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19" w:customStyle="1">
    <w:name w:val="xl91"/>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20" w:customStyle="1">
    <w:name w:val="xl92"/>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21" w:customStyle="1">
    <w:name w:val="xl93"/>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olor w:val="000000"/>
      <w:sz w:val="24"/>
    </w:rPr>
  </w:style>
  <w:style w:type="paragraph" w:styleId="922" w:customStyle="1">
    <w:name w:val="xl94"/>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923" w:customStyle="1">
    <w:name w:val="xl95"/>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rPr>
  </w:style>
  <w:style w:type="paragraph" w:styleId="924" w:customStyle="1">
    <w:name w:val="xl96"/>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sz w:val="24"/>
    </w:rPr>
  </w:style>
  <w:style w:type="paragraph" w:styleId="925" w:customStyle="1">
    <w:name w:val="xl97"/>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color w:val="000000"/>
      <w:sz w:val="24"/>
    </w:rPr>
  </w:style>
  <w:style w:type="paragraph" w:styleId="926" w:customStyle="1">
    <w:name w:val="xl98"/>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rPr>
  </w:style>
  <w:style w:type="paragraph" w:styleId="927" w:customStyle="1">
    <w:name w:val="xl99"/>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28" w:customStyle="1">
    <w:name w:val="xl100"/>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29" w:customStyle="1">
    <w:name w:val="xl101"/>
    <w:basedOn w:val="702"/>
    <w:uiPriority w:val="99"/>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Times New Roman" w:hAnsi="Times New Roman" w:eastAsia="宋体"/>
      <w:b/>
      <w:bCs/>
      <w:sz w:val="24"/>
    </w:rPr>
  </w:style>
  <w:style w:type="paragraph" w:styleId="930" w:customStyle="1">
    <w:name w:val="xl102"/>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31" w:customStyle="1">
    <w:name w:val="xl103"/>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932" w:customStyle="1">
    <w:name w:val="xl104"/>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933" w:customStyle="1">
    <w:name w:val="xl105"/>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34" w:customStyle="1">
    <w:name w:val="xl106"/>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color w:val="000000"/>
      <w:sz w:val="24"/>
    </w:rPr>
  </w:style>
  <w:style w:type="paragraph" w:styleId="935" w:customStyle="1">
    <w:name w:val="xl107"/>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936" w:customStyle="1">
    <w:name w:val="xl108"/>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Times New Roman" w:hAnsi="Times New Roman" w:eastAsia="宋体"/>
      <w:color w:val="000000"/>
      <w:sz w:val="24"/>
    </w:rPr>
  </w:style>
  <w:style w:type="paragraph" w:styleId="937" w:customStyle="1">
    <w:name w:val="xl109"/>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宋体" w:hAnsi="宋体" w:eastAsia="宋体" w:cs="宋体"/>
      <w:sz w:val="24"/>
    </w:rPr>
  </w:style>
  <w:style w:type="paragraph" w:styleId="938" w:customStyle="1">
    <w:name w:val="xl110"/>
    <w:basedOn w:val="702"/>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939" w:customStyle="1">
    <w:name w:val="xl111"/>
    <w:basedOn w:val="702"/>
    <w:uiPriority w:val="99"/>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pBdr>
    </w:pPr>
    <w:rPr>
      <w:rFonts w:ascii="宋体" w:hAnsi="宋体" w:eastAsia="宋体" w:cs="宋体"/>
      <w:sz w:val="24"/>
    </w:rPr>
  </w:style>
  <w:style w:type="paragraph" w:styleId="940" w:customStyle="1">
    <w:name w:val="xl112"/>
    <w:basedOn w:val="702"/>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41" w:customStyle="1">
    <w:name w:val="xl113"/>
    <w:basedOn w:val="702"/>
    <w:uiPriority w:val="99"/>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42" w:customStyle="1">
    <w:name w:val="xl114"/>
    <w:basedOn w:val="702"/>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43" w:customStyle="1">
    <w:name w:val="font23"/>
    <w:basedOn w:val="702"/>
    <w:uiPriority w:val="99"/>
    <w:qFormat/>
    <w:pPr>
      <w:jc w:val="left"/>
      <w:spacing w:before="100" w:beforeAutospacing="1" w:after="100" w:afterAutospacing="1"/>
      <w:widowControl/>
    </w:pPr>
    <w:rPr>
      <w:rFonts w:ascii="仿宋" w:hAnsi="仿宋" w:eastAsia="仿宋" w:cs="宋体"/>
      <w:sz w:val="24"/>
    </w:rPr>
  </w:style>
  <w:style w:type="paragraph" w:styleId="944" w:customStyle="1">
    <w:name w:val="font24"/>
    <w:basedOn w:val="702"/>
    <w:uiPriority w:val="99"/>
    <w:qFormat/>
    <w:pPr>
      <w:jc w:val="left"/>
      <w:spacing w:before="100" w:beforeAutospacing="1" w:after="100" w:afterAutospacing="1"/>
      <w:widowControl/>
    </w:pPr>
    <w:rPr>
      <w:rFonts w:ascii="仿宋" w:hAnsi="仿宋" w:eastAsia="仿宋" w:cs="宋体"/>
      <w:color w:val="000000"/>
      <w:sz w:val="24"/>
    </w:rPr>
  </w:style>
  <w:style w:type="paragraph" w:styleId="945" w:customStyle="1">
    <w:name w:val="xl129"/>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46" w:customStyle="1">
    <w:name w:val="xl130"/>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47" w:customStyle="1">
    <w:name w:val="xl131"/>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48" w:customStyle="1">
    <w:name w:val="xl132"/>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49" w:customStyle="1">
    <w:name w:val="xl133"/>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50" w:customStyle="1">
    <w:name w:val="xl134"/>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51" w:customStyle="1">
    <w:name w:val="xl135"/>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52" w:customStyle="1">
    <w:name w:val="xl136"/>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53" w:customStyle="1">
    <w:name w:val="xl137"/>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54" w:customStyle="1">
    <w:name w:val="xl138"/>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55" w:customStyle="1">
    <w:name w:val="xl139"/>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956" w:customStyle="1">
    <w:name w:val="xl140"/>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57" w:customStyle="1">
    <w:name w:val="xl141"/>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958" w:customStyle="1">
    <w:name w:val="xl142"/>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59" w:customStyle="1">
    <w:name w:val="xl143"/>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60" w:customStyle="1">
    <w:name w:val="xl144"/>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ff0000"/>
      <w:sz w:val="24"/>
    </w:rPr>
  </w:style>
  <w:style w:type="paragraph" w:styleId="961" w:customStyle="1">
    <w:name w:val="xl145"/>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62" w:customStyle="1">
    <w:name w:val="xl146"/>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63" w:customStyle="1">
    <w:name w:val="xl147"/>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Cs w:val="21"/>
    </w:rPr>
  </w:style>
  <w:style w:type="paragraph" w:styleId="964" w:customStyle="1">
    <w:name w:val="xl148"/>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65" w:customStyle="1">
    <w:name w:val="xl149"/>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66" w:customStyle="1">
    <w:name w:val="xl150"/>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67" w:customStyle="1">
    <w:name w:val="xl151"/>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68" w:customStyle="1">
    <w:name w:val="xl152"/>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69" w:customStyle="1">
    <w:name w:val="xl153"/>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70" w:customStyle="1">
    <w:name w:val="xl154"/>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71" w:customStyle="1">
    <w:name w:val="xl155"/>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72" w:customStyle="1">
    <w:name w:val="xl156"/>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73" w:customStyle="1">
    <w:name w:val="xl157"/>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74" w:customStyle="1">
    <w:name w:val="xl158"/>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75" w:customStyle="1">
    <w:name w:val="xl159"/>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76" w:customStyle="1">
    <w:name w:val="xl160"/>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77" w:customStyle="1">
    <w:name w:val="xl161"/>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978" w:customStyle="1">
    <w:name w:val="xl162"/>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79" w:customStyle="1">
    <w:name w:val="xl163"/>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ff0000"/>
      <w:sz w:val="24"/>
    </w:rPr>
  </w:style>
  <w:style w:type="paragraph" w:styleId="980" w:customStyle="1">
    <w:name w:val="xl164"/>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81" w:customStyle="1">
    <w:name w:val="xl165"/>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82" w:customStyle="1">
    <w:name w:val="xl166"/>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83" w:customStyle="1">
    <w:name w:val="xl167"/>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84" w:customStyle="1">
    <w:name w:val="xl168"/>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85" w:customStyle="1">
    <w:name w:val="xl169"/>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986" w:customStyle="1">
    <w:name w:val="xl170"/>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987" w:customStyle="1">
    <w:name w:val="xl171"/>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988" w:customStyle="1">
    <w:name w:val="xl172"/>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89" w:customStyle="1">
    <w:name w:val="xl173"/>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90" w:customStyle="1">
    <w:name w:val="xl174"/>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91" w:customStyle="1">
    <w:name w:val="xl175"/>
    <w:basedOn w:val="702"/>
    <w:uiPriority w:val="99"/>
    <w:qFormat/>
    <w:pPr>
      <w:jc w:val="left"/>
      <w:spacing w:before="100" w:beforeAutospacing="1" w:after="100" w:afterAutospacing="1"/>
      <w:shd w:val="clear" w:color="auto" w:fill="ffffff"/>
      <w:widowControl/>
    </w:pPr>
    <w:rPr>
      <w:rFonts w:ascii="Times New Roman" w:hAnsi="Times New Roman" w:eastAsia="宋体"/>
      <w:sz w:val="24"/>
    </w:rPr>
  </w:style>
  <w:style w:type="paragraph" w:styleId="992" w:customStyle="1">
    <w:name w:val="xl176"/>
    <w:basedOn w:val="702"/>
    <w:uiPriority w:val="99"/>
    <w:qFormat/>
    <w:pPr>
      <w:jc w:val="center"/>
      <w:spacing w:before="100" w:beforeAutospacing="1" w:after="100" w:afterAutospacing="1"/>
      <w:shd w:val="clear" w:color="auto" w:fill="ffffff"/>
      <w:widowControl/>
    </w:pPr>
    <w:rPr>
      <w:rFonts w:ascii="Times New Roman" w:hAnsi="Times New Roman" w:eastAsia="宋体"/>
      <w:sz w:val="24"/>
    </w:rPr>
  </w:style>
  <w:style w:type="paragraph" w:styleId="993" w:customStyle="1">
    <w:name w:val="xl177"/>
    <w:basedOn w:val="702"/>
    <w:uiPriority w:val="99"/>
    <w:qFormat/>
    <w:pPr>
      <w:jc w:val="center"/>
      <w:spacing w:before="100" w:beforeAutospacing="1" w:after="100" w:afterAutospacing="1"/>
      <w:widowControl/>
    </w:pPr>
    <w:rPr>
      <w:rFonts w:ascii="Times New Roman" w:hAnsi="Times New Roman" w:eastAsia="宋体"/>
      <w:sz w:val="24"/>
    </w:rPr>
  </w:style>
  <w:style w:type="paragraph" w:styleId="994" w:customStyle="1">
    <w:name w:val="xl178"/>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95" w:customStyle="1">
    <w:name w:val="xl179"/>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96" w:customStyle="1">
    <w:name w:val="xl180"/>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997" w:customStyle="1">
    <w:name w:val="xl181"/>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98" w:customStyle="1">
    <w:name w:val="xl182"/>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99" w:customStyle="1">
    <w:name w:val="xl183"/>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00" w:customStyle="1">
    <w:name w:val="xl184"/>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001" w:customStyle="1">
    <w:name w:val="xl185"/>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02" w:customStyle="1">
    <w:name w:val="xl186"/>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03" w:customStyle="1">
    <w:name w:val="xl187"/>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04" w:customStyle="1">
    <w:name w:val="xl188"/>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05" w:customStyle="1">
    <w:name w:val="xl189"/>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0"/>
      <w:szCs w:val="20"/>
    </w:rPr>
  </w:style>
  <w:style w:type="paragraph" w:styleId="1006" w:customStyle="1">
    <w:name w:val="xl190"/>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07" w:customStyle="1">
    <w:name w:val="xl191"/>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008" w:customStyle="1">
    <w:name w:val="xl192"/>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009" w:customStyle="1">
    <w:name w:val="xl193"/>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10" w:customStyle="1">
    <w:name w:val="xl194"/>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011" w:customStyle="1">
    <w:name w:val="xl195"/>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12" w:customStyle="1">
    <w:name w:val="xl196"/>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13" w:customStyle="1">
    <w:name w:val="xl197"/>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14" w:customStyle="1">
    <w:name w:val="xl198"/>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15" w:customStyle="1">
    <w:name w:val="xl199"/>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16" w:customStyle="1">
    <w:name w:val="xl200"/>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17" w:customStyle="1">
    <w:name w:val="xl201"/>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018" w:customStyle="1">
    <w:name w:val="xl202"/>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019" w:customStyle="1">
    <w:name w:val="xl203"/>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20" w:customStyle="1">
    <w:name w:val="xl204"/>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21" w:customStyle="1">
    <w:name w:val="xl205"/>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22" w:customStyle="1">
    <w:name w:val="xl206"/>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023" w:customStyle="1">
    <w:name w:val="xl207"/>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24" w:customStyle="1">
    <w:name w:val="xl208"/>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025" w:customStyle="1">
    <w:name w:val="xl209"/>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26" w:customStyle="1">
    <w:name w:val="xl210"/>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Cs w:val="21"/>
    </w:rPr>
  </w:style>
  <w:style w:type="paragraph" w:styleId="1027" w:customStyle="1">
    <w:name w:val="xl211"/>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28" w:customStyle="1">
    <w:name w:val="xl212"/>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29" w:customStyle="1">
    <w:name w:val="xl213"/>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30" w:customStyle="1">
    <w:name w:val="xl214"/>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31" w:customStyle="1">
    <w:name w:val="xl215"/>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32" w:customStyle="1">
    <w:name w:val="xl216"/>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33" w:customStyle="1">
    <w:name w:val="xl217"/>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34" w:customStyle="1">
    <w:name w:val="xl218"/>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035" w:customStyle="1">
    <w:name w:val="xl219"/>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36" w:customStyle="1">
    <w:name w:val="xl220"/>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37" w:customStyle="1">
    <w:name w:val="xl221"/>
    <w:basedOn w:val="702"/>
    <w:uiPriority w:val="99"/>
    <w:qFormat/>
    <w:pPr>
      <w:jc w:val="center"/>
      <w:spacing w:before="100" w:beforeAutospacing="1" w:after="100" w:afterAutospacing="1"/>
      <w:widowControl/>
    </w:pPr>
    <w:rPr>
      <w:rFonts w:ascii="Times New Roman" w:hAnsi="Times New Roman" w:eastAsia="宋体"/>
      <w:sz w:val="24"/>
    </w:rPr>
  </w:style>
  <w:style w:type="paragraph" w:styleId="1038" w:customStyle="1">
    <w:name w:val="xl222"/>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39" w:customStyle="1">
    <w:name w:val="xl223"/>
    <w:basedOn w:val="702"/>
    <w:uiPriority w:val="99"/>
    <w:qFormat/>
    <w:pPr>
      <w:jc w:val="center"/>
      <w:spacing w:before="100" w:beforeAutospacing="1" w:after="100" w:afterAutospacing="1"/>
      <w:widowControl/>
    </w:pPr>
    <w:rPr>
      <w:rFonts w:ascii="Times New Roman" w:hAnsi="Times New Roman" w:eastAsia="宋体"/>
      <w:sz w:val="24"/>
    </w:rPr>
  </w:style>
  <w:style w:type="paragraph" w:styleId="1040" w:customStyle="1">
    <w:name w:val="xl224"/>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41" w:customStyle="1">
    <w:name w:val="xl225"/>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42" w:customStyle="1">
    <w:name w:val="xl226"/>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43" w:customStyle="1">
    <w:name w:val="xl227"/>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44" w:customStyle="1">
    <w:name w:val="xl228"/>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45" w:customStyle="1">
    <w:name w:val="xl229"/>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46" w:customStyle="1">
    <w:name w:val="xl230"/>
    <w:basedOn w:val="70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47" w:customStyle="1">
    <w:name w:val="xl231"/>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Cs w:val="21"/>
    </w:rPr>
  </w:style>
  <w:style w:type="paragraph" w:styleId="1048" w:customStyle="1">
    <w:name w:val="xl232"/>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49" w:customStyle="1">
    <w:name w:val="xl233"/>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50" w:customStyle="1">
    <w:name w:val="xl234"/>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51" w:customStyle="1">
    <w:name w:val="xl235"/>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52" w:customStyle="1">
    <w:name w:val="xl236"/>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53" w:customStyle="1">
    <w:name w:val="xl237"/>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54" w:customStyle="1">
    <w:name w:val="xl238"/>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55" w:customStyle="1">
    <w:name w:val="xl239"/>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56" w:customStyle="1">
    <w:name w:val="xl240"/>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57" w:customStyle="1">
    <w:name w:val="xl241"/>
    <w:basedOn w:val="7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58" w:customStyle="1">
    <w:name w:val="xl242"/>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59" w:customStyle="1">
    <w:name w:val="xl243"/>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60" w:customStyle="1">
    <w:name w:val="xl244"/>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61" w:customStyle="1">
    <w:name w:val="xl245"/>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62" w:customStyle="1">
    <w:name w:val="xl246"/>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63" w:customStyle="1">
    <w:name w:val="xl247"/>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064" w:customStyle="1">
    <w:name w:val="xl248"/>
    <w:basedOn w:val="7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65" w:customStyle="1">
    <w:name w:val="xl249"/>
    <w:basedOn w:val="702"/>
    <w:uiPriority w:val="99"/>
    <w:qFormat/>
    <w:pPr>
      <w:jc w:val="center"/>
      <w:spacing w:before="100" w:beforeAutospacing="1" w:after="100" w:afterAutospacing="1"/>
      <w:widowControl/>
    </w:pPr>
    <w:rPr>
      <w:rFonts w:ascii="Times New Roman" w:hAnsi="Times New Roman" w:eastAsia="宋体"/>
      <w:sz w:val="24"/>
    </w:rPr>
  </w:style>
  <w:style w:type="paragraph" w:styleId="1066" w:customStyle="1">
    <w:name w:val="xl250"/>
    <w:basedOn w:val="70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67" w:customStyle="1">
    <w:name w:val="xl251"/>
    <w:basedOn w:val="702"/>
    <w:uiPriority w:val="99"/>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68" w:customStyle="1">
    <w:name w:val="xl252"/>
    <w:basedOn w:val="702"/>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69" w:customStyle="1">
    <w:name w:val="xl253"/>
    <w:basedOn w:val="702"/>
    <w:uiPriority w:val="99"/>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70" w:customStyle="1">
    <w:name w:val="Char1 Char Char Char"/>
    <w:basedOn w:val="702"/>
    <w:uiPriority w:val="99"/>
    <w:qFormat/>
    <w:pPr>
      <w:spacing w:line="312" w:lineRule="atLeast"/>
    </w:pPr>
    <w:rPr>
      <w:rFonts w:ascii="Times New Roman" w:hAnsi="Times New Roman" w:eastAsia="仿宋_GB2312"/>
      <w:sz w:val="28"/>
    </w:rPr>
  </w:style>
  <w:style w:type="paragraph" w:styleId="1071" w:customStyle="1">
    <w:name w:val="TOC 标题3"/>
    <w:basedOn w:val="703"/>
    <w:next w:val="702"/>
    <w:uiPriority w:val="39"/>
    <w:qFormat/>
    <w:pPr>
      <w:jc w:val="left"/>
      <w:spacing w:before="240" w:after="0" w:line="256" w:lineRule="auto"/>
      <w:widowControl/>
      <w:outlineLvl w:val="9"/>
    </w:pPr>
    <w:rPr>
      <w:rFonts w:ascii="等线 Light" w:hAnsi="等线 Light" w:eastAsia="等线 Light"/>
      <w:b w:val="0"/>
      <w:bCs w:val="0"/>
      <w:color w:val="2e74b5"/>
      <w:sz w:val="32"/>
      <w:szCs w:val="32"/>
    </w:rPr>
  </w:style>
  <w:style w:type="paragraph" w:styleId="1072" w:customStyle="1">
    <w:name w:val="標準1"/>
    <w:basedOn w:val="702"/>
    <w:next w:val="702"/>
    <w:uiPriority w:val="99"/>
    <w:qFormat/>
    <w:pPr>
      <w:jc w:val="left"/>
    </w:pPr>
    <w:rPr>
      <w:rFonts w:ascii="宋体" w:hAnsi="Times New Roman" w:eastAsia="宋体"/>
      <w:sz w:val="24"/>
      <w:lang w:eastAsia="en-US"/>
    </w:rPr>
  </w:style>
  <w:style w:type="paragraph" w:styleId="1073" w:customStyle="1">
    <w:name w:val="font25"/>
    <w:basedOn w:val="702"/>
    <w:uiPriority w:val="99"/>
    <w:qFormat/>
    <w:pPr>
      <w:jc w:val="left"/>
      <w:spacing w:before="100" w:beforeAutospacing="1" w:after="100" w:afterAutospacing="1"/>
      <w:widowControl/>
    </w:pPr>
    <w:rPr>
      <w:rFonts w:ascii="宋体" w:hAnsi="宋体" w:eastAsia="宋体" w:cs="宋体"/>
      <w:b/>
      <w:bCs/>
      <w:color w:val="000000"/>
      <w:sz w:val="18"/>
      <w:szCs w:val="18"/>
    </w:rPr>
  </w:style>
  <w:style w:type="paragraph" w:styleId="1074" w:customStyle="1">
    <w:name w:val="font26"/>
    <w:basedOn w:val="702"/>
    <w:uiPriority w:val="99"/>
    <w:qFormat/>
    <w:pPr>
      <w:jc w:val="left"/>
      <w:spacing w:before="100" w:beforeAutospacing="1" w:after="100" w:afterAutospacing="1"/>
      <w:widowControl/>
    </w:pPr>
    <w:rPr>
      <w:rFonts w:ascii="宋体" w:hAnsi="宋体" w:eastAsia="宋体" w:cs="宋体"/>
      <w:color w:val="000000"/>
      <w:sz w:val="18"/>
      <w:szCs w:val="18"/>
    </w:rPr>
  </w:style>
  <w:style w:type="paragraph" w:styleId="1075" w:customStyle="1">
    <w:name w:val="font27"/>
    <w:basedOn w:val="702"/>
    <w:uiPriority w:val="99"/>
    <w:qFormat/>
    <w:pPr>
      <w:jc w:val="left"/>
      <w:spacing w:before="100" w:beforeAutospacing="1" w:after="100" w:afterAutospacing="1"/>
      <w:widowControl/>
    </w:pPr>
    <w:rPr>
      <w:rFonts w:ascii="宋体" w:hAnsi="宋体" w:eastAsia="宋体" w:cs="宋体"/>
      <w:color w:val="000000"/>
      <w:sz w:val="18"/>
      <w:szCs w:val="18"/>
    </w:rPr>
  </w:style>
  <w:style w:type="paragraph" w:styleId="1076" w:customStyle="1">
    <w:name w:val="font28"/>
    <w:basedOn w:val="702"/>
    <w:uiPriority w:val="99"/>
    <w:qFormat/>
    <w:pPr>
      <w:jc w:val="left"/>
      <w:spacing w:before="100" w:beforeAutospacing="1" w:after="100" w:afterAutospacing="1"/>
      <w:widowControl/>
    </w:pPr>
    <w:rPr>
      <w:rFonts w:ascii="宋体" w:hAnsi="宋体" w:eastAsia="宋体" w:cs="宋体"/>
      <w:color w:val="000000"/>
      <w:sz w:val="22"/>
      <w:szCs w:val="22"/>
    </w:rPr>
  </w:style>
  <w:style w:type="paragraph" w:styleId="1077" w:customStyle="1">
    <w:name w:val="font29"/>
    <w:basedOn w:val="702"/>
    <w:uiPriority w:val="99"/>
    <w:qFormat/>
    <w:pPr>
      <w:jc w:val="left"/>
      <w:spacing w:before="100" w:beforeAutospacing="1" w:after="100" w:afterAutospacing="1"/>
      <w:widowControl/>
    </w:pPr>
    <w:rPr>
      <w:rFonts w:ascii="Times New Roman" w:hAnsi="Times New Roman" w:eastAsia="宋体"/>
      <w:color w:val="000000"/>
      <w:sz w:val="22"/>
      <w:szCs w:val="22"/>
    </w:rPr>
  </w:style>
  <w:style w:type="paragraph" w:styleId="1078" w:customStyle="1">
    <w:name w:val="font30"/>
    <w:basedOn w:val="702"/>
    <w:uiPriority w:val="99"/>
    <w:qFormat/>
    <w:pPr>
      <w:jc w:val="left"/>
      <w:spacing w:before="100" w:beforeAutospacing="1" w:after="100" w:afterAutospacing="1"/>
      <w:widowControl/>
    </w:pPr>
    <w:rPr>
      <w:rFonts w:ascii="Times New Roman" w:hAnsi="Times New Roman" w:eastAsia="宋体"/>
      <w:color w:val="000000"/>
      <w:sz w:val="22"/>
      <w:szCs w:val="22"/>
    </w:rPr>
  </w:style>
  <w:style w:type="paragraph" w:styleId="1079" w:customStyle="1">
    <w:name w:val="font32"/>
    <w:basedOn w:val="702"/>
    <w:uiPriority w:val="99"/>
    <w:qFormat/>
    <w:pPr>
      <w:jc w:val="left"/>
      <w:spacing w:before="100" w:beforeAutospacing="1" w:after="100" w:afterAutospacing="1"/>
      <w:widowControl/>
    </w:pPr>
    <w:rPr>
      <w:rFonts w:ascii="Times New Roman" w:hAnsi="Times New Roman" w:eastAsia="宋体"/>
      <w:color w:val="ff0000"/>
      <w:sz w:val="22"/>
      <w:szCs w:val="22"/>
    </w:rPr>
  </w:style>
  <w:style w:type="paragraph" w:styleId="1080" w:customStyle="1">
    <w:name w:val="font33"/>
    <w:basedOn w:val="702"/>
    <w:uiPriority w:val="99"/>
    <w:qFormat/>
    <w:pPr>
      <w:jc w:val="left"/>
      <w:spacing w:before="100" w:beforeAutospacing="1" w:after="100" w:afterAutospacing="1"/>
      <w:widowControl/>
    </w:pPr>
    <w:rPr>
      <w:rFonts w:ascii="宋体" w:hAnsi="宋体" w:eastAsia="宋体" w:cs="宋体"/>
      <w:color w:val="ff0000"/>
      <w:sz w:val="22"/>
      <w:szCs w:val="22"/>
    </w:rPr>
  </w:style>
  <w:style w:type="paragraph" w:styleId="1081" w:customStyle="1">
    <w:name w:val="修订1"/>
    <w:uiPriority w:val="99"/>
    <w:semiHidden/>
    <w:qFormat/>
    <w:rPr>
      <w:rFonts w:ascii="等线" w:hAnsi="等线" w:eastAsia="等线" w:cs="Times New Roman"/>
      <w:sz w:val="21"/>
      <w:szCs w:val="24"/>
      <w:lang w:val="en-US" w:eastAsia="zh-CN" w:bidi="ar-SA"/>
    </w:rPr>
  </w:style>
  <w:style w:type="character" w:styleId="1082" w:customStyle="1">
    <w:name w:val="Other|1_"/>
    <w:basedOn w:val="712"/>
    <w:link w:val="1083"/>
    <w:uiPriority w:val="0"/>
    <w:qFormat/>
    <w:rPr>
      <w:rFonts w:ascii="宋体" w:hAnsi="宋体" w:eastAsia="宋体" w:cs="宋体"/>
      <w:sz w:val="22"/>
      <w:lang w:val="zh-TW" w:eastAsia="zh-TW" w:bidi="zh-TW"/>
    </w:rPr>
  </w:style>
  <w:style w:type="paragraph" w:styleId="1083" w:customStyle="1">
    <w:name w:val="Other|1"/>
    <w:basedOn w:val="702"/>
    <w:link w:val="1082"/>
    <w:uiPriority w:val="0"/>
    <w:qFormat/>
    <w:pPr>
      <w:jc w:val="left"/>
      <w:spacing w:line="480" w:lineRule="auto"/>
    </w:pPr>
    <w:rPr>
      <w:rFonts w:ascii="宋体" w:hAnsi="宋体" w:eastAsia="宋体" w:cs="宋体"/>
      <w:sz w:val="22"/>
      <w:szCs w:val="20"/>
      <w:lang w:val="zh-TW" w:eastAsia="zh-TW" w:bidi="zh-TW"/>
    </w:rPr>
  </w:style>
  <w:style w:type="paragraph" w:styleId="1084" w:customStyle="1">
    <w:name w:val="_Style 3"/>
    <w:uiPriority w:val="1"/>
    <w:qFormat/>
    <w:pPr>
      <w:jc w:val="both"/>
      <w:widowControl w:val="off"/>
    </w:pPr>
    <w:rPr>
      <w:rFonts w:ascii="Times New Roman" w:hAnsi="Times New Roman" w:eastAsia="宋体" w:cs="Times New Roman"/>
      <w:sz w:val="21"/>
      <w:szCs w:val="22"/>
      <w:lang w:val="en-US" w:eastAsia="zh-CN" w:bidi="ar-SA"/>
    </w:rPr>
  </w:style>
  <w:style w:type="paragraph" w:styleId="1085" w:customStyle="1">
    <w:name w:val="msolistparagraph"/>
    <w:basedOn w:val="702"/>
    <w:uiPriority w:val="99"/>
    <w:qFormat/>
    <w:pPr>
      <w:ind w:firstLine="420"/>
      <w:spacing w:line="440" w:lineRule="exact"/>
    </w:pPr>
    <w:rPr>
      <w:rFonts w:eastAsia="宋体"/>
      <w:sz w:val="24"/>
    </w:rPr>
  </w:style>
  <w:style w:type="paragraph" w:styleId="1086" w:customStyle="1">
    <w:name w:val="font0"/>
    <w:basedOn w:val="702"/>
    <w:uiPriority w:val="99"/>
    <w:qFormat/>
    <w:pPr>
      <w:jc w:val="left"/>
      <w:spacing w:before="100" w:beforeAutospacing="1" w:after="100" w:afterAutospacing="1"/>
      <w:widowControl/>
    </w:pPr>
    <w:rPr>
      <w:rFonts w:ascii="Times New Roman" w:hAnsi="Times New Roman" w:eastAsia="宋体"/>
      <w:color w:val="000000"/>
      <w:sz w:val="22"/>
      <w:szCs w:val="22"/>
    </w:rPr>
  </w:style>
  <w:style w:type="paragraph" w:styleId="1087" w:customStyle="1">
    <w:name w:val="font1"/>
    <w:basedOn w:val="702"/>
    <w:uiPriority w:val="99"/>
    <w:qFormat/>
    <w:pPr>
      <w:jc w:val="left"/>
      <w:spacing w:before="100" w:beforeAutospacing="1" w:after="100" w:afterAutospacing="1"/>
      <w:widowControl/>
    </w:pPr>
    <w:rPr>
      <w:rFonts w:ascii="宋体" w:hAnsi="宋体" w:eastAsia="宋体" w:cs="宋体"/>
      <w:color w:val="000000"/>
      <w:sz w:val="22"/>
      <w:szCs w:val="22"/>
    </w:rPr>
  </w:style>
  <w:style w:type="paragraph" w:styleId="1088" w:customStyle="1">
    <w:name w:val="font2"/>
    <w:basedOn w:val="702"/>
    <w:uiPriority w:val="99"/>
    <w:qFormat/>
    <w:pPr>
      <w:jc w:val="left"/>
      <w:spacing w:before="100" w:beforeAutospacing="1" w:after="100" w:afterAutospacing="1"/>
      <w:widowControl/>
    </w:pPr>
    <w:rPr>
      <w:rFonts w:ascii="Times New Roman" w:hAnsi="Times New Roman" w:eastAsia="宋体"/>
      <w:color w:val="000000"/>
      <w:sz w:val="22"/>
      <w:szCs w:val="22"/>
    </w:rPr>
  </w:style>
  <w:style w:type="paragraph" w:styleId="1089" w:customStyle="1">
    <w:name w:val="font3"/>
    <w:basedOn w:val="702"/>
    <w:uiPriority w:val="99"/>
    <w:qFormat/>
    <w:pPr>
      <w:jc w:val="left"/>
      <w:spacing w:before="100" w:beforeAutospacing="1" w:after="100" w:afterAutospacing="1"/>
      <w:widowControl/>
    </w:pPr>
    <w:rPr>
      <w:rFonts w:ascii="宋体" w:hAnsi="宋体" w:eastAsia="宋体" w:cs="宋体"/>
      <w:color w:val="000000"/>
      <w:sz w:val="24"/>
    </w:rPr>
  </w:style>
  <w:style w:type="paragraph" w:styleId="1090" w:customStyle="1">
    <w:name w:val="font4"/>
    <w:basedOn w:val="702"/>
    <w:uiPriority w:val="99"/>
    <w:qFormat/>
    <w:pPr>
      <w:jc w:val="left"/>
      <w:spacing w:before="100" w:beforeAutospacing="1" w:after="100" w:afterAutospacing="1"/>
      <w:widowControl/>
    </w:pPr>
    <w:rPr>
      <w:rFonts w:ascii="Times New Roman" w:hAnsi="Times New Roman" w:eastAsia="宋体"/>
      <w:b/>
      <w:bCs/>
      <w:color w:val="000000"/>
      <w:sz w:val="22"/>
      <w:szCs w:val="22"/>
    </w:rPr>
  </w:style>
  <w:style w:type="paragraph" w:styleId="1091" w:customStyle="1">
    <w:name w:val="et4"/>
    <w:basedOn w:val="702"/>
    <w:uiPriority w:val="99"/>
    <w:qFormat/>
    <w:pPr>
      <w:jc w:val="center"/>
      <w:spacing w:before="100" w:beforeAutospacing="1" w:after="100" w:afterAutospacing="1"/>
      <w:shd w:val="clear" w:color="auto" w:fill="ffffff"/>
      <w:widowControl/>
    </w:pPr>
    <w:rPr>
      <w:rFonts w:ascii="Times New Roman" w:hAnsi="Times New Roman" w:eastAsia="宋体"/>
      <w:color w:val="000000"/>
      <w:sz w:val="24"/>
    </w:rPr>
  </w:style>
  <w:style w:type="paragraph" w:styleId="1092" w:customStyle="1">
    <w:name w:val="et5"/>
    <w:basedOn w:val="702"/>
    <w:uiPriority w:val="99"/>
    <w:qFormat/>
    <w:pPr>
      <w:jc w:val="center"/>
      <w:spacing w:before="100" w:beforeAutospacing="1" w:after="100" w:afterAutospacing="1"/>
      <w:shd w:val="clear" w:color="auto" w:fill="ffffff"/>
      <w:widowControl/>
    </w:pPr>
    <w:rPr>
      <w:rFonts w:ascii="Times New Roman" w:hAnsi="Times New Roman" w:eastAsia="宋体"/>
      <w:color w:val="000000"/>
      <w:sz w:val="24"/>
    </w:rPr>
  </w:style>
  <w:style w:type="paragraph" w:styleId="1093" w:customStyle="1">
    <w:name w:val="et6"/>
    <w:basedOn w:val="702"/>
    <w:uiPriority w:val="99"/>
    <w:qFormat/>
    <w:pPr>
      <w:jc w:val="center"/>
      <w:spacing w:before="100" w:beforeAutospacing="1" w:after="100" w:afterAutospacing="1"/>
      <w:shd w:val="clear" w:color="auto" w:fill="ffffff"/>
      <w:widowControl/>
    </w:pPr>
    <w:rPr>
      <w:rFonts w:ascii="Times New Roman" w:hAnsi="Times New Roman" w:eastAsia="宋体"/>
      <w:color w:val="000000"/>
      <w:sz w:val="24"/>
    </w:rPr>
  </w:style>
  <w:style w:type="paragraph" w:styleId="1094" w:customStyle="1">
    <w:name w:val="et7"/>
    <w:basedOn w:val="702"/>
    <w:uiPriority w:val="99"/>
    <w:qFormat/>
    <w:pPr>
      <w:jc w:val="center"/>
      <w:spacing w:before="100" w:beforeAutospacing="1" w:after="100" w:afterAutospacing="1"/>
      <w:shd w:val="clear" w:color="auto" w:fill="ffffff"/>
      <w:widowControl/>
    </w:pPr>
    <w:rPr>
      <w:rFonts w:ascii="Times New Roman" w:hAnsi="Times New Roman" w:eastAsia="宋体"/>
      <w:color w:val="000000"/>
      <w:sz w:val="24"/>
    </w:rPr>
  </w:style>
  <w:style w:type="paragraph" w:styleId="1095" w:customStyle="1">
    <w:name w:val="et8"/>
    <w:basedOn w:val="702"/>
    <w:uiPriority w:val="99"/>
    <w:qFormat/>
    <w:pPr>
      <w:jc w:val="left"/>
      <w:spacing w:before="100" w:beforeAutospacing="1" w:after="100" w:afterAutospacing="1"/>
      <w:shd w:val="clear" w:color="auto" w:fill="ffffff"/>
      <w:widowControl/>
    </w:pPr>
    <w:rPr>
      <w:rFonts w:ascii="Times New Roman" w:hAnsi="Times New Roman" w:eastAsia="宋体"/>
      <w:sz w:val="24"/>
    </w:rPr>
  </w:style>
  <w:style w:type="paragraph" w:styleId="1096" w:customStyle="1">
    <w:name w:val="et9"/>
    <w:basedOn w:val="702"/>
    <w:uiPriority w:val="99"/>
    <w:qFormat/>
    <w:pPr>
      <w:jc w:val="center"/>
      <w:spacing w:before="100" w:beforeAutospacing="1" w:after="100" w:afterAutospacing="1"/>
      <w:shd w:val="clear" w:color="auto" w:fill="ffffff"/>
      <w:widowControl/>
    </w:pPr>
    <w:rPr>
      <w:rFonts w:ascii="Times New Roman" w:hAnsi="Times New Roman" w:eastAsia="宋体"/>
      <w:color w:val="000000"/>
      <w:sz w:val="24"/>
    </w:rPr>
  </w:style>
  <w:style w:type="paragraph" w:styleId="1097" w:customStyle="1">
    <w:name w:val="et10"/>
    <w:basedOn w:val="702"/>
    <w:uiPriority w:val="99"/>
    <w:qFormat/>
    <w:pPr>
      <w:jc w:val="center"/>
      <w:spacing w:before="100" w:beforeAutospacing="1" w:after="100" w:afterAutospacing="1"/>
      <w:widowControl/>
    </w:pPr>
    <w:rPr>
      <w:rFonts w:ascii="Times New Roman" w:hAnsi="Times New Roman" w:eastAsia="宋体"/>
      <w:sz w:val="24"/>
    </w:rPr>
  </w:style>
  <w:style w:type="paragraph" w:styleId="1098" w:customStyle="1">
    <w:name w:val="et11"/>
    <w:basedOn w:val="702"/>
    <w:uiPriority w:val="99"/>
    <w:qFormat/>
    <w:pPr>
      <w:jc w:val="center"/>
      <w:spacing w:before="100" w:beforeAutospacing="1" w:after="100" w:afterAutospacing="1"/>
      <w:shd w:val="clear" w:color="auto" w:fill="ffffff"/>
      <w:widowControl/>
    </w:pPr>
    <w:rPr>
      <w:rFonts w:ascii="Times New Roman" w:hAnsi="Times New Roman" w:eastAsia="宋体"/>
      <w:b/>
      <w:bCs/>
      <w:sz w:val="24"/>
    </w:rPr>
  </w:style>
  <w:style w:type="paragraph" w:styleId="1099" w:customStyle="1">
    <w:name w:val="et12"/>
    <w:basedOn w:val="702"/>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sz w:val="24"/>
    </w:rPr>
  </w:style>
  <w:style w:type="paragraph" w:styleId="1100" w:customStyle="1">
    <w:name w:val="et13"/>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101" w:customStyle="1">
    <w:name w:val="et14"/>
    <w:basedOn w:val="702"/>
    <w:uiPriority w:val="99"/>
    <w:qFormat/>
    <w:pPr>
      <w:jc w:val="left"/>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sz w:val="24"/>
    </w:rPr>
  </w:style>
  <w:style w:type="paragraph" w:styleId="1102" w:customStyle="1">
    <w:name w:val="et15"/>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103" w:customStyle="1">
    <w:name w:val="et16"/>
    <w:basedOn w:val="702"/>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color w:val="000000"/>
      <w:sz w:val="24"/>
    </w:rPr>
  </w:style>
  <w:style w:type="paragraph" w:styleId="1104" w:customStyle="1">
    <w:name w:val="et17"/>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05" w:customStyle="1">
    <w:name w:val="et18"/>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06" w:customStyle="1">
    <w:name w:val="et19"/>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07" w:customStyle="1">
    <w:name w:val="et20"/>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108" w:customStyle="1">
    <w:name w:val="et21"/>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109" w:customStyle="1">
    <w:name w:val="et22"/>
    <w:basedOn w:val="702"/>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b/>
      <w:bCs/>
      <w:color w:val="000000"/>
      <w:sz w:val="24"/>
    </w:rPr>
  </w:style>
  <w:style w:type="paragraph" w:styleId="1110" w:customStyle="1">
    <w:name w:val="et23"/>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111" w:customStyle="1">
    <w:name w:val="et24"/>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4"/>
    </w:rPr>
  </w:style>
  <w:style w:type="paragraph" w:styleId="1112" w:customStyle="1">
    <w:name w:val="et25"/>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113" w:customStyle="1">
    <w:name w:val="et26"/>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114" w:customStyle="1">
    <w:name w:val="et27"/>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115" w:customStyle="1">
    <w:name w:val="et28"/>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16" w:customStyle="1">
    <w:name w:val="et29"/>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117" w:customStyle="1">
    <w:name w:val="et30"/>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118" w:customStyle="1">
    <w:name w:val="et31"/>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ff0000"/>
      <w:sz w:val="24"/>
    </w:rPr>
  </w:style>
  <w:style w:type="paragraph" w:styleId="1119" w:customStyle="1">
    <w:name w:val="et32"/>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120" w:customStyle="1">
    <w:name w:val="et33"/>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21" w:customStyle="1">
    <w:name w:val="et34"/>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ff0000"/>
      <w:sz w:val="24"/>
    </w:rPr>
  </w:style>
  <w:style w:type="paragraph" w:styleId="1122" w:customStyle="1">
    <w:name w:val="et35"/>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rPr>
  </w:style>
  <w:style w:type="paragraph" w:styleId="1123" w:customStyle="1">
    <w:name w:val="et36"/>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124" w:customStyle="1">
    <w:name w:val="et37"/>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25" w:customStyle="1">
    <w:name w:val="et38"/>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26" w:customStyle="1">
    <w:name w:val="et39"/>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127" w:customStyle="1">
    <w:name w:val="et40"/>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128" w:customStyle="1">
    <w:name w:val="et41"/>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sz w:val="24"/>
    </w:rPr>
  </w:style>
  <w:style w:type="paragraph" w:styleId="1129" w:customStyle="1">
    <w:name w:val="et42"/>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sz w:val="24"/>
    </w:rPr>
  </w:style>
  <w:style w:type="paragraph" w:styleId="1130" w:customStyle="1">
    <w:name w:val="et43"/>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31" w:customStyle="1">
    <w:name w:val="et44"/>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32" w:customStyle="1">
    <w:name w:val="et45"/>
    <w:basedOn w:val="70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33" w:customStyle="1">
    <w:name w:val="et46"/>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134" w:customStyle="1">
    <w:name w:val="et47"/>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sz w:val="24"/>
    </w:rPr>
  </w:style>
  <w:style w:type="paragraph" w:styleId="1135" w:customStyle="1">
    <w:name w:val="et48"/>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4"/>
    </w:rPr>
  </w:style>
  <w:style w:type="paragraph" w:styleId="1136" w:customStyle="1">
    <w:name w:val="et49"/>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4"/>
    </w:rPr>
  </w:style>
  <w:style w:type="paragraph" w:styleId="1137" w:customStyle="1">
    <w:name w:val="et50"/>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24"/>
    </w:rPr>
  </w:style>
  <w:style w:type="paragraph" w:styleId="1138" w:customStyle="1">
    <w:name w:val="et51"/>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sz w:val="24"/>
    </w:rPr>
  </w:style>
  <w:style w:type="paragraph" w:styleId="1139" w:customStyle="1">
    <w:name w:val="et52"/>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4"/>
    </w:rPr>
  </w:style>
  <w:style w:type="paragraph" w:styleId="1140" w:customStyle="1">
    <w:name w:val="et53"/>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141" w:customStyle="1">
    <w:name w:val="et54"/>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4"/>
    </w:rPr>
  </w:style>
  <w:style w:type="paragraph" w:styleId="1142" w:customStyle="1">
    <w:name w:val="et55"/>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sz w:val="24"/>
    </w:rPr>
  </w:style>
  <w:style w:type="paragraph" w:styleId="1143" w:customStyle="1">
    <w:name w:val="et56"/>
    <w:basedOn w:val="70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color w:val="000000"/>
      <w:sz w:val="24"/>
    </w:rPr>
  </w:style>
  <w:style w:type="paragraph" w:styleId="1144" w:customStyle="1">
    <w:name w:val="et57"/>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45" w:customStyle="1">
    <w:name w:val="et58"/>
    <w:basedOn w:val="70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46" w:customStyle="1">
    <w:name w:val="et59"/>
    <w:basedOn w:val="70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147" w:customStyle="1">
    <w:name w:val="et60"/>
    <w:basedOn w:val="702"/>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color w:val="000000"/>
      <w:sz w:val="24"/>
    </w:rPr>
  </w:style>
  <w:style w:type="paragraph" w:styleId="1148" w:customStyle="1">
    <w:name w:val="et61"/>
    <w:basedOn w:val="702"/>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color w:val="000000"/>
      <w:sz w:val="24"/>
    </w:rPr>
  </w:style>
  <w:style w:type="paragraph" w:styleId="1149" w:customStyle="1">
    <w:name w:val="et62"/>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50" w:customStyle="1">
    <w:name w:val="et63"/>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151" w:customStyle="1">
    <w:name w:val="et64"/>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52" w:customStyle="1">
    <w:name w:val="et65"/>
    <w:basedOn w:val="702"/>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8" w:space="0"/>
        <w:right w:val="single" w:color="000000" w:sz="4" w:space="0"/>
      </w:pBdr>
    </w:pPr>
    <w:rPr>
      <w:rFonts w:ascii="Times New Roman" w:hAnsi="Times New Roman" w:eastAsia="宋体"/>
      <w:b/>
      <w:bCs/>
      <w:color w:val="000000"/>
      <w:sz w:val="24"/>
    </w:rPr>
  </w:style>
  <w:style w:type="paragraph" w:styleId="1153" w:customStyle="1">
    <w:name w:val="et66"/>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b/>
      <w:bCs/>
      <w:color w:val="000000"/>
      <w:sz w:val="24"/>
    </w:rPr>
  </w:style>
  <w:style w:type="paragraph" w:styleId="1154" w:customStyle="1">
    <w:name w:val="et67"/>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color w:val="000000"/>
      <w:sz w:val="24"/>
    </w:rPr>
  </w:style>
  <w:style w:type="paragraph" w:styleId="1155" w:customStyle="1">
    <w:name w:val="et68"/>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b/>
      <w:bCs/>
      <w:color w:val="000000"/>
      <w:sz w:val="24"/>
    </w:rPr>
  </w:style>
  <w:style w:type="paragraph" w:styleId="1156" w:customStyle="1">
    <w:name w:val="et69"/>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b/>
      <w:bCs/>
      <w:color w:val="000000"/>
      <w:sz w:val="24"/>
    </w:rPr>
  </w:style>
  <w:style w:type="paragraph" w:styleId="1157" w:customStyle="1">
    <w:name w:val="et70"/>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4"/>
    </w:rPr>
  </w:style>
  <w:style w:type="paragraph" w:styleId="1158" w:customStyle="1">
    <w:name w:val="et71"/>
    <w:basedOn w:val="70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59" w:customStyle="1">
    <w:name w:val="et72"/>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color w:val="ff0000"/>
      <w:sz w:val="24"/>
    </w:rPr>
  </w:style>
  <w:style w:type="paragraph" w:styleId="1160" w:customStyle="1">
    <w:name w:val="et73"/>
    <w:basedOn w:val="7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b/>
      <w:bCs/>
      <w:color w:val="000000"/>
      <w:sz w:val="24"/>
    </w:rPr>
  </w:style>
  <w:style w:type="paragraph" w:styleId="1161" w:customStyle="1">
    <w:name w:val="et74"/>
    <w:basedOn w:val="7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8" w:space="0"/>
        <w:right w:val="single" w:color="000000" w:sz="8" w:space="0"/>
      </w:pBdr>
    </w:pPr>
    <w:rPr>
      <w:rFonts w:ascii="Times New Roman" w:hAnsi="Times New Roman" w:eastAsia="宋体"/>
      <w:sz w:val="24"/>
    </w:rPr>
  </w:style>
  <w:style w:type="paragraph" w:styleId="1162" w:customStyle="1">
    <w:name w:val="et3"/>
    <w:basedOn w:val="702"/>
    <w:uiPriority w:val="99"/>
    <w:qFormat/>
    <w:pPr>
      <w:jc w:val="center"/>
      <w:spacing w:before="100" w:beforeAutospacing="1" w:after="100" w:afterAutospacing="1"/>
      <w:shd w:val="clear" w:color="auto" w:fill="ffffff"/>
      <w:widowControl/>
    </w:pPr>
    <w:rPr>
      <w:rFonts w:ascii="Times New Roman" w:hAnsi="Times New Roman" w:eastAsia="宋体"/>
      <w:color w:val="000000"/>
      <w:sz w:val="24"/>
    </w:rPr>
  </w:style>
  <w:style w:type="paragraph" w:styleId="1163" w:customStyle="1">
    <w:name w:val="我的正文"/>
    <w:basedOn w:val="702"/>
    <w:next w:val="702"/>
    <w:uiPriority w:val="99"/>
    <w:qFormat/>
    <w:pPr>
      <w:spacing w:line="520" w:lineRule="exact"/>
    </w:pPr>
    <w:rPr>
      <w:rFonts w:ascii="等线" w:hAnsi="等线" w:eastAsia="等线"/>
    </w:rPr>
  </w:style>
  <w:style w:type="paragraph" w:styleId="1164" w:customStyle="1">
    <w:name w:val="p0"/>
    <w:basedOn w:val="702"/>
    <w:uiPriority w:val="99"/>
    <w:qFormat/>
    <w:pPr>
      <w:widowControl/>
    </w:pPr>
    <w:rPr>
      <w:rFonts w:ascii="Times New Roman" w:hAnsi="Times New Roman" w:eastAsia="仿宋"/>
      <w:sz w:val="24"/>
    </w:rPr>
  </w:style>
  <w:style w:type="paragraph" w:styleId="1165" w:customStyle="1">
    <w:name w:val="Char"/>
    <w:basedOn w:val="702"/>
    <w:uiPriority w:val="99"/>
    <w:qFormat/>
    <w:rPr>
      <w:rFonts w:ascii="Times New Roman" w:hAnsi="Times New Roman" w:eastAsia="仿宋"/>
      <w:sz w:val="24"/>
      <w:szCs w:val="21"/>
    </w:rPr>
  </w:style>
  <w:style w:type="paragraph" w:styleId="1166" w:customStyle="1">
    <w:name w:val="正文 首行缩进:  2 字符"/>
    <w:basedOn w:val="702"/>
    <w:uiPriority w:val="99"/>
    <w:qFormat/>
    <w:pPr>
      <w:ind w:firstLine="200"/>
      <w:jc w:val="left"/>
      <w:spacing w:line="360" w:lineRule="auto"/>
      <w:widowControl/>
    </w:pPr>
    <w:rPr>
      <w:rFonts w:ascii="Times New Roman" w:hAnsi="Times New Roman" w:eastAsia="宋体" w:cs="宋体"/>
      <w:color w:val="000000"/>
      <w:sz w:val="24"/>
      <w:lang w:eastAsia="en-US"/>
    </w:rPr>
  </w:style>
  <w:style w:type="character" w:styleId="1167" w:customStyle="1">
    <w:name w:val="Body text|1_"/>
    <w:basedOn w:val="712"/>
    <w:link w:val="1168"/>
    <w:uiPriority w:val="0"/>
    <w:qFormat/>
    <w:rPr>
      <w:rFonts w:ascii="宋体" w:hAnsi="宋体" w:eastAsia="宋体" w:cs="宋体"/>
      <w:sz w:val="22"/>
      <w:lang w:val="zh-TW" w:eastAsia="zh-TW" w:bidi="zh-TW"/>
    </w:rPr>
  </w:style>
  <w:style w:type="paragraph" w:styleId="1168" w:customStyle="1">
    <w:name w:val="Body text|1"/>
    <w:basedOn w:val="702"/>
    <w:link w:val="1167"/>
    <w:uiPriority w:val="0"/>
    <w:qFormat/>
    <w:pPr>
      <w:ind w:left="200"/>
      <w:jc w:val="left"/>
      <w:spacing w:line="480" w:lineRule="auto"/>
    </w:pPr>
    <w:rPr>
      <w:rFonts w:ascii="宋体" w:hAnsi="宋体" w:eastAsia="宋体" w:cs="宋体"/>
      <w:sz w:val="22"/>
      <w:szCs w:val="20"/>
      <w:lang w:val="zh-TW" w:eastAsia="zh-TW" w:bidi="zh-TW"/>
    </w:rPr>
  </w:style>
  <w:style w:type="character" w:styleId="1169" w:customStyle="1">
    <w:name w:val="Table caption|1_"/>
    <w:basedOn w:val="712"/>
    <w:link w:val="1170"/>
    <w:uiPriority w:val="0"/>
    <w:qFormat/>
    <w:rPr>
      <w:rFonts w:ascii="宋体" w:hAnsi="宋体" w:eastAsia="宋体" w:cs="宋体"/>
      <w:b/>
      <w:bCs/>
      <w:sz w:val="22"/>
      <w:lang w:val="zh-TW" w:eastAsia="zh-TW" w:bidi="zh-TW"/>
    </w:rPr>
  </w:style>
  <w:style w:type="paragraph" w:styleId="1170" w:customStyle="1">
    <w:name w:val="Table caption|1"/>
    <w:basedOn w:val="702"/>
    <w:link w:val="1169"/>
    <w:uiPriority w:val="0"/>
    <w:qFormat/>
    <w:pPr>
      <w:jc w:val="left"/>
    </w:pPr>
    <w:rPr>
      <w:rFonts w:ascii="宋体" w:hAnsi="宋体" w:eastAsia="宋体" w:cs="宋体"/>
      <w:b/>
      <w:bCs/>
      <w:sz w:val="22"/>
      <w:szCs w:val="20"/>
      <w:lang w:val="zh-TW" w:eastAsia="zh-TW" w:bidi="zh-TW"/>
    </w:rPr>
  </w:style>
  <w:style w:type="character" w:styleId="1171" w:customStyle="1">
    <w:name w:val="副标题 字符1"/>
    <w:basedOn w:val="712"/>
    <w:link w:val="737"/>
    <w:uiPriority w:val="11"/>
    <w:qFormat/>
    <w:rPr>
      <w:rFonts w:ascii="Cambria" w:hAnsi="Cambria" w:eastAsia="宋体"/>
      <w:b/>
      <w:bCs/>
      <w:sz w:val="32"/>
      <w:szCs w:val="32"/>
      <w:lang w:val="zh-CN"/>
    </w:rPr>
  </w:style>
  <w:style w:type="character" w:styleId="1172" w:customStyle="1">
    <w:name w:val="标题 字符1"/>
    <w:basedOn w:val="712"/>
    <w:link w:val="747"/>
    <w:uiPriority w:val="0"/>
    <w:qFormat/>
    <w:rPr>
      <w:rFonts w:ascii="Cambria" w:hAnsi="Cambria" w:eastAsia="宋体"/>
      <w:b/>
      <w:bCs/>
      <w:sz w:val="32"/>
      <w:szCs w:val="32"/>
      <w:lang w:val="zh-CN"/>
    </w:rPr>
  </w:style>
  <w:style w:type="character" w:styleId="1173" w:customStyle="1">
    <w:name w:val="font31"/>
    <w:basedOn w:val="712"/>
    <w:uiPriority w:val="0"/>
    <w:qFormat/>
    <w:rPr>
      <w:rFonts w:hint="default" w:ascii="Times New Roman" w:hAnsi="Times New Roman" w:cs="Times New Roman"/>
      <w:b/>
      <w:color w:val="000000"/>
      <w:sz w:val="24"/>
      <w:szCs w:val="24"/>
      <w:u w:val="none"/>
    </w:rPr>
  </w:style>
  <w:style w:type="character" w:styleId="1174" w:customStyle="1">
    <w:name w:val="标题 2 Char"/>
    <w:basedOn w:val="712"/>
    <w:uiPriority w:val="9"/>
    <w:qFormat/>
    <w:rPr>
      <w:rFonts w:hint="default" w:ascii="等线 Light" w:hAnsi="等线 Light" w:eastAsia="等线 Light" w:cs="Times New Roman"/>
      <w:b/>
      <w:bCs/>
      <w:sz w:val="32"/>
      <w:szCs w:val="32"/>
    </w:rPr>
  </w:style>
  <w:style w:type="character" w:styleId="1175" w:customStyle="1">
    <w:name w:val="正文文本 Char"/>
    <w:basedOn w:val="712"/>
    <w:uiPriority w:val="99"/>
    <w:qFormat/>
    <w:rPr>
      <w:rFonts w:hint="default" w:ascii="等线" w:hAnsi="等线" w:eastAsia="等线" w:cs="Times New Roman"/>
      <w:sz w:val="21"/>
      <w:szCs w:val="24"/>
    </w:rPr>
  </w:style>
  <w:style w:type="character" w:styleId="1176" w:customStyle="1">
    <w:name w:val="正文文本缩进 Char"/>
    <w:basedOn w:val="712"/>
    <w:uiPriority w:val="0"/>
    <w:qFormat/>
    <w:rPr>
      <w:rFonts w:hint="default" w:ascii="等线" w:hAnsi="等线" w:eastAsia="等线" w:cs="Times New Roman"/>
      <w:sz w:val="21"/>
      <w:szCs w:val="24"/>
    </w:rPr>
  </w:style>
  <w:style w:type="character" w:styleId="1177" w:customStyle="1">
    <w:name w:val="日期 Char"/>
    <w:basedOn w:val="712"/>
    <w:uiPriority w:val="99"/>
    <w:qFormat/>
    <w:rPr>
      <w:rFonts w:hint="default" w:ascii="等线" w:hAnsi="等线" w:eastAsia="等线" w:cs="Times New Roman"/>
      <w:sz w:val="21"/>
      <w:szCs w:val="24"/>
    </w:rPr>
  </w:style>
  <w:style w:type="character" w:styleId="1178" w:customStyle="1">
    <w:name w:val="正文文本缩进 3 Char"/>
    <w:basedOn w:val="712"/>
    <w:uiPriority w:val="0"/>
    <w:qFormat/>
    <w:rPr>
      <w:rFonts w:hint="default" w:ascii="等线" w:hAnsi="等线" w:eastAsia="等线" w:cs="Times New Roman"/>
      <w:sz w:val="16"/>
      <w:szCs w:val="16"/>
    </w:rPr>
  </w:style>
  <w:style w:type="character" w:styleId="1179" w:customStyle="1">
    <w:name w:val="标题 1 Char"/>
    <w:uiPriority w:val="9"/>
    <w:qFormat/>
    <w:rPr>
      <w:rFonts w:hint="eastAsia" w:ascii="黑体" w:hAnsi="黑体" w:eastAsia="黑体"/>
      <w:b/>
      <w:bCs/>
      <w:sz w:val="36"/>
      <w:szCs w:val="44"/>
    </w:rPr>
  </w:style>
  <w:style w:type="character" w:styleId="1180" w:customStyle="1">
    <w:name w:val="标题 3 Char"/>
    <w:uiPriority w:val="0"/>
    <w:qFormat/>
    <w:rPr>
      <w:b/>
      <w:bCs/>
      <w:sz w:val="32"/>
      <w:szCs w:val="32"/>
    </w:rPr>
  </w:style>
  <w:style w:type="character" w:styleId="1181" w:customStyle="1">
    <w:name w:val="font41"/>
    <w:uiPriority w:val="0"/>
    <w:qFormat/>
    <w:rPr>
      <w:rFonts w:hint="default" w:ascii="Times New Roman" w:hAnsi="Times New Roman" w:cs="Times New Roman"/>
      <w:color w:val="000000"/>
      <w:sz w:val="21"/>
      <w:szCs w:val="21"/>
      <w:u w:val="none"/>
    </w:rPr>
  </w:style>
  <w:style w:type="character" w:styleId="1182" w:customStyle="1">
    <w:name w:val="font51"/>
    <w:uiPriority w:val="0"/>
    <w:qFormat/>
    <w:rPr>
      <w:rFonts w:hint="default" w:ascii="Times New Roman" w:hAnsi="Times New Roman" w:cs="Times New Roman"/>
      <w:color w:val="000000"/>
      <w:sz w:val="21"/>
      <w:szCs w:val="21"/>
      <w:u w:val="none"/>
    </w:rPr>
  </w:style>
  <w:style w:type="character" w:styleId="1183" w:customStyle="1">
    <w:name w:val="font21"/>
    <w:uiPriority w:val="0"/>
    <w:qFormat/>
    <w:rPr>
      <w:rFonts w:hint="eastAsia" w:ascii="仿宋" w:hAnsi="仿宋" w:eastAsia="仿宋" w:cs="仿宋"/>
      <w:color w:val="000000"/>
      <w:sz w:val="21"/>
      <w:szCs w:val="21"/>
      <w:u w:val="none"/>
    </w:rPr>
  </w:style>
  <w:style w:type="character" w:styleId="1184" w:customStyle="1">
    <w:name w:val="页眉 Char"/>
    <w:uiPriority w:val="0"/>
    <w:qFormat/>
    <w:rPr>
      <w:sz w:val="18"/>
      <w:szCs w:val="22"/>
    </w:rPr>
  </w:style>
  <w:style w:type="character" w:styleId="1185" w:customStyle="1">
    <w:name w:val="页脚 Char"/>
    <w:uiPriority w:val="99"/>
    <w:qFormat/>
    <w:rPr>
      <w:rFonts w:hint="default" w:ascii="Calibri" w:hAnsi="Calibri" w:cs="Calibri"/>
      <w:sz w:val="18"/>
      <w:szCs w:val="18"/>
    </w:rPr>
  </w:style>
  <w:style w:type="character" w:styleId="1186" w:customStyle="1">
    <w:name w:val="font71"/>
    <w:uiPriority w:val="0"/>
    <w:qFormat/>
    <w:rPr>
      <w:rFonts w:hint="default" w:ascii="Times New Roman" w:hAnsi="Times New Roman" w:cs="Times New Roman"/>
      <w:color w:val="000000"/>
      <w:sz w:val="24"/>
      <w:szCs w:val="24"/>
      <w:u w:val="none"/>
      <w:vertAlign w:val="superscript"/>
    </w:rPr>
  </w:style>
  <w:style w:type="character" w:styleId="1187" w:customStyle="1">
    <w:name w:val="font131"/>
    <w:uiPriority w:val="0"/>
    <w:qFormat/>
    <w:rPr>
      <w:rFonts w:hint="default" w:ascii="Times New Roman" w:hAnsi="Times New Roman" w:cs="Times New Roman"/>
      <w:color w:val="000000"/>
      <w:sz w:val="24"/>
      <w:szCs w:val="24"/>
      <w:u w:val="none"/>
    </w:rPr>
  </w:style>
  <w:style w:type="character" w:styleId="1188" w:customStyle="1">
    <w:name w:val="font61"/>
    <w:basedOn w:val="712"/>
    <w:uiPriority w:val="0"/>
    <w:qFormat/>
    <w:rPr>
      <w:rFonts w:hint="eastAsia" w:ascii="宋体" w:hAnsi="宋体" w:eastAsia="宋体" w:cs="宋体"/>
      <w:color w:val="000000"/>
      <w:sz w:val="24"/>
      <w:szCs w:val="24"/>
      <w:u w:val="none"/>
    </w:rPr>
  </w:style>
  <w:style w:type="character" w:styleId="1189" w:customStyle="1">
    <w:name w:val="font141"/>
    <w:basedOn w:val="712"/>
    <w:uiPriority w:val="0"/>
    <w:qFormat/>
    <w:rPr>
      <w:rFonts w:hint="eastAsia" w:ascii="仿宋" w:hAnsi="仿宋" w:eastAsia="仿宋" w:cs="仿宋"/>
      <w:color w:val="000000"/>
      <w:sz w:val="24"/>
      <w:szCs w:val="24"/>
      <w:u w:val="none"/>
    </w:rPr>
  </w:style>
  <w:style w:type="character" w:styleId="1190" w:customStyle="1">
    <w:name w:val="font121"/>
    <w:uiPriority w:val="0"/>
    <w:qFormat/>
    <w:rPr>
      <w:rFonts w:hint="default" w:ascii="Times New Roman" w:hAnsi="Times New Roman" w:cs="Times New Roman"/>
      <w:color w:val="000000"/>
      <w:sz w:val="24"/>
      <w:szCs w:val="24"/>
      <w:u w:val="none"/>
      <w:vertAlign w:val="superscript"/>
    </w:rPr>
  </w:style>
  <w:style w:type="character" w:styleId="1191" w:customStyle="1">
    <w:name w:val="font81"/>
    <w:basedOn w:val="712"/>
    <w:uiPriority w:val="0"/>
    <w:qFormat/>
    <w:rPr>
      <w:rFonts w:hint="default" w:ascii="Times New Roman" w:hAnsi="Times New Roman" w:cs="Times New Roman"/>
      <w:color w:val="000000"/>
      <w:sz w:val="24"/>
      <w:szCs w:val="24"/>
      <w:u w:val="none"/>
    </w:rPr>
  </w:style>
  <w:style w:type="character" w:styleId="1192" w:customStyle="1">
    <w:name w:val="font111"/>
    <w:uiPriority w:val="0"/>
    <w:qFormat/>
    <w:rPr>
      <w:rFonts w:hint="eastAsia" w:ascii="仿宋" w:hAnsi="仿宋" w:eastAsia="仿宋" w:cs="仿宋"/>
      <w:color w:val="000000"/>
      <w:sz w:val="24"/>
      <w:szCs w:val="24"/>
      <w:u w:val="none"/>
    </w:rPr>
  </w:style>
  <w:style w:type="character" w:styleId="1193" w:customStyle="1">
    <w:name w:val="font91"/>
    <w:basedOn w:val="712"/>
    <w:uiPriority w:val="0"/>
    <w:qFormat/>
    <w:rPr>
      <w:rFonts w:hint="eastAsia" w:ascii="仿宋" w:hAnsi="仿宋" w:eastAsia="仿宋" w:cs="仿宋"/>
      <w:color w:val="000000"/>
      <w:sz w:val="24"/>
      <w:szCs w:val="24"/>
      <w:u w:val="none"/>
    </w:rPr>
  </w:style>
  <w:style w:type="character" w:styleId="1194" w:customStyle="1">
    <w:name w:val="font171"/>
    <w:uiPriority w:val="0"/>
    <w:qFormat/>
    <w:rPr>
      <w:rFonts w:hint="eastAsia" w:ascii="宋体" w:hAnsi="宋体" w:eastAsia="宋体" w:cs="宋体"/>
      <w:color w:val="000000"/>
      <w:sz w:val="22"/>
      <w:szCs w:val="22"/>
      <w:u w:val="none"/>
    </w:rPr>
  </w:style>
  <w:style w:type="character" w:styleId="1195" w:customStyle="1">
    <w:name w:val="font151"/>
    <w:uiPriority w:val="0"/>
    <w:qFormat/>
    <w:rPr>
      <w:rFonts w:hint="default" w:ascii="Times New Roman" w:hAnsi="Times New Roman" w:cs="Times New Roman"/>
      <w:color w:val="000000"/>
      <w:sz w:val="22"/>
      <w:szCs w:val="22"/>
      <w:u w:val="none"/>
      <w:vertAlign w:val="superscript"/>
    </w:rPr>
  </w:style>
  <w:style w:type="character" w:styleId="1196" w:customStyle="1">
    <w:name w:val="font101"/>
    <w:uiPriority w:val="0"/>
    <w:qFormat/>
    <w:rPr>
      <w:rFonts w:hint="eastAsia" w:ascii="仿宋" w:hAnsi="仿宋" w:eastAsia="仿宋" w:cs="仿宋"/>
      <w:color w:val="000000"/>
      <w:sz w:val="22"/>
      <w:szCs w:val="22"/>
      <w:u w:val="none"/>
    </w:rPr>
  </w:style>
  <w:style w:type="character" w:styleId="1197" w:customStyle="1">
    <w:name w:val="font201"/>
    <w:uiPriority w:val="0"/>
    <w:qFormat/>
    <w:rPr>
      <w:rFonts w:hint="default" w:ascii="Times New Roman" w:hAnsi="Times New Roman" w:cs="Times New Roman"/>
      <w:color w:val="ff0000"/>
      <w:sz w:val="22"/>
      <w:szCs w:val="22"/>
      <w:u w:val="none"/>
    </w:rPr>
  </w:style>
  <w:style w:type="character" w:styleId="1198" w:customStyle="1">
    <w:name w:val="font191"/>
    <w:uiPriority w:val="0"/>
    <w:qFormat/>
    <w:rPr>
      <w:rFonts w:hint="eastAsia" w:ascii="宋体" w:hAnsi="宋体" w:eastAsia="宋体" w:cs="宋体"/>
      <w:color w:val="000000"/>
      <w:sz w:val="22"/>
      <w:szCs w:val="22"/>
      <w:u w:val="none"/>
    </w:rPr>
  </w:style>
  <w:style w:type="character" w:styleId="1199" w:customStyle="1">
    <w:name w:val="font231"/>
    <w:uiPriority w:val="0"/>
    <w:qFormat/>
    <w:rPr>
      <w:rFonts w:hint="eastAsia" w:ascii="仿宋" w:hAnsi="仿宋" w:eastAsia="仿宋" w:cs="仿宋"/>
      <w:b/>
      <w:color w:val="000000"/>
      <w:sz w:val="22"/>
      <w:szCs w:val="22"/>
      <w:u w:val="none"/>
    </w:rPr>
  </w:style>
  <w:style w:type="character" w:styleId="1200" w:customStyle="1">
    <w:name w:val="font161"/>
    <w:uiPriority w:val="0"/>
    <w:qFormat/>
    <w:rPr>
      <w:rFonts w:hint="eastAsia" w:ascii="宋体" w:hAnsi="宋体" w:eastAsia="宋体" w:cs="宋体"/>
      <w:b/>
      <w:color w:val="000000"/>
      <w:sz w:val="22"/>
      <w:szCs w:val="22"/>
      <w:u w:val="none"/>
    </w:rPr>
  </w:style>
  <w:style w:type="character" w:styleId="1201" w:customStyle="1">
    <w:name w:val="font241"/>
    <w:uiPriority w:val="0"/>
    <w:qFormat/>
    <w:rPr>
      <w:rFonts w:hint="eastAsia" w:ascii="仿宋" w:hAnsi="仿宋" w:eastAsia="仿宋" w:cs="仿宋"/>
      <w:b/>
      <w:color w:val="000000"/>
      <w:sz w:val="22"/>
      <w:szCs w:val="22"/>
      <w:u w:val="none"/>
    </w:rPr>
  </w:style>
  <w:style w:type="character" w:styleId="1202" w:customStyle="1">
    <w:name w:val="font181"/>
    <w:uiPriority w:val="0"/>
    <w:qFormat/>
    <w:rPr>
      <w:rFonts w:hint="eastAsia" w:ascii="仿宋" w:hAnsi="仿宋" w:eastAsia="仿宋" w:cs="仿宋"/>
      <w:color w:val="000000"/>
      <w:sz w:val="24"/>
      <w:szCs w:val="24"/>
      <w:u w:val="none"/>
    </w:rPr>
  </w:style>
  <w:style w:type="character" w:styleId="1203" w:customStyle="1">
    <w:name w:val="font212"/>
    <w:uiPriority w:val="0"/>
    <w:qFormat/>
    <w:rPr>
      <w:rFonts w:hint="default" w:ascii="Times New Roman" w:hAnsi="Times New Roman" w:cs="Times New Roman"/>
      <w:color w:val="000000"/>
      <w:sz w:val="22"/>
      <w:szCs w:val="22"/>
      <w:u w:val="none"/>
      <w:vertAlign w:val="superscript"/>
    </w:rPr>
  </w:style>
  <w:style w:type="character" w:styleId="1204" w:customStyle="1">
    <w:name w:val="font221"/>
    <w:basedOn w:val="712"/>
    <w:uiPriority w:val="0"/>
    <w:qFormat/>
    <w:rPr>
      <w:rFonts w:hint="eastAsia" w:ascii="仿宋" w:hAnsi="仿宋" w:eastAsia="仿宋" w:cs="仿宋"/>
      <w:b/>
      <w:color w:val="000000"/>
      <w:sz w:val="24"/>
      <w:szCs w:val="24"/>
      <w:u w:val="none"/>
    </w:rPr>
  </w:style>
  <w:style w:type="character" w:styleId="1205" w:customStyle="1">
    <w:name w:val="未处理的提及1"/>
    <w:basedOn w:val="712"/>
    <w:uiPriority w:val="99"/>
    <w:semiHidden/>
    <w:qFormat/>
    <w:rPr>
      <w:color w:val="605e5c"/>
      <w:shd w:val="clear" w:color="auto" w:fill="e1dfdd"/>
    </w:rPr>
  </w:style>
  <w:style w:type="character" w:styleId="1206" w:customStyle="1">
    <w:name w:val="fontstyle01"/>
    <w:basedOn w:val="712"/>
    <w:uiPriority w:val="0"/>
    <w:qFormat/>
    <w:rPr>
      <w:rFonts w:hint="default" w:ascii="TimesNewRomanPSMT" w:hAnsi="TimesNewRomanPSMT"/>
      <w:color w:val="000000"/>
      <w:sz w:val="24"/>
      <w:szCs w:val="24"/>
    </w:rPr>
  </w:style>
  <w:style w:type="character" w:styleId="1207" w:customStyle="1">
    <w:name w:val="fontstyle11"/>
    <w:basedOn w:val="712"/>
    <w:uiPriority w:val="0"/>
    <w:qFormat/>
    <w:rPr>
      <w:rFonts w:hint="eastAsia" w:ascii="宋体" w:hAnsi="宋体" w:eastAsia="宋体"/>
      <w:color w:val="000000"/>
      <w:sz w:val="24"/>
      <w:szCs w:val="24"/>
    </w:rPr>
  </w:style>
  <w:style w:type="character" w:styleId="1208" w:customStyle="1">
    <w:name w:val="font122"/>
    <w:basedOn w:val="712"/>
    <w:uiPriority w:val="0"/>
    <w:qFormat/>
    <w:rPr>
      <w:rFonts w:hint="eastAsia" w:ascii="宋体" w:hAnsi="宋体" w:eastAsia="宋体" w:cs="宋体"/>
      <w:b/>
      <w:bCs/>
      <w:color w:val="000000"/>
      <w:sz w:val="22"/>
      <w:szCs w:val="22"/>
      <w:u w:val="none"/>
    </w:rPr>
  </w:style>
  <w:style w:type="character" w:styleId="1209" w:customStyle="1">
    <w:name w:val="font251"/>
    <w:basedOn w:val="712"/>
    <w:uiPriority w:val="0"/>
    <w:qFormat/>
    <w:rPr>
      <w:rFonts w:hint="default" w:ascii="Segoe UI Symbol" w:hAnsi="Segoe UI Symbol" w:eastAsia="Segoe UI Symbol" w:cs="Segoe UI Symbol"/>
      <w:color w:val="ff0000"/>
      <w:sz w:val="22"/>
      <w:szCs w:val="22"/>
      <w:u w:val="none"/>
    </w:rPr>
  </w:style>
  <w:style w:type="character" w:styleId="1210" w:customStyle="1">
    <w:name w:val="font261"/>
    <w:basedOn w:val="712"/>
    <w:uiPriority w:val="0"/>
    <w:qFormat/>
    <w:rPr>
      <w:rFonts w:hint="default" w:ascii="Times New Roman" w:hAnsi="Times New Roman" w:cs="Times New Roman"/>
      <w:color w:val="ff0000"/>
      <w:sz w:val="22"/>
      <w:szCs w:val="22"/>
      <w:u w:val="none"/>
      <w:vertAlign w:val="superscript"/>
    </w:rPr>
  </w:style>
  <w:style w:type="character" w:styleId="1211" w:customStyle="1">
    <w:name w:val="font271"/>
    <w:basedOn w:val="712"/>
    <w:uiPriority w:val="0"/>
    <w:qFormat/>
    <w:rPr>
      <w:rFonts w:hint="eastAsia" w:ascii="宋体" w:hAnsi="宋体" w:eastAsia="宋体" w:cs="宋体"/>
      <w:color w:val="000000"/>
      <w:sz w:val="22"/>
      <w:szCs w:val="22"/>
      <w:u w:val="none"/>
    </w:rPr>
  </w:style>
  <w:style w:type="character" w:styleId="1212" w:customStyle="1">
    <w:name w:val="font281"/>
    <w:basedOn w:val="712"/>
    <w:uiPriority w:val="0"/>
    <w:qFormat/>
    <w:rPr>
      <w:rFonts w:hint="default" w:ascii="Times New Roman" w:hAnsi="Times New Roman" w:cs="Times New Roman"/>
      <w:color w:val="000000"/>
      <w:sz w:val="22"/>
      <w:szCs w:val="22"/>
      <w:u w:val="none"/>
      <w:vertAlign w:val="subscript"/>
    </w:rPr>
  </w:style>
  <w:style w:type="character" w:styleId="1213" w:customStyle="1">
    <w:name w:val="font291"/>
    <w:basedOn w:val="712"/>
    <w:uiPriority w:val="0"/>
    <w:qFormat/>
    <w:rPr>
      <w:rFonts w:hint="default" w:ascii="Times New Roman" w:hAnsi="Times New Roman" w:cs="Times New Roman"/>
      <w:color w:val="000000"/>
      <w:sz w:val="22"/>
      <w:szCs w:val="22"/>
      <w:u w:val="none"/>
      <w:vertAlign w:val="superscript"/>
    </w:rPr>
  </w:style>
  <w:style w:type="character" w:styleId="1214" w:customStyle="1">
    <w:name w:val="font112"/>
    <w:basedOn w:val="712"/>
    <w:uiPriority w:val="0"/>
    <w:qFormat/>
    <w:rPr>
      <w:rFonts w:hint="eastAsia" w:ascii="宋体" w:hAnsi="宋体" w:eastAsia="宋体" w:cs="宋体"/>
      <w:b/>
      <w:bCs/>
      <w:color w:val="000000"/>
      <w:sz w:val="22"/>
      <w:szCs w:val="22"/>
      <w:u w:val="none"/>
    </w:rPr>
  </w:style>
  <w:style w:type="character" w:styleId="1215" w:customStyle="1">
    <w:name w:val="font232"/>
    <w:basedOn w:val="712"/>
    <w:uiPriority w:val="0"/>
    <w:qFormat/>
    <w:rPr>
      <w:rFonts w:hint="eastAsia" w:ascii="宋体" w:hAnsi="宋体" w:eastAsia="宋体" w:cs="宋体"/>
      <w:b/>
      <w:bCs/>
      <w:color w:val="000000"/>
      <w:sz w:val="20"/>
      <w:szCs w:val="20"/>
      <w:u w:val="none"/>
    </w:rPr>
  </w:style>
  <w:style w:type="character" w:styleId="1216" w:customStyle="1">
    <w:name w:val="font211"/>
    <w:basedOn w:val="712"/>
    <w:uiPriority w:val="0"/>
    <w:qFormat/>
    <w:rPr>
      <w:rFonts w:hint="default" w:ascii="Times New Roman" w:hAnsi="Times New Roman" w:cs="Times New Roman"/>
      <w:color w:val="ff0000"/>
      <w:sz w:val="20"/>
      <w:szCs w:val="20"/>
      <w:u w:val="none"/>
    </w:rPr>
  </w:style>
  <w:style w:type="table" w:styleId="1217" w:customStyle="1">
    <w:name w:val="网格型1"/>
    <w:basedOn w:val="71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18" w:customStyle="1">
    <w:name w:val="网格型2"/>
    <w:basedOn w:val="713"/>
    <w:uiPriority w:val="59"/>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19" w:customStyle="1">
    <w:name w:val="Table Normal"/>
    <w:uiPriority w:val="2"/>
    <w:semiHidden/>
    <w:qFormat/>
    <w:pPr>
      <w:widowControl w:val="off"/>
    </w:pPr>
    <w:rPr>
      <w:rFonts w:ascii="等线" w:hAnsi="等线" w:eastAsia="等线"/>
      <w:sz w:val="22"/>
      <w:szCs w:val="22"/>
      <w:lang w:eastAsia="en-US"/>
    </w:rPr>
    <w:tblPr>
      <w:tblCellMar>
        <w:left w:w="0" w:type="dxa"/>
        <w:top w:w="0" w:type="dxa"/>
        <w:right w:w="0" w:type="dxa"/>
        <w:bottom w:w="0" w:type="dxa"/>
      </w:tblCellMar>
    </w:tblPr>
  </w:style>
  <w:style w:type="character" w:styleId="1220" w:customStyle="1">
    <w:name w:val="未处理的提及2"/>
    <w:basedOn w:val="712"/>
    <w:uiPriority w:val="99"/>
    <w:semiHidden/>
    <w:unhideWhenUsed/>
    <w:qFormat/>
    <w:rPr>
      <w:color w:val="605e5c"/>
      <w:shd w:val="clear" w:color="auto" w:fill="e1dfdd"/>
    </w:rPr>
  </w:style>
  <w:style w:type="table" w:styleId="1221" w:customStyle="1">
    <w:name w:val="网格型3"/>
    <w:basedOn w:val="71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2" w:customStyle="1">
    <w:name w:val="xl68"/>
    <w:basedOn w:val="702"/>
    <w:uiPriority w:val="0"/>
    <w:qFormat/>
    <w:pPr>
      <w:jc w:val="left"/>
      <w:spacing w:before="100" w:beforeAutospacing="1" w:after="100" w:afterAutospacing="1"/>
      <w:shd w:val="clear" w:color="000000" w:fill="ffffff"/>
      <w:widowControl/>
    </w:pPr>
    <w:rPr>
      <w:rFonts w:ascii="宋体" w:hAnsi="宋体" w:eastAsia="宋体" w:cs="宋体"/>
      <w:sz w:val="24"/>
    </w:rPr>
  </w:style>
  <w:style w:type="paragraph" w:styleId="1223" w:customStyle="1">
    <w:name w:val="xl69"/>
    <w:basedOn w:val="702"/>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宋体"/>
      <w:b/>
      <w:bCs/>
      <w:sz w:val="20"/>
      <w:szCs w:val="20"/>
    </w:rPr>
  </w:style>
  <w:style w:type="table" w:styleId="1224" w:customStyle="1">
    <w:name w:val="网格型4"/>
    <w:basedOn w:val="71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5" w:customStyle="1">
    <w:name w:val="Sub2"/>
    <w:basedOn w:val="702"/>
    <w:uiPriority w:val="0"/>
    <w:qFormat/>
    <w:pPr>
      <w:numPr>
        <w:ilvl w:val="0"/>
        <w:numId w:val="3"/>
      </w:numPr>
      <w:spacing w:after="120"/>
      <w:tabs>
        <w:tab w:val="left" w:pos="360" w:leader="none"/>
        <w:tab w:val="left" w:pos="1944" w:leader="none"/>
      </w:tabs>
    </w:pPr>
    <w:rPr>
      <w:rFonts w:ascii="Times New Roman" w:hAnsi="Times New Roman" w:eastAsia="宋体"/>
      <w:szCs w:val="22"/>
    </w:rPr>
  </w:style>
  <w:style w:type="paragraph" w:styleId="1226" w:customStyle="1">
    <w:name w:val="List Alpha"/>
    <w:basedOn w:val="702"/>
    <w:uiPriority w:val="0"/>
    <w:qFormat/>
    <w:pPr>
      <w:spacing w:after="120"/>
    </w:pPr>
    <w:rPr>
      <w:rFonts w:ascii="Times New Roman" w:hAnsi="Times New Roman" w:eastAsia="宋体"/>
      <w:szCs w:val="22"/>
    </w:rPr>
  </w:style>
  <w:style w:type="paragraph" w:styleId="1227" w:customStyle="1">
    <w:name w:val="修订2"/>
    <w:hidden/>
    <w:uiPriority w:val="99"/>
    <w:semiHidden/>
    <w:qFormat/>
    <w:rPr>
      <w:rFonts w:ascii="Times New Roman" w:hAnsi="Times New Roman" w:eastAsia="宋体" w:cs="Times New Roman"/>
      <w:sz w:val="21"/>
      <w:szCs w:val="24"/>
      <w:lang w:val="en-US" w:eastAsia="zh-CN" w:bidi="ar-SA"/>
    </w:rPr>
  </w:style>
  <w:style w:type="character" w:styleId="1228">
    <w:name w:val="Placeholder Text"/>
    <w:basedOn w:val="712"/>
    <w:uiPriority w:val="99"/>
    <w:semiHidden/>
    <w:qFormat/>
    <w:rPr>
      <w:color w:val="666666"/>
    </w:rPr>
  </w:style>
  <w:style w:type="character" w:styleId="1229" w:customStyle="1">
    <w:name w:val="mini-tree-nodetext5"/>
    <w:basedOn w:val="712"/>
    <w:uiPriority w:val="0"/>
    <w:qFormat/>
    <w:rPr>
      <w:color w:val="4e5463"/>
      <w:sz w:val="21"/>
      <w:szCs w:val="21"/>
    </w:rPr>
  </w:style>
  <w:style w:type="character" w:styleId="1230" w:customStyle="1">
    <w:name w:val="first-child"/>
    <w:basedOn w:val="712"/>
    <w:uiPriority w:val="0"/>
    <w:qFormat/>
  </w:style>
  <w:style w:type="character" w:styleId="1231" w:customStyle="1">
    <w:name w:val="layui-this"/>
    <w:basedOn w:val="712"/>
    <w:uiPriority w:val="0"/>
    <w:qFormat/>
    <w:rPr>
      <w:shd w:val="clear" w:color="auto" w:fill="ffffff"/>
    </w:rPr>
  </w:style>
  <w:style w:type="paragraph" w:styleId="1232" w:customStyle="1">
    <w:name w:val="图表目录1"/>
    <w:basedOn w:val="702"/>
    <w:next w:val="702"/>
    <w:uiPriority w:val="99"/>
    <w:unhideWhenUsed/>
    <w:qFormat/>
  </w:style>
  <w:style w:type="paragraph" w:styleId="1233" w:customStyle="1">
    <w:name w:val="正文文本缩进1"/>
    <w:basedOn w:val="702"/>
    <w:next w:val="1234"/>
    <w:uiPriority w:val="0"/>
    <w:qFormat/>
    <w:pPr>
      <w:ind w:firstLine="301"/>
      <w:spacing w:line="200" w:lineRule="exact"/>
    </w:pPr>
    <w:rPr>
      <w:rFonts w:ascii="宋体" w:hAnsi="Courier New"/>
      <w:spacing w:val="-4"/>
      <w:sz w:val="18"/>
      <w:szCs w:val="20"/>
    </w:rPr>
  </w:style>
  <w:style w:type="paragraph" w:styleId="1234" w:customStyle="1">
    <w:name w:val="寄信人地址1"/>
    <w:basedOn w:val="702"/>
    <w:uiPriority w:val="0"/>
    <w:qFormat/>
    <w:rPr>
      <w:rFonts w:ascii="Arial" w:hAnsi="Arial"/>
    </w:rPr>
  </w:style>
  <w:style w:type="paragraph" w:styleId="1235" w:customStyle="1">
    <w:name w:val="正文11"/>
    <w:next w:val="702"/>
    <w:uiPriority w:val="0"/>
    <w:qFormat/>
    <w:pPr>
      <w:jc w:val="both"/>
      <w:widowControl w:val="off"/>
    </w:pPr>
    <w:rPr>
      <w:rFonts w:ascii="Times New Roman" w:hAnsi="Times New Roman" w:eastAsia="Arial" w:cs="Times New Roman"/>
      <w:lang w:val="en-US" w:eastAsia="zh-CN" w:bidi="ar-SA"/>
    </w:rPr>
  </w:style>
  <w:style w:type="paragraph" w:styleId="1236" w:customStyle="1">
    <w:name w:val="正文缩进11"/>
    <w:basedOn w:val="702"/>
    <w:uiPriority w:val="0"/>
    <w:qFormat/>
    <w:pPr>
      <w:ind w:firstLine="420"/>
    </w:pPr>
  </w:style>
  <w:style w:type="numbering" w:styleId="147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3"/>
    <customShpInfo spid="_x0000_s1034"/>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4E9344-54FC-4009-B733-1EBAB6B08F68}"/>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建湖县供水水质检测数据采集服务项目</dc:title>
  <dc:creator>江苏伟业项目管理有限公司</dc:creator>
  <cp:lastModifiedBy>商运鹏</cp:lastModifiedBy>
  <cp:revision>21480</cp:revision>
  <dcterms:created xsi:type="dcterms:W3CDTF">2021-11-09T07:09:00Z</dcterms:created>
  <dcterms:modified xsi:type="dcterms:W3CDTF">2026-07-14T00:14:33Z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8AD1097C4AE24B4DA9983E36CB91BBF2_13</vt:lpwstr>
  </property>
  <property fmtid="{D5CDD505-2E9C-101B-9397-08002B2CF9AE}" pid="4" name="KSOTemplateDocerSaveRecord">
    <vt:lpwstr>eyJoZGlkIjoiZjJlYjBmNGVhODI3N2IyZTU4OTg2ZDk4NzNkYjE2NTkiLCJ1c2VySWQiOiIxNzg5Mzk4MTU3In0=</vt:lpwstr>
  </property>
</Properties>
</file>