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spacing w:line="36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688"/>
        <w:jc w:val="center"/>
        <w:spacing w:line="36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688"/>
        <w:jc w:val="center"/>
        <w:spacing w:line="36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无锡市政府采购项目</w:t>
      </w:r>
      <w:r>
        <w:rPr>
          <w:rFonts w:hint="eastAsia" w:ascii="宋体" w:hAnsi="宋体" w:cs="宋体"/>
          <w:bCs/>
          <w:color w:val="000000"/>
          <w:sz w:val="52"/>
          <w:szCs w:val="52"/>
          <w:highlight w:val="none"/>
        </w:rPr>
      </w:r>
      <w:r/>
    </w:p>
    <w:p>
      <w:pPr>
        <w:pStyle w:val="688"/>
        <w:jc w:val="center"/>
        <w:spacing w:line="36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公开招标文件</w:t>
      </w:r>
      <w:r>
        <w:rPr>
          <w:rFonts w:hint="eastAsia" w:ascii="宋体" w:hAnsi="宋体" w:cs="宋体"/>
          <w:bCs/>
          <w:color w:val="000000"/>
          <w:sz w:val="52"/>
          <w:szCs w:val="52"/>
          <w:highlight w:val="none"/>
        </w:rPr>
      </w:r>
      <w:r/>
    </w:p>
    <w:p>
      <w:pPr>
        <w:pStyle w:val="688"/>
        <w:jc w:val="center"/>
        <w:spacing w:line="360" w:lineRule="auto"/>
        <w:rPr>
          <w:rFonts w:ascii="宋体" w:hAnsi="宋体"/>
          <w:bCs/>
          <w:color w:val="000000"/>
          <w:sz w:val="24"/>
          <w:highlight w:val="none"/>
        </w:rPr>
      </w:pPr>
      <w:r>
        <w:rPr>
          <w:rFonts w:hint="eastAsia" w:ascii="华文中宋" w:hAnsi="华文中宋" w:eastAsia="华文中宋"/>
          <w:bCs/>
          <w:color w:val="000000"/>
          <w:sz w:val="30"/>
          <w:highlight w:val="none"/>
        </w:rPr>
        <w:t xml:space="preserve">（全流程电子化）</w:t>
      </w:r>
      <w:r>
        <w:rPr>
          <w:rFonts w:ascii="宋体" w:hAnsi="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政府采购编号：</w:t>
      </w:r>
      <w:r>
        <w:rPr>
          <w:rFonts w:ascii="宋体" w:hAnsi="宋体" w:eastAsia="宋体" w:cs="宋体"/>
          <w:bCs/>
          <w:color w:val="000000"/>
          <w:sz w:val="32"/>
          <w:szCs w:val="32"/>
          <w:highlight w:val="none"/>
          <w:lang w:val="en-US" w:eastAsia="zh-CN"/>
        </w:rPr>
        <w:t xml:space="preserve">JSZC-320214-JSSZ-G2026-0040</w:t>
      </w:r>
      <w:r>
        <w:rPr>
          <w:rFonts w:hint="eastAsia" w:ascii="宋体" w:hAnsi="宋体" w:eastAsia="宋体" w:cs="宋体"/>
          <w:bCs/>
          <w:color w:val="000000"/>
          <w:sz w:val="32"/>
          <w:szCs w:val="32"/>
          <w:highlight w:val="none"/>
          <w:lang w:val="en-US" w:eastAsia="zh-CN"/>
        </w:rPr>
        <w:t xml:space="preserve">  </w:t>
      </w:r>
      <w:r>
        <w:rPr>
          <w:rFonts w:hint="eastAsia" w:ascii="宋体" w:hAnsi="宋体" w:eastAsia="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采购项目名称：</w:t>
      </w:r>
      <w:r>
        <w:rPr>
          <w:rFonts w:hint="eastAsia" w:ascii="宋体" w:hAnsi="宋体" w:cs="宋体"/>
          <w:bCs/>
          <w:color w:val="000000"/>
          <w:sz w:val="32"/>
          <w:szCs w:val="32"/>
          <w:highlight w:val="none"/>
          <w:lang w:eastAsia="zh-CN"/>
        </w:rPr>
        <w:t xml:space="preserve">2026年新吴区疾控中心检验检测设备采购项目</w:t>
      </w: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 购 代 理 机 构：江苏苏咨工程咨询有限责任公司</w:t>
      </w: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 购 人：</w:t>
      </w:r>
      <w:r>
        <w:rPr>
          <w:rFonts w:hint="eastAsia" w:ascii="宋体" w:hAnsi="宋体" w:cs="宋体"/>
          <w:bCs/>
          <w:color w:val="000000"/>
          <w:sz w:val="32"/>
          <w:szCs w:val="32"/>
          <w:highlight w:val="none"/>
          <w:lang w:eastAsia="zh-CN"/>
        </w:rPr>
        <w:t xml:space="preserve">无锡市新吴区疾病预防控制中心</w:t>
      </w:r>
      <w:r>
        <w:rPr>
          <w:rFonts w:hint="eastAsia" w:ascii="宋体" w:hAnsi="宋体" w:cs="宋体"/>
          <w:bCs/>
          <w:color w:val="000000"/>
          <w:sz w:val="32"/>
          <w:szCs w:val="32"/>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27"/>
        <w:rPr>
          <w:rFonts w:hint="eastAsia"/>
          <w:color w:val="000000"/>
          <w:highlight w:val="none"/>
        </w:rPr>
      </w:pPr>
      <w:r>
        <w:rPr>
          <w:rFonts w:hint="eastAsia"/>
          <w:color w:val="000000"/>
          <w:highlight w:val="none"/>
        </w:rPr>
      </w:r>
      <w:r/>
    </w:p>
    <w:p>
      <w:pPr>
        <w:pStyle w:val="688"/>
        <w:jc w:val="center"/>
        <w:spacing w:line="360" w:lineRule="auto"/>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目  录</w:t>
      </w: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88"/>
        <w:spacing w:line="1000" w:lineRule="exact"/>
        <w:tabs>
          <w:tab w:val="left" w:pos="8000" w:leader="none"/>
        </w:tabs>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第一部分    投标邀请 </w:t>
      </w:r>
      <w:r>
        <w:rPr>
          <w:rFonts w:hint="eastAsia" w:ascii="宋体" w:hAnsi="宋体" w:cs="宋体"/>
          <w:bCs/>
          <w:color w:val="000000"/>
          <w:sz w:val="30"/>
          <w:szCs w:val="30"/>
          <w:highlight w:val="none"/>
        </w:rPr>
      </w:r>
      <w:r/>
    </w:p>
    <w:p>
      <w:pPr>
        <w:pStyle w:val="688"/>
        <w:spacing w:line="100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第二部分    投标供应商须知 </w:t>
      </w:r>
      <w:r>
        <w:rPr>
          <w:rFonts w:hint="eastAsia" w:ascii="宋体" w:hAnsi="宋体" w:cs="宋体"/>
          <w:bCs/>
          <w:color w:val="000000"/>
          <w:sz w:val="30"/>
          <w:szCs w:val="30"/>
          <w:highlight w:val="none"/>
        </w:rPr>
      </w:r>
      <w:r/>
    </w:p>
    <w:p>
      <w:pPr>
        <w:pStyle w:val="688"/>
        <w:spacing w:line="100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第三部分    采购需求 </w:t>
      </w:r>
      <w:r>
        <w:rPr>
          <w:rFonts w:hint="eastAsia" w:ascii="宋体" w:hAnsi="宋体" w:cs="宋体"/>
          <w:bCs/>
          <w:color w:val="000000"/>
          <w:sz w:val="30"/>
          <w:szCs w:val="30"/>
          <w:highlight w:val="none"/>
        </w:rPr>
      </w:r>
      <w:r/>
    </w:p>
    <w:p>
      <w:pPr>
        <w:pStyle w:val="688"/>
        <w:spacing w:line="100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第四部分   合同书 </w:t>
      </w:r>
      <w:r>
        <w:rPr>
          <w:rFonts w:hint="eastAsia" w:ascii="宋体" w:hAnsi="宋体" w:cs="宋体"/>
          <w:bCs/>
          <w:color w:val="000000"/>
          <w:sz w:val="30"/>
          <w:szCs w:val="30"/>
          <w:highlight w:val="none"/>
        </w:rPr>
      </w:r>
      <w:r/>
    </w:p>
    <w:p>
      <w:pPr>
        <w:pStyle w:val="688"/>
        <w:spacing w:line="1000" w:lineRule="exact"/>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lang w:eastAsia="zh-CN"/>
        </w:rPr>
        <w:t xml:space="preserve">第五部分</w:t>
      </w:r>
      <w:r>
        <w:rPr>
          <w:rFonts w:hint="eastAsia" w:ascii="宋体" w:hAnsi="宋体" w:cs="宋体"/>
          <w:bCs/>
          <w:color w:val="000000"/>
          <w:sz w:val="30"/>
          <w:szCs w:val="30"/>
          <w:highlight w:val="none"/>
          <w:lang w:val="en-US" w:eastAsia="zh-CN"/>
        </w:rPr>
        <w:t xml:space="preserve">   </w:t>
      </w:r>
      <w:r>
        <w:rPr>
          <w:rFonts w:hint="eastAsia" w:ascii="宋体" w:hAnsi="宋体"/>
          <w:color w:val="000000"/>
          <w:sz w:val="30"/>
          <w:szCs w:val="30"/>
          <w:highlight w:val="none"/>
        </w:rPr>
        <w:t xml:space="preserve">评标方法与评标标准</w:t>
      </w:r>
      <w:r>
        <w:rPr>
          <w:rFonts w:hint="eastAsia" w:ascii="宋体" w:hAnsi="宋体" w:eastAsia="宋体" w:cs="宋体"/>
          <w:bCs/>
          <w:color w:val="000000"/>
          <w:sz w:val="30"/>
          <w:szCs w:val="30"/>
          <w:highlight w:val="none"/>
          <w:lang w:eastAsia="zh-CN"/>
        </w:rPr>
      </w:r>
      <w:r/>
    </w:p>
    <w:p>
      <w:pPr>
        <w:pStyle w:val="688"/>
        <w:spacing w:line="100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第</w:t>
      </w:r>
      <w:r>
        <w:rPr>
          <w:rFonts w:hint="eastAsia" w:ascii="宋体" w:hAnsi="宋体" w:cs="宋体"/>
          <w:bCs/>
          <w:color w:val="000000"/>
          <w:sz w:val="30"/>
          <w:szCs w:val="30"/>
          <w:highlight w:val="none"/>
          <w:lang w:eastAsia="zh-CN"/>
        </w:rPr>
        <w:t xml:space="preserve">六</w:t>
      </w:r>
      <w:r>
        <w:rPr>
          <w:rFonts w:hint="eastAsia" w:ascii="宋体" w:hAnsi="宋体" w:cs="宋体"/>
          <w:bCs/>
          <w:color w:val="000000"/>
          <w:sz w:val="30"/>
          <w:szCs w:val="30"/>
          <w:highlight w:val="none"/>
        </w:rPr>
        <w:t xml:space="preserve">部分    附件  </w:t>
      </w:r>
      <w:r>
        <w:rPr>
          <w:rFonts w:hint="eastAsia" w:ascii="宋体" w:hAnsi="宋体" w:cs="宋体"/>
          <w:bCs/>
          <w:color w:val="000000"/>
          <w:sz w:val="30"/>
          <w:szCs w:val="30"/>
          <w:highlight w:val="none"/>
        </w:rPr>
      </w:r>
      <w:r/>
    </w:p>
    <w:p>
      <w:pPr>
        <w:pStyle w:val="688"/>
        <w:spacing w:line="100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70"/>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70"/>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jc w:val="center"/>
        <w:spacing w:line="440" w:lineRule="exact"/>
        <w:widowControl/>
        <w:rPr>
          <w:rFonts w:hint="eastAsia" w:ascii="宋体" w:hAnsi="宋体" w:cs="宋体"/>
          <w:bCs/>
          <w:color w:val="000000"/>
          <w:sz w:val="44"/>
          <w:szCs w:val="44"/>
          <w:highlight w:val="none"/>
        </w:rPr>
      </w:pPr>
      <w:r>
        <w:rPr>
          <w:rFonts w:hint="eastAsia" w:ascii="宋体" w:hAnsi="宋体" w:cs="宋体"/>
          <w:bCs/>
          <w:color w:val="000000"/>
          <w:sz w:val="24"/>
          <w:highlight w:val="none"/>
        </w:rPr>
        <w:br w:type="page" w:clear="all"/>
      </w:r>
      <w:r>
        <w:rPr>
          <w:rFonts w:hint="eastAsia" w:ascii="宋体" w:hAnsi="宋体" w:cs="宋体"/>
          <w:bCs/>
          <w:color w:val="000000"/>
          <w:sz w:val="44"/>
          <w:szCs w:val="44"/>
          <w:highlight w:val="none"/>
        </w:rPr>
        <w:t xml:space="preserve">第一部分. 投标邀请</w:t>
      </w:r>
      <w:r>
        <w:rPr>
          <w:rFonts w:hint="eastAsia" w:ascii="宋体" w:hAnsi="宋体" w:cs="宋体"/>
          <w:bCs/>
          <w:color w:val="000000"/>
          <w:sz w:val="44"/>
          <w:szCs w:val="44"/>
          <w:highlight w:val="none"/>
        </w:rPr>
      </w:r>
      <w:r/>
    </w:p>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江苏苏咨工程咨询有限责任公司受</w:t>
      </w:r>
      <w:r>
        <w:rPr>
          <w:rFonts w:hint="eastAsia" w:ascii="宋体" w:hAnsi="宋体" w:cs="宋体"/>
          <w:bCs/>
          <w:color w:val="000000"/>
          <w:sz w:val="24"/>
          <w:highlight w:val="none"/>
          <w:lang w:eastAsia="zh-CN"/>
        </w:rPr>
        <w:t xml:space="preserve">无锡市新吴区疾病预防控制中心</w:t>
      </w:r>
      <w:r>
        <w:rPr>
          <w:rFonts w:hint="eastAsia" w:ascii="宋体" w:hAnsi="宋体" w:cs="宋体"/>
          <w:bCs/>
          <w:color w:val="000000"/>
          <w:sz w:val="24"/>
          <w:highlight w:val="none"/>
        </w:rPr>
        <w:t xml:space="preserve">委托，就其</w:t>
      </w:r>
      <w:r>
        <w:rPr>
          <w:rFonts w:hint="eastAsia" w:ascii="宋体" w:hAnsi="宋体" w:cs="宋体"/>
          <w:bCs/>
          <w:color w:val="000000"/>
          <w:sz w:val="24"/>
          <w:highlight w:val="none"/>
          <w:lang w:eastAsia="zh-CN"/>
        </w:rPr>
        <w:t xml:space="preserve">2026年新吴区疾控中心检验检测设备采购项目</w:t>
      </w:r>
      <w:r>
        <w:rPr>
          <w:rFonts w:hint="eastAsia" w:ascii="宋体" w:hAnsi="宋体" w:cs="宋体"/>
          <w:bCs/>
          <w:color w:val="000000"/>
          <w:sz w:val="24"/>
          <w:highlight w:val="none"/>
        </w:rPr>
        <w:t xml:space="preserve">进行公开招标。现欢迎符合相关条件的供应商参加投标，投标邀请如下：</w:t>
      </w:r>
      <w:r>
        <w:rPr>
          <w:rFonts w:hint="eastAsia" w:ascii="宋体" w:hAnsi="宋体" w:cs="宋体"/>
          <w:bCs/>
          <w:color w:val="000000"/>
          <w:sz w:val="24"/>
          <w:highlight w:val="none"/>
        </w:rPr>
      </w:r>
      <w:r/>
    </w:p>
    <w:tbl>
      <w:tblPr>
        <w:tblW w:w="9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536"/>
      </w:tblGrid>
      <w:tr>
        <w:trPr>
          <w:trHeight w:val="516"/>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8536"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内容</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lang w:eastAsia="zh-CN"/>
              </w:rPr>
              <w:t xml:space="preserve">2026年新吴区疾控中心检验检测设备采购项目</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88"/>
              <w:spacing w:line="44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w:t>
            </w:r>
            <w:r>
              <w:rPr>
                <w:rFonts w:hint="eastAsia" w:ascii="宋体" w:hAnsi="宋体" w:eastAsia="宋体" w:cs="宋体"/>
                <w:bCs/>
                <w:color w:val="000000"/>
                <w:sz w:val="24"/>
                <w:highlight w:val="none"/>
              </w:rPr>
              <w:t xml:space="preserve">编号</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val="en-US" w:eastAsia="zh-CN"/>
              </w:rPr>
              <w:t xml:space="preserve">JSZC-320214-JSSZ-G2026-0040</w:t>
            </w:r>
            <w:r>
              <w:rPr>
                <w:rFonts w:hint="eastAsia" w:ascii="宋体" w:hAnsi="宋体" w:eastAsia="宋体" w:cs="宋体"/>
                <w:bCs/>
                <w:color w:val="000000"/>
                <w:sz w:val="24"/>
                <w:highlight w:val="none"/>
                <w:lang w:eastAsia="zh-CN"/>
              </w:rPr>
            </w:r>
            <w:r/>
          </w:p>
          <w:p>
            <w:pPr>
              <w:pStyle w:val="688"/>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采购内容：</w:t>
            </w:r>
            <w:r>
              <w:rPr>
                <w:rFonts w:hint="eastAsia" w:ascii="宋体" w:hAnsi="宋体" w:cs="宋体"/>
                <w:bCs/>
                <w:color w:val="000000"/>
                <w:sz w:val="24"/>
                <w:highlight w:val="none"/>
                <w:lang w:eastAsia="zh-CN"/>
              </w:rPr>
              <w:t xml:space="preserve">新吴区疾控中心检验检测设备</w:t>
            </w:r>
            <w:r>
              <w:rPr>
                <w:rFonts w:hint="eastAsia" w:ascii="宋体" w:hAnsi="宋体" w:cs="宋体"/>
                <w:bCs/>
                <w:color w:val="000000"/>
                <w:sz w:val="24"/>
                <w:highlight w:val="none"/>
              </w:rPr>
              <w:t xml:space="preserve">的供货及安装。具体数量及</w:t>
            </w:r>
            <w:r>
              <w:rPr>
                <w:rFonts w:hint="eastAsia" w:ascii="宋体" w:hAnsi="宋体"/>
                <w:bCs/>
                <w:color w:val="000000"/>
                <w:sz w:val="24"/>
                <w:highlight w:val="none"/>
              </w:rPr>
              <w:t xml:space="preserve">具体技术参数详见采购需求。</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无锡市新吴区疾病预防控制中心</w:t>
            </w:r>
            <w:r>
              <w:rPr>
                <w:rFonts w:hint="eastAsia" w:ascii="宋体" w:hAnsi="宋体" w:cs="宋体"/>
                <w:bCs/>
                <w:color w:val="000000"/>
                <w:sz w:val="24"/>
                <w:highlight w:val="none"/>
              </w:rPr>
            </w:r>
            <w:r/>
          </w:p>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采购人地址：</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无锡市新吴区汉江路3号</w:t>
            </w:r>
            <w:r>
              <w:rPr>
                <w:rFonts w:hint="eastAsia" w:ascii="宋体" w:hAnsi="宋体" w:cs="宋体"/>
                <w:bCs/>
                <w:color w:val="000000"/>
                <w:sz w:val="24"/>
                <w:highlight w:val="none"/>
              </w:rPr>
            </w:r>
            <w:r/>
          </w:p>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采购代理机构：江苏苏咨工程咨询有限责任公司</w:t>
            </w:r>
            <w:r>
              <w:rPr>
                <w:rFonts w:hint="eastAsia" w:ascii="宋体" w:hAnsi="宋体" w:cs="宋体"/>
                <w:bCs/>
                <w:color w:val="000000"/>
                <w:sz w:val="24"/>
                <w:highlight w:val="none"/>
              </w:rPr>
            </w:r>
            <w:r/>
          </w:p>
          <w:p>
            <w:pPr>
              <w:pStyle w:val="6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采购机构地址：无锡市滨湖区建筑西路599号国家工业设计园4幢706室</w:t>
            </w:r>
            <w:r>
              <w:rPr>
                <w:rFonts w:hint="eastAsia" w:ascii="宋体" w:hAnsi="宋体" w:cs="宋体"/>
                <w:bCs/>
                <w:color w:val="000000"/>
                <w:sz w:val="24"/>
                <w:highlight w:val="none"/>
              </w:rPr>
            </w:r>
            <w:r/>
          </w:p>
        </w:tc>
      </w:tr>
      <w:tr>
        <w:trPr>
          <w:trHeight w:val="3320"/>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采购项目概况、要求： </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新吴区疾控中心检验检测设备</w:t>
            </w:r>
            <w:r>
              <w:rPr>
                <w:rFonts w:hint="eastAsia" w:ascii="宋体" w:hAnsi="宋体" w:cs="宋体"/>
                <w:color w:val="000000"/>
                <w:sz w:val="24"/>
                <w:highlight w:val="none"/>
              </w:rPr>
              <w:t xml:space="preserve">的供货及安装。具体数量及具体技术参数详见采购需求。</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合同履行期限：接到采购人通知后，</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0天内完成本次招标设备的供货、安装、调试以及与之配套的辅助工作，交付采购人使用；</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本项目非专门面向中小企业采购；</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本项目所属行业：根据中小企业划型标准规定（工信部联企业[2011]300号）中的：工业；</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交货地点：采购人指定地点；</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质量要求：满足采购人使用要求；</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质保期：</w:t>
            </w:r>
            <w:r>
              <w:rPr>
                <w:rFonts w:hint="eastAsia" w:ascii="宋体" w:hAnsi="宋体" w:cs="宋体"/>
                <w:color w:val="000000"/>
                <w:sz w:val="24"/>
                <w:highlight w:val="none"/>
              </w:rPr>
              <w:t xml:space="preserve">箱式电阻炉（马弗炉）</w:t>
            </w:r>
            <w:r>
              <w:rPr>
                <w:rFonts w:hint="eastAsia" w:ascii="宋体" w:hAnsi="宋体" w:cs="宋体"/>
                <w:color w:val="000000"/>
                <w:sz w:val="24"/>
                <w:highlight w:val="none"/>
                <w:lang w:eastAsia="zh-CN"/>
              </w:rPr>
              <w:t xml:space="preserve">、单道可调移液器（不同量程）、8通道可调移液器（不同量程）</w:t>
            </w:r>
            <w:r>
              <w:rPr>
                <w:rFonts w:hint="eastAsia" w:ascii="宋体" w:hAnsi="宋体" w:cs="宋体"/>
                <w:color w:val="000000"/>
                <w:sz w:val="24"/>
                <w:highlight w:val="none"/>
                <w:lang w:val="en-US" w:eastAsia="zh-CN"/>
              </w:rPr>
              <w:t xml:space="preserve">不少于2年，其余设备不少于3年；</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响应时间：设备有故障，卖方应在接到买方通知后2小时内做出响应，24小时内到达使用现场并及时有效地排除故障；</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采购预算：</w:t>
            </w:r>
            <w:r>
              <w:rPr>
                <w:rFonts w:hint="eastAsia" w:ascii="宋体" w:hAnsi="宋体" w:cs="宋体"/>
                <w:color w:val="000000"/>
                <w:sz w:val="24"/>
                <w:highlight w:val="none"/>
                <w:lang w:val="en-US" w:eastAsia="zh-CN"/>
              </w:rPr>
              <w:t xml:space="preserve">131.16</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最高限价及单项最高限价：</w:t>
            </w:r>
            <w:r>
              <w:rPr>
                <w:rFonts w:hint="eastAsia" w:ascii="宋体" w:hAnsi="宋体" w:cs="宋体"/>
                <w:color w:val="000000"/>
                <w:sz w:val="24"/>
                <w:highlight w:val="none"/>
                <w:lang w:val="en-US" w:eastAsia="zh-CN"/>
              </w:rPr>
              <w:t xml:space="preserve">131.16</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其中：微生物鉴定质谱仪</w:t>
            </w:r>
            <w:r>
              <w:rPr>
                <w:rFonts w:hint="eastAsia" w:ascii="宋体" w:hAnsi="宋体" w:cs="宋体"/>
                <w:color w:val="000000"/>
                <w:sz w:val="24"/>
                <w:highlight w:val="none"/>
                <w:lang w:val="en-US" w:eastAsia="zh-CN"/>
              </w:rPr>
              <w:t xml:space="preserve">1台，113万元；箱式电阻炉（马弗炉）1台，3.7万元；单道可调移液器（0.5-10微升）1台，0.18万元；单道可调移液器（2-20微升）2台，0.36万元；单道可调移液器（10-100微升）2台，</w:t>
            </w:r>
            <w:r>
              <w:rPr>
                <w:rFonts w:hint="eastAsia" w:ascii="宋体" w:hAnsi="宋体" w:cs="宋体"/>
                <w:color w:val="000000"/>
                <w:sz w:val="24"/>
                <w:highlight w:val="none"/>
                <w:lang w:val="en-US" w:eastAsia="zh-CN"/>
              </w:rPr>
              <w:t xml:space="preserve">0.36万元；单道可调移液器（20-200微升）3台，0.54万元；单道可调移液器（100-1000微升）8台，1.44万元；8通道可调移液器（0.5-10微升）1台，0.83万元；8通道可调移液器（10-100微升）1台，0.83万元；余氯等多参数便携式比色计1台，1.46万元；双路粉尘采样器（5-40L/min）4台，4万元；双路大气采样器（300-6000ml/min）4台，4万元；水质便携检测仪1台，0.46万元</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本项目箱式电阻炉（马弗炉）</w:t>
            </w:r>
            <w:r>
              <w:rPr>
                <w:rFonts w:hint="eastAsia" w:ascii="宋体" w:hAnsi="宋体" w:cs="宋体"/>
                <w:color w:val="000000"/>
                <w:sz w:val="24"/>
                <w:highlight w:val="none"/>
                <w:lang w:eastAsia="zh-CN"/>
              </w:rPr>
              <w:t xml:space="preserve">、单道可调移液器（不同量程）、8通道可调移液器（不同量程）</w:t>
            </w:r>
            <w:r>
              <w:rPr>
                <w:rFonts w:hint="eastAsia" w:ascii="宋体" w:hAnsi="宋体" w:cs="宋体"/>
                <w:color w:val="000000"/>
                <w:sz w:val="24"/>
                <w:highlight w:val="none"/>
              </w:rPr>
              <w:t xml:space="preserve">接受进口产品投标</w:t>
            </w:r>
            <w:r>
              <w:rPr>
                <w:rFonts w:hint="eastAsia" w:ascii="宋体" w:hAnsi="宋体" w:cs="宋体"/>
                <w:color w:val="000000"/>
                <w:sz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其余产品不接受进口产品投标</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tc>
      </w:tr>
      <w:tr>
        <w:trPr>
          <w:trHeight w:val="557"/>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投标供应商资格要求：</w:t>
            </w:r>
            <w:r>
              <w:rPr>
                <w:rFonts w:hint="eastAsia" w:ascii="宋体" w:hAnsi="宋体" w:eastAsia="宋体" w:cs="宋体"/>
                <w:color w:val="000000"/>
                <w:sz w:val="24"/>
                <w:highlight w:val="none"/>
              </w:rPr>
            </w:r>
            <w:r/>
          </w:p>
          <w:p>
            <w:pPr>
              <w:pStyle w:val="688"/>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688"/>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688"/>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2.1中小企业政策：本项目非专门面向中小企业； </w:t>
            </w:r>
            <w:r>
              <w:rPr>
                <w:rFonts w:hint="eastAsia" w:ascii="宋体" w:hAnsi="宋体" w:eastAsia="宋体" w:cs="宋体"/>
                <w:color w:val="000000"/>
                <w:sz w:val="24"/>
                <w:highlight w:val="none"/>
              </w:rPr>
            </w:r>
            <w:r/>
          </w:p>
          <w:p>
            <w:pPr>
              <w:pStyle w:val="688"/>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spacing w:line="360" w:lineRule="auto"/>
              <w:widowControl/>
              <w:rPr>
                <w:rFonts w:hint="eastAsia" w:ascii="宋体" w:hAnsi="宋体" w:eastAsia="宋体" w:cs="宋体"/>
                <w:color w:val="000000"/>
                <w:sz w:val="24"/>
                <w:highlight w:val="none"/>
              </w:rPr>
            </w:pPr>
            <w:r>
              <w:rPr>
                <w:rFonts w:hint="eastAsia" w:ascii="宋体" w:hAnsi="宋体"/>
                <w:color w:val="000000"/>
                <w:sz w:val="24"/>
                <w:szCs w:val="24"/>
                <w:highlight w:val="none"/>
              </w:rPr>
              <w:t xml:space="preserve">3.本项目的特定资格要求：</w:t>
            </w:r>
            <w:r>
              <w:rPr>
                <w:rFonts w:hint="eastAsia" w:ascii="宋体" w:hAnsi="宋体" w:eastAsia="宋体" w:cs="宋体"/>
                <w:color w:val="000000"/>
                <w:sz w:val="24"/>
                <w:highlight w:val="none"/>
              </w:rPr>
            </w:r>
            <w:r/>
          </w:p>
          <w:p>
            <w:pPr>
              <w:pStyle w:val="688"/>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rPr>
              <w:t xml:space="preserve">若投标人为</w:t>
            </w:r>
            <w:r>
              <w:rPr>
                <w:rFonts w:hint="eastAsia" w:ascii="宋体" w:hAnsi="宋体" w:eastAsia="宋体" w:cs="宋体"/>
                <w:color w:val="000000"/>
                <w:sz w:val="24"/>
                <w:highlight w:val="none"/>
                <w:lang w:eastAsia="zh-CN"/>
              </w:rPr>
              <w:t xml:space="preserve">微生物鉴定质谱仪</w:t>
            </w:r>
            <w:r>
              <w:rPr>
                <w:rFonts w:hint="eastAsia" w:ascii="宋体" w:hAnsi="宋体" w:eastAsia="宋体" w:cs="宋体"/>
                <w:color w:val="000000"/>
                <w:sz w:val="24"/>
                <w:highlight w:val="none"/>
              </w:rPr>
              <w:t xml:space="preserve">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上传证明文件并加盖公章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投标产品按国家规定须</w:t>
            </w:r>
            <w:r>
              <w:rPr>
                <w:rFonts w:hint="eastAsia" w:ascii="宋体" w:hAnsi="宋体" w:eastAsia="宋体" w:cs="宋体"/>
                <w:color w:val="000000"/>
                <w:sz w:val="24"/>
                <w:highlight w:val="none"/>
                <w:lang w:eastAsia="zh-CN"/>
              </w:rPr>
              <w:t xml:space="preserve">具备</w:t>
            </w:r>
            <w:r>
              <w:rPr>
                <w:rFonts w:hint="eastAsia" w:ascii="宋体" w:hAnsi="宋体" w:eastAsia="宋体" w:cs="宋体"/>
                <w:color w:val="000000"/>
                <w:sz w:val="24"/>
                <w:highlight w:val="none"/>
              </w:rPr>
              <w:t xml:space="preserve">医疗器械注册证的，供应商须提供产品有效完整的《医疗器械注册证》；按国家规定须进行备案的，供应商须提供产品的《第一类医疗器械备案凭证》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上传证明文件并加盖公章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val="en-US" w:eastAsia="zh-CN"/>
              </w:rPr>
              <w:t xml:space="preserve">3.3</w:t>
            </w:r>
            <w:r>
              <w:rPr>
                <w:rFonts w:hint="eastAsia" w:ascii="宋体" w:hAnsi="宋体" w:eastAsia="宋体" w:cs="宋体"/>
                <w:color w:val="000000"/>
                <w:sz w:val="24"/>
                <w:highlight w:val="none"/>
              </w:rPr>
              <w:t xml:space="preserve">投标供应商所投</w:t>
            </w:r>
            <w:r>
              <w:rPr>
                <w:rFonts w:hint="eastAsia" w:ascii="宋体" w:hAnsi="宋体" w:cs="宋体"/>
                <w:color w:val="000000"/>
                <w:sz w:val="24"/>
                <w:highlight w:val="none"/>
              </w:rPr>
              <w:t xml:space="preserve">箱式电阻炉（马弗炉）</w:t>
            </w:r>
            <w:r>
              <w:rPr>
                <w:rFonts w:hint="eastAsia" w:ascii="宋体" w:hAnsi="宋体" w:cs="宋体"/>
                <w:color w:val="000000"/>
                <w:sz w:val="24"/>
                <w:highlight w:val="none"/>
                <w:lang w:eastAsia="zh-CN"/>
              </w:rPr>
              <w:t xml:space="preserve">、单道可调移液器（不同量程）、8通道可调移液器（不同量程）</w:t>
            </w:r>
            <w:r>
              <w:rPr>
                <w:rFonts w:hint="eastAsia" w:ascii="宋体" w:hAnsi="宋体" w:eastAsia="宋体" w:cs="宋体"/>
                <w:color w:val="000000"/>
                <w:sz w:val="24"/>
                <w:highlight w:val="none"/>
              </w:rPr>
              <w:t xml:space="preserve">为进口产品的，投标时需提供所投产品有效授权书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4.本项目不接受联合体投标。</w:t>
            </w:r>
            <w:r>
              <w:rPr>
                <w:rFonts w:ascii="宋体" w:hAnsi="宋体" w:eastAsia="宋体" w:cs="宋体"/>
                <w:color w:val="000000"/>
                <w:sz w:val="24"/>
                <w:highlight w:val="none"/>
                <w:lang w:val="en-US" w:eastAsia="zh-CN"/>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8536" w:type="dxa"/>
            <w:vAlign w:val="top"/>
            <w:textDirection w:val="lrTb"/>
            <w:noWrap w:val="false"/>
          </w:tcPr>
          <w:p>
            <w:pPr>
              <w:pStyle w:val="688"/>
              <w:ind w:left="0" w:right="0"/>
              <w:keepLines w:val="0"/>
              <w:keepNext w:val="0"/>
              <w:spacing w:before="0" w:beforeAutospacing="0" w:after="0" w:afterAutospacing="0" w:line="360" w:lineRule="auto"/>
              <w:widowControl/>
              <w:rPr>
                <w:rFonts w:hint="eastAsia" w:ascii="宋体" w:hAnsi="宋体" w:eastAsia="宋体" w:cs="宋体"/>
                <w:b/>
                <w:bCs/>
                <w:color w:val="000000"/>
                <w:sz w:val="24"/>
                <w:szCs w:val="20"/>
                <w:highlight w:val="none"/>
              </w:rPr>
              <w:suppressLineNumbers w:val="0"/>
            </w:pPr>
            <w:r>
              <w:rPr>
                <w:rFonts w:hint="eastAsia" w:ascii="宋体" w:hAnsi="宋体" w:eastAsia="宋体" w:cs="宋体"/>
                <w:b/>
                <w:bCs/>
                <w:color w:val="000000"/>
                <w:sz w:val="24"/>
                <w:szCs w:val="20"/>
                <w:highlight w:val="none"/>
              </w:rPr>
              <w:t xml:space="preserve">招标文件获取信息：</w:t>
            </w:r>
            <w:r>
              <w:rPr>
                <w:rFonts w:hint="eastAsia" w:ascii="宋体" w:hAnsi="宋体" w:eastAsia="宋体" w:cs="宋体"/>
                <w:b/>
                <w:bCs/>
                <w:color w:val="000000"/>
                <w:sz w:val="24"/>
                <w:szCs w:val="20"/>
                <w:highlight w:val="none"/>
              </w:rPr>
            </w:r>
            <w:r/>
          </w:p>
          <w:p>
            <w:pPr>
              <w:pStyle w:val="980"/>
              <w:ind w:left="0" w:right="0"/>
              <w:keepLines w:val="0"/>
              <w:keepNext w:val="0"/>
              <w:spacing w:before="0" w:beforeAutospacing="0" w:after="0" w:afterAutospacing="0" w:line="360" w:lineRule="auto"/>
              <w:rPr>
                <w:rFonts w:hint="eastAsia" w:ascii="宋体" w:hAnsi="宋体" w:eastAsia="宋体" w:cs="宋体"/>
                <w:bCs/>
                <w:color w:val="000000"/>
                <w:highlight w:val="none"/>
              </w:rPr>
              <w:suppressLineNumbers w:val="0"/>
            </w:pPr>
            <w:r>
              <w:rPr>
                <w:rFonts w:hint="eastAsia" w:ascii="宋体" w:hAnsi="宋体" w:eastAsia="宋体" w:cs="宋体"/>
                <w:bCs/>
                <w:color w:val="000000"/>
                <w:sz w:val="20"/>
                <w:szCs w:val="24"/>
                <w:highlight w:val="none"/>
              </w:rPr>
              <w:t xml:space="preserve">1、</w:t>
            </w:r>
            <w:r>
              <w:rPr>
                <w:rFonts w:hint="eastAsia" w:ascii="宋体" w:hAnsi="宋体" w:eastAsia="宋体" w:cs="宋体"/>
                <w:bCs/>
                <w:color w:val="000000"/>
                <w:highlight w:val="none"/>
              </w:rPr>
              <w:t xml:space="preserve">招标文件获取期限：2026年</w:t>
            </w:r>
            <w:r>
              <w:rPr>
                <w:rFonts w:hint="eastAsia" w:hAnsi="宋体" w:cs="宋体"/>
                <w:bCs/>
                <w:color w:val="000000"/>
                <w:highlight w:val="none"/>
                <w:lang w:val="en-US" w:eastAsia="zh-CN"/>
              </w:rPr>
              <w:t xml:space="preserve">8</w:t>
            </w:r>
            <w:r>
              <w:rPr>
                <w:rFonts w:hint="eastAsia" w:ascii="宋体" w:hAnsi="宋体" w:eastAsia="宋体" w:cs="宋体"/>
                <w:bCs/>
                <w:color w:val="000000"/>
                <w:highlight w:val="none"/>
              </w:rPr>
              <w:t xml:space="preserve">月</w:t>
            </w:r>
            <w:r>
              <w:rPr>
                <w:rFonts w:hint="eastAsia" w:hAnsi="宋体" w:cs="宋体"/>
                <w:bCs/>
                <w:color w:val="000000"/>
                <w:highlight w:val="none"/>
                <w:lang w:val="en-US" w:eastAsia="zh-CN"/>
              </w:rPr>
              <w:t xml:space="preserve">17</w:t>
            </w:r>
            <w:r>
              <w:rPr>
                <w:rFonts w:hint="eastAsia" w:ascii="宋体" w:hAnsi="宋体" w:eastAsia="宋体" w:cs="宋体"/>
                <w:bCs/>
                <w:color w:val="000000"/>
                <w:highlight w:val="none"/>
              </w:rPr>
              <w:t xml:space="preserve">日至2026年</w:t>
            </w:r>
            <w:r>
              <w:rPr>
                <w:rFonts w:hint="eastAsia" w:hAnsi="宋体" w:cs="宋体"/>
                <w:bCs/>
                <w:color w:val="000000"/>
                <w:highlight w:val="none"/>
                <w:lang w:val="en-US" w:eastAsia="zh-CN"/>
              </w:rPr>
              <w:t xml:space="preserve">8</w:t>
            </w:r>
            <w:r>
              <w:rPr>
                <w:rFonts w:hint="eastAsia" w:ascii="宋体" w:hAnsi="宋体" w:eastAsia="宋体" w:cs="宋体"/>
                <w:bCs/>
                <w:color w:val="000000"/>
                <w:highlight w:val="none"/>
              </w:rPr>
              <w:t xml:space="preserve">月</w:t>
            </w:r>
            <w:r>
              <w:rPr>
                <w:rFonts w:hint="eastAsia" w:hAnsi="宋体" w:cs="宋体"/>
                <w:bCs/>
                <w:color w:val="000000"/>
                <w:highlight w:val="none"/>
                <w:lang w:val="en-US" w:eastAsia="zh-CN"/>
              </w:rPr>
              <w:t xml:space="preserve">24</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lang w:val="zh-CN"/>
              </w:rPr>
              <w:t xml:space="preserve">23:59时止（法定假日除外）</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80"/>
              <w:ind w:left="0" w:right="0"/>
              <w:keepLines w:val="0"/>
              <w:keepNext w:val="0"/>
              <w:spacing w:before="0" w:beforeAutospacing="0" w:after="0" w:afterAutospacing="0" w:line="360" w:lineRule="auto"/>
              <w:rPr>
                <w:rFonts w:hint="eastAsia" w:ascii="宋体" w:hAnsi="宋体" w:eastAsia="宋体" w:cs="宋体"/>
                <w:bCs/>
                <w:color w:val="000000"/>
                <w:highlight w:val="none"/>
              </w:rPr>
              <w:suppressLineNumbers w:val="0"/>
            </w:pPr>
            <w:r>
              <w:rPr>
                <w:rFonts w:hint="eastAsia" w:ascii="宋体" w:hAnsi="宋体" w:eastAsia="宋体" w:cs="宋体"/>
                <w:bCs/>
                <w:color w:val="000000"/>
                <w:highlight w:val="none"/>
              </w:rPr>
              <w:t xml:space="preserve">2、获取方式：本项目采用网上注册登记方式，网上注册登记成功后在系统内免费下载。</w:t>
            </w:r>
            <w:r>
              <w:rPr>
                <w:rFonts w:hint="eastAsia" w:ascii="宋体" w:hAnsi="宋体" w:eastAsia="宋体" w:cs="宋体"/>
                <w:bCs/>
                <w:color w:val="000000"/>
                <w:highlight w:val="none"/>
              </w:rPr>
            </w:r>
            <w:r/>
          </w:p>
          <w:p>
            <w:pPr>
              <w:pStyle w:val="688"/>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rPr>
              <w:suppressLineNumbers w:val="0"/>
            </w:pPr>
            <w:r>
              <w:rPr>
                <w:rFonts w:hint="eastAsia" w:ascii="宋体" w:hAnsi="宋体" w:eastAsia="宋体" w:cs="宋体"/>
                <w:bCs/>
                <w:color w:val="000000"/>
                <w:sz w:val="24"/>
                <w:szCs w:val="20"/>
                <w:highlight w:val="none"/>
              </w:rPr>
              <w:t xml:space="preserve">3、</w:t>
            </w:r>
            <w:r>
              <w:rPr>
                <w:rFonts w:hint="eastAsia" w:ascii="宋体" w:hAnsi="宋体" w:eastAsia="宋体" w:cs="宋体"/>
                <w:bCs/>
                <w:color w:val="000000"/>
                <w:sz w:val="24"/>
                <w:highlight w:val="none"/>
              </w:rPr>
              <w:t xml:space="preserve">潜在投标供应商可在项目采购公告附件中查看采购文件，如确定投标，必须在苏采云平台（https:</w:t>
            </w:r>
            <w:r>
              <w:rPr>
                <w:rFonts w:ascii="宋体" w:hAnsi="宋体" w:eastAsia="宋体" w:cs="宋体"/>
                <w:bCs/>
                <w:color w:val="000000"/>
                <w:sz w:val="24"/>
                <w:highlight w:val="none"/>
              </w:rPr>
              <w:t xml:space="preserve">//jszfcg.jsczt.cn/jszc/login</w:t>
            </w:r>
            <w:r>
              <w:rPr>
                <w:rFonts w:hint="eastAsia" w:ascii="宋体" w:hAnsi="宋体" w:eastAsia="宋体" w:cs="宋体"/>
                <w:bCs/>
                <w:color w:val="000000"/>
                <w:sz w:val="24"/>
                <w:highlight w:val="none"/>
              </w:rPr>
              <w:t xml:space="preserve">）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688"/>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4、投标供应商应承担其编制投标文件以及递交投标文件所涉及的一切费用。无论投标结果如何，采购人对上述费用不负任何责任。</w:t>
            </w:r>
            <w:r>
              <w:rPr>
                <w:rFonts w:hint="eastAsia" w:ascii="宋体" w:hAnsi="宋体" w:eastAsia="宋体" w:cs="宋体"/>
                <w:color w:val="000000"/>
                <w:sz w:val="24"/>
                <w:szCs w:val="20"/>
                <w:highlight w:val="none"/>
              </w:rPr>
            </w:r>
            <w:r/>
          </w:p>
          <w:p>
            <w:pPr>
              <w:pStyle w:val="688"/>
              <w:ind w:left="0" w:right="0"/>
              <w:keepLines w:val="0"/>
              <w:keepNext w:val="0"/>
              <w:spacing w:before="0" w:beforeAutospacing="0" w:after="0" w:afterAutospacing="0" w:line="360"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szCs w:val="20"/>
                <w:highlight w:val="none"/>
              </w:rPr>
              <w:t xml:space="preserve">5、本项目无需缴纳投标保证金。</w:t>
            </w:r>
            <w:r>
              <w:rPr>
                <w:rFonts w:hint="eastAsia" w:ascii="宋体" w:hAnsi="宋体" w:eastAsia="宋体" w:cs="宋体"/>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olor w:val="000000"/>
                <w:sz w:val="24"/>
                <w:highlight w:val="none"/>
              </w:rPr>
            </w:pPr>
            <w:r>
              <w:rPr>
                <w:rFonts w:hint="eastAsia" w:ascii="宋体" w:hAnsi="宋体" w:cs="宋体"/>
                <w:bCs/>
                <w:color w:val="000000"/>
                <w:sz w:val="24"/>
                <w:highlight w:val="none"/>
              </w:rPr>
              <w:t xml:space="preserve">踏勘现场：由投标供应商自行组织踏勘现场。</w:t>
            </w:r>
            <w:r>
              <w:rPr>
                <w:rFonts w:hint="eastAsia" w:ascii="宋体" w:hAnsi="宋体" w:cs="宋体"/>
                <w:color w:val="000000"/>
                <w:sz w:val="24"/>
                <w:highlight w:val="none"/>
              </w:rPr>
              <w:t xml:space="preserve">相关踏勘费用由供应商自行承担。供应商在投标时应充分考虑现场实际情况，采购人不负担因供应商对项目现场情况考虑不周而产生的其他任何费用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投标供应商要求澄清采购文件的截止</w:t>
            </w: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时，以书面形式给采购代理机构。</w:t>
            </w:r>
            <w:r>
              <w:rPr>
                <w:rFonts w:hint="eastAsia" w:ascii="宋体" w:hAnsi="宋体" w:cs="宋体"/>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采购人对采购文件澄清、修改时间：投标截止时间15天前。</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本项目无须递交投标保证金，也无须递交履约保证金。</w:t>
            </w:r>
            <w:r>
              <w:rPr>
                <w:rFonts w:hint="eastAsia" w:ascii="宋体" w:hAnsi="宋体" w:cs="宋体"/>
                <w:bCs/>
                <w:color w:val="000000"/>
                <w:sz w:val="24"/>
                <w:highlight w:val="none"/>
              </w:rPr>
            </w:r>
            <w:r/>
          </w:p>
        </w:tc>
      </w:tr>
      <w:tr>
        <w:trPr>
          <w:trHeight w:val="546"/>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投标有效期：投标截止时间起90天。</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rPr>
                <w:rFonts w:hint="eastAsia" w:ascii="宋体" w:hAnsi="宋体" w:cs="宋体"/>
                <w:bCs/>
                <w:color w:val="000000"/>
                <w:sz w:val="24"/>
                <w:highlight w:val="none"/>
              </w:rPr>
            </w:r>
            <w:r/>
          </w:p>
        </w:tc>
        <w:tc>
          <w:tcPr>
            <w:tcW w:w="8536" w:type="dxa"/>
            <w:vAlign w:val="center"/>
            <w:textDirection w:val="lrTb"/>
            <w:noWrap w:val="false"/>
          </w:tcPr>
          <w:p>
            <w:pPr>
              <w:pStyle w:val="688"/>
              <w:jc w:val="left"/>
              <w:spacing w:line="360" w:lineRule="auto"/>
              <w:shd w:val="clear" w:color="auto" w:fill="ffffff"/>
              <w:widowControl/>
              <w:rPr>
                <w:rFonts w:ascii="宋体" w:hAnsi="宋体"/>
                <w:color w:val="000000"/>
                <w:sz w:val="24"/>
                <w:highlight w:val="none"/>
              </w:rPr>
            </w:pPr>
            <w:r>
              <w:rPr>
                <w:rFonts w:hint="eastAsia" w:ascii="宋体" w:hAnsi="宋体" w:cs="宋体"/>
                <w:color w:val="000000"/>
                <w:sz w:val="24"/>
                <w:highlight w:val="none"/>
              </w:rPr>
              <w:t xml:space="preserve">网上</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递交截止时间：202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14:00</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递交</w:t>
            </w:r>
            <w:r>
              <w:rPr>
                <w:rFonts w:hint="eastAsia" w:ascii="宋体" w:hAnsi="宋体"/>
                <w:color w:val="000000"/>
                <w:sz w:val="24"/>
                <w:highlight w:val="none"/>
              </w:rPr>
              <w:t xml:space="preserve">截止时间后的</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恕不接受</w:t>
            </w:r>
            <w:r>
              <w:rPr>
                <w:rFonts w:hint="eastAsia" w:ascii="宋体" w:hAnsi="宋体" w:cs="宋体"/>
                <w:color w:val="000000"/>
                <w:sz w:val="24"/>
                <w:highlight w:val="none"/>
              </w:rPr>
              <w:t xml:space="preserve">）</w:t>
            </w:r>
            <w:r>
              <w:rPr>
                <w:rFonts w:ascii="宋体" w:hAnsi="宋体"/>
                <w:color w:val="000000"/>
                <w:sz w:val="24"/>
                <w:highlight w:val="none"/>
              </w:rPr>
            </w:r>
            <w:r/>
          </w:p>
          <w:p>
            <w:pPr>
              <w:pStyle w:val="688"/>
              <w:jc w:val="left"/>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网上投标解密时间：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14:00</w:t>
            </w:r>
            <w:r>
              <w:rPr>
                <w:rFonts w:hint="eastAsia" w:ascii="宋体" w:hAnsi="宋体" w:cs="宋体"/>
                <w:color w:val="000000"/>
                <w:sz w:val="24"/>
                <w:highlight w:val="none"/>
              </w:rPr>
              <w:t xml:space="preserve">开启解密后半小时。</w:t>
            </w:r>
            <w:r>
              <w:rPr>
                <w:rFonts w:ascii="宋体" w:hAnsi="宋体" w:cs="宋体"/>
                <w:color w:val="000000"/>
                <w:sz w:val="24"/>
                <w:highlight w:val="none"/>
              </w:rPr>
            </w:r>
            <w:r/>
          </w:p>
          <w:p>
            <w:pPr>
              <w:pStyle w:val="688"/>
              <w:spacing w:line="360" w:lineRule="auto"/>
              <w:rPr>
                <w:rFonts w:ascii="宋体"/>
                <w:bCs/>
                <w:color w:val="000000"/>
                <w:sz w:val="24"/>
                <w:highlight w:val="none"/>
              </w:rPr>
            </w:pPr>
            <w:r>
              <w:rPr>
                <w:rFonts w:hint="eastAsia" w:ascii="宋体" w:hAnsi="宋体"/>
                <w:bCs/>
                <w:color w:val="000000"/>
                <w:sz w:val="24"/>
                <w:highlight w:val="none"/>
              </w:rPr>
              <w:t xml:space="preserve">定标时间：评标结束</w:t>
            </w:r>
            <w:r>
              <w:rPr>
                <w:rFonts w:ascii="宋体"/>
                <w:bCs/>
                <w:color w:val="000000"/>
                <w:sz w:val="24"/>
                <w:highlight w:val="none"/>
              </w:rPr>
            </w:r>
            <w:r/>
          </w:p>
          <w:p>
            <w:pPr>
              <w:pStyle w:val="688"/>
              <w:jc w:val="left"/>
              <w:spacing w:line="360" w:lineRule="auto"/>
              <w:shd w:val="clear" w:color="auto" w:fill="ffffff"/>
              <w:widowControl/>
              <w:rPr>
                <w:rFonts w:ascii="宋体" w:hAnsi="宋体" w:cs="宋体"/>
                <w:color w:val="000000"/>
                <w:sz w:val="24"/>
                <w:highlight w:val="none"/>
              </w:rPr>
            </w:pPr>
            <w:r>
              <w:rPr>
                <w:rFonts w:hint="eastAsia" w:ascii="宋体" w:hAnsi="宋体"/>
                <w:bCs/>
                <w:color w:val="000000"/>
                <w:sz w:val="24"/>
                <w:highlight w:val="none"/>
              </w:rPr>
              <w:t xml:space="preserve">定标地点：</w:t>
            </w:r>
            <w:r>
              <w:rPr>
                <w:rFonts w:hint="eastAsia" w:ascii="宋体" w:hAnsi="宋体"/>
                <w:color w:val="000000"/>
                <w:sz w:val="24"/>
                <w:highlight w:val="none"/>
              </w:rPr>
              <w:t xml:space="preserve">无锡市公共资源交易中心新吴分中心（新吴区交大联云科技园停车场1楼）</w:t>
            </w:r>
            <w:r>
              <w:rPr>
                <w:rFonts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陆苏采云投标客户端），如因未准备相关设备及CA锁导致的废标，由投标供应商自行承担。</w:t>
            </w:r>
            <w:r>
              <w:rPr>
                <w:rFonts w:ascii="宋体" w:hAnsi="宋体" w:cs="宋体"/>
                <w:color w:val="000000"/>
                <w:sz w:val="24"/>
                <w:highlight w:val="none"/>
              </w:rPr>
              <w:t xml:space="preserve"> </w:t>
            </w:r>
            <w:r>
              <w:rPr>
                <w:rFonts w:hint="eastAsia" w:ascii="宋体" w:hAnsi="宋体" w:cs="宋体"/>
                <w:color w:val="000000"/>
                <w:sz w:val="24"/>
                <w:highlight w:val="none"/>
                <w:lang w:val="zh-CN"/>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276"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rPr>
              <w:t xml:space="preserve">投标有关信息：</w:t>
            </w:r>
            <w:r>
              <w:rPr>
                <w:rStyle w:val="837"/>
                <w:rFonts w:hint="eastAsia" w:ascii="宋体" w:hAnsi="宋体" w:cs="宋体"/>
                <w:b/>
                <w:bCs/>
                <w:color w:val="000000"/>
                <w:sz w:val="24"/>
                <w:highlight w:val="none"/>
              </w:rPr>
            </w:r>
            <w:r/>
          </w:p>
          <w:p>
            <w:pPr>
              <w:pStyle w:val="688"/>
              <w:spacing w:line="276" w:lineRule="auto"/>
              <w:rPr>
                <w:rStyle w:val="837"/>
                <w:rFonts w:hint="eastAsia" w:ascii="宋体" w:hAnsi="宋体" w:cs="宋体"/>
                <w:color w:val="000000"/>
                <w:sz w:val="24"/>
                <w:highlight w:val="none"/>
              </w:rPr>
            </w:pPr>
            <w:r>
              <w:rPr>
                <w:rStyle w:val="837"/>
                <w:rFonts w:hint="eastAsia" w:ascii="宋体" w:hAnsi="宋体" w:cs="宋体"/>
                <w:color w:val="000000"/>
                <w:sz w:val="24"/>
                <w:highlight w:val="none"/>
              </w:rPr>
              <w:t xml:space="preserve">投标时间：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14:00</w:t>
            </w:r>
            <w:r>
              <w:rPr>
                <w:rStyle w:val="837"/>
                <w:rFonts w:hint="eastAsia" w:ascii="宋体" w:hAnsi="宋体" w:cs="宋体"/>
                <w:color w:val="000000"/>
                <w:sz w:val="24"/>
                <w:highlight w:val="none"/>
              </w:rPr>
            </w:r>
            <w:r/>
          </w:p>
          <w:p>
            <w:pPr>
              <w:pStyle w:val="688"/>
              <w:spacing w:line="276" w:lineRule="auto"/>
              <w:rPr>
                <w:rStyle w:val="837"/>
                <w:rFonts w:hint="eastAsia" w:ascii="宋体" w:hAnsi="宋体" w:cs="宋体"/>
                <w:color w:val="000000"/>
                <w:sz w:val="24"/>
                <w:highlight w:val="none"/>
              </w:rPr>
            </w:pPr>
            <w:r>
              <w:rPr>
                <w:rStyle w:val="837"/>
                <w:rFonts w:hint="eastAsia" w:ascii="宋体" w:hAnsi="宋体" w:cs="宋体"/>
                <w:color w:val="000000"/>
                <w:sz w:val="24"/>
                <w:highlight w:val="none"/>
              </w:rPr>
              <w:t xml:space="preserve">投标地点：苏采云相关客户端</w:t>
            </w:r>
            <w:r>
              <w:rPr>
                <w:rStyle w:val="837"/>
                <w:rFonts w:hint="eastAsia" w:ascii="宋体" w:hAnsi="宋体" w:cs="宋体"/>
                <w:color w:val="000000"/>
                <w:sz w:val="24"/>
                <w:highlight w:val="none"/>
              </w:rPr>
            </w:r>
            <w:r/>
          </w:p>
          <w:p>
            <w:pPr>
              <w:pStyle w:val="688"/>
              <w:spacing w:line="360" w:lineRule="exact"/>
              <w:tabs>
                <w:tab w:val="left" w:pos="360" w:leader="none"/>
              </w:tabs>
              <w:rPr>
                <w:rFonts w:hint="eastAsia" w:ascii="宋体" w:hAnsi="宋体" w:cs="宋体"/>
                <w:bCs/>
                <w:color w:val="000000"/>
                <w:sz w:val="24"/>
                <w:highlight w:val="none"/>
              </w:rPr>
            </w:pPr>
            <w:r>
              <w:rPr>
                <w:rStyle w:val="837"/>
                <w:rFonts w:hint="eastAsia" w:ascii="宋体" w:hAnsi="宋体" w:cs="宋体"/>
                <w:b/>
                <w:bCs/>
                <w:color w:val="000000"/>
                <w:sz w:val="24"/>
                <w:highlight w:val="none"/>
              </w:rPr>
              <w:t xml:space="preserve">本项目进行线上不见面采购活动，供应商授权委托人在整个投标过程中，应保持电话畅通，由于供应商无法及时沟通，造成的损失由各供应商自行承担。</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rPr>
              <w:t xml:space="preserve">评审时间：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olor w:val="000000"/>
                <w:sz w:val="24"/>
                <w:highlight w:val="none"/>
                <w:lang w:val="zh-CN"/>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评审地点：无锡市公共资源交易中心新吴分中心（新吴区交大联云科技园停车场1楼）</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确定成交单位时间：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olor w:val="000000"/>
                <w:sz w:val="24"/>
                <w:highlight w:val="none"/>
              </w:rPr>
              <w:t xml:space="preserve">评审结束</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确定成交单位地点：无锡市公共资源交易中心新吴分中心（新吴区交大联云科技园停车场1楼）</w:t>
            </w:r>
            <w:r>
              <w:rPr>
                <w:rFonts w:hint="eastAsia" w:ascii="宋体" w:hAnsi="宋体"/>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1、因供应商可能会存在操作不熟练、业务不熟悉等因素，为保证开评标流程顺利，供应商如有问题应及时反馈，供应商在</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递交截止时间前网上上传电子投标文件。</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2、本项目为不见面开标，</w:t>
            </w:r>
            <w:r>
              <w:rPr>
                <w:rFonts w:hint="eastAsia" w:ascii="宋体" w:hAnsi="宋体" w:cs="宋体"/>
                <w:color w:val="000000"/>
                <w:sz w:val="24"/>
                <w:highlight w:val="none"/>
              </w:rPr>
              <w:t xml:space="preserve">仅需在任意地点</w:t>
            </w:r>
            <w:r>
              <w:rPr>
                <w:rFonts w:ascii="宋体" w:hAnsi="宋体" w:cs="宋体"/>
                <w:color w:val="000000"/>
                <w:sz w:val="24"/>
                <w:highlight w:val="none"/>
                <w:lang w:val="zh-CN"/>
              </w:rPr>
              <w:t xml:space="preserve">登录</w:t>
            </w:r>
            <w:r>
              <w:rPr>
                <w:rFonts w:hint="eastAsia" w:ascii="宋体" w:hAnsi="宋体" w:cs="宋体"/>
                <w:color w:val="000000"/>
                <w:sz w:val="24"/>
                <w:highlight w:val="none"/>
                <w:lang w:val="zh-CN"/>
              </w:rPr>
              <w:t xml:space="preserve">苏</w:t>
            </w:r>
            <w:r>
              <w:rPr>
                <w:rFonts w:ascii="宋体" w:hAnsi="宋体" w:cs="宋体"/>
                <w:color w:val="000000"/>
                <w:sz w:val="24"/>
                <w:highlight w:val="none"/>
                <w:lang w:val="zh-CN"/>
              </w:rPr>
              <w:t xml:space="preserve">采云平台</w:t>
            </w:r>
            <w:r>
              <w:rPr>
                <w:rFonts w:hint="eastAsia" w:ascii="宋体" w:hAnsi="宋体" w:cs="宋体"/>
                <w:color w:val="000000"/>
                <w:sz w:val="24"/>
                <w:highlight w:val="none"/>
              </w:rPr>
              <w:t xml:space="preserve">参加开标会议，</w:t>
            </w:r>
            <w:r>
              <w:rPr>
                <w:rFonts w:hint="eastAsia" w:ascii="宋体" w:hAnsi="宋体"/>
                <w:color w:val="000000"/>
                <w:sz w:val="24"/>
                <w:highlight w:val="none"/>
              </w:rPr>
              <w:t xml:space="preserve">供应商无需到达开标现场。</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szCs w:val="28"/>
                <w:highlight w:val="none"/>
              </w:rPr>
              <w:t xml:space="preserve">纸质投标文件：</w:t>
            </w:r>
            <w:r>
              <w:rPr>
                <w:rFonts w:hint="eastAsia" w:ascii="宋体" w:hAnsi="宋体"/>
                <w:color w:val="000000"/>
                <w:sz w:val="24"/>
                <w:highlight w:val="none"/>
              </w:rPr>
              <w:t xml:space="preserve">本项目为不见面开标，</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人无需递交纸质投标文件至现场，</w:t>
            </w:r>
            <w:r>
              <w:rPr>
                <w:rFonts w:hint="eastAsia" w:ascii="宋体" w:hAnsi="宋体" w:cs="宋体"/>
                <w:color w:val="000000"/>
                <w:sz w:val="24"/>
                <w:szCs w:val="28"/>
                <w:highlight w:val="none"/>
              </w:rPr>
              <w:t xml:space="preserve">中标后中标供应商向采购人提供与电子投标文件完全一致的纸质投标文件（2份：一正、一副）。</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4、供应商请仔细阅读供应商注册流程和采购文件中关于电子开评标等相关事项，如有问题可发送邮件或电话咨询。</w:t>
            </w:r>
            <w:r>
              <w:rPr>
                <w:rFonts w:hint="eastAsia" w:ascii="宋体" w:hAnsi="宋体"/>
                <w:color w:val="000000"/>
                <w:sz w:val="24"/>
                <w:highlight w:val="none"/>
              </w:rPr>
            </w:r>
            <w:r/>
          </w:p>
          <w:p>
            <w:pPr>
              <w:pStyle w:val="688"/>
              <w:spacing w:line="360" w:lineRule="auto"/>
              <w:widowControl/>
              <w:rPr>
                <w:rFonts w:hint="eastAsia" w:ascii="宋体" w:hAnsi="宋体" w:cs="宋体"/>
                <w:bCs/>
                <w:color w:val="000000"/>
                <w:sz w:val="24"/>
                <w:highlight w:val="none"/>
              </w:rPr>
            </w:pPr>
            <w:r>
              <w:rPr>
                <w:rFonts w:hint="eastAsia" w:ascii="宋体" w:hAnsi="宋体"/>
                <w:color w:val="000000"/>
                <w:sz w:val="24"/>
                <w:highlight w:val="none"/>
              </w:rPr>
              <w:t xml:space="preserve">5、</w:t>
            </w:r>
            <w:r>
              <w:rPr>
                <w:rFonts w:hint="eastAsia" w:hAnsi="宋体" w:cs="宋体"/>
                <w:bCs/>
                <w:color w:val="000000"/>
                <w:sz w:val="24"/>
                <w:highlight w:val="none"/>
              </w:rPr>
              <w:t xml:space="preserve">本次采购采用《</w:t>
            </w:r>
            <w:r>
              <w:rPr>
                <w:rFonts w:hint="eastAsia" w:hAnsi="宋体" w:cs="宋体"/>
                <w:bCs/>
                <w:color w:val="000000"/>
                <w:sz w:val="24"/>
                <w:highlight w:val="none"/>
                <w:lang w:eastAsia="zh-CN"/>
              </w:rPr>
              <w:t xml:space="preserve">江苏省政府采购(苏采云)平台</w:t>
            </w:r>
            <w:r>
              <w:rPr>
                <w:rFonts w:hint="eastAsia" w:hAnsi="宋体" w:cs="宋体"/>
                <w:bCs/>
                <w:color w:val="000000"/>
                <w:sz w:val="24"/>
                <w:highlight w:val="none"/>
              </w:rPr>
              <w:t xml:space="preserve">》进行采购活动，采购文件发布、报价、评审和成交结果发布全程电子化</w:t>
            </w:r>
            <w:r>
              <w:rPr>
                <w:rFonts w:hint="eastAsia" w:ascii="宋体" w:hAnsi="宋体"/>
                <w:color w:val="000000"/>
                <w:sz w:val="24"/>
                <w:highlight w:val="none"/>
              </w:rPr>
              <w:t xml:space="preserve">。</w:t>
            </w:r>
            <w:r>
              <w:rPr>
                <w:rFonts w:hint="eastAsia" w:ascii="宋体" w:hAnsi="宋体" w:cs="宋体"/>
                <w:bCs/>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无锡市新吴区疾病预防控制中心</w:t>
            </w:r>
            <w:r>
              <w:rPr>
                <w:rFonts w:hint="eastAsia" w:ascii="宋体" w:hAnsi="宋体"/>
                <w:color w:val="000000"/>
                <w:sz w:val="24"/>
                <w:highlight w:val="none"/>
                <w:lang w:eastAsia="zh-CN"/>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color w:val="000000"/>
                <w:sz w:val="24"/>
                <w:highlight w:val="none"/>
                <w:lang w:eastAsia="zh-CN"/>
              </w:rPr>
              <w:t xml:space="preserve">谢</w:t>
            </w:r>
            <w:r>
              <w:rPr>
                <w:rFonts w:hint="eastAsia" w:ascii="宋体" w:hAnsi="宋体"/>
                <w:color w:val="000000"/>
                <w:sz w:val="24"/>
                <w:highlight w:val="none"/>
              </w:rPr>
              <w:t xml:space="preserve">老师</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 0510-82830089</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联系地址：</w:t>
            </w:r>
            <w:r>
              <w:rPr>
                <w:rFonts w:hint="eastAsia" w:ascii="宋体" w:hAnsi="宋体"/>
                <w:color w:val="000000"/>
                <w:sz w:val="24"/>
                <w:highlight w:val="none"/>
                <w:lang w:eastAsia="zh-CN"/>
              </w:rPr>
              <w:t xml:space="preserve">无锡市新吴区汉江路3号</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采购代理机构：</w:t>
            </w:r>
            <w:r>
              <w:rPr>
                <w:rFonts w:hint="eastAsia" w:ascii="宋体" w:hAnsi="宋体"/>
                <w:color w:val="000000"/>
                <w:sz w:val="24"/>
                <w:highlight w:val="none"/>
                <w:lang w:eastAsia="zh-CN"/>
              </w:rPr>
              <w:t xml:space="preserve">江苏苏咨工程咨询有限责任公司</w:t>
            </w:r>
            <w:r>
              <w:rPr>
                <w:rFonts w:hint="eastAsia" w:ascii="宋体" w:hAnsi="宋体"/>
                <w:color w:val="000000"/>
                <w:sz w:val="24"/>
                <w:highlight w:val="none"/>
                <w:lang w:eastAsia="zh-CN"/>
              </w:rPr>
            </w:r>
            <w:r/>
          </w:p>
          <w:p>
            <w:pPr>
              <w:pStyle w:val="688"/>
              <w:spacing w:line="360" w:lineRule="auto"/>
              <w:widowControl/>
              <w:rPr>
                <w:rFonts w:ascii="宋体" w:hAnsi="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吴虹、张芳</w:t>
            </w:r>
            <w:r>
              <w:rPr>
                <w:rFonts w:ascii="宋体" w:hAnsi="宋体"/>
                <w:color w:val="000000"/>
                <w:sz w:val="24"/>
                <w:highlight w:val="none"/>
                <w:lang w:val="en-US" w:eastAsia="zh-CN"/>
              </w:rPr>
            </w:r>
            <w:r/>
          </w:p>
          <w:p>
            <w:pPr>
              <w:pStyle w:val="688"/>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联系电话：0510-85136316、</w:t>
            </w:r>
            <w:r>
              <w:rPr>
                <w:rFonts w:hint="eastAsia" w:ascii="宋体" w:hAnsi="宋体"/>
                <w:color w:val="000000"/>
                <w:sz w:val="24"/>
                <w:highlight w:val="none"/>
                <w:lang w:val="en-US" w:eastAsia="zh-CN"/>
              </w:rPr>
              <w:t xml:space="preserve">13665189291</w:t>
            </w:r>
            <w:r>
              <w:rPr>
                <w:rFonts w:hint="eastAsia" w:ascii="宋体" w:hAnsi="宋体"/>
                <w:color w:val="000000"/>
                <w:sz w:val="24"/>
                <w:highlight w:val="none"/>
              </w:rPr>
              <w:t xml:space="preserve">联系地址：</w:t>
            </w:r>
            <w:r>
              <w:rPr>
                <w:rFonts w:hint="eastAsia" w:ascii="宋体" w:hAnsi="宋体"/>
                <w:color w:val="000000"/>
                <w:sz w:val="24"/>
                <w:highlight w:val="none"/>
                <w:lang w:eastAsia="zh-CN"/>
              </w:rPr>
              <w:t xml:space="preserve">无锡市滨湖区建筑西路599号国家工业设计园4幢706室</w:t>
            </w:r>
            <w:r>
              <w:rPr>
                <w:rFonts w:hint="eastAsia" w:ascii="宋体" w:hAnsi="宋体"/>
                <w:color w:val="000000"/>
                <w:sz w:val="24"/>
                <w:highlight w:val="none"/>
                <w:lang w:eastAsia="zh-CN"/>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邮政编码：214000</w:t>
            </w:r>
            <w:r>
              <w:rPr>
                <w:rFonts w:hint="eastAsia" w:ascii="宋体" w:hAnsi="宋体"/>
                <w:color w:val="000000"/>
                <w:sz w:val="24"/>
                <w:highlight w:val="none"/>
              </w:rPr>
            </w:r>
            <w:r/>
          </w:p>
          <w:p>
            <w:pPr>
              <w:pStyle w:val="688"/>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邮箱：</w:t>
            </w:r>
            <w:r>
              <w:rPr>
                <w:rFonts w:hint="eastAsia" w:ascii="宋体" w:hAnsi="宋体"/>
                <w:color w:val="000000"/>
                <w:sz w:val="24"/>
                <w:highlight w:val="none"/>
                <w:lang w:val="en-US" w:eastAsia="zh-CN"/>
              </w:rPr>
              <w:t xml:space="preserve">460894753</w:t>
            </w:r>
            <w:r>
              <w:rPr>
                <w:rFonts w:hint="eastAsia" w:ascii="宋体" w:hAnsi="宋体"/>
                <w:color w:val="000000"/>
                <w:sz w:val="24"/>
                <w:highlight w:val="none"/>
                <w:lang w:eastAsia="zh-CN"/>
              </w:rPr>
              <w:t xml:space="preserve">@qq.com</w:t>
            </w:r>
            <w:r>
              <w:rPr>
                <w:rFonts w:hint="eastAsia" w:ascii="宋体" w:hAnsi="宋体"/>
                <w:color w:val="000000"/>
                <w:sz w:val="24"/>
                <w:highlight w:val="none"/>
                <w:lang w:eastAsia="zh-CN"/>
              </w:rPr>
            </w:r>
            <w:r/>
          </w:p>
          <w:p>
            <w:pPr>
              <w:pStyle w:val="68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有关本次采购活动方面的问题,可来人、来函（传真）或电话联系。</w:t>
            </w:r>
            <w:r>
              <w:rPr>
                <w:rFonts w:hint="eastAsia" w:ascii="宋体" w:hAnsi="宋体"/>
                <w:color w:val="000000"/>
                <w:sz w:val="24"/>
                <w:highlight w:val="none"/>
              </w:rPr>
            </w:r>
            <w:r/>
          </w:p>
        </w:tc>
      </w:tr>
      <w:tr>
        <w:trPr/>
        <w:tc>
          <w:tcPr>
            <w:tcW w:w="805" w:type="dxa"/>
            <w:vAlign w:val="center"/>
            <w:textDirection w:val="lrTb"/>
            <w:noWrap w:val="false"/>
          </w:tcPr>
          <w:p>
            <w:pPr>
              <w:pStyle w:val="688"/>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rPr>
                <w:rFonts w:hint="eastAsia" w:ascii="宋体" w:hAnsi="宋体" w:cs="宋体"/>
                <w:bCs/>
                <w:color w:val="000000"/>
                <w:sz w:val="24"/>
                <w:highlight w:val="none"/>
              </w:rPr>
            </w:r>
            <w:r/>
          </w:p>
        </w:tc>
        <w:tc>
          <w:tcPr>
            <w:tcW w:w="8536" w:type="dxa"/>
            <w:vAlign w:val="center"/>
            <w:textDirection w:val="lrTb"/>
            <w:noWrap w:val="false"/>
          </w:tcPr>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供应商主体信息库注册：</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1.请有意参加本项目投标的供应商按以下流程进行操作：</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“苏采云”系统使用的数字证书及电子签章为“意源”CA数字证书和“方正”电子签章。办理流程：详见《江苏省政府采购数字证书（供应商）CA及电子签章办理指南》，具体网址：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"http://jsxcmm.com/help/gys.html。请相关供应商提前完善相应办理"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http://jsxcmm.com/help/gys.html。请相关供应商提前完善相应办理</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材料。办理地点：无锡市公共资源交易中心（无锡市滨湖区观山路199号）12号楼二楼5号、6号窗口。</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咨询电话：供应商注册：0519-86722801、0519-86722806，CA及电子加盖公章或签电子公章：0510-81827781，其他事项：0510-81827730。</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（4）潜在供应商访问“苏采云”系统的网络地址和方法：“苏采云”系统的网址：</w:t>
            </w:r>
            <w:r>
              <w:rPr>
                <w:rFonts w:hint="eastAsia" w:ascii="宋体" w:hAnsi="宋体" w:eastAsia="宋体" w:cs="宋体"/>
                <w:bCs/>
                <w:color w:val="000000"/>
                <w:sz w:val="24"/>
                <w:highlight w:val="none"/>
              </w:rPr>
              <w:t xml:space="preserve">https:</w:t>
            </w:r>
            <w:r>
              <w:rPr>
                <w:rFonts w:ascii="宋体" w:hAnsi="宋体" w:eastAsia="宋体" w:cs="宋体"/>
                <w:bCs/>
                <w:color w:val="000000"/>
                <w:sz w:val="24"/>
                <w:highlight w:val="none"/>
              </w:rPr>
              <w:t xml:space="preserve">//jszfcg.jsczt.cn/jszc/login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招标代理机构（采购代理机构）将数据电文形式的采购文件加载至“苏采云”系统，供潜在供应商下载或者查阅。     </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（7）苏采云系统使用谷歌浏览器参与不见面开标。</w:t>
            </w:r>
            <w:r>
              <w:rPr>
                <w:rFonts w:hint="eastAsia" w:ascii="宋体" w:hAnsi="宋体" w:cs="宋体"/>
                <w:color w:val="000000"/>
                <w:sz w:val="24"/>
                <w:highlight w:val="none"/>
              </w:rPr>
            </w:r>
            <w:r/>
          </w:p>
          <w:p>
            <w:pPr>
              <w:pStyle w:val="688"/>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2.如供应商未按上述要求操作，由此所产生的损失及风险供应商自行承担。</w:t>
            </w:r>
            <w:r>
              <w:rPr>
                <w:rFonts w:hint="eastAsia" w:ascii="宋体" w:hAnsi="宋体" w:cs="宋体"/>
                <w:color w:val="000000"/>
                <w:sz w:val="24"/>
                <w:highlight w:val="none"/>
              </w:rPr>
            </w:r>
            <w:r/>
          </w:p>
          <w:p>
            <w:pPr>
              <w:pStyle w:val="688"/>
              <w:spacing w:line="42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有关本次招标的事项若存在变动或修改，敬请及时关注江苏政府采购网发布的信息更正公告。如潜在投标供应商未按上述要求操作，由此所产生的损失及风险由潜在投标供应商自行承担。</w:t>
            </w:r>
            <w:r>
              <w:rPr>
                <w:rFonts w:hint="eastAsia" w:ascii="宋体" w:hAnsi="宋体" w:cs="宋体"/>
                <w:bCs/>
                <w:color w:val="000000"/>
                <w:sz w:val="24"/>
                <w:highlight w:val="none"/>
              </w:rPr>
            </w:r>
            <w:r/>
          </w:p>
        </w:tc>
      </w:tr>
    </w:tbl>
    <w:p>
      <w:pPr>
        <w:pStyle w:val="688"/>
        <w:jc w:val="center"/>
        <w:spacing w:line="360" w:lineRule="auto"/>
        <w:rPr>
          <w:rFonts w:hint="eastAsia" w:ascii="宋体" w:hAnsi="宋体" w:cs="宋体"/>
          <w:bCs/>
          <w:color w:val="000000"/>
          <w:sz w:val="44"/>
          <w:szCs w:val="44"/>
          <w:highlight w:val="none"/>
        </w:rPr>
      </w:pPr>
      <w:r>
        <w:rPr>
          <w:rFonts w:hint="eastAsia" w:ascii="宋体" w:hAnsi="宋体" w:cs="宋体"/>
          <w:bCs/>
          <w:color w:val="000000"/>
          <w:sz w:val="24"/>
          <w:highlight w:val="none"/>
        </w:rPr>
        <w:br w:type="page" w:clear="all"/>
      </w:r>
      <w:r>
        <w:rPr>
          <w:rFonts w:hint="eastAsia" w:ascii="宋体" w:hAnsi="宋体" w:cs="宋体"/>
          <w:bCs/>
          <w:color w:val="000000"/>
          <w:sz w:val="44"/>
          <w:szCs w:val="44"/>
          <w:highlight w:val="none"/>
        </w:rPr>
        <w:t xml:space="preserve">第二部分. 投标供应商须知</w:t>
      </w:r>
      <w:r>
        <w:rPr>
          <w:rFonts w:hint="eastAsia" w:ascii="宋体" w:hAnsi="宋体" w:cs="宋体"/>
          <w:bCs/>
          <w:color w:val="000000"/>
          <w:sz w:val="44"/>
          <w:szCs w:val="4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（一）遵循原则：</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（二）采购文件：</w:t>
      </w:r>
      <w:r>
        <w:rPr>
          <w:rFonts w:hint="eastAsia" w:ascii="宋体" w:hAnsi="宋体" w:cs="宋体"/>
          <w:bCs/>
          <w:color w:val="000000"/>
          <w:sz w:val="24"/>
          <w:highlight w:val="none"/>
        </w:rPr>
      </w:r>
      <w:r/>
    </w:p>
    <w:p>
      <w:pPr>
        <w:pStyle w:val="688"/>
        <w:ind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1．采购文件包括文件目录所列全部内容，投标供应商应仔细阅读，并在投标文件中充分响应采购文件的所有要求。</w:t>
      </w:r>
      <w:r>
        <w:rPr>
          <w:rFonts w:hint="eastAsia" w:ascii="宋体" w:hAnsi="宋体" w:cs="宋体"/>
          <w:bCs/>
          <w:color w:val="000000"/>
          <w:sz w:val="24"/>
          <w:highlight w:val="none"/>
        </w:rPr>
      </w:r>
      <w:r/>
    </w:p>
    <w:p>
      <w:pPr>
        <w:pStyle w:val="688"/>
        <w:ind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2．投标供应商应向</w:t>
      </w: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t xml:space="preserve">购买文件及有关资料，按采购文件要求提交全部资料并对采购文件各项内容做出实质性响应，否则投标无效。</w:t>
      </w:r>
      <w:r>
        <w:rPr>
          <w:rFonts w:hint="eastAsia" w:ascii="宋体" w:hAnsi="宋体" w:cs="宋体"/>
          <w:bCs/>
          <w:color w:val="000000"/>
          <w:sz w:val="24"/>
          <w:highlight w:val="none"/>
        </w:rPr>
      </w:r>
      <w:r/>
    </w:p>
    <w:p>
      <w:pPr>
        <w:pStyle w:val="688"/>
        <w:ind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3．投标供应商一旦参加本项目投标，即表明承诺接受了本采购文件中所有条件和规定。</w:t>
      </w:r>
      <w:r>
        <w:rPr>
          <w:rFonts w:hint="eastAsia" w:ascii="宋体" w:hAnsi="宋体" w:cs="宋体"/>
          <w:bCs/>
          <w:color w:val="000000"/>
          <w:sz w:val="24"/>
          <w:highlight w:val="none"/>
        </w:rPr>
      </w:r>
      <w:r/>
    </w:p>
    <w:p>
      <w:pPr>
        <w:pStyle w:val="688"/>
        <w:ind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4．采购文件一经售出、一律不退，且仅作为本次投标使用。</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（三）采购文件的解释：</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1．投标供应商如有需要对采购文件要求澄清的问题，请以书面提出，并按“投标邀请”第6项规定的时间将电子邮件或书面传真发送至</w:t>
      </w: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t xml:space="preserve">，联系方式详见“投标邀请”第13项。</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t xml:space="preserve">将按“投标邀请”第6项规定的时间对投标供应商针对采购文件书面提出的要求澄清的问题进行书面答疑。</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（四）采购文件的补充或修正：</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1．投标截止时间15日前</w:t>
      </w: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t xml:space="preserve">可对采购文件进行必要的澄清或者修改，并视具体情况，延长投标截止时间。</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2．如需对采购文件进行补充或修正，</w:t>
      </w: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t xml:space="preserve">将在江苏政府采购网网上发布更正公告。该澄清或者修改的内容为采购文件的组成部分, 与采购文件具有同等约束力。</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（五）投标文件的组成：</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投标文件由证明文件、</w:t>
      </w:r>
      <w:r>
        <w:rPr>
          <w:rFonts w:hint="eastAsia" w:ascii="宋体" w:hAnsi="宋体" w:cs="宋体"/>
          <w:bCs/>
          <w:color w:val="000000"/>
          <w:sz w:val="24"/>
          <w:highlight w:val="none"/>
          <w:lang w:eastAsia="zh-CN"/>
        </w:rPr>
        <w:t xml:space="preserve">投标函</w:t>
      </w:r>
      <w:r>
        <w:rPr>
          <w:rFonts w:hint="eastAsia" w:ascii="宋体" w:hAnsi="宋体" w:cs="宋体"/>
          <w:bCs/>
          <w:color w:val="000000"/>
          <w:sz w:val="24"/>
          <w:highlight w:val="none"/>
        </w:rPr>
        <w:t xml:space="preserve">、投标文件、技术部分四部分组成</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相应内容上传至投标客户端）</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1.证明文件：</w:t>
      </w:r>
      <w:r>
        <w:rPr>
          <w:rFonts w:hint="eastAsia" w:ascii="宋体" w:hAnsi="宋体" w:cs="宋体"/>
          <w:bCs/>
          <w:color w:val="000000"/>
          <w:sz w:val="24"/>
          <w:highlight w:val="none"/>
        </w:rPr>
      </w:r>
      <w:r/>
    </w:p>
    <w:p>
      <w:pPr>
        <w:pStyle w:val="688"/>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1.1资格、资信证明文件</w:t>
      </w:r>
      <w:r>
        <w:rPr>
          <w:rFonts w:hint="eastAsia" w:ascii="宋体" w:hAnsi="宋体"/>
          <w:b/>
          <w:color w:val="000000"/>
          <w:sz w:val="24"/>
          <w:highlight w:val="none"/>
        </w:rPr>
        <w:t xml:space="preserve">（扫描后上传）</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（1）关于资格的声明函（格式见附件）</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（2）投标</w:t>
      </w:r>
      <w:r>
        <w:rPr>
          <w:rFonts w:hint="eastAsia" w:ascii="宋体" w:hAnsi="宋体"/>
          <w:color w:val="000000"/>
          <w:sz w:val="24"/>
          <w:highlight w:val="none"/>
        </w:rPr>
        <w:t xml:space="preserve">供应商的营业执照副本</w:t>
      </w:r>
      <w:r>
        <w:rPr>
          <w:rFonts w:hint="eastAsia" w:ascii="宋体" w:hAnsi="宋体" w:cs="宋体"/>
          <w:color w:val="000000"/>
          <w:sz w:val="24"/>
          <w:highlight w:val="none"/>
        </w:rPr>
        <w:t xml:space="preserve">或相关部门的登记证明文件</w:t>
      </w:r>
      <w:r>
        <w:rPr>
          <w:rFonts w:hint="eastAsia" w:ascii="宋体" w:hAnsi="宋体"/>
          <w:b/>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（3）投标供应商法定代表人授权委托书（格式见附件）；</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（4）投标供应商法定代表人身份证复印件及法定代表人授权代表身份证（</w:t>
      </w:r>
      <w:r>
        <w:rPr>
          <w:rFonts w:hint="eastAsia" w:ascii="宋体" w:hAnsi="宋体"/>
          <w:b/>
          <w:color w:val="000000"/>
          <w:sz w:val="24"/>
          <w:highlight w:val="none"/>
        </w:rPr>
        <w:t xml:space="preserve">原件扫描件，</w:t>
      </w:r>
      <w:r>
        <w:rPr>
          <w:rFonts w:hint="eastAsia" w:ascii="宋体" w:hAnsi="宋体"/>
          <w:b/>
          <w:bCs/>
          <w:color w:val="000000"/>
          <w:sz w:val="24"/>
          <w:highlight w:val="none"/>
        </w:rPr>
        <w:t xml:space="preserve">正、反双面扫描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）授权委托人由法定的社保收缴部门出具的</w:t>
      </w:r>
      <w:r>
        <w:rPr>
          <w:rFonts w:hint="eastAsia" w:ascii="宋体" w:hAnsi="宋体" w:cs="宋体"/>
          <w:bCs/>
          <w:color w:val="000000"/>
          <w:sz w:val="24"/>
          <w:highlight w:val="none"/>
          <w:lang w:eastAsia="zh-CN"/>
        </w:rPr>
        <w:t xml:space="preserve">近一年内任意一个月</w:t>
      </w:r>
      <w:r>
        <w:rPr>
          <w:rFonts w:hint="eastAsia" w:ascii="宋体" w:hAnsi="宋体" w:cs="宋体"/>
          <w:bCs/>
          <w:color w:val="000000"/>
          <w:sz w:val="24"/>
          <w:highlight w:val="none"/>
        </w:rPr>
        <w:t xml:space="preserve">的投标供应商为其依法缴纳社保的相关证明材料复印件并加盖公章（提供相关主管部门证明或银行代扣证明复印件）； </w:t>
      </w:r>
      <w:r>
        <w:rPr>
          <w:rFonts w:hint="eastAsia" w:ascii="宋体" w:hAnsi="宋体" w:cs="宋体"/>
          <w:bCs/>
          <w:color w:val="000000"/>
          <w:sz w:val="24"/>
          <w:highlight w:val="none"/>
        </w:rPr>
      </w:r>
      <w:r/>
    </w:p>
    <w:p>
      <w:pPr>
        <w:pStyle w:val="688"/>
        <w:ind w:firstLine="240"/>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 （</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val="zh-CN"/>
        </w:rPr>
        <w:t xml:space="preserve">）投标供应商近三个月中（2026年6月/2026年7月/2026年8月）任意一个月份(不含投标当月)的财务状况报告（资产负债表和利润表）或</w:t>
      </w:r>
      <w:r>
        <w:rPr>
          <w:rFonts w:hint="eastAsia" w:ascii="宋体" w:hAnsi="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2024年度或2025年度</w:t>
      </w:r>
      <w:r>
        <w:rPr>
          <w:rFonts w:hint="eastAsia" w:ascii="宋体" w:hAnsi="宋体" w:cs="宋体"/>
          <w:bCs/>
          <w:color w:val="000000"/>
          <w:sz w:val="24"/>
          <w:highlight w:val="none"/>
        </w:rPr>
        <w:t xml:space="preserve">的审计报告和所附已审财务报告</w:t>
      </w:r>
      <w:r>
        <w:rPr>
          <w:rFonts w:hint="eastAsia" w:ascii="宋体" w:hAnsi="宋体"/>
          <w:b/>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）投标供应商近三个月中</w:t>
      </w:r>
      <w:r>
        <w:rPr>
          <w:rFonts w:hint="eastAsia" w:ascii="宋体" w:hAnsi="宋体" w:cs="宋体"/>
          <w:bCs/>
          <w:color w:val="000000"/>
          <w:sz w:val="24"/>
          <w:highlight w:val="none"/>
          <w:lang w:val="zh-CN"/>
        </w:rPr>
        <w:t xml:space="preserve">（2026年6月/2026年7月/2026年8月）</w:t>
      </w:r>
      <w:r>
        <w:rPr>
          <w:rFonts w:hint="eastAsia" w:ascii="宋体" w:hAnsi="宋体" w:cs="宋体"/>
          <w:bCs/>
          <w:color w:val="000000"/>
          <w:sz w:val="24"/>
          <w:highlight w:val="none"/>
        </w:rPr>
        <w:t xml:space="preserve">任意一个月份(不含投标当月)的依法缴纳税收的相关材料（提供相关主管部门证明或银行代扣证明）</w:t>
      </w:r>
      <w:r>
        <w:rPr>
          <w:rFonts w:hint="eastAsia" w:ascii="宋体" w:hAnsi="宋体"/>
          <w:b/>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）投标供应商近三个月中</w:t>
      </w:r>
      <w:r>
        <w:rPr>
          <w:rFonts w:hint="eastAsia" w:ascii="宋体" w:hAnsi="宋体" w:cs="宋体"/>
          <w:bCs/>
          <w:color w:val="000000"/>
          <w:sz w:val="24"/>
          <w:highlight w:val="none"/>
          <w:lang w:val="zh-CN"/>
        </w:rPr>
        <w:t xml:space="preserve">（2026年6月/2026年7月/2026年8月）</w:t>
      </w:r>
      <w:r>
        <w:rPr>
          <w:rFonts w:hint="eastAsia" w:ascii="宋体" w:hAnsi="宋体" w:cs="宋体"/>
          <w:bCs/>
          <w:color w:val="000000"/>
          <w:sz w:val="24"/>
          <w:highlight w:val="none"/>
        </w:rPr>
        <w:t xml:space="preserve">任意一个月份(不含投标当月)的依法缴纳社保的相关材料（提供相关主管部门证明或银行代扣证明）</w:t>
      </w:r>
      <w:r>
        <w:rPr>
          <w:rFonts w:hint="eastAsia" w:ascii="宋体" w:hAnsi="宋体"/>
          <w:b/>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若投标人为</w:t>
      </w:r>
      <w:r>
        <w:rPr>
          <w:rFonts w:hint="eastAsia" w:ascii="宋体" w:hAnsi="宋体" w:eastAsia="宋体" w:cs="宋体"/>
          <w:color w:val="000000"/>
          <w:sz w:val="24"/>
          <w:highlight w:val="none"/>
          <w:lang w:eastAsia="zh-CN"/>
        </w:rPr>
        <w:t xml:space="preserve">微生物鉴定质谱仪</w:t>
      </w:r>
      <w:r>
        <w:rPr>
          <w:rFonts w:hint="eastAsia" w:ascii="宋体" w:hAnsi="宋体" w:eastAsia="宋体" w:cs="宋体"/>
          <w:color w:val="000000"/>
          <w:sz w:val="24"/>
          <w:highlight w:val="none"/>
        </w:rPr>
        <w:t xml:space="preserve">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上传证明文件并加盖公章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投标产品按国家规定须</w:t>
      </w:r>
      <w:r>
        <w:rPr>
          <w:rFonts w:hint="eastAsia" w:ascii="宋体" w:hAnsi="宋体" w:eastAsia="宋体" w:cs="宋体"/>
          <w:color w:val="000000"/>
          <w:sz w:val="24"/>
          <w:highlight w:val="none"/>
          <w:lang w:eastAsia="zh-CN"/>
        </w:rPr>
        <w:t xml:space="preserve">具备</w:t>
      </w:r>
      <w:r>
        <w:rPr>
          <w:rFonts w:hint="eastAsia" w:ascii="宋体" w:hAnsi="宋体" w:eastAsia="宋体" w:cs="宋体"/>
          <w:color w:val="000000"/>
          <w:sz w:val="24"/>
          <w:highlight w:val="none"/>
        </w:rPr>
        <w:t xml:space="preserve">医疗器械注册证的，供应商须提供产品有效完整的《医疗器械注册证》；按国家规定须进行备案的，供应商须提供产品的《第一类医疗器械备案凭证》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上传证明文件并加盖公章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8"/>
        <w:ind w:left="4" w:firstLine="422"/>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)投标供应商所投</w:t>
      </w:r>
      <w:r>
        <w:rPr>
          <w:rFonts w:hint="eastAsia" w:ascii="宋体" w:hAnsi="宋体" w:cs="宋体"/>
          <w:color w:val="000000"/>
          <w:sz w:val="24"/>
          <w:highlight w:val="none"/>
          <w:lang w:eastAsia="zh-CN"/>
        </w:rPr>
        <w:t xml:space="preserve">吹</w:t>
      </w:r>
      <w:r>
        <w:rPr>
          <w:rFonts w:hint="eastAsia" w:ascii="宋体" w:hAnsi="宋体" w:cs="宋体"/>
          <w:color w:val="000000"/>
          <w:sz w:val="24"/>
          <w:highlight w:val="none"/>
        </w:rPr>
        <w:t xml:space="preserve">箱式电阻炉（马弗炉）</w:t>
      </w:r>
      <w:r>
        <w:rPr>
          <w:rFonts w:hint="eastAsia" w:ascii="宋体" w:hAnsi="宋体" w:cs="宋体"/>
          <w:color w:val="000000"/>
          <w:sz w:val="24"/>
          <w:highlight w:val="none"/>
          <w:lang w:eastAsia="zh-CN"/>
        </w:rPr>
        <w:t xml:space="preserve">、单道可调移液器（不同量程）、8通道可调移液器（不同量程）</w:t>
      </w:r>
      <w:r>
        <w:rPr>
          <w:rFonts w:hint="eastAsia" w:ascii="宋体" w:hAnsi="宋体" w:cs="宋体"/>
          <w:color w:val="000000"/>
          <w:sz w:val="24"/>
          <w:highlight w:val="none"/>
          <w:lang w:eastAsia="zh-CN"/>
        </w:rPr>
        <w:t xml:space="preserve">为进口产品的</w:t>
      </w:r>
      <w:r>
        <w:rPr>
          <w:rFonts w:hint="eastAsia" w:ascii="宋体" w:hAnsi="宋体" w:cs="宋体"/>
          <w:bCs/>
          <w:color w:val="000000"/>
          <w:sz w:val="24"/>
          <w:highlight w:val="none"/>
        </w:rPr>
        <w:t xml:space="preserve">，投标时需提供所投产品有效授权书(</w:t>
      </w:r>
      <w:r>
        <w:rPr>
          <w:rFonts w:hint="eastAsia" w:ascii="宋体" w:hAnsi="宋体" w:cs="宋体"/>
          <w:b/>
          <w:color w:val="000000"/>
          <w:sz w:val="24"/>
          <w:highlight w:val="none"/>
        </w:rPr>
        <w:t xml:space="preserve">原件扫描件)；</w:t>
      </w:r>
      <w:r>
        <w:rPr>
          <w:rFonts w:hint="eastAsia" w:ascii="宋体" w:hAnsi="宋体" w:cs="宋体"/>
          <w:bCs/>
          <w:color w:val="000000"/>
          <w:sz w:val="24"/>
          <w:highlight w:val="none"/>
        </w:rPr>
      </w:r>
      <w:r/>
    </w:p>
    <w:p>
      <w:pPr>
        <w:pStyle w:val="688"/>
        <w:spacing w:line="440" w:lineRule="exact"/>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）承诺书（格式见附件）。</w:t>
      </w:r>
      <w:r>
        <w:rPr>
          <w:rFonts w:hint="eastAsia" w:ascii="宋体" w:hAnsi="宋体" w:cs="宋体"/>
          <w:bCs/>
          <w:color w:val="000000"/>
          <w:sz w:val="24"/>
          <w:highlight w:val="none"/>
          <w:lang w:val="zh-CN"/>
        </w:rPr>
      </w:r>
      <w:r/>
    </w:p>
    <w:p>
      <w:pPr>
        <w:pStyle w:val="688"/>
        <w:ind w:firstLine="523"/>
        <w:spacing w:line="440" w:lineRule="exact"/>
        <w:tabs>
          <w:tab w:val="left" w:pos="420" w:leader="none"/>
          <w:tab w:val="left" w:pos="945" w:leader="none"/>
        </w:tabs>
        <w:rPr>
          <w:rFonts w:ascii="宋体" w:hAnsi="宋体"/>
          <w:b/>
          <w:bCs/>
          <w:color w:val="000000"/>
          <w:sz w:val="24"/>
          <w:highlight w:val="none"/>
        </w:rPr>
      </w:pPr>
      <w:r>
        <w:rPr>
          <w:rFonts w:hint="eastAsia" w:ascii="宋体" w:hAnsi="宋体"/>
          <w:b/>
          <w:bCs/>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b/>
          <w:bCs/>
          <w:color w:val="000000"/>
          <w:sz w:val="24"/>
          <w:highlight w:val="none"/>
        </w:rPr>
      </w:r>
      <w:r/>
    </w:p>
    <w:p>
      <w:pPr>
        <w:pStyle w:val="688"/>
        <w:ind w:firstLine="482"/>
        <w:spacing w:line="440" w:lineRule="exact"/>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color w:val="000000"/>
          <w:sz w:val="24"/>
          <w:highlight w:val="none"/>
        </w:rPr>
      </w:r>
      <w:r/>
    </w:p>
    <w:p>
      <w:pPr>
        <w:pStyle w:val="688"/>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第二部分：补充证明文件</w:t>
      </w:r>
      <w:r>
        <w:rPr>
          <w:rFonts w:hint="eastAsia" w:ascii="宋体" w:hAnsi="宋体" w:cs="宋体"/>
          <w:bCs/>
          <w:color w:val="000000"/>
          <w:sz w:val="24"/>
          <w:highlight w:val="none"/>
        </w:rPr>
      </w:r>
      <w:r/>
    </w:p>
    <w:p>
      <w:pPr>
        <w:pStyle w:val="688"/>
        <w:spacing w:line="440" w:lineRule="exact"/>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）中小型企业声明函、残疾人福利性单位声明函（如是）；</w:t>
      </w:r>
      <w:r>
        <w:rPr>
          <w:rFonts w:hint="eastAsia" w:ascii="宋体" w:hAnsi="宋体" w:cs="宋体"/>
          <w:bCs/>
          <w:color w:val="000000"/>
          <w:sz w:val="24"/>
          <w:highlight w:val="none"/>
        </w:rPr>
      </w:r>
      <w:r/>
    </w:p>
    <w:p>
      <w:pPr>
        <w:pStyle w:val="688"/>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）其他投标供应商认为有必要提供的证明资料（参考评分标准）；</w:t>
      </w:r>
      <w:r>
        <w:rPr>
          <w:rFonts w:hint="eastAsia" w:ascii="宋体" w:hAnsi="宋体" w:cs="宋体"/>
          <w:bCs/>
          <w:color w:val="000000"/>
          <w:sz w:val="24"/>
          <w:highlight w:val="none"/>
        </w:rPr>
      </w:r>
      <w:r/>
    </w:p>
    <w:p>
      <w:pPr>
        <w:pStyle w:val="688"/>
        <w:ind w:left="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投标函</w:t>
      </w:r>
      <w:r>
        <w:rPr>
          <w:rFonts w:hint="eastAsia" w:ascii="宋体" w:hAnsi="宋体" w:cs="宋体"/>
          <w:bCs/>
          <w:color w:val="000000"/>
          <w:sz w:val="24"/>
          <w:highlight w:val="none"/>
        </w:rPr>
        <w:t xml:space="preserve">部分（格式见附件）：</w:t>
      </w:r>
      <w:r>
        <w:rPr>
          <w:rFonts w:hint="eastAsia" w:ascii="宋体" w:hAnsi="宋体" w:cs="宋体"/>
          <w:bCs/>
          <w:color w:val="000000"/>
          <w:sz w:val="24"/>
          <w:highlight w:val="none"/>
        </w:rPr>
      </w:r>
      <w:r/>
    </w:p>
    <w:p>
      <w:pPr>
        <w:pStyle w:val="688"/>
        <w:ind w:left="149" w:firstLine="36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投标函</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88"/>
        <w:ind w:left="149" w:firstLine="36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开标一览表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ind w:left="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3.报价部分（格式见附件）：</w:t>
      </w:r>
      <w:r>
        <w:rPr>
          <w:rFonts w:hint="eastAsia" w:ascii="宋体" w:hAnsi="宋体" w:cs="宋体"/>
          <w:bCs/>
          <w:color w:val="000000"/>
          <w:sz w:val="24"/>
          <w:highlight w:val="none"/>
        </w:rPr>
      </w:r>
      <w:r/>
    </w:p>
    <w:p>
      <w:pPr>
        <w:pStyle w:val="688"/>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总报价中应包括货物、配件、包装、运杂、安装、调试、税金、售后服务</w:t>
      </w:r>
      <w:r>
        <w:rPr>
          <w:rFonts w:hint="eastAsia" w:ascii="宋体" w:hAnsi="宋体" w:cs="宋体"/>
          <w:bCs/>
          <w:color w:val="000000"/>
          <w:sz w:val="24"/>
          <w:highlight w:val="none"/>
          <w:lang w:eastAsia="zh-CN"/>
        </w:rPr>
        <w:t xml:space="preserve">、招标代理费</w:t>
      </w:r>
      <w:r>
        <w:rPr>
          <w:rFonts w:hint="eastAsia" w:ascii="宋体" w:hAnsi="宋体" w:cs="宋体"/>
          <w:bCs/>
          <w:color w:val="000000"/>
          <w:sz w:val="24"/>
          <w:highlight w:val="none"/>
        </w:rPr>
        <w:t xml:space="preserve">等所有费用。</w:t>
      </w:r>
      <w:r>
        <w:rPr>
          <w:rFonts w:hint="eastAsia" w:ascii="宋体" w:hAnsi="宋体" w:cs="宋体"/>
          <w:bCs/>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（1）评审中出现下列情形之一的，评审委员会应当启动异常低价投标（响应）审查程序：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①投标（响应）报价低于全部通过符合性审查供应商投标（响应）报价平均值50%的，即投标（响应）报价&lt;全部通过符合性审查供应商投标（响应）报价平均值×50%；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②投标（响应）报价低于通过符合性审查的次低报价供应商投标（响应）报价50%的，即投标（响应）报价&lt;通过符合性审查的次低报价供应商投标（响应）报价×50%；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③投标（响应）报价低于采购项目最高限价45%的，即投标（响应）报价&lt;采购项目最高限价×45%；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④评审委员会基于专业判断，认为供应商报价过低，有可能影响产品质量或者不能诚信履约的其他情形。</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4"/>
          <w:highlight w:val="none"/>
        </w:rPr>
      </w:r>
      <w:r/>
    </w:p>
    <w:p>
      <w:pPr>
        <w:pStyle w:val="688"/>
        <w:ind w:firstLine="482"/>
        <w:spacing w:line="440" w:lineRule="exact"/>
        <w:rPr>
          <w:rFonts w:ascii="宋体" w:hAnsi="宋体" w:eastAsia="宋体" w:cs="宋体"/>
          <w:b/>
          <w:bCs w:val="0"/>
          <w:color w:val="000000"/>
          <w:sz w:val="24"/>
          <w:highlight w:val="none"/>
        </w:rPr>
      </w:pPr>
      <w:r>
        <w:rPr>
          <w:rFonts w:hint="eastAsia" w:ascii="宋体" w:hAnsi="宋体" w:eastAsia="宋体" w:cs="宋体"/>
          <w:b/>
          <w:color w:val="000000"/>
          <w:sz w:val="24"/>
          <w:highlight w:val="none"/>
        </w:rPr>
        <w:t xml:space="preserve">（3）财政部门在投诉处理、监督检查中发现评审委员会未按规定对异常低价开展审查的，依法予以纠正并追究评审专家的法律责任。</w:t>
      </w:r>
      <w:r>
        <w:rPr>
          <w:rFonts w:ascii="宋体" w:hAnsi="宋体" w:eastAsia="宋体" w:cs="宋体"/>
          <w:b/>
          <w:bCs w:val="0"/>
          <w:color w:val="000000"/>
          <w:sz w:val="24"/>
          <w:highlight w:val="none"/>
        </w:rPr>
      </w:r>
      <w:r/>
    </w:p>
    <w:p>
      <w:pPr>
        <w:pStyle w:val="688"/>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4、技术部分</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投标供应商须提交拟供货物和服务符合采购文件规定的技术投标文件，作为投标文</w:t>
      </w: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件的一部分，同时提供：</w:t>
      </w:r>
      <w:r>
        <w:rPr>
          <w:rFonts w:hint="eastAsia" w:ascii="宋体" w:hAnsi="宋体" w:cs="宋体"/>
          <w:bCs/>
          <w:color w:val="000000"/>
          <w:sz w:val="24"/>
          <w:highlight w:val="none"/>
        </w:rPr>
      </w:r>
      <w:r/>
    </w:p>
    <w:p>
      <w:pPr>
        <w:pStyle w:val="688"/>
        <w:ind w:left="15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（1）设备主要技术性能的详细描述资料；</w:t>
      </w:r>
      <w:r>
        <w:rPr>
          <w:rFonts w:hint="eastAsia" w:ascii="宋体" w:hAnsi="宋体" w:cs="宋体"/>
          <w:bCs/>
          <w:color w:val="000000"/>
          <w:sz w:val="24"/>
          <w:highlight w:val="none"/>
        </w:rPr>
      </w:r>
      <w:r/>
    </w:p>
    <w:p>
      <w:pPr>
        <w:pStyle w:val="688"/>
        <w:ind w:firstLine="12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（2）投标设备技术偏差表（投标供应商应对采购设备的技术要求作出实质性响应，如有异议应逐条提出）。</w:t>
      </w:r>
      <w:r>
        <w:rPr>
          <w:rFonts w:hint="eastAsia" w:ascii="宋体" w:hAnsi="宋体" w:cs="宋体"/>
          <w:bCs/>
          <w:color w:val="000000"/>
          <w:sz w:val="24"/>
          <w:highlight w:val="none"/>
        </w:rPr>
      </w:r>
      <w:r/>
    </w:p>
    <w:p>
      <w:pPr>
        <w:pStyle w:val="688"/>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（六）投标文件的要求：</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1.所有文件、往来函件均应使用简体中文（规格、型号辅助符号除外）。</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3.投标供应商报价一律以人民币为报价结算货币，结算单位为“元”。</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4.投标文件格式部分，应由投标供应商按给定格式提供，不得更改。</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5.投标文件份数：1）因供应商可能会存在操作不熟练、业务不熟悉等因素，为保证开评标流程顺利，供应商如有问题应及时反馈，供应商在投标截止时间前网上上传电子投标文件。</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2）本项目为不见面开标，仅需在任意地点</w:t>
      </w:r>
      <w:r>
        <w:rPr>
          <w:rFonts w:hint="eastAsia" w:ascii="宋体" w:hAnsi="宋体" w:cs="宋体"/>
          <w:bCs/>
          <w:color w:val="000000"/>
          <w:sz w:val="24"/>
          <w:highlight w:val="none"/>
          <w:lang w:val="zh-CN"/>
        </w:rPr>
        <w:t xml:space="preserve">登录苏采云平台</w:t>
      </w:r>
      <w:r>
        <w:rPr>
          <w:rFonts w:hint="eastAsia" w:ascii="宋体" w:hAnsi="宋体" w:cs="宋体"/>
          <w:bCs/>
          <w:color w:val="000000"/>
          <w:sz w:val="24"/>
          <w:highlight w:val="none"/>
        </w:rPr>
        <w:t xml:space="preserve">参加开标会议，投标供应商无需到达开标现场。</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3）纸质投标文件：本项目为不见面开标，投标供应商无需递交纸质投标文件至现场，中标后中标单位向招标人提供与电子投标文件完全一致的纸质投标文件（二份）。</w:t>
      </w:r>
      <w:r>
        <w:rPr>
          <w:rFonts w:hint="eastAsia" w:ascii="宋体" w:hAnsi="宋体" w:cs="宋体"/>
          <w:bCs/>
          <w:color w:val="000000"/>
          <w:sz w:val="24"/>
          <w:highlight w:val="none"/>
        </w:rPr>
      </w:r>
      <w:r/>
    </w:p>
    <w:p>
      <w:pPr>
        <w:pStyle w:val="688"/>
        <w:ind w:firstLine="360"/>
        <w:spacing w:line="440" w:lineRule="exact"/>
        <w:tabs>
          <w:tab w:val="left" w:pos="0" w:leader="none"/>
          <w:tab w:val="left" w:pos="704"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4）供应商请仔细阅读供应商注册流程和招标文件中关于电子开评标等相关事项，如有问题可发送邮件或电话咨询。</w:t>
      </w:r>
      <w:r>
        <w:rPr>
          <w:rFonts w:hint="eastAsia" w:ascii="宋体" w:hAnsi="宋体" w:cs="宋体"/>
          <w:bCs/>
          <w:color w:val="000000"/>
          <w:sz w:val="24"/>
          <w:highlight w:val="none"/>
        </w:rPr>
      </w:r>
      <w:r/>
    </w:p>
    <w:p>
      <w:pPr>
        <w:pStyle w:val="688"/>
        <w:ind w:firstLine="470"/>
        <w:spacing w:line="440" w:lineRule="exact"/>
        <w:tabs>
          <w:tab w:val="left" w:pos="0" w:leader="none"/>
        </w:tabs>
        <w:rPr>
          <w:rFonts w:hint="eastAsia" w:ascii="宋体" w:hAnsi="宋体" w:cs="宋体"/>
          <w:color w:val="000000"/>
          <w:sz w:val="24"/>
          <w:szCs w:val="28"/>
          <w:highlight w:val="none"/>
        </w:rPr>
      </w:pPr>
      <w:r>
        <w:rPr>
          <w:rFonts w:hint="eastAsia" w:ascii="宋体" w:hAnsi="宋体"/>
          <w:color w:val="000000"/>
          <w:sz w:val="24"/>
          <w:highlight w:val="none"/>
        </w:rPr>
        <w:t xml:space="preserve">5）</w:t>
      </w:r>
      <w:r>
        <w:rPr>
          <w:rFonts w:hint="eastAsia" w:hAnsi="宋体" w:cs="宋体"/>
          <w:bCs/>
          <w:color w:val="000000"/>
          <w:sz w:val="24"/>
          <w:highlight w:val="none"/>
        </w:rPr>
        <w:t xml:space="preserve">本次采购采用《</w:t>
      </w:r>
      <w:r>
        <w:rPr>
          <w:rFonts w:hint="eastAsia" w:hAnsi="宋体" w:cs="宋体"/>
          <w:bCs/>
          <w:color w:val="000000"/>
          <w:sz w:val="24"/>
          <w:highlight w:val="none"/>
          <w:lang w:eastAsia="zh-CN"/>
        </w:rPr>
        <w:t xml:space="preserve">江苏省政府采购(苏采云)平台</w:t>
      </w:r>
      <w:r>
        <w:rPr>
          <w:rFonts w:hint="eastAsia" w:hAnsi="宋体" w:cs="宋体"/>
          <w:bCs/>
          <w:color w:val="000000"/>
          <w:sz w:val="24"/>
          <w:highlight w:val="none"/>
        </w:rPr>
        <w:t xml:space="preserve">》进行采购活动，采购文件发布、报价、评审和成交结果发布全程电子化</w:t>
      </w:r>
      <w:r>
        <w:rPr>
          <w:rFonts w:hint="eastAsia" w:ascii="宋体" w:hAnsi="宋体"/>
          <w:color w:val="000000"/>
          <w:sz w:val="24"/>
          <w:highlight w:val="none"/>
        </w:rPr>
        <w:t xml:space="preserve">。</w:t>
      </w:r>
      <w:r>
        <w:rPr>
          <w:rFonts w:hint="eastAsia" w:ascii="宋体" w:hAnsi="宋体" w:cs="宋体"/>
          <w:color w:val="000000"/>
          <w:sz w:val="24"/>
          <w:szCs w:val="28"/>
          <w:highlight w:val="none"/>
        </w:rPr>
      </w:r>
      <w:r/>
    </w:p>
    <w:p>
      <w:pPr>
        <w:pStyle w:val="688"/>
        <w:ind w:left="315"/>
        <w:spacing w:line="44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 6.投标文件不应有涂改、增删。</w:t>
      </w:r>
      <w:r>
        <w:rPr>
          <w:rFonts w:hint="eastAsia" w:ascii="宋体" w:hAnsi="宋体"/>
          <w:color w:val="000000"/>
          <w:sz w:val="24"/>
          <w:highlight w:val="none"/>
        </w:rPr>
      </w:r>
      <w:r/>
    </w:p>
    <w:p>
      <w:pPr>
        <w:pStyle w:val="688"/>
        <w:ind w:left="315"/>
        <w:spacing w:line="440" w:lineRule="exact"/>
        <w:tabs>
          <w:tab w:val="left" w:pos="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7.供应商应充分考虑企业管理情况、市场风险等因素，测算检测成本。供应商自行承担投标费用，无论中标与否，采购人不作解释。 </w:t>
      </w:r>
      <w:r>
        <w:rPr>
          <w:rFonts w:hint="eastAsia" w:ascii="宋体" w:hAnsi="宋体"/>
          <w:color w:val="000000"/>
          <w:sz w:val="24"/>
          <w:highlight w:val="none"/>
        </w:rPr>
      </w:r>
      <w:r/>
    </w:p>
    <w:p>
      <w:pPr>
        <w:pStyle w:val="688"/>
        <w:ind w:firstLine="482"/>
        <w:spacing w:line="440" w:lineRule="exact"/>
        <w:tabs>
          <w:tab w:val="left" w:pos="0" w:leader="none"/>
          <w:tab w:val="left" w:pos="70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8.网上投标</w:t>
      </w:r>
      <w:r>
        <w:rPr>
          <w:rFonts w:hint="eastAsia" w:ascii="宋体" w:hAnsi="宋体" w:cs="宋体"/>
          <w:b/>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1）投标供应商应由其法定代表人或法定代表人授权代表在规定的时间内，凭CA数字证书登陆系统获取采购文件，在投标客户端制作投标文件（电子数据），并在投标文件递交截止时间之前上传投标文件。</w:t>
      </w:r>
      <w:r>
        <w:rPr>
          <w:rFonts w:hint="eastAsia" w:ascii="宋体" w:hAnsi="宋体"/>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2）投标供应商应对CA数字证书妥善保管，如被他人盗用投标，后果自负。</w:t>
      </w:r>
      <w:r>
        <w:rPr>
          <w:rFonts w:hint="eastAsia" w:ascii="宋体" w:hAnsi="宋体"/>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3）投标供应商按采购文件规定的网上解密时间</w:t>
      </w:r>
      <w:r>
        <w:rPr>
          <w:rFonts w:hint="eastAsia" w:ascii="宋体" w:hAnsi="宋体"/>
          <w:b/>
          <w:bCs/>
          <w:color w:val="000000"/>
          <w:sz w:val="24"/>
          <w:highlight w:val="none"/>
        </w:rPr>
        <w:t xml:space="preserve">（30分钟内）</w:t>
      </w:r>
      <w:r>
        <w:rPr>
          <w:rFonts w:hint="eastAsia" w:ascii="宋体" w:hAnsi="宋体"/>
          <w:color w:val="000000"/>
          <w:sz w:val="24"/>
          <w:highlight w:val="none"/>
        </w:rPr>
        <w:t xml:space="preserve">进行解密，如未按时解密后果自负。</w:t>
      </w:r>
      <w:r>
        <w:rPr>
          <w:rFonts w:hint="eastAsia" w:ascii="宋体" w:hAnsi="宋体"/>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4）投标供应商应当对采购文件提出的要求和条件作出实质性响应，并在电子投标系统逐条应答。</w:t>
      </w:r>
      <w:r>
        <w:rPr>
          <w:rFonts w:hint="eastAsia" w:ascii="宋体" w:hAnsi="宋体"/>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5）投标供应商应对要求提供的资格证明文件（如资质证书、资格证书）、商务技术资料（如业绩等）扫描上传至投标系统。</w:t>
      </w:r>
      <w:r>
        <w:rPr>
          <w:rFonts w:hint="eastAsia" w:ascii="宋体" w:hAnsi="宋体"/>
          <w:color w:val="000000"/>
          <w:sz w:val="24"/>
          <w:highlight w:val="none"/>
        </w:rPr>
      </w:r>
      <w:r/>
    </w:p>
    <w:p>
      <w:pPr>
        <w:pStyle w:val="68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6）投标供应商进行网上投标请参照《</w:t>
      </w:r>
      <w:r>
        <w:rPr>
          <w:rFonts w:hint="eastAsia" w:ascii="宋体" w:hAnsi="宋体"/>
          <w:color w:val="000000"/>
          <w:sz w:val="24"/>
          <w:highlight w:val="none"/>
          <w:lang w:val="zh-CN"/>
        </w:rPr>
        <w:t xml:space="preserve">江苏省政府采购交易系统（苏采云）供应商操作手册</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88"/>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（七）无效投标文件的确认：</w:t>
      </w:r>
      <w:r>
        <w:rPr>
          <w:rFonts w:hint="eastAsia" w:ascii="宋体" w:hAnsi="宋体" w:cs="宋体"/>
          <w:bCs/>
          <w:color w:val="000000"/>
          <w:sz w:val="24"/>
          <w:highlight w:val="none"/>
        </w:rPr>
      </w:r>
      <w:r/>
    </w:p>
    <w:p>
      <w:pPr>
        <w:pStyle w:val="688"/>
        <w:ind w:firstLine="36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rPr>
          <w:rFonts w:hint="eastAsia" w:ascii="宋体" w:hAnsi="宋体" w:cs="宋体"/>
          <w:bCs/>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1.未按规定在无锡市政府采购供应商信息库注册的；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2.电子投标文件未按规定期限投标的，纸质投标文件（如要求）未按规定的期限、地点送达的；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3.电子投标文件未按采购文件要求签章的；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4.投标供应商的被授权代表无法定代表人授权委托书的；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5.不具备采购文件中规定的资格要求及未按采购文件规定的要求提供资格、资信证明文件的；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6.投标文件未按采购文件规定的格式、内容和要求填写、制作的；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7.投标文件书写潦草、字迹模糊不清、无法辨认的；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8.投标文件中有采购文件未允许提供的选择性内容的；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9.未按采购文件要求解密电子投标文件的；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szCs w:val="28"/>
          <w:highlight w:val="none"/>
        </w:rPr>
      </w:pPr>
      <w:r>
        <w:rPr>
          <w:rFonts w:hint="eastAsia" w:ascii="宋体" w:hAnsi="宋体" w:cs="宋体"/>
          <w:color w:val="000000"/>
          <w:sz w:val="24"/>
          <w:highlight w:val="none"/>
        </w:rPr>
        <w:t xml:space="preserve">10.提供虚假材料的（包括工商营业执照、财务报表、资格、资信证明文件等）；</w:t>
      </w:r>
      <w:r>
        <w:rPr>
          <w:rFonts w:hint="eastAsia" w:ascii="宋体" w:hAnsi="宋体" w:cs="宋体"/>
          <w:color w:val="000000"/>
          <w:sz w:val="24"/>
          <w:szCs w:val="28"/>
          <w:highlight w:val="none"/>
        </w:rPr>
      </w:r>
      <w:r/>
    </w:p>
    <w:p>
      <w:pPr>
        <w:pStyle w:val="688"/>
        <w:ind w:left="480"/>
        <w:spacing w:line="440" w:lineRule="exact"/>
        <w:rPr>
          <w:rFonts w:hint="eastAsia" w:ascii="宋体" w:hAnsi="宋体" w:cs="宋体"/>
          <w:color w:val="000000"/>
          <w:sz w:val="24"/>
          <w:szCs w:val="28"/>
          <w:highlight w:val="none"/>
        </w:rPr>
      </w:pPr>
      <w:r>
        <w:rPr>
          <w:rFonts w:hint="eastAsia" w:ascii="宋体" w:hAnsi="宋体" w:cs="宋体"/>
          <w:color w:val="000000"/>
          <w:sz w:val="24"/>
          <w:highlight w:val="none"/>
        </w:rPr>
        <w:t xml:space="preserve">11.投标文件未按要求制作、递交的；</w:t>
      </w:r>
      <w:r>
        <w:rPr>
          <w:rFonts w:hint="eastAsia" w:ascii="宋体" w:hAnsi="宋体" w:cs="宋体"/>
          <w:color w:val="000000"/>
          <w:sz w:val="24"/>
          <w:szCs w:val="28"/>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12.投标文件未加盖投标供应商公章及法定代表人或授权代表签字和盖章的；</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13.投标供应商未遵循公平竞争的原则，恶意串通，妨碍其他供应商的竞争行为，损害采购人或者其他供应商的合法权益；</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14.不同投标供应商的投标文件的装订形式、纸张情况、目录序号、排版格式、文字风格等存在明显的相似性或一致性，特征显示由同一单位或者同一个人编制的；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15.不同投标供应商委托同一单位或者个人办理投标事宜；</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16.不同投标供应商的投标文件载明的项目管理成员或者联系人员为同一人；</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17.不同投标供应商投标文件内容存在非正常一致、项目组成员出现同一人、投标文件中错误（或异常）一致或雷同、电子文档信息一致或雷同的；</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18.不同投标供应商报价细目呈明显规律性变化，或恶意串通其他投标供应商，故意哄抬价格或压价的；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19.不同投标供应商投标文件相互混装的；</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20.不同投标供应商投标文件中的项目相关人员出现同一人的；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21.不同投标供应商聘请同一人为其投标提供技术或经济咨询服务的；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22.不同投标供应商的单位负责人为同一人或者存在直接控股、管理关系的；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23.投标文件中同一方案有选择性报价且未声明以哪一个为准的；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24.投标文件被本项目评委确认为无效投标文件的；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25.未通过初步资格性审查、投标文件资格性检查、投标文件符合性检查的；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26.未按要求提供技术文件的；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bCs/>
          <w:color w:val="000000"/>
          <w:sz w:val="24"/>
          <w:highlight w:val="none"/>
        </w:rPr>
        <w:t xml:space="preserve">投标设备技术指标与采购文件要求有负偏离的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8"/>
        <w:ind w:left="48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28.投标报价超过采购文件中规定的最高限价或者采购预算或者单项最高限价的；</w:t>
      </w:r>
      <w:r>
        <w:rPr>
          <w:rFonts w:hint="eastAsia" w:ascii="宋体" w:hAnsi="宋体" w:cs="宋体"/>
          <w:b/>
          <w:bCs/>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29.投标供应商的投标报价畸高或畸低，投标总报价与各分项报价不能相互对应，在询标时没有合理的解释或者不能提供计算依据和报价依据的；</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b/>
          <w:bCs/>
          <w:color w:val="000000"/>
          <w:sz w:val="24"/>
          <w:highlight w:val="none"/>
        </w:rPr>
        <w:t xml:space="preserve">评标委员会认为投标人的报价</w:t>
      </w:r>
      <w:r>
        <w:rPr>
          <w:rFonts w:hint="eastAsia" w:ascii="宋体" w:hAnsi="宋体" w:cs="宋体"/>
          <w:b/>
          <w:bCs/>
          <w:color w:val="000000"/>
          <w:sz w:val="24"/>
          <w:highlight w:val="none"/>
          <w:lang w:eastAsia="zh-CN"/>
        </w:rPr>
        <w:t xml:space="preserve">为异常低价</w:t>
      </w:r>
      <w:r>
        <w:rPr>
          <w:rFonts w:hint="eastAsia" w:ascii="宋体" w:hAnsi="宋体" w:cs="宋体"/>
          <w:b/>
          <w:bCs/>
          <w:color w:val="000000"/>
          <w:sz w:val="24"/>
          <w:highlight w:val="none"/>
        </w:rPr>
        <w:t xml:space="preserve">，</w:t>
      </w:r>
      <w:r>
        <w:rPr>
          <w:rFonts w:ascii="宋体" w:hAnsi="宋体" w:eastAsia="宋体" w:cs="宋体"/>
          <w:b/>
          <w:bCs/>
          <w:color w:val="000000"/>
          <w:sz w:val="24"/>
          <w:highlight w:val="none"/>
        </w:rPr>
        <w:t xml:space="preserve">启动异常低价投标（响应）审查</w:t>
      </w:r>
      <w:r>
        <w:rPr>
          <w:rFonts w:hint="eastAsia" w:ascii="宋体" w:hAnsi="宋体" w:eastAsia="宋体" w:cs="宋体"/>
          <w:b/>
          <w:bCs/>
          <w:color w:val="000000"/>
          <w:sz w:val="24"/>
          <w:highlight w:val="none"/>
          <w:lang w:eastAsia="zh-CN"/>
        </w:rPr>
        <w:t xml:space="preserve">后，</w:t>
      </w:r>
      <w:r>
        <w:rPr>
          <w:rFonts w:ascii="宋体" w:hAnsi="宋体" w:eastAsia="宋体" w:cs="宋体"/>
          <w:b/>
          <w:bCs/>
          <w:color w:val="000000"/>
          <w:sz w:val="24"/>
          <w:highlight w:val="none"/>
        </w:rPr>
        <w:t xml:space="preserve">投标（响应）供应商在评标现场合理的时间</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30分钟</w:t>
      </w:r>
      <w:r>
        <w:rPr>
          <w:rFonts w:hint="eastAsia" w:ascii="宋体" w:hAnsi="宋体" w:eastAsia="宋体" w:cs="宋体"/>
          <w:b/>
          <w:bCs/>
          <w:color w:val="000000"/>
          <w:sz w:val="24"/>
          <w:highlight w:val="none"/>
          <w:lang w:eastAsia="zh-CN"/>
        </w:rPr>
        <w:t xml:space="preserve">）</w:t>
      </w:r>
      <w:r>
        <w:rPr>
          <w:rFonts w:ascii="宋体" w:hAnsi="宋体" w:eastAsia="宋体" w:cs="宋体"/>
          <w:b/>
          <w:bCs/>
          <w:color w:val="000000"/>
          <w:sz w:val="24"/>
          <w:highlight w:val="none"/>
        </w:rPr>
        <w:t xml:space="preserve">内，不提供书面说明、证明材料，或者提供的书面说明、证明材料不能证明其报价合理性的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31.不同供应商的委托代理人、项目负责人以及其他相关人员有在同一个单位缴纳社会保险的；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32.同一投标文件中单位名称落款与公章不是同一单位的；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33.投标文件内容不全或不符合法律法规和招标文件中规定的其他实质性要求的。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34.不同投标供应商的投标文件由同一台电脑编制或者同一把数字证书加密锁加密或者同一台附属设备打印的； </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b/>
          <w:color w:val="000000"/>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36.列入失信被执行人、重大税收违法案件当事人名单、政府采购严重违法失信行为记录名单及其他不符合《中华人民共和国政府采购法》第二十二条规定条件的。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highlight w:val="none"/>
        </w:rPr>
      </w:r>
      <w:r/>
    </w:p>
    <w:p>
      <w:pPr>
        <w:pStyle w:val="688"/>
        <w:ind w:lef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37.法律、法规和招标文件规定的其他无效情形。</w:t>
      </w:r>
      <w:r>
        <w:rPr>
          <w:rFonts w:hint="eastAsia" w:ascii="宋体" w:hAnsi="宋体" w:cs="宋体"/>
          <w:color w:val="000000"/>
          <w:sz w:val="24"/>
          <w:highlight w:val="none"/>
        </w:rPr>
      </w:r>
      <w:r/>
    </w:p>
    <w:p>
      <w:pPr>
        <w:pStyle w:val="688"/>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八</w:t>
      </w:r>
      <w:r>
        <w:rPr>
          <w:rFonts w:hint="eastAsia" w:ascii="宋体" w:hAnsi="宋体" w:cs="宋体"/>
          <w:bCs/>
          <w:color w:val="000000"/>
          <w:sz w:val="24"/>
          <w:highlight w:val="none"/>
        </w:rPr>
        <w:t xml:space="preserve">） 开标、评标：</w:t>
      </w:r>
      <w:r>
        <w:rPr>
          <w:rFonts w:hint="eastAsia" w:ascii="宋体" w:hAnsi="宋体" w:cs="宋体"/>
          <w:bCs/>
          <w:color w:val="000000"/>
          <w:sz w:val="24"/>
          <w:highlight w:val="none"/>
        </w:rPr>
      </w:r>
      <w:r/>
    </w:p>
    <w:p>
      <w:pPr>
        <w:pStyle w:val="688"/>
        <w:ind w:firstLine="480"/>
        <w:spacing w:line="336" w:lineRule="auto"/>
        <w:tabs>
          <w:tab w:val="left" w:pos="945" w:leader="none"/>
        </w:tabs>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1.开标工作程序</w:t>
      </w:r>
      <w:r>
        <w:rPr>
          <w:rFonts w:hint="eastAsia" w:ascii="宋体" w:hAnsi="宋体" w:cs="宋体"/>
          <w:b/>
          <w:color w:val="000000"/>
          <w:sz w:val="24"/>
          <w:highlight w:val="none"/>
        </w:rPr>
      </w:r>
      <w:r/>
    </w:p>
    <w:p>
      <w:pPr>
        <w:pStyle w:val="688"/>
        <w:ind w:firstLine="480"/>
        <w:spacing w:line="336"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1.1</w:t>
      </w:r>
      <w:r>
        <w:rPr>
          <w:rFonts w:hint="eastAsia" w:ascii="宋体" w:hAnsi="宋体"/>
          <w:bCs/>
          <w:color w:val="000000"/>
          <w:sz w:val="24"/>
          <w:highlight w:val="none"/>
          <w:lang w:val="zh-CN"/>
        </w:rPr>
        <w:t xml:space="preserve">采购人按</w:t>
      </w:r>
      <w:r>
        <w:rPr>
          <w:rFonts w:hint="eastAsia" w:ascii="宋体" w:hAnsi="宋体"/>
          <w:bCs/>
          <w:color w:val="000000"/>
          <w:sz w:val="24"/>
          <w:highlight w:val="none"/>
        </w:rPr>
        <w:t xml:space="preserve">采购文件</w:t>
      </w:r>
      <w:r>
        <w:rPr>
          <w:rFonts w:hint="eastAsia" w:ascii="宋体" w:hAnsi="宋体"/>
          <w:bCs/>
          <w:color w:val="000000"/>
          <w:sz w:val="24"/>
          <w:highlight w:val="none"/>
          <w:lang w:val="zh-CN"/>
        </w:rPr>
        <w:t xml:space="preserve">规定的时间在“苏采云开标大厅”召开开标大会。</w:t>
      </w:r>
      <w:r>
        <w:rPr>
          <w:rFonts w:hint="eastAsia" w:ascii="宋体" w:hAnsi="宋体"/>
          <w:bCs/>
          <w:color w:val="000000"/>
          <w:sz w:val="24"/>
          <w:highlight w:val="none"/>
        </w:rPr>
        <w:t xml:space="preserve">供应商</w:t>
      </w:r>
      <w:r>
        <w:rPr>
          <w:rFonts w:hint="eastAsia" w:ascii="宋体" w:hAnsi="宋体"/>
          <w:bCs/>
          <w:color w:val="000000"/>
          <w:sz w:val="24"/>
          <w:highlight w:val="none"/>
          <w:lang w:val="zh-CN"/>
        </w:rPr>
        <w:t xml:space="preserve">应当在开标前做好充分准备，携带 CA 数字证书准时参加</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8"/>
        <w:spacing w:line="336" w:lineRule="auto"/>
        <w:tabs>
          <w:tab w:val="left" w:pos="0" w:leader="none"/>
        </w:tabs>
        <w:rPr>
          <w:rFonts w:ascii="宋体" w:hAnsi="宋体"/>
          <w:bCs/>
          <w:color w:val="000000"/>
          <w:sz w:val="24"/>
          <w:highlight w:val="none"/>
          <w:lang w:val="zh-CN"/>
        </w:rPr>
      </w:pPr>
      <w:r>
        <w:rPr>
          <w:rFonts w:hint="eastAsia" w:ascii="宋体" w:hAnsi="宋体" w:cs="宋体"/>
          <w:bCs/>
          <w:color w:val="000000"/>
          <w:sz w:val="24"/>
          <w:highlight w:val="none"/>
        </w:rPr>
        <w:t xml:space="preserve">    1.2</w:t>
      </w:r>
      <w:r>
        <w:rPr>
          <w:rFonts w:hint="eastAsia" w:ascii="宋体" w:hAnsi="宋体"/>
          <w:bCs/>
          <w:color w:val="000000"/>
          <w:sz w:val="24"/>
          <w:highlight w:val="none"/>
          <w:lang w:val="zh-CN"/>
        </w:rPr>
        <w:t xml:space="preserve">投标文件</w:t>
      </w:r>
      <w:r>
        <w:rPr>
          <w:rFonts w:ascii="宋体" w:hAnsi="宋体"/>
          <w:bCs/>
          <w:color w:val="000000"/>
          <w:sz w:val="24"/>
          <w:highlight w:val="none"/>
          <w:lang w:val="zh-CN"/>
        </w:rPr>
        <w:t xml:space="preserve">递交截止时间后，采购</w:t>
      </w:r>
      <w:r>
        <w:rPr>
          <w:rFonts w:hint="eastAsia" w:ascii="宋体" w:hAnsi="宋体"/>
          <w:bCs/>
          <w:color w:val="000000"/>
          <w:sz w:val="24"/>
          <w:highlight w:val="none"/>
        </w:rPr>
        <w:t xml:space="preserve">代理机构</w:t>
      </w:r>
      <w:r>
        <w:rPr>
          <w:rFonts w:ascii="宋体" w:hAnsi="宋体"/>
          <w:bCs/>
          <w:color w:val="000000"/>
          <w:sz w:val="24"/>
          <w:highlight w:val="none"/>
          <w:lang w:val="zh-CN"/>
        </w:rPr>
        <w:t xml:space="preserve">将在系统内公布</w:t>
      </w:r>
      <w:r>
        <w:rPr>
          <w:rFonts w:hint="eastAsia" w:ascii="宋体" w:hAnsi="宋体"/>
          <w:bCs/>
          <w:color w:val="000000"/>
          <w:sz w:val="24"/>
          <w:highlight w:val="none"/>
          <w:lang w:val="zh-CN"/>
        </w:rPr>
        <w:t xml:space="preserve">供应商</w:t>
      </w:r>
      <w:r>
        <w:rPr>
          <w:rFonts w:ascii="宋体" w:hAnsi="宋体"/>
          <w:bCs/>
          <w:color w:val="000000"/>
          <w:sz w:val="24"/>
          <w:highlight w:val="none"/>
          <w:lang w:val="zh-CN"/>
        </w:rPr>
        <w:t xml:space="preserve">名单然后通过开标会议区发出</w:t>
      </w:r>
      <w:r>
        <w:rPr>
          <w:rFonts w:hint="eastAsia" w:ascii="宋体" w:hAnsi="宋体"/>
          <w:bCs/>
          <w:color w:val="000000"/>
          <w:sz w:val="24"/>
          <w:highlight w:val="none"/>
          <w:lang w:val="zh-CN"/>
        </w:rPr>
        <w:t xml:space="preserve">投标文件</w:t>
      </w:r>
      <w:r>
        <w:rPr>
          <w:rFonts w:ascii="宋体" w:hAnsi="宋体"/>
          <w:bCs/>
          <w:color w:val="000000"/>
          <w:sz w:val="24"/>
          <w:highlight w:val="none"/>
          <w:lang w:val="zh-CN"/>
        </w:rPr>
        <w:t xml:space="preserve">解密的指令，供应商在各自地点按规定时间自行实施远程解密，</w:t>
      </w:r>
      <w:r>
        <w:rPr>
          <w:rFonts w:hint="eastAsia" w:ascii="宋体" w:hAnsi="宋体"/>
          <w:bCs/>
          <w:color w:val="000000"/>
          <w:sz w:val="24"/>
          <w:highlight w:val="none"/>
          <w:lang w:val="zh-CN"/>
        </w:rPr>
        <w:t xml:space="preserve">供应商解密限定在解密时间开始30分钟内完成。</w:t>
      </w:r>
      <w:r>
        <w:rPr>
          <w:rFonts w:ascii="宋体" w:hAnsi="宋体"/>
          <w:bCs/>
          <w:color w:val="000000"/>
          <w:sz w:val="24"/>
          <w:highlight w:val="none"/>
          <w:lang w:val="zh-CN"/>
        </w:rPr>
        <w:t xml:space="preserve">因供应商网络与电源不稳定、未按操作手册要求配置软硬件、解密锁发生故障或用错、故意不在要求时限内完成解密等自身原因，导致</w:t>
      </w:r>
      <w:r>
        <w:rPr>
          <w:rFonts w:hint="eastAsia" w:ascii="宋体" w:hAnsi="宋体"/>
          <w:bCs/>
          <w:color w:val="000000"/>
          <w:sz w:val="24"/>
          <w:highlight w:val="none"/>
          <w:lang w:val="zh-CN"/>
        </w:rPr>
        <w:t xml:space="preserve">投标文件</w:t>
      </w:r>
      <w:r>
        <w:rPr>
          <w:rFonts w:ascii="宋体" w:hAnsi="宋体"/>
          <w:bCs/>
          <w:color w:val="000000"/>
          <w:sz w:val="24"/>
          <w:highlight w:val="none"/>
          <w:lang w:val="zh-CN"/>
        </w:rPr>
        <w:t xml:space="preserve">在规定时间内未能解密、解密失败或解密超时，视为供应商撤销其</w:t>
      </w:r>
      <w:r>
        <w:rPr>
          <w:rFonts w:hint="eastAsia" w:ascii="宋体" w:hAnsi="宋体"/>
          <w:bCs/>
          <w:color w:val="000000"/>
          <w:sz w:val="24"/>
          <w:highlight w:val="none"/>
          <w:lang w:val="zh-CN"/>
        </w:rPr>
        <w:t xml:space="preserve">投标文件</w:t>
      </w:r>
      <w:r>
        <w:rPr>
          <w:rFonts w:ascii="宋体" w:hAnsi="宋体"/>
          <w:bCs/>
          <w:color w:val="000000"/>
          <w:sz w:val="24"/>
          <w:highlight w:val="none"/>
          <w:lang w:val="zh-CN"/>
        </w:rPr>
        <w:t xml:space="preserve">；因网上平台发生故障，导致无法按时完成</w:t>
      </w:r>
      <w:r>
        <w:rPr>
          <w:rFonts w:hint="eastAsia" w:ascii="宋体" w:hAnsi="宋体"/>
          <w:bCs/>
          <w:color w:val="000000"/>
          <w:sz w:val="24"/>
          <w:highlight w:val="none"/>
          <w:lang w:val="zh-CN"/>
        </w:rPr>
        <w:t xml:space="preserve">投标文件</w:t>
      </w:r>
      <w:r>
        <w:rPr>
          <w:rFonts w:ascii="宋体" w:hAnsi="宋体"/>
          <w:bCs/>
          <w:color w:val="000000"/>
          <w:sz w:val="24"/>
          <w:highlight w:val="none"/>
          <w:lang w:val="zh-CN"/>
        </w:rPr>
        <w:t xml:space="preserve">解密或开、评标工作无法进行的，可根据实际情况相应延迟解密时间或调整开、评标时间（友情提示：若</w:t>
      </w:r>
      <w:r>
        <w:rPr>
          <w:rFonts w:hint="eastAsia" w:ascii="宋体" w:hAnsi="宋体"/>
          <w:bCs/>
          <w:color w:val="000000"/>
          <w:sz w:val="24"/>
          <w:highlight w:val="none"/>
          <w:lang w:val="zh-CN"/>
        </w:rPr>
        <w:t xml:space="preserve">供应商</w:t>
      </w:r>
      <w:r>
        <w:rPr>
          <w:rFonts w:ascii="宋体" w:hAnsi="宋体"/>
          <w:bCs/>
          <w:color w:val="000000"/>
          <w:sz w:val="24"/>
          <w:highlight w:val="none"/>
          <w:lang w:val="zh-CN"/>
        </w:rPr>
        <w:t xml:space="preserve">已领取副锁（含多把副锁）请注意正副锁的使用差别）。本项目在限定的解密时间内，只要有一家供应商解密成功，即视为网上平台运行无故障。</w:t>
      </w:r>
      <w:r>
        <w:rPr>
          <w:rFonts w:ascii="宋体" w:hAnsi="宋体"/>
          <w:bCs/>
          <w:color w:val="000000"/>
          <w:sz w:val="24"/>
          <w:highlight w:val="none"/>
          <w:lang w:val="zh-CN"/>
        </w:rPr>
      </w:r>
      <w:r/>
    </w:p>
    <w:p>
      <w:pPr>
        <w:pStyle w:val="688"/>
        <w:ind w:firstLine="630"/>
        <w:spacing w:line="336" w:lineRule="auto"/>
        <w:tabs>
          <w:tab w:val="left" w:pos="0" w:leader="none"/>
        </w:tabs>
        <w:rPr>
          <w:rFonts w:hint="eastAsia" w:ascii="宋体" w:hAnsi="宋体" w:cs="宋体"/>
          <w:color w:val="000000"/>
          <w:sz w:val="24"/>
          <w:highlight w:val="none"/>
        </w:rPr>
      </w:pPr>
      <w:r>
        <w:rPr>
          <w:rFonts w:hint="eastAsia" w:ascii="宋体" w:hAnsi="宋体"/>
          <w:bCs/>
          <w:color w:val="000000"/>
          <w:sz w:val="24"/>
          <w:highlight w:val="none"/>
        </w:rPr>
        <w:t xml:space="preserve">1.3解密后：</w:t>
      </w:r>
      <w:r>
        <w:rPr>
          <w:rFonts w:hint="eastAsia" w:ascii="宋体" w:hAnsi="宋体"/>
          <w:b/>
          <w:color w:val="000000"/>
          <w:sz w:val="24"/>
          <w:highlight w:val="none"/>
        </w:rPr>
        <w:t xml:space="preserve">供应商须自行准备设备（包括但不限于笔记本电脑、无线网络）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r>
        <w:rPr>
          <w:rFonts w:hint="eastAsia" w:ascii="宋体" w:hAnsi="宋体" w:cs="宋体"/>
          <w:color w:val="000000"/>
          <w:sz w:val="24"/>
          <w:highlight w:val="none"/>
        </w:rPr>
      </w:r>
      <w:r/>
    </w:p>
    <w:p>
      <w:pPr>
        <w:pStyle w:val="688"/>
        <w:spacing w:line="336"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1.4投标截止时间后参加投标的供应商或解密投标文件的供应商不足三家的，不进行评审。</w:t>
      </w:r>
      <w:r>
        <w:rPr>
          <w:rFonts w:hint="eastAsia" w:ascii="宋体" w:hAnsi="宋体" w:cs="宋体"/>
          <w:bCs/>
          <w:color w:val="000000"/>
          <w:sz w:val="24"/>
          <w:highlight w:val="none"/>
        </w:rPr>
      </w:r>
      <w:r/>
    </w:p>
    <w:p>
      <w:pPr>
        <w:pStyle w:val="688"/>
        <w:ind w:firstLine="600"/>
        <w:spacing w:line="336"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1.5开标时，投标文件报价出现前后不一致的，按照下列规定修正:</w:t>
      </w:r>
      <w:r>
        <w:rPr>
          <w:rFonts w:hint="eastAsia" w:ascii="宋体" w:hAnsi="宋体" w:cs="宋体"/>
          <w:bCs/>
          <w:color w:val="000000"/>
          <w:sz w:val="24"/>
          <w:highlight w:val="none"/>
        </w:rPr>
      </w:r>
      <w:r/>
    </w:p>
    <w:p>
      <w:pPr>
        <w:pStyle w:val="688"/>
        <w:ind w:firstLine="480"/>
        <w:spacing w:line="336" w:lineRule="auto"/>
        <w:tabs>
          <w:tab w:val="left" w:pos="945" w:leader="none"/>
        </w:tabs>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（一）投标文件中开标一览表（报价表）内容与投标文件中相应内容不一致的，以开标一览表（报价表）为准；</w:t>
      </w:r>
      <w:r>
        <w:rPr>
          <w:rFonts w:hint="eastAsia" w:ascii="宋体" w:hAnsi="宋体" w:eastAsia="宋体" w:cs="宋体"/>
          <w:bCs/>
          <w:color w:val="000000"/>
          <w:sz w:val="24"/>
          <w:highlight w:val="none"/>
        </w:rPr>
      </w:r>
      <w:r/>
    </w:p>
    <w:p>
      <w:pPr>
        <w:pStyle w:val="688"/>
        <w:ind w:firstLine="480"/>
        <w:spacing w:line="336" w:lineRule="auto"/>
        <w:tabs>
          <w:tab w:val="left" w:pos="945" w:leader="none"/>
        </w:tabs>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（二）大写金额和小写金额不一致的，以大写金额为准；</w:t>
      </w:r>
      <w:r>
        <w:rPr>
          <w:rFonts w:hint="eastAsia" w:ascii="宋体" w:hAnsi="宋体" w:eastAsia="宋体" w:cs="宋体"/>
          <w:bCs/>
          <w:color w:val="000000"/>
          <w:sz w:val="24"/>
          <w:highlight w:val="none"/>
        </w:rPr>
      </w:r>
      <w:r/>
    </w:p>
    <w:p>
      <w:pPr>
        <w:pStyle w:val="688"/>
        <w:ind w:firstLine="480"/>
        <w:spacing w:line="336" w:lineRule="auto"/>
        <w:tabs>
          <w:tab w:val="left" w:pos="945" w:leader="none"/>
        </w:tabs>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(三)单价金额小数点或者百分比有明显错位的,以开标一览表的总价为准,并修改单价；</w:t>
      </w:r>
      <w:r>
        <w:rPr>
          <w:rFonts w:hint="eastAsia" w:ascii="宋体" w:hAnsi="宋体" w:eastAsia="宋体" w:cs="宋体"/>
          <w:bCs/>
          <w:color w:val="000000"/>
          <w:sz w:val="24"/>
          <w:highlight w:val="none"/>
        </w:rPr>
      </w:r>
      <w:r/>
    </w:p>
    <w:p>
      <w:pPr>
        <w:pStyle w:val="688"/>
        <w:ind w:firstLine="480"/>
        <w:spacing w:line="336" w:lineRule="auto"/>
        <w:tabs>
          <w:tab w:val="left" w:pos="945" w:leader="none"/>
        </w:tabs>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(四）总价金额与按单价汇总金额不一致的，以单价金额计算结果为准。</w:t>
      </w:r>
      <w:r>
        <w:rPr>
          <w:rFonts w:hint="eastAsia" w:ascii="宋体" w:hAnsi="宋体" w:eastAsia="宋体" w:cs="宋体"/>
          <w:bCs/>
          <w:color w:val="000000"/>
          <w:sz w:val="24"/>
          <w:highlight w:val="none"/>
        </w:rPr>
      </w:r>
      <w:r/>
    </w:p>
    <w:p>
      <w:pPr>
        <w:pStyle w:val="688"/>
        <w:ind w:firstLine="600"/>
        <w:spacing w:line="336"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rPr>
          <w:rFonts w:hint="eastAsia" w:ascii="宋体" w:hAnsi="宋体" w:cs="宋体"/>
          <w:bCs/>
          <w:color w:val="000000"/>
          <w:sz w:val="24"/>
          <w:highlight w:val="none"/>
        </w:rPr>
      </w:r>
      <w:r/>
    </w:p>
    <w:p>
      <w:pPr>
        <w:pStyle w:val="688"/>
        <w:spacing w:line="336" w:lineRule="auto"/>
        <w:tabs>
          <w:tab w:val="left" w:pos="945" w:leader="none"/>
        </w:tabs>
        <w:rPr>
          <w:rFonts w:hint="eastAsia" w:ascii="宋体" w:hAnsi="宋体" w:cs="宋体"/>
          <w:color w:val="000000"/>
          <w:sz w:val="24"/>
          <w:highlight w:val="none"/>
        </w:rPr>
        <w:outlineLvl w:val="0"/>
      </w:pP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2.投标供应商资格审查</w:t>
      </w:r>
      <w:r>
        <w:rPr>
          <w:rFonts w:hint="eastAsia" w:ascii="宋体" w:hAnsi="宋体" w:cs="宋体"/>
          <w:color w:val="000000"/>
          <w:sz w:val="24"/>
          <w:highlight w:val="none"/>
        </w:rPr>
      </w:r>
      <w:r/>
    </w:p>
    <w:p>
      <w:pPr>
        <w:pStyle w:val="688"/>
        <w:ind w:firstLine="630"/>
        <w:spacing w:line="336"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2.1公开招标采购项目开标结束后，投标文件资格性检查由采购人或采购代理机构组建的资格审查小组负责。</w:t>
      </w:r>
      <w:r>
        <w:rPr>
          <w:rFonts w:hint="eastAsia" w:ascii="宋体" w:hAnsi="宋体" w:cs="宋体"/>
          <w:color w:val="000000"/>
          <w:sz w:val="24"/>
          <w:highlight w:val="none"/>
        </w:rPr>
      </w:r>
      <w:r/>
    </w:p>
    <w:p>
      <w:pPr>
        <w:pStyle w:val="688"/>
        <w:ind w:firstLine="630"/>
        <w:spacing w:line="336" w:lineRule="auto"/>
        <w:tabs>
          <w:tab w:val="left" w:pos="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cs="宋体"/>
          <w:color w:val="000000"/>
          <w:sz w:val="24"/>
          <w:highlight w:val="none"/>
        </w:rPr>
      </w:r>
      <w:r/>
    </w:p>
    <w:p>
      <w:pPr>
        <w:pStyle w:val="688"/>
        <w:ind w:firstLine="630"/>
        <w:spacing w:line="336" w:lineRule="auto"/>
        <w:tabs>
          <w:tab w:val="left" w:pos="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2.3关于对参与供应商信用记录的政府采购要求:</w:t>
      </w:r>
      <w:r>
        <w:rPr>
          <w:rFonts w:hint="eastAsia" w:ascii="宋体" w:hAnsi="宋体" w:cs="宋体"/>
          <w:bCs/>
          <w:color w:val="000000"/>
          <w:sz w:val="24"/>
          <w:szCs w:val="20"/>
          <w:highlight w:val="none"/>
        </w:rPr>
        <w:t xml:space="preserve">采购人或采购代理机构在投标截止时间前通过“信用中国”网站(www.creditchina.gov.cn)、中国政府采购网(</w:t>
      </w: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"http://www.ccgp.gov.cn" </w:instrText>
      </w:r>
      <w:r>
        <w:rPr>
          <w:rFonts w:hint="eastAsia" w:ascii="宋体" w:hAnsi="宋体" w:cs="宋体"/>
          <w:bCs/>
          <w:color w:val="000000"/>
          <w:highlight w:val="none"/>
        </w:rPr>
        <w:fldChar w:fldCharType="separate"/>
      </w:r>
      <w:r>
        <w:rPr>
          <w:rFonts w:hint="eastAsia" w:ascii="宋体" w:hAnsi="宋体" w:cs="宋体"/>
          <w:bCs/>
          <w:color w:val="000000"/>
          <w:sz w:val="24"/>
          <w:szCs w:val="20"/>
          <w:highlight w:val="none"/>
        </w:rPr>
        <w:t xml:space="preserve">www.ccgp.gov.cn</w:t>
      </w:r>
      <w:r>
        <w:rPr>
          <w:rFonts w:hint="eastAsia" w:ascii="宋体" w:hAnsi="宋体" w:cs="宋体"/>
          <w:bCs/>
          <w:color w:val="000000"/>
          <w:sz w:val="24"/>
          <w:szCs w:val="20"/>
          <w:highlight w:val="none"/>
        </w:rPr>
        <w:fldChar w:fldCharType="end"/>
      </w:r>
      <w:r>
        <w:rPr>
          <w:rFonts w:hint="eastAsia" w:ascii="宋体" w:hAnsi="宋体" w:cs="宋体"/>
          <w:bCs/>
          <w:color w:val="000000"/>
          <w:sz w:val="24"/>
          <w:szCs w:val="20"/>
          <w:highlight w:val="none"/>
        </w:rPr>
        <w:t xml:space="preserve">)、“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8"/>
        <w:ind w:firstLine="630"/>
        <w:spacing w:line="336" w:lineRule="auto"/>
        <w:tabs>
          <w:tab w:val="left" w:pos="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资格审查不合格的投标供应商的投标文件不进入后续评审。</w:t>
      </w:r>
      <w:r>
        <w:rPr>
          <w:rFonts w:hint="eastAsia" w:ascii="宋体" w:hAnsi="宋体" w:cs="宋体"/>
          <w:color w:val="000000"/>
          <w:sz w:val="24"/>
          <w:highlight w:val="none"/>
        </w:rPr>
      </w:r>
      <w:r/>
    </w:p>
    <w:p>
      <w:pPr>
        <w:pStyle w:val="688"/>
        <w:ind w:firstLine="482"/>
        <w:spacing w:line="336" w:lineRule="auto"/>
        <w:tabs>
          <w:tab w:val="left" w:pos="525" w:leader="none"/>
          <w:tab w:val="left" w:pos="1050" w:leader="none"/>
          <w:tab w:val="left" w:pos="1146" w:leader="none"/>
          <w:tab w:val="left" w:pos="17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3.评标工作程序</w:t>
      </w:r>
      <w:r>
        <w:rPr>
          <w:rFonts w:hint="eastAsia" w:ascii="宋体" w:hAnsi="宋体" w:cs="宋体"/>
          <w:b/>
          <w:bCs/>
          <w:color w:val="000000"/>
          <w:sz w:val="24"/>
          <w:highlight w:val="none"/>
        </w:rPr>
      </w:r>
      <w:r/>
    </w:p>
    <w:p>
      <w:pPr>
        <w:pStyle w:val="688"/>
        <w:ind w:left="458"/>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3.1由专家及采购人代表组成评标委员会，并实行回避制度。</w:t>
      </w:r>
      <w:r>
        <w:rPr>
          <w:rFonts w:hint="eastAsia" w:ascii="宋体" w:hAnsi="宋体"/>
          <w:bCs/>
          <w:color w:val="000000"/>
          <w:sz w:val="24"/>
          <w:highlight w:val="none"/>
        </w:rPr>
      </w:r>
      <w:r/>
    </w:p>
    <w:p>
      <w:pPr>
        <w:pStyle w:val="688"/>
        <w:ind w:left="458"/>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3.2投标文件符合性检查</w:t>
      </w:r>
      <w:r>
        <w:rPr>
          <w:rFonts w:hint="eastAsia" w:ascii="宋体" w:hAnsi="宋体"/>
          <w:bCs/>
          <w:color w:val="000000"/>
          <w:sz w:val="24"/>
          <w:highlight w:val="none"/>
        </w:rPr>
      </w:r>
      <w:r/>
    </w:p>
    <w:p>
      <w:pPr>
        <w:pStyle w:val="688"/>
        <w:ind w:firstLine="480"/>
        <w:spacing w:line="360" w:lineRule="auto"/>
        <w:tabs>
          <w:tab w:val="left" w:pos="525" w:leader="none"/>
        </w:tabs>
        <w:rPr>
          <w:color w:val="000000"/>
          <w:sz w:val="24"/>
          <w:szCs w:val="20"/>
          <w:highlight w:val="none"/>
        </w:rPr>
      </w:pPr>
      <w:r>
        <w:rPr>
          <w:rFonts w:hint="eastAsia" w:ascii="宋体" w:hAnsi="宋体"/>
          <w:color w:val="000000"/>
          <w:sz w:val="24"/>
          <w:szCs w:val="20"/>
          <w:highlight w:val="none"/>
        </w:rPr>
        <w:t xml:space="preserve">3.2.1 </w:t>
      </w:r>
      <w:r>
        <w:rPr>
          <w:rFonts w:hint="eastAsia" w:ascii="宋体" w:hAnsi="宋体" w:cs="宋体"/>
          <w:color w:val="000000"/>
          <w:sz w:val="24"/>
          <w:highlight w:val="none"/>
        </w:rPr>
        <w:t xml:space="preserve">投标文件的符合性检查由评标委员会负责。</w:t>
      </w:r>
      <w:r>
        <w:rPr>
          <w:color w:val="000000"/>
          <w:sz w:val="24"/>
          <w:szCs w:val="20"/>
          <w:highlight w:val="none"/>
        </w:rPr>
      </w:r>
      <w:r/>
    </w:p>
    <w:p>
      <w:pPr>
        <w:pStyle w:val="688"/>
        <w:ind w:firstLine="480"/>
        <w:spacing w:line="360" w:lineRule="auto"/>
        <w:tabs>
          <w:tab w:val="left" w:pos="525" w:leader="none"/>
        </w:tabs>
        <w:rPr>
          <w:color w:val="000000"/>
          <w:sz w:val="24"/>
          <w:szCs w:val="20"/>
          <w:highlight w:val="none"/>
        </w:rPr>
      </w:pPr>
      <w:r>
        <w:rPr>
          <w:rFonts w:hint="eastAsia" w:ascii="宋体" w:hAnsi="宋体"/>
          <w:color w:val="000000"/>
          <w:sz w:val="24"/>
          <w:szCs w:val="20"/>
          <w:highlight w:val="none"/>
        </w:rPr>
        <w:t xml:space="preserve">3.2.2对投标文件的有效性、完整性和对采购文件要求的符合性进行审查，以确定是否对采购文件的实质性要求做出响应。</w:t>
      </w:r>
      <w:r>
        <w:rPr>
          <w:color w:val="000000"/>
          <w:sz w:val="24"/>
          <w:szCs w:val="20"/>
          <w:highlight w:val="none"/>
        </w:rPr>
      </w:r>
      <w:r/>
    </w:p>
    <w:p>
      <w:pPr>
        <w:pStyle w:val="688"/>
        <w:ind w:firstLine="480"/>
        <w:spacing w:line="360" w:lineRule="auto"/>
        <w:tabs>
          <w:tab w:val="left" w:pos="525" w:leader="none"/>
        </w:tabs>
        <w:rPr>
          <w:rFonts w:hint="eastAsia" w:ascii="宋体" w:hAnsi="宋体"/>
          <w:color w:val="000000"/>
          <w:sz w:val="24"/>
          <w:highlight w:val="none"/>
        </w:rPr>
      </w:pPr>
      <w:r>
        <w:rPr>
          <w:rFonts w:hint="eastAsia" w:ascii="宋体" w:hAnsi="宋体"/>
          <w:color w:val="000000"/>
          <w:sz w:val="24"/>
          <w:highlight w:val="none"/>
        </w:rPr>
        <w:t xml:space="preserve">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r>
        <w:rPr>
          <w:rFonts w:hint="eastAsia" w:ascii="宋体" w:hAnsi="宋体"/>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Times New Roman"/>
          <w:b/>
          <w:bCs/>
          <w:color w:val="000000"/>
          <w:sz w:val="24"/>
          <w:highlight w:val="none"/>
          <w:lang w:val="en-US" w:eastAsia="zh-CN"/>
        </w:rPr>
        <w:t xml:space="preserve">3.2.4</w:t>
      </w:r>
      <w:r>
        <w:rPr>
          <w:rFonts w:hint="eastAsia" w:ascii="宋体" w:hAnsi="宋体" w:eastAsia="宋体" w:cs="宋体"/>
          <w:b/>
          <w:color w:val="000000"/>
          <w:sz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（1）评审中出现下列情形之一的，评审委员会应当启动异常低价投标（响应）审查程序：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①投标（响应）报价低于全部通过符合性审查供应商投标（响应）报价平均值50%的，即投标（响应）报价&lt;全部通过符合性审查供应商投标（响应）报价平均值×50%；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②投标（响应）报价低于通过符合性审查的次低报价供应商投标（响应）报价50%的，即投标（响应）报价&lt;通过符合性审查的次低报价供应商投标（响应）报价×50%；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③投标（响应）报价低于采购项目最高限价45%的，即投标（响应）报价&lt;采购项目最高限价×45%；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④评审委员会基于专业判断，认为供应商报价过低，有可能影响产品质量或者不能诚信履约的其他情形。</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b/>
          <w:color w:val="000000"/>
          <w:sz w:val="24"/>
          <w:highlight w:val="none"/>
        </w:rPr>
      </w:r>
      <w:r/>
    </w:p>
    <w:p>
      <w:pPr>
        <w:pStyle w:val="688"/>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4"/>
          <w:highlight w:val="none"/>
        </w:rPr>
      </w:r>
      <w:r/>
    </w:p>
    <w:p>
      <w:pPr>
        <w:pStyle w:val="688"/>
        <w:ind w:firstLine="482"/>
        <w:spacing w:line="360" w:lineRule="auto"/>
        <w:tabs>
          <w:tab w:val="left" w:pos="525" w:leader="none"/>
        </w:tabs>
        <w:rPr>
          <w:rFonts w:hint="eastAsia" w:ascii="宋体" w:hAnsi="宋体"/>
          <w:color w:val="000000"/>
          <w:sz w:val="24"/>
          <w:highlight w:val="none"/>
        </w:rPr>
      </w:pPr>
      <w:r>
        <w:rPr>
          <w:rFonts w:hint="eastAsia" w:ascii="宋体" w:hAnsi="宋体" w:eastAsia="宋体" w:cs="宋体"/>
          <w:b/>
          <w:color w:val="000000"/>
          <w:sz w:val="24"/>
          <w:highlight w:val="none"/>
        </w:rPr>
        <w:t xml:space="preserve">（3）财政部门在投诉处理、监督检查中发现评审委员会未按规定对异常低价开展审查的，依法予以纠正并追究评审专家的法律责任</w:t>
      </w:r>
      <w:r>
        <w:rPr>
          <w:rFonts w:ascii="宋体" w:hAnsi="宋体" w:eastAsia="宋体" w:cs="Times New Roman"/>
          <w:b/>
          <w:bCs/>
          <w:color w:val="000000"/>
          <w:sz w:val="24"/>
          <w:highlight w:val="none"/>
        </w:rPr>
        <w:t xml:space="preserve">。</w:t>
      </w:r>
      <w:r>
        <w:rPr>
          <w:rFonts w:hint="eastAsia" w:ascii="宋体" w:hAnsi="宋体"/>
          <w:color w:val="000000"/>
          <w:sz w:val="24"/>
          <w:highlight w:val="none"/>
        </w:rPr>
      </w:r>
      <w:r/>
    </w:p>
    <w:p>
      <w:pPr>
        <w:pStyle w:val="688"/>
        <w:ind w:firstLine="480"/>
        <w:spacing w:line="360" w:lineRule="auto"/>
        <w:tabs>
          <w:tab w:val="left" w:pos="525" w:leader="none"/>
        </w:tabs>
        <w:rPr>
          <w:rFonts w:hint="eastAsia" w:ascii="宋体" w:hAnsi="宋体"/>
          <w:color w:val="000000"/>
          <w:sz w:val="24"/>
          <w:highlight w:val="none"/>
        </w:rPr>
      </w:pPr>
      <w:r>
        <w:rPr>
          <w:rFonts w:hint="eastAsia" w:ascii="宋体" w:hAnsi="宋体"/>
          <w:color w:val="000000"/>
          <w:sz w:val="24"/>
          <w:highlight w:val="none"/>
        </w:rPr>
        <w:t xml:space="preserve">3.3评委会组负责具体的评标事务，并独立履行以下职责:</w:t>
      </w:r>
      <w:r>
        <w:rPr>
          <w:rFonts w:hint="eastAsia" w:ascii="宋体" w:hAnsi="宋体"/>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3.3.1审查、评价投标文件是否符合招标文件的商务、技术等实质性要求；</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3.3.2要求投标供应商对投标文件有关事项做出澄清或者说明；</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3.3.3对投标文件进行比较和评价</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3.3.4根据招标文件评分办法，向采购人推荐3名中标候选供应商;</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color w:val="000000"/>
          <w:highlight w:val="none"/>
        </w:rPr>
      </w:pPr>
      <w:r>
        <w:rPr>
          <w:rFonts w:hint="eastAsia" w:ascii="宋体" w:hAnsi="宋体" w:cs="宋体"/>
          <w:bCs/>
          <w:color w:val="000000"/>
          <w:sz w:val="24"/>
          <w:highlight w:val="none"/>
        </w:rPr>
        <w:t xml:space="preserve">3.3.5向采购人、采购代理机构或者有关部门报告评标中发现的违法行为;</w:t>
      </w:r>
      <w:r>
        <w:rPr>
          <w:rFonts w:hint="eastAsia"/>
          <w:color w:val="000000"/>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3.4评委会成员应当履行下列义务:</w:t>
      </w:r>
      <w:r>
        <w:rPr>
          <w:rFonts w:hint="eastAsia" w:ascii="宋体" w:hAnsi="宋体" w:cs="宋体"/>
          <w:bCs/>
          <w:color w:val="000000"/>
          <w:sz w:val="24"/>
          <w:highlight w:val="none"/>
        </w:rPr>
      </w:r>
      <w:r/>
    </w:p>
    <w:p>
      <w:pPr>
        <w:pStyle w:val="688"/>
        <w:ind w:left="458"/>
        <w:spacing w:line="360" w:lineRule="auto"/>
        <w:tabs>
          <w:tab w:val="left" w:pos="630" w:leader="none"/>
          <w:tab w:val="left" w:pos="945" w:leader="none"/>
          <w:tab w:val="left" w:pos="1155" w:leader="none"/>
        </w:tabs>
        <w:rPr>
          <w:rFonts w:hint="eastAsia" w:ascii="宋体"/>
          <w:bCs/>
          <w:color w:val="000000"/>
          <w:sz w:val="24"/>
          <w:highlight w:val="none"/>
        </w:rPr>
      </w:pPr>
      <w:r>
        <w:rPr>
          <w:rFonts w:hint="eastAsia" w:ascii="宋体" w:hAnsi="宋体"/>
          <w:bCs/>
          <w:color w:val="000000"/>
          <w:sz w:val="24"/>
          <w:highlight w:val="none"/>
        </w:rPr>
        <w:t xml:space="preserve">3.4.1遵纪守法，客观、公正、廉洁地履行职责;</w:t>
      </w:r>
      <w:r>
        <w:rPr>
          <w:rFonts w:hint="eastAsia" w:ascii="宋体" w:hAnsi="宋体"/>
          <w:bCs/>
          <w:color w:val="000000"/>
          <w:sz w:val="24"/>
          <w:highlight w:val="none"/>
          <w:lang w:eastAsia="zh-CN"/>
        </w:rPr>
        <w:t xml:space="preserve">投标文件</w:t>
      </w:r>
      <w:r>
        <w:rPr>
          <w:rFonts w:hint="eastAsia" w:ascii="宋体" w:hAnsi="宋体"/>
          <w:bCs/>
          <w:color w:val="000000"/>
          <w:sz w:val="24"/>
          <w:highlight w:val="none"/>
        </w:rPr>
        <w:t xml:space="preserve">初审。初审分为资格性检查和符合性检查；</w:t>
      </w:r>
      <w:r>
        <w:rPr>
          <w:rFonts w:hint="eastAsia" w:ascii="宋体"/>
          <w:bCs/>
          <w:color w:val="000000"/>
          <w:sz w:val="24"/>
          <w:highlight w:val="none"/>
        </w:rPr>
      </w:r>
      <w:r/>
    </w:p>
    <w:p>
      <w:pPr>
        <w:pStyle w:val="688"/>
        <w:ind w:left="458"/>
        <w:spacing w:line="360" w:lineRule="auto"/>
        <w:tabs>
          <w:tab w:val="left" w:pos="525" w:leader="none"/>
          <w:tab w:val="left" w:pos="630" w:leader="none"/>
          <w:tab w:val="left" w:pos="945" w:leader="none"/>
          <w:tab w:val="left" w:pos="1365" w:leader="none"/>
        </w:tabs>
        <w:rPr>
          <w:rFonts w:hint="eastAsia" w:ascii="宋体" w:hAnsi="宋体"/>
          <w:bCs/>
          <w:color w:val="000000"/>
          <w:sz w:val="24"/>
          <w:highlight w:val="none"/>
        </w:rPr>
      </w:pPr>
      <w:r>
        <w:rPr>
          <w:rFonts w:hint="eastAsia" w:ascii="宋体" w:hAnsi="宋体"/>
          <w:bCs/>
          <w:color w:val="000000"/>
          <w:sz w:val="24"/>
          <w:highlight w:val="none"/>
        </w:rPr>
        <w:t xml:space="preserve">3.4.2按照招标文件规定的评标办法和评标标准进行评标，对评审意见承担个人责任；</w:t>
      </w:r>
      <w:r>
        <w:rPr>
          <w:rFonts w:hint="eastAsia" w:ascii="宋体" w:hAnsi="宋体"/>
          <w:bCs/>
          <w:color w:val="000000"/>
          <w:sz w:val="24"/>
          <w:highlight w:val="none"/>
        </w:rPr>
      </w:r>
      <w:r/>
    </w:p>
    <w:p>
      <w:pPr>
        <w:pStyle w:val="688"/>
        <w:ind w:left="458"/>
        <w:spacing w:line="360" w:lineRule="auto"/>
        <w:tabs>
          <w:tab w:val="left" w:pos="525" w:leader="none"/>
          <w:tab w:val="left" w:pos="630" w:leader="none"/>
          <w:tab w:val="left" w:pos="945" w:leader="none"/>
          <w:tab w:val="left" w:pos="1365" w:leader="none"/>
        </w:tabs>
        <w:rPr>
          <w:rFonts w:hint="eastAsia" w:ascii="宋体" w:hAnsi="宋体"/>
          <w:bCs/>
          <w:color w:val="000000"/>
          <w:sz w:val="24"/>
          <w:highlight w:val="none"/>
        </w:rPr>
      </w:pPr>
      <w:r>
        <w:rPr>
          <w:rFonts w:hint="eastAsia" w:ascii="宋体" w:hAnsi="宋体"/>
          <w:bCs/>
          <w:color w:val="000000"/>
          <w:sz w:val="24"/>
          <w:highlight w:val="none"/>
        </w:rPr>
        <w:t xml:space="preserve">3.4.3对评标过程和结果，以及投标供应商的商业秘密保密；</w:t>
      </w:r>
      <w:r>
        <w:rPr>
          <w:rFonts w:hint="eastAsia" w:ascii="宋体" w:hAnsi="宋体"/>
          <w:bCs/>
          <w:color w:val="000000"/>
          <w:sz w:val="24"/>
          <w:highlight w:val="none"/>
        </w:rPr>
      </w:r>
      <w:r/>
    </w:p>
    <w:p>
      <w:pPr>
        <w:pStyle w:val="688"/>
        <w:ind w:left="458"/>
        <w:spacing w:line="360" w:lineRule="auto"/>
        <w:tabs>
          <w:tab w:val="left" w:pos="525" w:leader="none"/>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3.4.4参与评标报告的起草；</w:t>
      </w:r>
      <w:r>
        <w:rPr>
          <w:rFonts w:hint="eastAsia" w:ascii="宋体" w:hAnsi="宋体"/>
          <w:bCs/>
          <w:color w:val="000000"/>
          <w:sz w:val="24"/>
          <w:highlight w:val="none"/>
        </w:rPr>
      </w:r>
      <w:r/>
    </w:p>
    <w:p>
      <w:pPr>
        <w:pStyle w:val="688"/>
        <w:ind w:left="458"/>
        <w:spacing w:line="360" w:lineRule="auto"/>
        <w:tabs>
          <w:tab w:val="left" w:pos="525" w:leader="none"/>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3.4.5配合采购人及采购代理机构答复投标供应商提出的质疑；</w:t>
      </w:r>
      <w:r>
        <w:rPr>
          <w:rFonts w:hint="eastAsia" w:ascii="宋体" w:hAnsi="宋体"/>
          <w:bCs/>
          <w:color w:val="000000"/>
          <w:sz w:val="24"/>
          <w:highlight w:val="none"/>
        </w:rPr>
      </w:r>
      <w:r/>
    </w:p>
    <w:p>
      <w:pPr>
        <w:pStyle w:val="688"/>
        <w:ind w:left="458"/>
        <w:spacing w:line="360" w:lineRule="auto"/>
        <w:tabs>
          <w:tab w:val="left" w:pos="525" w:leader="none"/>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3.4.6配合有关部门的投诉处理工作。</w:t>
      </w:r>
      <w:r>
        <w:rPr>
          <w:rFonts w:ascii="宋体"/>
          <w:bCs/>
          <w:color w:val="000000"/>
          <w:sz w:val="24"/>
          <w:highlight w:val="none"/>
        </w:rPr>
      </w:r>
      <w:r/>
    </w:p>
    <w:p>
      <w:pPr>
        <w:pStyle w:val="688"/>
        <w:ind w:left="458"/>
        <w:spacing w:line="360" w:lineRule="auto"/>
        <w:tabs>
          <w:tab w:val="left" w:pos="525" w:leader="none"/>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3.5评标内容的保密</w:t>
      </w:r>
      <w:r>
        <w:rPr>
          <w:rFonts w:hint="eastAsia" w:ascii="宋体" w:hAnsi="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3.5.1公开开标后，直到宣布授予中标供应商合同为止，凡属于审查、澄清、评价和比较投标的所有资料，有关授予合同的信息都不应向投标供应商或与评标无关的其他人泄露；</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3.5.2在投标文件的审查、澄清、评价和比较以及授予合同的过程中，投标供应商对采购代理机构和评标委员会成员施加影响的任何行为，都将取消其中标资格。</w:t>
      </w:r>
      <w:r>
        <w:rPr>
          <w:rFonts w:hint="eastAsia" w:ascii="宋体" w:hAnsi="宋体" w:cs="宋体"/>
          <w:bCs/>
          <w:color w:val="000000"/>
          <w:sz w:val="24"/>
          <w:highlight w:val="none"/>
        </w:rPr>
      </w:r>
      <w:r/>
    </w:p>
    <w:p>
      <w:pPr>
        <w:pStyle w:val="688"/>
        <w:ind w:left="458"/>
        <w:spacing w:line="360" w:lineRule="auto"/>
        <w:tabs>
          <w:tab w:val="left" w:pos="525" w:leader="none"/>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3.6比较与评价</w:t>
      </w:r>
      <w:r>
        <w:rPr>
          <w:rFonts w:hint="eastAsia" w:ascii="宋体" w:hAnsi="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3.6.1投标文件资格性检查和符合性检查结束后，凡属于“(</w:t>
      </w:r>
      <w:r>
        <w:rPr>
          <w:rFonts w:hint="eastAsia" w:ascii="宋体" w:hAnsi="宋体" w:cs="宋体"/>
          <w:bCs/>
          <w:color w:val="000000"/>
          <w:sz w:val="24"/>
          <w:highlight w:val="none"/>
          <w:lang w:eastAsia="zh-CN"/>
        </w:rPr>
        <w:t xml:space="preserve">七</w:t>
      </w:r>
      <w:r>
        <w:rPr>
          <w:rFonts w:hint="eastAsia" w:ascii="宋体" w:hAnsi="宋体" w:cs="宋体"/>
          <w:bCs/>
          <w:color w:val="000000"/>
          <w:sz w:val="24"/>
          <w:highlight w:val="none"/>
        </w:rPr>
        <w:t xml:space="preserve">）无效投标文件的确认”的投标文件不进入比较与评价程序。</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3.6.2经评审有效的投标文件按招标文件中规定的评标方法和标准，由评标委员会进行比较与评价。</w:t>
      </w:r>
      <w:r>
        <w:rPr>
          <w:rFonts w:hint="eastAsia" w:ascii="宋体" w:hAnsi="宋体" w:cs="宋体"/>
          <w:bCs/>
          <w:color w:val="000000"/>
          <w:sz w:val="24"/>
          <w:highlight w:val="none"/>
        </w:rPr>
      </w:r>
      <w:r/>
    </w:p>
    <w:p>
      <w:pPr>
        <w:pStyle w:val="688"/>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3.6.3评审全部结束后，由工作人员在公证或监督下(如有)，汇总各投标供应商商务标和技术标得分，确定各投标供应商总分和最终排序。</w:t>
      </w:r>
      <w:r>
        <w:rPr>
          <w:rFonts w:hint="eastAsia" w:ascii="宋体" w:hAnsi="宋体" w:cs="宋体"/>
          <w:bCs/>
          <w:color w:val="000000"/>
          <w:sz w:val="24"/>
          <w:highlight w:val="none"/>
        </w:rPr>
      </w:r>
      <w:r/>
    </w:p>
    <w:p>
      <w:pPr>
        <w:pStyle w:val="688"/>
        <w:ind w:firstLine="24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九</w:t>
      </w:r>
      <w:r>
        <w:rPr>
          <w:rFonts w:hint="eastAsia" w:ascii="宋体" w:hAnsi="宋体" w:cs="宋体"/>
          <w:bCs/>
          <w:color w:val="000000"/>
          <w:sz w:val="24"/>
          <w:highlight w:val="none"/>
        </w:rPr>
        <w:t xml:space="preserve">）确定中标供应商：</w:t>
      </w:r>
      <w:r>
        <w:rPr>
          <w:rFonts w:hint="eastAsia" w:ascii="宋体" w:hAnsi="宋体" w:cs="宋体"/>
          <w:bCs/>
          <w:color w:val="000000"/>
          <w:sz w:val="24"/>
          <w:highlight w:val="none"/>
        </w:rPr>
      </w:r>
      <w:r/>
    </w:p>
    <w:p>
      <w:pPr>
        <w:pStyle w:val="688"/>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江苏苏咨工程咨询有限责任公司自中标供应商确定之日起2个工作日内，发出中标通知书，并在财政部门指定的政府采购信息发布媒体上发布中标公告。如有质疑，供应商按中华人民共和国财政部令【第94号】《政府采购质疑和投诉办法》第十二条：供应商提出质</w:t>
      </w:r>
      <w:r>
        <w:rPr>
          <w:rFonts w:hint="eastAsia" w:ascii="宋体" w:hAnsi="宋体" w:cs="宋体"/>
          <w:bCs/>
          <w:color w:val="000000"/>
          <w:sz w:val="24"/>
          <w:highlight w:val="none"/>
        </w:rPr>
        <w:t xml:space="preserve">疑应当提交质疑函和必要的证明材料。质疑函应当包括下列内容: (一)供应商的姓名或者名称、地址、邮编、联系人及联系电话；(二)质疑项目的名称、编号； (三)具体、明确的质疑事项和与质疑事项相关的请求；(四)事实依据；(五)必要的法律依据；(六)提出质疑的日期。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rPr>
          <w:rFonts w:hint="eastAsia" w:ascii="宋体" w:hAnsi="宋体" w:cs="宋体"/>
          <w:bCs/>
          <w:color w:val="000000"/>
          <w:sz w:val="24"/>
          <w:highlight w:val="none"/>
        </w:rPr>
      </w:r>
      <w:r/>
    </w:p>
    <w:p>
      <w:pPr>
        <w:pStyle w:val="688"/>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2．在发布中标公告的同时，江苏苏咨工程咨询有限责任公司将向中标供应商发出中标通知书。</w:t>
      </w:r>
      <w:r>
        <w:rPr>
          <w:rFonts w:hint="eastAsia" w:ascii="宋体" w:hAnsi="宋体" w:cs="宋体"/>
          <w:bCs/>
          <w:color w:val="000000"/>
          <w:sz w:val="24"/>
          <w:highlight w:val="none"/>
        </w:rPr>
      </w:r>
      <w:r/>
    </w:p>
    <w:p>
      <w:pPr>
        <w:pStyle w:val="688"/>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 废标的确认：</w:t>
      </w:r>
      <w:r>
        <w:rPr>
          <w:rFonts w:hint="eastAsia" w:ascii="宋体" w:hAnsi="宋体" w:cs="宋体"/>
          <w:bCs/>
          <w:color w:val="000000"/>
          <w:sz w:val="24"/>
          <w:highlight w:val="none"/>
        </w:rPr>
      </w:r>
      <w:r/>
    </w:p>
    <w:p>
      <w:pPr>
        <w:pStyle w:val="68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在采购中，出现下列情况之一的，应予废标：</w:t>
      </w:r>
      <w:r>
        <w:rPr>
          <w:rFonts w:hint="eastAsia" w:ascii="宋体" w:hAnsi="宋体" w:cs="宋体"/>
          <w:bCs/>
          <w:color w:val="000000"/>
          <w:sz w:val="24"/>
          <w:highlight w:val="none"/>
        </w:rPr>
      </w:r>
      <w:r/>
    </w:p>
    <w:p>
      <w:pPr>
        <w:pStyle w:val="688"/>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符合专业条件的投标供应商或者对采购文件作出实质性响应的投标供应商不足三家；</w:t>
      </w:r>
      <w:r>
        <w:rPr>
          <w:rFonts w:hint="eastAsia" w:ascii="宋体" w:hAnsi="宋体" w:cs="宋体"/>
          <w:bCs/>
          <w:color w:val="000000"/>
          <w:sz w:val="24"/>
          <w:highlight w:val="none"/>
        </w:rPr>
      </w:r>
      <w:r/>
    </w:p>
    <w:p>
      <w:pPr>
        <w:pStyle w:val="688"/>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688"/>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投标供应商的报价均超过采购预算，采购人不能支付的；</w:t>
      </w:r>
      <w:r>
        <w:rPr>
          <w:rFonts w:hint="eastAsia" w:ascii="宋体" w:hAnsi="宋体" w:cs="宋体"/>
          <w:bCs/>
          <w:color w:val="000000"/>
          <w:sz w:val="24"/>
          <w:highlight w:val="none"/>
        </w:rPr>
      </w:r>
      <w:r/>
    </w:p>
    <w:p>
      <w:pPr>
        <w:pStyle w:val="688"/>
        <w:numPr>
          <w:ilvl w:val="0"/>
          <w:numId w:val="5"/>
        </w:numPr>
        <w:ind w:left="0" w:firstLine="63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688"/>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eastAsia="zh-CN"/>
        </w:rPr>
        <w:t xml:space="preserve">一</w:t>
      </w: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p>
      <w:pPr>
        <w:pStyle w:val="688"/>
        <w:ind w:left="150"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本项目无须递交投标保证金。</w:t>
      </w:r>
      <w:r>
        <w:rPr>
          <w:rFonts w:hint="eastAsia" w:ascii="宋体" w:hAnsi="宋体" w:cs="宋体"/>
          <w:bCs/>
          <w:color w:val="000000"/>
          <w:sz w:val="24"/>
          <w:highlight w:val="none"/>
        </w:rPr>
      </w:r>
      <w:r/>
    </w:p>
    <w:p>
      <w:pPr>
        <w:pStyle w:val="688"/>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eastAsia="zh-CN"/>
        </w:rPr>
        <w:t xml:space="preserve">二</w:t>
      </w:r>
      <w:r>
        <w:rPr>
          <w:rFonts w:hint="eastAsia" w:ascii="宋体" w:hAnsi="宋体" w:cs="宋体"/>
          <w:bCs/>
          <w:color w:val="000000"/>
          <w:sz w:val="24"/>
          <w:highlight w:val="none"/>
        </w:rPr>
        <w:t xml:space="preserve">）签订、履行合同：</w:t>
      </w:r>
      <w:r>
        <w:rPr>
          <w:rFonts w:hint="eastAsia" w:ascii="宋体" w:hAnsi="宋体" w:cs="宋体"/>
          <w:bCs/>
          <w:color w:val="000000"/>
          <w:sz w:val="24"/>
          <w:highlight w:val="none"/>
        </w:rPr>
      </w:r>
      <w:r/>
    </w:p>
    <w:p>
      <w:pPr>
        <w:pStyle w:val="688"/>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三十日</w:t>
      </w:r>
      <w:r>
        <w:rPr>
          <w:rFonts w:hint="eastAsia" w:ascii="宋体" w:hAnsi="宋体" w:cs="宋体"/>
          <w:bCs/>
          <w:color w:val="000000"/>
          <w:sz w:val="24"/>
          <w:highlight w:val="none"/>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bCs/>
          <w:color w:val="000000"/>
          <w:sz w:val="24"/>
          <w:highlight w:val="none"/>
        </w:rPr>
      </w:r>
      <w:r/>
    </w:p>
    <w:p>
      <w:pPr>
        <w:pStyle w:val="688"/>
        <w:ind w:firstLine="60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2.江苏苏咨工程咨询有限责任公司监督合同的履行。中标方非因不可抗力未履行招、投标文件和合同规定的义务，一经查实，招标代理机构将根据具体情况提请政府采购管理部门作出相应处理。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688"/>
        <w:ind w:firstLine="60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3.本项目无须履约保证金。</w:t>
      </w:r>
      <w:r>
        <w:rPr>
          <w:rFonts w:hint="eastAsia" w:ascii="宋体" w:hAnsi="宋体" w:cs="宋体"/>
          <w:bCs/>
          <w:color w:val="000000"/>
          <w:sz w:val="24"/>
          <w:highlight w:val="none"/>
        </w:rPr>
      </w:r>
      <w:r/>
    </w:p>
    <w:p>
      <w:pPr>
        <w:pStyle w:val="688"/>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eastAsia="zh-CN"/>
        </w:rPr>
        <w:t xml:space="preserve">三</w:t>
      </w:r>
      <w:r>
        <w:rPr>
          <w:rFonts w:hint="eastAsia" w:ascii="宋体" w:hAnsi="宋体" w:cs="宋体"/>
          <w:bCs/>
          <w:color w:val="000000"/>
          <w:sz w:val="24"/>
          <w:highlight w:val="none"/>
        </w:rPr>
        <w:t xml:space="preserve">）代理服务费：</w:t>
      </w:r>
      <w:r>
        <w:rPr>
          <w:rFonts w:hint="eastAsia" w:ascii="宋体" w:hAnsi="宋体" w:cs="宋体"/>
          <w:bCs/>
          <w:color w:val="000000"/>
          <w:sz w:val="24"/>
          <w:highlight w:val="none"/>
        </w:rPr>
      </w:r>
      <w:r/>
    </w:p>
    <w:p>
      <w:pPr>
        <w:pStyle w:val="688"/>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1.本项目代理服务费由中标供应商支付，</w:t>
      </w:r>
      <w:r>
        <w:rPr>
          <w:rFonts w:hint="eastAsia" w:ascii="宋体" w:hAnsi="宋体" w:cs="宋体"/>
          <w:bCs/>
          <w:color w:val="000000"/>
          <w:sz w:val="24"/>
          <w:highlight w:val="none"/>
          <w:lang w:eastAsia="zh-CN"/>
        </w:rPr>
        <w:t xml:space="preserve">中标供应商必须将招标代理服务费计算进投标总价中。</w:t>
      </w:r>
      <w:r>
        <w:rPr>
          <w:rFonts w:hint="eastAsia" w:ascii="宋体" w:hAnsi="宋体" w:cs="宋体"/>
          <w:bCs/>
          <w:color w:val="000000"/>
          <w:sz w:val="24"/>
          <w:highlight w:val="none"/>
        </w:rPr>
        <w:t xml:space="preserve">代理服务费以中标金额为计费基础，按差额定率累进法，收费标准为：</w:t>
      </w:r>
      <w:r>
        <w:rPr>
          <w:rFonts w:hint="eastAsia" w:ascii="宋体" w:hAnsi="宋体" w:cs="宋体"/>
          <w:bCs/>
          <w:color w:val="000000"/>
          <w:sz w:val="24"/>
          <w:highlight w:val="none"/>
          <w:lang w:eastAsia="zh-CN"/>
        </w:rPr>
        <w:t xml:space="preserve">中标</w:t>
      </w:r>
      <w:r>
        <w:rPr>
          <w:rFonts w:hint="eastAsia" w:ascii="宋体" w:hAnsi="宋体" w:cs="宋体"/>
          <w:bCs/>
          <w:color w:val="000000"/>
          <w:sz w:val="24"/>
          <w:highlight w:val="none"/>
        </w:rPr>
        <w:t xml:space="preserve">金额100万以下费率为成交金额的1.5%,100万元-500万元费率为成交金额的1.1%。在此基础上打</w:t>
      </w:r>
      <w:r>
        <w:rPr>
          <w:rFonts w:hint="eastAsia" w:ascii="宋体" w:hAnsi="宋体" w:cs="宋体"/>
          <w:bCs/>
          <w:color w:val="000000"/>
          <w:sz w:val="24"/>
          <w:highlight w:val="none"/>
          <w:lang w:eastAsia="zh-CN"/>
        </w:rPr>
        <w:t xml:space="preserve">七</w:t>
      </w:r>
      <w:r>
        <w:rPr>
          <w:rFonts w:hint="eastAsia" w:ascii="宋体" w:hAnsi="宋体" w:cs="宋体"/>
          <w:bCs/>
          <w:color w:val="000000"/>
          <w:sz w:val="24"/>
          <w:highlight w:val="none"/>
        </w:rPr>
        <w:t xml:space="preserve">折。</w:t>
      </w:r>
      <w:r>
        <w:rPr>
          <w:rFonts w:hint="eastAsia" w:ascii="宋体" w:hAnsi="宋体" w:cs="宋体"/>
          <w:bCs/>
          <w:color w:val="000000"/>
          <w:sz w:val="24"/>
          <w:highlight w:val="none"/>
        </w:rPr>
      </w:r>
      <w:r/>
    </w:p>
    <w:p>
      <w:pPr>
        <w:pStyle w:val="688"/>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 领取中标通知书时中标人向采购代理机构一次性付清。</w:t>
      </w:r>
      <w:r>
        <w:rPr>
          <w:rFonts w:hint="eastAsia" w:ascii="宋体" w:hAnsi="宋体" w:cs="宋体"/>
          <w:bCs/>
          <w:color w:val="000000"/>
          <w:sz w:val="24"/>
          <w:highlight w:val="none"/>
        </w:rPr>
      </w:r>
      <w:r/>
    </w:p>
    <w:p>
      <w:pPr>
        <w:pStyle w:val="68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eastAsia="zh-CN"/>
        </w:rPr>
        <w:t xml:space="preserve">四</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政府采购信用担保</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1.履约担保。</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highlight w:val="none"/>
        </w:rPr>
        <w:t xml:space="preserve">政府采购履约担保函格式见附件</w:t>
      </w:r>
      <w:r>
        <w:rPr>
          <w:rFonts w:hint="eastAsia" w:ascii="宋体" w:hAnsi="宋体" w:cs="宋体"/>
          <w:color w:val="000000"/>
          <w:sz w:val="24"/>
          <w:highlight w:val="none"/>
        </w:rPr>
        <w:t xml:space="preserve">。</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2.融资担保。</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合同融资，是指参与政府采购的供应商，凭借中标</w:t>
      </w:r>
      <w:r>
        <w:rPr>
          <w:rFonts w:hint="eastAsia" w:ascii="宋体" w:hAnsi="宋体"/>
          <w:bCs/>
          <w:color w:val="000000"/>
          <w:sz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成交、中标供应商可根据自身情况，自行决定是否选择采用合同融资形式。</w:t>
      </w:r>
      <w:r>
        <w:rPr>
          <w:rFonts w:hint="eastAsia" w:ascii="宋体" w:hAnsi="宋体" w:cs="宋体"/>
          <w:b/>
          <w:color w:val="000000"/>
          <w:sz w:val="24"/>
          <w:highlight w:val="none"/>
        </w:rPr>
        <w:t xml:space="preserve">无锡市政府采购合同融资政策告知函（详见附件）。</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采购代理机构应在“中标通知书”中增加“政采贷”合同融资政策宣传条款，并将《无锡市政府采购合同融资政策告知函》作为“中标（成交）通知书”附件一同发给中标供应商。</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bookmarkStart w:id="0" w:name="_Hlk62744624"/>
      <w:r>
        <w:rPr>
          <w:rFonts w:hint="eastAsia" w:ascii="宋体" w:hAnsi="宋体"/>
          <w:bCs/>
          <w:color w:val="000000"/>
          <w:sz w:val="24"/>
          <w:highlight w:val="none"/>
        </w:rPr>
        <w:t xml:space="preserve">3.政府采购信用担保合作担保机构和信用融资合作银行</w:t>
      </w:r>
      <w:r>
        <w:rPr>
          <w:rFonts w:ascii="宋体" w:hAnsi="宋体"/>
          <w:bCs/>
          <w:color w:val="000000"/>
          <w:sz w:val="24"/>
          <w:highlight w:val="none"/>
        </w:rPr>
      </w:r>
      <w:r/>
    </w:p>
    <w:p>
      <w:pPr>
        <w:pStyle w:val="68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bCs/>
          <w:color w:val="000000"/>
          <w:sz w:val="24"/>
          <w:highlight w:val="none"/>
        </w:rPr>
      </w:r>
      <w:r/>
    </w:p>
    <w:p>
      <w:pPr>
        <w:pStyle w:val="688"/>
        <w:numPr>
          <w:ilvl w:val="0"/>
          <w:numId w:val="6"/>
        </w:num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0"/>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88"/>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eastAsia="zh-CN"/>
        </w:rPr>
        <w:t xml:space="preserve">五</w:t>
      </w:r>
      <w:r>
        <w:rPr>
          <w:rFonts w:hint="eastAsia" w:ascii="宋体" w:hAnsi="宋体" w:eastAsia="宋体" w:cs="宋体"/>
          <w:color w:val="000000"/>
          <w:sz w:val="24"/>
          <w:highlight w:val="none"/>
        </w:rPr>
        <w:t xml:space="preserve">）</w:t>
      </w:r>
      <w:r>
        <w:rPr>
          <w:rFonts w:hint="eastAsia" w:ascii="宋体" w:hAnsi="宋体" w:cs="宋体"/>
          <w:bCs/>
          <w:color w:val="000000"/>
          <w:sz w:val="24"/>
          <w:highlight w:val="none"/>
          <w:lang w:val="en-US" w:eastAsia="zh-CN"/>
        </w:rPr>
        <w:t xml:space="preserve">电子履约保函</w:t>
      </w:r>
      <w:r>
        <w:rPr>
          <w:rFonts w:ascii="宋体" w:hAnsi="宋体" w:eastAsia="宋体" w:cs="宋体"/>
          <w:bCs/>
          <w:color w:val="000000"/>
          <w:sz w:val="24"/>
          <w:highlight w:val="none"/>
          <w:lang w:val="en-US" w:eastAsia="zh-CN"/>
        </w:rPr>
      </w:r>
      <w:r/>
    </w:p>
    <w:p>
      <w:pPr>
        <w:pStyle w:val="688"/>
        <w:ind w:firstLine="544"/>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为深入贯彻落实《国务院办公厅关于印发〈政府采购领域</w:t>
      </w:r>
      <w:r>
        <w:rPr>
          <w:rFonts w:ascii="宋体" w:hAnsi="宋体" w:eastAsia="宋体" w:cs="Times New Roman"/>
          <w:bCs/>
          <w:color w:val="000000"/>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rPr>
          <w:rFonts w:hint="eastAsia" w:ascii="宋体" w:hAnsi="宋体" w:eastAsia="宋体" w:cs="Times New Roman"/>
          <w:bCs/>
          <w:color w:val="000000"/>
          <w:sz w:val="24"/>
          <w:highlight w:val="none"/>
        </w:rPr>
      </w:r>
      <w:r/>
    </w:p>
    <w:p>
      <w:pPr>
        <w:pStyle w:val="688"/>
        <w:ind w:firstLine="544"/>
        <w:spacing w:line="36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hAnsi="宋体" w:eastAsia="宋体" w:cs="Times New Roman"/>
          <w:bCs/>
          <w:color w:val="000000"/>
          <w:sz w:val="24"/>
          <w:highlight w:val="none"/>
        </w:rPr>
      </w:r>
      <w:r/>
    </w:p>
    <w:p>
      <w:pPr>
        <w:pStyle w:val="688"/>
        <w:ind w:firstLine="544"/>
        <w:spacing w:line="36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宋体" w:hAnsi="宋体" w:eastAsia="宋体" w:cs="Times New Roman"/>
          <w:bCs/>
          <w:color w:val="000000"/>
          <w:sz w:val="24"/>
          <w:highlight w:val="none"/>
        </w:rPr>
      </w:r>
      <w:r/>
    </w:p>
    <w:p>
      <w:pPr>
        <w:pStyle w:val="688"/>
        <w:ind w:firstLine="544"/>
        <w:spacing w:line="36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Times New Roman"/>
          <w:bCs/>
          <w:color w:val="000000"/>
          <w:sz w:val="24"/>
          <w:highlight w:val="none"/>
        </w:rPr>
      </w:r>
      <w:r/>
    </w:p>
    <w:p>
      <w:pPr>
        <w:pStyle w:val="688"/>
        <w:ind w:firstLine="544"/>
        <w:spacing w:line="36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lang w:val="en-US" w:eastAsia="zh-CN"/>
        </w:rPr>
        <w:t xml:space="preserve">四、电子履约保函与履约保证金、纸质保函具有同等法律效力</w:t>
      </w: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Times New Roman"/>
          <w:bCs/>
          <w:color w:val="000000"/>
          <w:sz w:val="24"/>
          <w:highlight w:val="none"/>
        </w:rPr>
      </w:r>
      <w:r/>
    </w:p>
    <w:p>
      <w:pPr>
        <w:pStyle w:val="688"/>
        <w:ind w:firstLine="544"/>
        <w:spacing w:line="360" w:lineRule="auto"/>
        <w:rPr>
          <w:rFonts w:hint="eastAsia" w:ascii="宋体" w:hAnsi="宋体" w:eastAsia="宋体" w:cs="宋体"/>
          <w:color w:val="000000"/>
          <w:sz w:val="24"/>
          <w:highlight w:val="none"/>
        </w:rPr>
      </w:pPr>
      <w:r>
        <w:rPr>
          <w:rFonts w:ascii="宋体" w:hAnsi="宋体" w:eastAsia="宋体" w:cs="Times New Roman"/>
          <w:bCs/>
          <w:color w:val="000000"/>
          <w:sz w:val="24"/>
          <w:highlight w:val="none"/>
          <w:lang w:val="en-US" w:eastAsia="zh-CN"/>
        </w:rPr>
        <w:t xml:space="preserve">五、供应商可通过江苏政府采购网下载“政府采购电子履约保函（保险）操作手册”</w:t>
      </w:r>
      <w:r>
        <w:rPr>
          <w:rFonts w:hint="eastAsia" w:ascii="宋体" w:hAnsi="宋体" w:cs="Times New Roman"/>
          <w:bCs/>
          <w:color w:val="000000"/>
          <w:sz w:val="24"/>
          <w:highlight w:val="none"/>
          <w:lang w:val="en-US" w:eastAsia="zh-CN"/>
        </w:rPr>
        <w:t xml:space="preserve">，</w:t>
      </w:r>
      <w:r>
        <w:rPr>
          <w:rFonts w:ascii="宋体" w:hAnsi="宋体" w:eastAsia="宋体" w:cs="Times New Roman"/>
          <w:bCs/>
          <w:color w:val="000000"/>
          <w:sz w:val="24"/>
          <w:highlight w:val="none"/>
          <w:lang w:val="en-US" w:eastAsia="zh-CN"/>
        </w:rPr>
        <w:t xml:space="preserve">具体地址为：http://www.ccgp-jiangsu.gov.cn/jiangsu/zlxz/。</w:t>
      </w:r>
      <w:r>
        <w:rPr>
          <w:rFonts w:hint="eastAsia" w:ascii="宋体" w:hAnsi="宋体" w:eastAsia="宋体" w:cs="宋体"/>
          <w:color w:val="000000"/>
          <w:sz w:val="24"/>
          <w:highlight w:val="none"/>
        </w:rPr>
      </w:r>
      <w:r/>
    </w:p>
    <w:p>
      <w:pPr>
        <w:pStyle w:val="6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eastAsia="zh-CN"/>
        </w:rPr>
        <w:t xml:space="preserve">六</w:t>
      </w:r>
      <w:r>
        <w:rPr>
          <w:rFonts w:hint="eastAsia" w:ascii="宋体" w:hAnsi="宋体" w:cs="宋体"/>
          <w:color w:val="000000"/>
          <w:sz w:val="24"/>
          <w:highlight w:val="none"/>
        </w:rPr>
        <w:t xml:space="preserve">）其他政策要求：</w:t>
      </w:r>
      <w:r>
        <w:rPr>
          <w:rFonts w:ascii="宋体" w:hAnsi="宋体" w:cs="宋体"/>
          <w:color w:val="000000"/>
          <w:sz w:val="24"/>
          <w:highlight w:val="none"/>
        </w:rPr>
      </w:r>
      <w:r/>
    </w:p>
    <w:p>
      <w:pPr>
        <w:pStyle w:val="688"/>
        <w:numPr>
          <w:ilvl w:val="1"/>
          <w:numId w:val="7"/>
        </w:numPr>
        <w:ind w:left="0" w:firstLine="525"/>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color w:val="000000"/>
          <w:sz w:val="24"/>
          <w:szCs w:val="24"/>
          <w:highlight w:val="none"/>
        </w:rPr>
      </w:r>
      <w:r/>
    </w:p>
    <w:p>
      <w:pPr>
        <w:pStyle w:val="688"/>
        <w:numPr>
          <w:ilvl w:val="1"/>
          <w:numId w:val="7"/>
        </w:numPr>
        <w:ind w:left="0" w:firstLine="525"/>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88"/>
        <w:numPr>
          <w:ilvl w:val="1"/>
          <w:numId w:val="7"/>
        </w:numPr>
        <w:ind w:left="0" w:firstLine="525"/>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w:t>
      </w:r>
      <w:r>
        <w:rPr>
          <w:color w:val="000000"/>
          <w:sz w:val="24"/>
          <w:szCs w:val="24"/>
          <w:highlight w:val="none"/>
        </w:rPr>
        <w:t xml:space="preserve">2023</w:t>
      </w:r>
      <w:r>
        <w:rPr>
          <w:rFonts w:hint="eastAsia"/>
          <w:color w:val="000000"/>
          <w:sz w:val="24"/>
          <w:szCs w:val="24"/>
          <w:highlight w:val="none"/>
        </w:rPr>
        <w:t xml:space="preserve">〕</w:t>
      </w:r>
      <w:r>
        <w:rPr>
          <w:color w:val="000000"/>
          <w:sz w:val="24"/>
          <w:szCs w:val="24"/>
          <w:highlight w:val="none"/>
        </w:rPr>
        <w:t xml:space="preserve">7</w:t>
      </w:r>
      <w:r>
        <w:rPr>
          <w:rFonts w:hint="eastAsia"/>
          <w:color w:val="000000"/>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88"/>
        <w:numPr>
          <w:ilvl w:val="1"/>
          <w:numId w:val="7"/>
        </w:numPr>
        <w:ind w:left="0" w:firstLine="525"/>
        <w:spacing w:line="360" w:lineRule="auto"/>
        <w:tabs>
          <w:tab w:val="left" w:pos="525" w:leader="none"/>
          <w:tab w:val="left" w:pos="780"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88"/>
        <w:numPr>
          <w:ilvl w:val="1"/>
          <w:numId w:val="7"/>
        </w:numPr>
        <w:ind w:left="0" w:firstLine="525"/>
        <w:spacing w:line="360" w:lineRule="auto"/>
        <w:tabs>
          <w:tab w:val="left" w:pos="525" w:leader="none"/>
          <w:tab w:val="left" w:pos="780"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88"/>
        <w:numPr>
          <w:ilvl w:val="1"/>
          <w:numId w:val="7"/>
        </w:numPr>
        <w:ind w:left="0" w:firstLine="480"/>
        <w:spacing w:line="360" w:lineRule="auto"/>
        <w:widowControl w:val="off"/>
        <w:tabs>
          <w:tab w:val="left" w:pos="525" w:leader="none"/>
          <w:tab w:val="left" w:pos="780" w:leader="none"/>
          <w:tab w:val="left" w:pos="945" w:leader="none"/>
        </w:tabs>
        <w:rPr>
          <w:rFonts w:hint="eastAsia" w:ascii="宋体" w:hAnsi="宋体" w:cs="宋体"/>
          <w:b w:val="0"/>
          <w:bCs/>
          <w:color w:val="000000"/>
          <w:sz w:val="24"/>
          <w:szCs w:val="24"/>
          <w:highlight w:val="none"/>
        </w:rPr>
      </w:pPr>
      <w:r>
        <w:rPr>
          <w:rFonts w:hint="eastAsia" w:ascii="宋体"/>
          <w:b w:val="0"/>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 w:val="0"/>
          <w:bCs/>
          <w:color w:val="000000"/>
          <w:sz w:val="24"/>
          <w:szCs w:val="24"/>
          <w:highlight w:val="none"/>
          <w:lang w:eastAsia="zh-CN"/>
        </w:rPr>
        <w:t xml:space="preserve">，</w:t>
      </w:r>
      <w:r>
        <w:rPr>
          <w:rFonts w:hint="eastAsia" w:ascii="宋体"/>
          <w:b w:val="0"/>
          <w:bCs/>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cs="宋体"/>
          <w:b w:val="0"/>
          <w:bCs/>
          <w:color w:val="000000"/>
          <w:sz w:val="24"/>
          <w:szCs w:val="24"/>
          <w:highlight w:val="none"/>
        </w:rPr>
      </w:r>
      <w:r/>
    </w:p>
    <w:p>
      <w:pPr>
        <w:pStyle w:val="688"/>
        <w:ind w:firstLine="48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 w:val="0"/>
          <w:bCs/>
          <w:color w:val="000000"/>
          <w:sz w:val="24"/>
          <w:szCs w:val="24"/>
          <w:highlight w:val="none"/>
        </w:rPr>
      </w:pPr>
      <w:r>
        <w:rPr>
          <w:rFonts w:hint="eastAsia" w:ascii="宋体"/>
          <w:b w:val="0"/>
          <w:bCs/>
          <w:color w:val="000000"/>
          <w:sz w:val="24"/>
          <w:szCs w:val="24"/>
          <w:highlight w:val="none"/>
        </w:rPr>
        <w:t xml:space="preserve">中标、成交供应商可以采用电子履约保函形式，具体操作可登录江苏政府采购网的保险保函模块进行办理，也可通过</w:t>
      </w:r>
      <w:r>
        <w:rPr>
          <w:rFonts w:ascii="宋体"/>
          <w:b w:val="0"/>
          <w:bCs/>
          <w:color w:val="000000"/>
          <w:sz w:val="24"/>
          <w:szCs w:val="24"/>
          <w:highlight w:val="none"/>
        </w:rPr>
        <w:t xml:space="preserve">无锡市政府采购网</w:t>
      </w:r>
      <w:r>
        <w:rPr>
          <w:rFonts w:hint="eastAsia" w:ascii="宋体"/>
          <w:b w:val="0"/>
          <w:bCs/>
          <w:color w:val="000000"/>
          <w:sz w:val="24"/>
          <w:szCs w:val="24"/>
          <w:highlight w:val="none"/>
        </w:rPr>
        <w:t xml:space="preserve">、“</w:t>
      </w:r>
      <w:r>
        <w:rPr>
          <w:rFonts w:ascii="宋体"/>
          <w:b w:val="0"/>
          <w:bCs/>
          <w:color w:val="000000"/>
          <w:sz w:val="24"/>
          <w:szCs w:val="24"/>
          <w:highlight w:val="none"/>
        </w:rPr>
        <w:t xml:space="preserve">苏采云</w:t>
      </w:r>
      <w:r>
        <w:rPr>
          <w:rFonts w:hint="eastAsia" w:ascii="宋体"/>
          <w:b w:val="0"/>
          <w:bCs/>
          <w:color w:val="000000"/>
          <w:sz w:val="24"/>
          <w:szCs w:val="24"/>
          <w:highlight w:val="none"/>
        </w:rPr>
        <w:t xml:space="preserve">”</w:t>
      </w:r>
      <w:r>
        <w:rPr>
          <w:rFonts w:ascii="宋体"/>
          <w:b w:val="0"/>
          <w:bCs/>
          <w:color w:val="000000"/>
          <w:sz w:val="24"/>
          <w:szCs w:val="24"/>
          <w:highlight w:val="none"/>
        </w:rPr>
        <w:t xml:space="preserve">系统链接访问（首次使用需注册）。</w:t>
      </w:r>
      <w:r>
        <w:rPr>
          <w:rFonts w:hint="eastAsia" w:ascii="宋体"/>
          <w:b w:val="0"/>
          <w:bCs/>
          <w:color w:val="000000"/>
          <w:sz w:val="24"/>
          <w:szCs w:val="24"/>
          <w:highlight w:val="none"/>
        </w:rPr>
      </w:r>
      <w:r/>
    </w:p>
    <w:p>
      <w:pPr>
        <w:pStyle w:val="688"/>
        <w:numPr>
          <w:ilvl w:val="1"/>
          <w:numId w:val="7"/>
        </w:numPr>
        <w:ind w:left="0" w:firstLine="480"/>
        <w:spacing w:line="360" w:lineRule="auto"/>
        <w:widowControl w:val="off"/>
        <w:tabs>
          <w:tab w:val="left" w:pos="525" w:leader="none"/>
          <w:tab w:val="left" w:pos="780"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88"/>
        <w:numPr>
          <w:ilvl w:val="1"/>
          <w:numId w:val="7"/>
        </w:numPr>
        <w:ind w:left="0" w:firstLine="480"/>
        <w:spacing w:line="360" w:lineRule="auto"/>
        <w:widowControl w:val="off"/>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88"/>
        <w:ind w:firstLine="48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688"/>
        <w:ind w:firstLine="48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000000"/>
          <w:sz w:val="24"/>
          <w:highlight w:val="none"/>
        </w:rPr>
      </w:pPr>
      <w:r>
        <w:rPr>
          <w:rFonts w:hint="eastAsia" w:ascii="宋体"/>
          <w:bCs/>
          <w:color w:val="000000"/>
          <w:sz w:val="24"/>
          <w:szCs w:val="24"/>
          <w:highlight w:val="none"/>
        </w:rPr>
        <w:t xml:space="preserve">采购人原则上应当自收到发票后10个工作日内将资金支付到合同约定的供应商账户。</w:t>
      </w:r>
      <w:r>
        <w:rPr>
          <w:rFonts w:hint="eastAsia" w:ascii="宋体" w:hAnsi="宋体" w:eastAsia="宋体" w:cs="宋体"/>
          <w:color w:val="000000"/>
          <w:sz w:val="24"/>
          <w:highlight w:val="none"/>
        </w:rPr>
      </w:r>
      <w:r/>
    </w:p>
    <w:p>
      <w:pPr>
        <w:pStyle w:val="688"/>
        <w:rPr>
          <w:rFonts w:hint="eastAsia"/>
          <w:color w:val="000000"/>
          <w:highlight w:val="none"/>
        </w:rPr>
      </w:pPr>
      <w:r>
        <w:rPr>
          <w:rFonts w:hint="eastAsia"/>
          <w:color w:val="000000"/>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hint="eastAsia" w:ascii="宋体" w:hAnsi="宋体"/>
          <w:bCs/>
          <w:color w:val="000000"/>
          <w:sz w:val="24"/>
          <w:highlight w:val="none"/>
        </w:rPr>
      </w:pPr>
      <w:r>
        <w:rPr>
          <w:rFonts w:hint="eastAsia" w:ascii="宋体" w:hAnsi="宋体"/>
          <w:bCs/>
          <w:color w:val="000000"/>
          <w:sz w:val="24"/>
          <w:highlight w:val="none"/>
        </w:rPr>
      </w:r>
      <w:r/>
    </w:p>
    <w:p>
      <w:pPr>
        <w:pStyle w:val="688"/>
        <w:ind w:firstLine="480"/>
        <w:spacing w:line="540" w:lineRule="exact"/>
        <w:rPr>
          <w:rFonts w:ascii="宋体" w:hAnsi="宋体"/>
          <w:bCs/>
          <w:color w:val="000000"/>
          <w:sz w:val="24"/>
          <w:highlight w:val="none"/>
        </w:rPr>
      </w:pPr>
      <w:r>
        <w:rPr>
          <w:rFonts w:hint="eastAsia" w:ascii="宋体" w:hAnsi="宋体"/>
          <w:bCs/>
          <w:color w:val="000000"/>
          <w:sz w:val="24"/>
          <w:highlight w:val="none"/>
        </w:rPr>
        <w:t xml:space="preserve">附件1.                政府采购履约担保函（项目用）</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编号：</w:t>
      </w:r>
      <w:r>
        <w:rPr>
          <w:rFonts w:ascii="宋体" w:hAnsi="宋体"/>
          <w:bCs/>
          <w:color w:val="000000"/>
          <w:sz w:val="24"/>
          <w:highlight w:val="none"/>
        </w:rPr>
      </w:r>
      <w:r/>
    </w:p>
    <w:p>
      <w:pPr>
        <w:pStyle w:val="688"/>
        <w:jc w:val="left"/>
        <w:spacing w:line="440" w:lineRule="exact"/>
        <w:widowControl/>
        <w:tabs>
          <w:tab w:val="left" w:pos="360" w:leader="none"/>
          <w:tab w:val="left" w:pos="960" w:leader="none"/>
        </w:tabs>
        <w:rPr>
          <w:rFonts w:ascii="宋体" w:hAnsi="宋体"/>
          <w:bCs/>
          <w:color w:val="000000"/>
          <w:sz w:val="24"/>
          <w:highlight w:val="none"/>
          <w:u w:val="single"/>
        </w:rPr>
      </w:pPr>
      <w:r>
        <w:rPr>
          <w:rFonts w:hint="eastAsia" w:ascii="宋体" w:hAnsi="宋体"/>
          <w:bCs/>
          <w:color w:val="000000"/>
          <w:sz w:val="24"/>
          <w:highlight w:val="none"/>
        </w:rPr>
        <w:t xml:space="preserve">  </w:t>
      </w:r>
      <w:r>
        <w:rPr>
          <w:rFonts w:hint="eastAsia" w:ascii="宋体" w:hAnsi="宋体"/>
          <w:bCs/>
          <w:color w:val="000000"/>
          <w:sz w:val="24"/>
          <w:highlight w:val="none"/>
          <w:u w:val="single"/>
        </w:rPr>
        <w:t xml:space="preserve">（采购人）：</w:t>
      </w:r>
      <w:r>
        <w:rPr>
          <w:rFonts w:ascii="宋体" w:hAnsi="宋体"/>
          <w:bCs/>
          <w:color w:val="000000"/>
          <w:sz w:val="24"/>
          <w:highlight w:val="none"/>
          <w:u w:val="singl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鉴于你方与</w:t>
      </w:r>
      <w:r>
        <w:rPr>
          <w:rFonts w:hint="eastAsia" w:ascii="宋体" w:hAnsi="宋体"/>
          <w:bCs/>
          <w:color w:val="000000"/>
          <w:sz w:val="24"/>
          <w:highlight w:val="none"/>
          <w:u w:val="single"/>
        </w:rPr>
        <w:t xml:space="preserve">                    （以下简称供应商）</w:t>
      </w:r>
      <w:r>
        <w:rPr>
          <w:rFonts w:hint="eastAsia" w:ascii="宋体" w:hAnsi="宋体"/>
          <w:bCs/>
          <w:color w:val="000000"/>
          <w:sz w:val="24"/>
          <w:highlight w:val="none"/>
        </w:rPr>
        <w:t xml:space="preserve">于</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日签定编号为   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政府采购合同》（以下简称主合同），且依据该合同的约定，供应商应在</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日前向你方交纳履约保证金，且可以履约担保函的形式交纳履约保证金。应供应商的申请，我方以保证的方式向你方提供如下履约保证金担保：</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一、保证责任的情形及保证金额</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（一）在供应商出现下列情形之一时，我方承担保证责任：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1．将中标项目转让给他人，或者在</w:t>
      </w:r>
      <w:r>
        <w:rPr>
          <w:rFonts w:hint="eastAsia" w:ascii="宋体" w:hAnsi="宋体"/>
          <w:bCs/>
          <w:color w:val="000000"/>
          <w:sz w:val="24"/>
          <w:highlight w:val="none"/>
          <w:lang w:eastAsia="zh-CN"/>
        </w:rPr>
        <w:t xml:space="preserve">投标文件</w:t>
      </w:r>
      <w:r>
        <w:rPr>
          <w:rFonts w:hint="eastAsia" w:ascii="宋体" w:hAnsi="宋体"/>
          <w:bCs/>
          <w:color w:val="000000"/>
          <w:sz w:val="24"/>
          <w:highlight w:val="none"/>
        </w:rPr>
        <w:t xml:space="preserve">中未说明，且未经采购招标机构人同意，将中标项目分包给他人的；</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　　2．主合同约定的应当缴纳履约保证金的情形: </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（1）未按主合同约定的质量、数量和期限供应货物/提供服务/完成工程的；</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（2）                                                           。</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（二）我方的保证范围是主合同约定的合同价款总额的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%数额为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元（大写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），币种为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。（即主合同履约保证金金额）</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二、保证的方式及保证期间</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我方保证的方式为：连带责任保证。</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我方保证的期间为：自本合同生效之日起至供应商按照主合同约定的供货/完工期限届满后</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日内。</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如果供应商未按主合同约定向贵方供应货物/提供服务/完成工程的，由我方在保证金额内向你方支付上述款项。</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三、承担保证责任的程序</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2． 我方收到你方的书面索赔通知及相应证明材料，在</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工作日内进行核定后按照本保函的承诺承担保证责任。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四、保证责任的终止</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2．我方按照本保函向你方履行了保证责任后，自我方向你方支付款项（支付款项从我方账户划出）之日起，保证责任即终止。</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3．按照法律法规的规定或出现应终止我方保证责任的其它情形的，我方在本保函项下的保证责任亦终止。</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五、免责条款</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1．因你方违反主合同约定致使供应商不能履行义务的，我方不承担保证责任。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2．依照法律法规的规定或你方与供应商的另行约定，全部或者部分免除供应商应缴纳的保证金义务的，我方亦免除相应的保证责任。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3．因不可抗力造成供应商不能履行供货义务的，我方不承担保证责任。</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六、争议的解决</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因本保函发生的纠纷，由你我双方协商解决，协商不成的，通过诉讼程序解决，诉讼管辖地法院为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法院。</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七、保函的生效</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本保函自我方加盖公章之日起生效。</w:t>
      </w:r>
      <w:r>
        <w:rPr>
          <w:rFonts w:ascii="宋体" w:hAnsi="宋体"/>
          <w:bCs/>
          <w:color w:val="000000"/>
          <w:sz w:val="24"/>
          <w:highlight w:val="none"/>
        </w:rPr>
      </w:r>
      <w:r/>
    </w:p>
    <w:p>
      <w:pPr>
        <w:pStyle w:val="688"/>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保证人：（公章）</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688"/>
        <w:ind w:firstLine="360"/>
        <w:jc w:val="left"/>
        <w:spacing w:line="440" w:lineRule="exact"/>
        <w:widowControl/>
        <w:tabs>
          <w:tab w:val="left" w:pos="360" w:leader="none"/>
          <w:tab w:val="left" w:pos="960" w:leader="none"/>
        </w:tabs>
        <w:rPr>
          <w:rFonts w:ascii="宋体" w:hAnsi="宋体"/>
          <w:bCs/>
          <w:color w:val="000000"/>
          <w:sz w:val="24"/>
          <w:highlight w:val="none"/>
        </w:rPr>
      </w:pPr>
      <w:r>
        <w:rPr>
          <w:rFonts w:hint="eastAsia" w:ascii="宋体" w:hAnsi="宋体"/>
          <w:bCs/>
          <w:color w:val="000000"/>
          <w:sz w:val="24"/>
          <w:highlight w:val="none"/>
        </w:rPr>
        <w:t xml:space="preserve"> 年     月      日</w:t>
      </w:r>
      <w:r>
        <w:rPr>
          <w:rFonts w:ascii="宋体" w:hAnsi="宋体"/>
          <w:bCs/>
          <w:color w:val="000000"/>
          <w:sz w:val="24"/>
          <w:highlight w:val="none"/>
        </w:rPr>
      </w:r>
      <w:r/>
    </w:p>
    <w:p>
      <w:pPr>
        <w:pStyle w:val="688"/>
        <w:ind w:firstLine="960"/>
        <w:spacing w:line="540" w:lineRule="exact"/>
        <w:rPr>
          <w:rFonts w:hint="eastAsia" w:ascii="宋体" w:hAnsi="宋体" w:cs="宋体"/>
          <w:bCs/>
          <w:color w:val="000000"/>
          <w:sz w:val="24"/>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ascii="宋体" w:hAnsi="宋体" w:cs="宋体"/>
          <w:bCs/>
          <w:color w:val="000000"/>
          <w:sz w:val="24"/>
          <w:highlight w:val="none"/>
        </w:rPr>
      </w:r>
      <w:r/>
    </w:p>
    <w:p>
      <w:pPr>
        <w:pStyle w:val="688"/>
        <w:numPr>
          <w:ilvl w:val="0"/>
          <w:numId w:val="8"/>
        </w:numPr>
        <w:ind w:firstLine="880"/>
        <w:jc w:val="center"/>
        <w:spacing w:line="540" w:lineRule="exact"/>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采购需求</w:t>
      </w:r>
      <w:r>
        <w:rPr>
          <w:rFonts w:hint="eastAsia" w:ascii="宋体" w:hAnsi="宋体" w:cs="宋体"/>
          <w:bCs/>
          <w:color w:val="000000"/>
          <w:sz w:val="44"/>
          <w:szCs w:val="44"/>
          <w:highlight w:val="none"/>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微生物鉴定质谱仪</w:t>
      </w:r>
      <w:r>
        <w:rPr>
          <w:rFonts w:hint="eastAsia" w:ascii="宋体" w:hAnsi="宋体" w:eastAsia="宋体" w:cs="宋体"/>
          <w:b/>
          <w:bCs/>
          <w:color w:val="000000"/>
          <w:sz w:val="28"/>
          <w:szCs w:val="28"/>
          <w:highlight w:val="none"/>
          <w:lang w:val="en-US" w:eastAsia="zh-CN"/>
        </w:rPr>
        <w:t xml:space="preserve"> 1台</w:t>
      </w:r>
      <w:r>
        <w:rPr>
          <w:rFonts w:ascii="宋体" w:hAnsi="宋体" w:eastAsia="宋体" w:cs="宋体"/>
          <w:b/>
          <w:bCs/>
          <w:color w:val="000000"/>
          <w:sz w:val="28"/>
          <w:szCs w:val="28"/>
          <w:highlight w:val="none"/>
          <w:lang w:val="en-US"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、设备主要用途及基本要求</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1、质谱仪</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为桌面台式机，具备NMPA医疗器械注册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应用范围应包括对细菌、真菌的鉴定；</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2、可</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不同种类的化合物</w:t>
      </w:r>
      <w:r>
        <w:rPr>
          <w:rFonts w:hint="eastAsia" w:ascii="宋体" w:hAnsi="宋体" w:eastAsia="宋体" w:cs="宋体"/>
          <w:color w:val="000000"/>
          <w:sz w:val="24"/>
          <w:szCs w:val="24"/>
          <w:highlight w:val="none"/>
          <w:lang w:val="en-US" w:eastAsia="zh-CN"/>
        </w:rPr>
        <w:t xml:space="preserve">研究</w:t>
      </w:r>
      <w:r>
        <w:rPr>
          <w:rFonts w:hint="eastAsia" w:ascii="宋体" w:hAnsi="宋体" w:eastAsia="宋体" w:cs="宋体"/>
          <w:color w:val="000000"/>
          <w:sz w:val="24"/>
          <w:szCs w:val="24"/>
          <w:highlight w:val="none"/>
        </w:rPr>
        <w:t xml:space="preserve">，包括蛋白质、核酸、脂质等样本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、技术参数要求</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1、质谱仪硬件性能规格要求</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采用</w:t>
      </w:r>
      <w:r>
        <w:rPr>
          <w:rFonts w:hint="eastAsia" w:ascii="宋体" w:hAnsi="宋体" w:eastAsia="宋体" w:cs="宋体"/>
          <w:color w:val="000000"/>
          <w:sz w:val="24"/>
          <w:szCs w:val="24"/>
          <w:highlight w:val="none"/>
        </w:rPr>
        <w:t xml:space="preserve">直线形</w:t>
      </w:r>
      <w:r>
        <w:rPr>
          <w:rFonts w:hint="eastAsia" w:ascii="宋体" w:hAnsi="宋体" w:eastAsia="宋体" w:cs="宋体"/>
          <w:strike w:val="0"/>
          <w:color w:val="000000"/>
          <w:sz w:val="24"/>
          <w:szCs w:val="24"/>
          <w:highlight w:val="none"/>
        </w:rPr>
        <w:t xml:space="preserve">不锈钢</w:t>
      </w:r>
      <w:r>
        <w:rPr>
          <w:rFonts w:hint="eastAsia" w:ascii="宋体" w:hAnsi="宋体" w:eastAsia="宋体" w:cs="宋体"/>
          <w:color w:val="000000"/>
          <w:sz w:val="24"/>
          <w:szCs w:val="24"/>
          <w:highlight w:val="none"/>
        </w:rPr>
        <w:t xml:space="preserve">飞行管，飞行管长度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1米；</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1.2、具备温度补偿功能，消除环境温度变化对蛋白质量检测准确度的影响；</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1.3、检测器：配置MCP检测器，检测</w:t>
      </w:r>
      <w:r>
        <w:rPr>
          <w:rFonts w:hint="eastAsia" w:ascii="宋体" w:hAnsi="宋体" w:eastAsia="宋体" w:cs="宋体"/>
          <w:color w:val="000000"/>
          <w:sz w:val="24"/>
          <w:szCs w:val="24"/>
          <w:highlight w:val="none"/>
          <w:lang w:val="en-US" w:eastAsia="zh-CN"/>
        </w:rPr>
        <w:t xml:space="preserve">微</w:t>
      </w:r>
      <w:r>
        <w:rPr>
          <w:rFonts w:hint="eastAsia" w:ascii="宋体" w:hAnsi="宋体" w:eastAsia="宋体" w:cs="宋体"/>
          <w:color w:val="000000"/>
          <w:sz w:val="24"/>
          <w:szCs w:val="24"/>
          <w:highlight w:val="none"/>
        </w:rPr>
        <w:t xml:space="preserve">通道数≥10万，保障高分辨率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1.4、激光器：配置</w:t>
      </w:r>
      <w:r>
        <w:rPr>
          <w:rFonts w:hint="eastAsia" w:ascii="宋体" w:hAnsi="宋体" w:eastAsia="宋体" w:cs="宋体"/>
          <w:color w:val="000000"/>
          <w:sz w:val="24"/>
          <w:szCs w:val="24"/>
          <w:highlight w:val="none"/>
          <w:lang w:val="en-US" w:eastAsia="zh-CN"/>
        </w:rPr>
        <w:t xml:space="preserve">长寿命固体激光器，</w:t>
      </w:r>
      <w:r>
        <w:rPr>
          <w:rFonts w:hint="eastAsia" w:ascii="宋体" w:hAnsi="宋体" w:eastAsia="宋体" w:cs="宋体"/>
          <w:color w:val="000000"/>
          <w:sz w:val="24"/>
          <w:szCs w:val="24"/>
          <w:highlight w:val="none"/>
        </w:rPr>
        <w:t xml:space="preserve">频率在 1-</w:t>
      </w: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rPr>
        <w:t xml:space="preserve">Hz 范围内可调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波长355nm，激光发射次数≥9</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vertAlign w:val="superscript"/>
          <w:lang w:val="en-US" w:eastAsia="zh-CN"/>
        </w:rPr>
        <w:t xml:space="preserve">9</w:t>
      </w: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1.5、配备负离子检测模块，可进行脂质分析，可检测大肠杆菌脂质A m/z1796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相对</w:t>
      </w:r>
      <w:r>
        <w:rPr>
          <w:rFonts w:hint="eastAsia" w:ascii="宋体" w:hAnsi="宋体" w:eastAsia="宋体" w:cs="宋体"/>
          <w:color w:val="000000"/>
          <w:sz w:val="24"/>
          <w:szCs w:val="24"/>
          <w:highlight w:val="none"/>
          <w:lang w:val="en-US" w:eastAsia="zh-CN"/>
        </w:rPr>
        <w:t xml:space="preserve">示值</w:t>
      </w:r>
      <w:r>
        <w:rPr>
          <w:rFonts w:hint="eastAsia" w:ascii="宋体" w:hAnsi="宋体" w:eastAsia="宋体" w:cs="宋体"/>
          <w:color w:val="000000"/>
          <w:sz w:val="24"/>
          <w:szCs w:val="24"/>
          <w:highlight w:val="none"/>
        </w:rPr>
        <w:t xml:space="preserve">误差≤</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00ppm；</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1.6、具备三脉冲高精度离子延迟引出技术，采用三脉冲搭载三电场（正/负电场和混合电场）加速离子，实现离子的延时引出，延时精度误差≤100 ps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1.7、前级泵应为内置无油隔膜泵，无机油污染，维护时无需添加或更换机油，提供内置无油隔膜泵安装在仪器内部的图片及中文技术说明书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8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分子泵为复合型涡轮分子泵，具有叶片级和拖拽级，拖拽级≥10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L/S</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分子泵抽速≥300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、质谱仪从样品靶板放入质谱仪后到真空抽到3×10</w:t>
      </w:r>
      <w:r>
        <w:rPr>
          <w:rFonts w:hint="eastAsia" w:ascii="宋体" w:hAnsi="宋体" w:eastAsia="宋体" w:cs="宋体"/>
          <w:color w:val="000000"/>
          <w:sz w:val="24"/>
          <w:szCs w:val="24"/>
          <w:highlight w:val="none"/>
          <w:vertAlign w:val="superscript"/>
        </w:rPr>
        <w:t xml:space="preserve">-6</w:t>
      </w:r>
      <w:r>
        <w:rPr>
          <w:rFonts w:hint="eastAsia" w:ascii="宋体" w:hAnsi="宋体" w:eastAsia="宋体" w:cs="宋体"/>
          <w:color w:val="000000"/>
          <w:sz w:val="24"/>
          <w:szCs w:val="24"/>
          <w:highlight w:val="none"/>
        </w:rPr>
        <w:t xml:space="preserve">mbar以下所需时间＜50s；</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 单次进靶检测通量≥96个；</w:t>
      </w:r>
      <w:r>
        <w:rPr>
          <w:rFonts w:hint="eastAsia" w:ascii="宋体" w:hAnsi="宋体" w:eastAsia="宋体" w:cs="宋体"/>
          <w:color w:val="000000"/>
          <w:sz w:val="24"/>
          <w:szCs w:val="24"/>
          <w:highlight w:val="none"/>
          <w:lang w:val="en-US"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2、软件系统</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全中文集成软件，支持单界面完成从谱图采集到鉴定报告生成的全流程操作，鉴定结果微生物名称中文和拉丁文同时给出，无需切换。为保证生物安全风险，对于布鲁氏菌、脑膜炎奈瑟菌等软件具有高危致病菌标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能通过智能算法，对系统进行大样本量训练，构建微生物鉴定区分模型，进行李斯特复合群鉴定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软件配套专业微生物知识库，包含菌种的形态学、生物特性、核糖体蛋白信息等，支持用户上传形态图，为实验室检测提供参考依据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数据库</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蛋白指纹图谱数据库：</w:t>
      </w:r>
      <w:r>
        <w:rPr>
          <w:rFonts w:hint="eastAsia" w:ascii="宋体" w:hAnsi="宋体" w:eastAsia="宋体" w:cs="宋体"/>
          <w:color w:val="000000"/>
          <w:sz w:val="24"/>
          <w:szCs w:val="24"/>
          <w:highlight w:val="none"/>
        </w:rPr>
        <w:t xml:space="preserve">必须具备本地微生物菌种数据库，鉴定菌种 5000 种以上,包括苛氧菌、厌氧菌、分枝杆菌等传统方法难以鉴定的疑难菌种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数据库终身免费升级，一年更新＞2次；</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、丝状真菌数据库＞500种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菌种鉴定属正确率大于95%。</w:t>
      </w:r>
      <w:r>
        <w:rPr>
          <w:rFonts w:hint="eastAsia" w:ascii="宋体" w:hAnsi="宋体" w:eastAsia="宋体" w:cs="宋体"/>
          <w:color w:val="000000"/>
          <w:sz w:val="24"/>
          <w:szCs w:val="24"/>
          <w:highlight w:val="none"/>
          <w:lang w:val="en-US" w:eastAsia="zh-CN"/>
        </w:rPr>
      </w:r>
      <w:r/>
    </w:p>
    <w:p>
      <w:pPr>
        <w:pStyle w:val="68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3.2、具备微生物亲缘关系智能分析功能，在报告鉴定结果的同时，能够自动生成直观的圆形聚类图，展示不同菌株间的遗传距离；</w:t>
      </w:r>
      <w:r>
        <w:rPr>
          <w:rFonts w:hint="eastAsia" w:ascii="宋体" w:hAnsi="宋体" w:eastAsia="宋体" w:cs="宋体"/>
          <w:color w:val="000000"/>
          <w:sz w:val="24"/>
          <w:szCs w:val="24"/>
          <w:highlight w:val="none"/>
          <w:lang w:val="en-US"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4、检测性能 </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4.1、鉴定质量范围：1-500kDa；</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4.2、质量分辨率（线性模式）：&gt;5000(FWHM)@ Angiotensin；</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4.3、鉴定灵敏度：1 fmol/uL 人纤维蛋白肽B（信噪比≥10∶1）；100fmol/uL 牛血清白蛋白（信噪比≥50 : 1）；</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4.4、质量准确度：≤ 150 ppm (外校准) 质量准确度：≤100ppm （内校准）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、配置清单</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1、微生物鉴定质谱系统主机：1 台；</w:t>
      </w:r>
      <w:r>
        <w:rPr>
          <w:rFonts w:hint="eastAsia" w:ascii="宋体" w:hAnsi="宋体" w:eastAsia="宋体" w:cs="宋体"/>
          <w:color w:val="000000"/>
          <w:sz w:val="24"/>
          <w:szCs w:val="24"/>
          <w:highlight w:val="none"/>
        </w:rPr>
      </w:r>
      <w:r/>
    </w:p>
    <w:p>
      <w:pPr>
        <w:pStyle w:val="688"/>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工作站：</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Windows10以上操作系统，3.0GHzCPU四核处理器，16GB，1TB硬盘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r>
      <w:r/>
    </w:p>
    <w:p>
      <w:pPr>
        <w:pStyle w:val="688"/>
        <w:numPr>
          <w:ilvl w:val="0"/>
          <w:numId w:val="0"/>
        </w:numP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二、</w:t>
      </w:r>
      <w:r>
        <w:rPr>
          <w:rFonts w:hint="eastAsia" w:ascii="宋体" w:hAnsi="宋体" w:eastAsia="宋体" w:cs="宋体"/>
          <w:b/>
          <w:bCs/>
          <w:color w:val="000000"/>
          <w:sz w:val="28"/>
          <w:szCs w:val="28"/>
          <w:highlight w:val="none"/>
        </w:rPr>
        <w:t xml:space="preserve">箱式电阻炉（马弗炉）</w:t>
      </w:r>
      <w:r>
        <w:rPr>
          <w:rFonts w:hint="eastAsia" w:ascii="宋体" w:hAnsi="宋体" w:eastAsia="宋体" w:cs="宋体"/>
          <w:b/>
          <w:bCs/>
          <w:color w:val="000000"/>
          <w:sz w:val="28"/>
          <w:szCs w:val="28"/>
          <w:highlight w:val="none"/>
          <w:lang w:val="en-US" w:eastAsia="zh-CN"/>
        </w:rPr>
        <w:t xml:space="preserve"> 1台</w:t>
      </w:r>
      <w:r>
        <w:rPr>
          <w:rFonts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最高温度</w:t>
      </w:r>
      <w:r>
        <w:rPr>
          <w:rFonts w:hint="eastAsia" w:ascii="宋体" w:hAnsi="宋体" w:eastAsia="宋体" w:cs="宋体"/>
          <w:color w:val="000000"/>
          <w:sz w:val="24"/>
          <w:szCs w:val="24"/>
          <w:highlight w:val="none"/>
          <w:lang w:eastAsia="zh-CN"/>
        </w:rPr>
        <w:t xml:space="preserve">达到</w:t>
      </w:r>
      <w:r>
        <w:rPr>
          <w:rFonts w:hint="eastAsia" w:ascii="宋体" w:hAnsi="宋体" w:eastAsia="宋体" w:cs="宋体"/>
          <w:color w:val="000000"/>
          <w:sz w:val="24"/>
          <w:szCs w:val="24"/>
          <w:highlight w:val="none"/>
        </w:rPr>
        <w:t xml:space="preserve">1100 ℃，工作温度</w:t>
      </w:r>
      <w:r>
        <w:rPr>
          <w:rFonts w:hint="eastAsia" w:ascii="宋体" w:hAnsi="宋体" w:eastAsia="宋体" w:cs="宋体"/>
          <w:color w:val="000000"/>
          <w:sz w:val="24"/>
          <w:szCs w:val="24"/>
          <w:highlight w:val="none"/>
          <w:lang w:eastAsia="zh-CN"/>
        </w:rPr>
        <w:t xml:space="preserve">达到</w:t>
      </w:r>
      <w:r>
        <w:rPr>
          <w:rFonts w:hint="eastAsia" w:ascii="宋体" w:hAnsi="宋体" w:eastAsia="宋体" w:cs="宋体"/>
          <w:color w:val="000000"/>
          <w:sz w:val="24"/>
          <w:szCs w:val="24"/>
          <w:highlight w:val="none"/>
        </w:rPr>
        <w:t xml:space="preserve">1050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两面加热，加热元件置于石英管内</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加热元件和保温材料易于更换</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双层</w:t>
      </w:r>
      <w:r>
        <w:rPr>
          <w:rFonts w:hint="eastAsia" w:ascii="宋体" w:hAnsi="宋体" w:eastAsia="宋体" w:cs="宋体"/>
          <w:color w:val="000000"/>
          <w:sz w:val="24"/>
          <w:szCs w:val="24"/>
          <w:highlight w:val="none"/>
          <w:lang w:val="en-US" w:eastAsia="zh-CN"/>
        </w:rPr>
        <w:t xml:space="preserve">不锈钢</w:t>
      </w:r>
      <w:r>
        <w:rPr>
          <w:rFonts w:hint="eastAsia" w:ascii="宋体" w:hAnsi="宋体" w:eastAsia="宋体" w:cs="宋体"/>
          <w:color w:val="000000"/>
          <w:sz w:val="24"/>
          <w:szCs w:val="24"/>
          <w:highlight w:val="none"/>
        </w:rPr>
        <w:t xml:space="preserve">炉壳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结构稳定，降低外壳温度</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外开式炉门可用于工件摆放</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炉后壁设有排气口</w:t>
      </w:r>
      <w:r>
        <w:rPr>
          <w:rFonts w:hint="eastAsia" w:ascii="宋体" w:hAnsi="宋体" w:eastAsia="宋体" w:cs="宋体"/>
          <w:color w:val="000000"/>
          <w:sz w:val="24"/>
          <w:szCs w:val="24"/>
          <w:highlight w:val="none"/>
        </w:rPr>
      </w:r>
      <w:r/>
    </w:p>
    <w:p>
      <w:pPr>
        <w:pStyle w:val="688"/>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加热运行噪音低，带固态继电器</w:t>
      </w:r>
      <w:r>
        <w:rPr>
          <w:rFonts w:hint="eastAsia" w:ascii="宋体" w:hAnsi="宋体" w:eastAsia="宋体" w:cs="宋体"/>
          <w:color w:val="000000"/>
          <w:sz w:val="24"/>
          <w:szCs w:val="24"/>
          <w:highlight w:val="none"/>
        </w:rPr>
      </w:r>
      <w:r/>
    </w:p>
    <w:p>
      <w:pPr>
        <w:pStyle w:val="688"/>
        <w:numPr>
          <w:ilvl w:val="0"/>
          <w:numId w:val="0"/>
        </w:numPr>
        <w:ind w:firstLine="480"/>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8、设备安装空间的尺寸深≤550mm，高≤800mm</w:t>
      </w:r>
      <w:r>
        <w:rPr>
          <w:rFonts w:ascii="宋体" w:hAnsi="宋体" w:eastAsia="宋体" w:cs="宋体"/>
          <w:color w:val="000000"/>
          <w:sz w:val="24"/>
          <w:szCs w:val="24"/>
          <w:highlight w:val="none"/>
          <w:lang w:val="en-US" w:eastAsia="zh-CN" w:bidi="ar"/>
        </w:rPr>
      </w:r>
      <w:r/>
    </w:p>
    <w:p>
      <w:pPr>
        <w:pStyle w:val="688"/>
        <w:numPr>
          <w:ilvl w:val="0"/>
          <w:numId w:val="0"/>
        </w:numPr>
        <w:ind w:firstLine="480"/>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、容积:≥14升</w:t>
      </w:r>
      <w:r>
        <w:rPr>
          <w:rFonts w:hint="eastAsia" w:ascii="宋体" w:hAnsi="宋体" w:eastAsia="宋体" w:cs="宋体"/>
          <w:color w:val="000000"/>
          <w:sz w:val="24"/>
          <w:szCs w:val="24"/>
          <w:highlight w:val="none"/>
          <w:lang w:val="en-US" w:eastAsia="zh-CN" w:bidi="ar"/>
        </w:rPr>
      </w:r>
      <w:r/>
    </w:p>
    <w:p>
      <w:pPr>
        <w:pStyle w:val="688"/>
        <w:numPr>
          <w:ilvl w:val="0"/>
          <w:numId w:val="0"/>
        </w:numPr>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连接功率</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3.2千瓦</w:t>
      </w:r>
      <w:r>
        <w:rPr>
          <w:rFonts w:hint="eastAsia" w:ascii="宋体" w:hAnsi="宋体" w:eastAsia="宋体" w:cs="宋体"/>
          <w:color w:val="000000"/>
          <w:sz w:val="24"/>
          <w:szCs w:val="24"/>
          <w:highlight w:val="none"/>
          <w:lang w:val="en-US" w:eastAsia="zh-CN" w:bidi="ar"/>
        </w:rPr>
      </w:r>
      <w:r/>
    </w:p>
    <w:p>
      <w:pPr>
        <w:pStyle w:val="688"/>
        <w:numPr>
          <w:ilvl w:val="0"/>
          <w:numId w:val="0"/>
        </w:numPr>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三、</w:t>
      </w:r>
      <w:r>
        <w:rPr>
          <w:rFonts w:hint="eastAsia" w:ascii="宋体" w:hAnsi="宋体" w:eastAsia="宋体" w:cs="宋体"/>
          <w:b/>
          <w:bCs/>
          <w:color w:val="000000"/>
          <w:sz w:val="28"/>
          <w:szCs w:val="28"/>
          <w:highlight w:val="none"/>
        </w:rPr>
        <w:t xml:space="preserve">单道可调移液器（0.5-10微升）</w:t>
      </w:r>
      <w:r>
        <w:rPr>
          <w:rFonts w:hint="eastAsia" w:ascii="宋体" w:hAnsi="宋体" w:eastAsia="宋体" w:cs="宋体"/>
          <w:b/>
          <w:bCs/>
          <w:color w:val="000000"/>
          <w:sz w:val="28"/>
          <w:szCs w:val="28"/>
          <w:highlight w:val="none"/>
          <w:lang w:val="en-US" w:eastAsia="zh-CN"/>
        </w:rPr>
        <w:t xml:space="preserve"> 1台</w:t>
      </w:r>
      <w:r>
        <w:rPr>
          <w:rFonts w:hint="eastAsia"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人体工程学设计，显著减少手、手臂和肩膀用力，避免手部重复性劳损（RSI）</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独有密度调节窗口，适用于不同密度的液体 ，通用性更广泛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7、可选择量程</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μL－</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μL </w:t>
      </w:r>
      <w:r>
        <w:rPr>
          <w:rFonts w:hint="eastAsia" w:ascii="宋体" w:hAnsi="宋体" w:eastAsia="宋体" w:cs="宋体"/>
          <w:color w:val="000000"/>
          <w:sz w:val="24"/>
          <w:szCs w:val="24"/>
          <w:highlight w:val="none"/>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四、</w:t>
      </w:r>
      <w:r>
        <w:rPr>
          <w:rFonts w:hint="eastAsia" w:ascii="宋体" w:hAnsi="宋体" w:eastAsia="宋体" w:cs="宋体"/>
          <w:b/>
          <w:bCs/>
          <w:color w:val="000000"/>
          <w:sz w:val="28"/>
          <w:szCs w:val="28"/>
          <w:highlight w:val="none"/>
          <w:lang w:val="en-US" w:eastAsia="zh-CN"/>
        </w:rPr>
        <w:t xml:space="preserve">单道可调移液器（2-20微升）2台</w:t>
      </w:r>
      <w:r>
        <w:rPr>
          <w:rFonts w:hint="eastAsia"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人体工程学设计，显著减少手、手臂和肩膀用力，避免手部重复性劳损（RSI）</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独有密度调节窗口，适用于不同密度的液体 ，通用性更广泛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7、可选择量程2</w:t>
      </w:r>
      <w:r>
        <w:rPr>
          <w:rFonts w:hint="eastAsia" w:ascii="宋体" w:hAnsi="宋体" w:eastAsia="宋体" w:cs="宋体"/>
          <w:color w:val="000000"/>
          <w:sz w:val="24"/>
          <w:szCs w:val="24"/>
          <w:highlight w:val="none"/>
        </w:rPr>
        <w:t xml:space="preserve">μL－</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0μL </w:t>
      </w:r>
      <w:r>
        <w:rPr>
          <w:rFonts w:hint="eastAsia" w:ascii="宋体" w:hAnsi="宋体" w:eastAsia="宋体" w:cs="宋体"/>
          <w:color w:val="000000"/>
          <w:sz w:val="24"/>
          <w:szCs w:val="24"/>
          <w:highlight w:val="none"/>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五、</w:t>
      </w:r>
      <w:r>
        <w:rPr>
          <w:rFonts w:hint="eastAsia" w:ascii="宋体" w:hAnsi="宋体" w:eastAsia="宋体" w:cs="宋体"/>
          <w:b/>
          <w:bCs/>
          <w:color w:val="000000"/>
          <w:sz w:val="28"/>
          <w:szCs w:val="28"/>
          <w:highlight w:val="none"/>
          <w:lang w:val="en-US" w:eastAsia="zh-CN"/>
        </w:rPr>
        <w:t xml:space="preserve">单道可调移液器（10-100微升）2台</w:t>
      </w:r>
      <w:r>
        <w:rPr>
          <w:rFonts w:hint="eastAsia"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人体工程学设计，显著减少手、手臂和肩膀用力，避免手部重复性劳损（RSI）</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独有密度调节窗口，适用于不同密度的液体 ，通用性更广泛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7、可选择量程10</w:t>
      </w:r>
      <w:r>
        <w:rPr>
          <w:rFonts w:hint="eastAsia" w:ascii="宋体" w:hAnsi="宋体" w:eastAsia="宋体" w:cs="宋体"/>
          <w:color w:val="000000"/>
          <w:sz w:val="24"/>
          <w:szCs w:val="24"/>
          <w:highlight w:val="none"/>
        </w:rPr>
        <w:t xml:space="preserve">μL－</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0μL</w:t>
      </w:r>
      <w:r>
        <w:rPr>
          <w:rFonts w:hint="eastAsia" w:ascii="宋体" w:hAnsi="宋体" w:eastAsia="宋体" w:cs="宋体"/>
          <w:color w:val="000000"/>
          <w:sz w:val="24"/>
          <w:szCs w:val="24"/>
          <w:highlight w:val="none"/>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688"/>
        <w:numPr>
          <w:ilvl w:val="0"/>
          <w:numId w:val="0"/>
        </w:numPr>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六、</w:t>
      </w:r>
      <w:r>
        <w:rPr>
          <w:rFonts w:hint="eastAsia" w:ascii="宋体" w:hAnsi="宋体" w:eastAsia="宋体" w:cs="宋体"/>
          <w:b/>
          <w:bCs/>
          <w:color w:val="000000"/>
          <w:sz w:val="28"/>
          <w:szCs w:val="28"/>
          <w:highlight w:val="none"/>
          <w:lang w:val="en-US" w:eastAsia="zh-CN"/>
        </w:rPr>
        <w:t xml:space="preserve">单道可调移液器（20-200微升）3台</w:t>
      </w:r>
      <w:r>
        <w:rPr>
          <w:rFonts w:hint="eastAsia"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人体工程学设计，显著减少手、手臂和肩膀用力，避免手部重复性劳损（RSI）</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独有密度调节窗口，适用于不同密度的液体 ，通用性更广泛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7、可选择量程20</w:t>
      </w:r>
      <w:r>
        <w:rPr>
          <w:rFonts w:hint="eastAsia" w:ascii="宋体" w:hAnsi="宋体" w:eastAsia="宋体" w:cs="宋体"/>
          <w:color w:val="000000"/>
          <w:sz w:val="24"/>
          <w:szCs w:val="24"/>
          <w:highlight w:val="none"/>
        </w:rPr>
        <w:t xml:space="preserve">μL－</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0μL</w:t>
      </w:r>
      <w:r>
        <w:rPr>
          <w:rFonts w:hint="eastAsia" w:ascii="宋体" w:hAnsi="宋体" w:eastAsia="宋体" w:cs="宋体"/>
          <w:color w:val="000000"/>
          <w:sz w:val="24"/>
          <w:szCs w:val="24"/>
          <w:highlight w:val="none"/>
        </w:rPr>
      </w:r>
      <w:r/>
    </w:p>
    <w:p>
      <w:pPr>
        <w:pStyle w:val="688"/>
        <w:numPr>
          <w:ilvl w:val="0"/>
          <w:numId w:val="0"/>
        </w:numPr>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七、单道可调移液器（100-1000微升）8台</w:t>
      </w:r>
      <w:r>
        <w:rPr>
          <w:rFonts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人体工程学设计，显著减少手、手臂和肩膀用力，避免手部重复性劳损（RSI）</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独有密度调节窗口，适用于不同密度的液体 ，通用性更广泛  </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7、可选择量程100</w:t>
      </w:r>
      <w:r>
        <w:rPr>
          <w:rFonts w:hint="eastAsia" w:ascii="宋体" w:hAnsi="宋体" w:eastAsia="宋体" w:cs="宋体"/>
          <w:color w:val="000000"/>
          <w:sz w:val="24"/>
          <w:szCs w:val="24"/>
          <w:highlight w:val="none"/>
        </w:rPr>
        <w:t xml:space="preserve">μL－</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0μL</w:t>
      </w:r>
      <w:r>
        <w:rPr>
          <w:rFonts w:hint="eastAsia" w:ascii="宋体" w:hAnsi="宋体" w:eastAsia="宋体" w:cs="宋体"/>
          <w:color w:val="000000"/>
          <w:sz w:val="24"/>
          <w:szCs w:val="24"/>
          <w:highlight w:val="none"/>
        </w:rPr>
      </w:r>
      <w:r/>
    </w:p>
    <w:p>
      <w:pPr>
        <w:pStyle w:val="688"/>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688"/>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八</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8通道可调移液器（0.5-10微升）</w:t>
      </w:r>
      <w:r>
        <w:rPr>
          <w:rFonts w:hint="eastAsia" w:ascii="宋体" w:hAnsi="宋体" w:eastAsia="宋体" w:cs="宋体"/>
          <w:b/>
          <w:bCs/>
          <w:color w:val="000000"/>
          <w:sz w:val="28"/>
          <w:szCs w:val="28"/>
          <w:highlight w:val="none"/>
          <w:lang w:val="en-US" w:eastAsia="zh-CN"/>
        </w:rPr>
        <w:t xml:space="preserve"> 1台</w:t>
      </w:r>
      <w:r>
        <w:rPr>
          <w:rFonts w:hint="eastAsia"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可选择量程</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μL－10μ</w:t>
      </w:r>
      <w:r>
        <w:rPr>
          <w:rFonts w:hint="eastAsia" w:ascii="宋体" w:hAnsi="宋体" w:eastAsia="宋体" w:cs="宋体"/>
          <w:color w:val="000000"/>
          <w:sz w:val="24"/>
          <w:szCs w:val="24"/>
          <w:highlight w:val="none"/>
          <w:lang w:val="en-US" w:eastAsia="zh-CN"/>
        </w:rPr>
        <w:t xml:space="preserve">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3、人体工程学设计，显著减少手、手臂和肩膀用力，避免手部重复性劳损；</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8、有密度调节窗口，适用于不同密度的液体 ，通用性更广泛；</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、颜色标识移液器量程；</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、多道移液器具备可拆卸的单独通道设计，确保移液精准性，节省维修成本；</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、多道移液器数字通道标识，保持同一方向移液以确保移液的均一性和精准性。</w:t>
      </w:r>
      <w:r>
        <w:rPr>
          <w:rFonts w:hint="eastAsia" w:ascii="宋体" w:hAnsi="宋体" w:eastAsia="宋体" w:cs="宋体"/>
          <w:color w:val="000000"/>
          <w:sz w:val="24"/>
          <w:szCs w:val="24"/>
          <w:highlight w:val="none"/>
        </w:rPr>
      </w:r>
      <w:r/>
    </w:p>
    <w:p>
      <w:pPr>
        <w:pStyle w:val="688"/>
        <w:spacing w:line="276"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688"/>
        <w:spacing w:line="276"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8"/>
          <w:szCs w:val="28"/>
          <w:highlight w:val="none"/>
          <w:lang w:val="en-US" w:eastAsia="zh-CN"/>
        </w:rPr>
        <w:t xml:space="preserve">九、8通道可调移液器（10-100微升）1台</w:t>
      </w:r>
      <w:r>
        <w:rPr>
          <w:rFonts w:hint="eastAsia" w:ascii="宋体" w:hAnsi="宋体" w:eastAsia="宋体" w:cs="宋体"/>
          <w:b/>
          <w:bCs w:val="0"/>
          <w:color w:val="000000"/>
          <w:sz w:val="24"/>
          <w:szCs w:val="24"/>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可选择量程10</w:t>
      </w:r>
      <w:r>
        <w:rPr>
          <w:rFonts w:hint="eastAsia" w:ascii="宋体" w:hAnsi="宋体" w:eastAsia="宋体" w:cs="宋体"/>
          <w:color w:val="000000"/>
          <w:sz w:val="24"/>
          <w:szCs w:val="24"/>
          <w:highlight w:val="none"/>
        </w:rPr>
        <w:t xml:space="preserve">μL－10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μ</w:t>
      </w:r>
      <w:r>
        <w:rPr>
          <w:rFonts w:hint="eastAsia" w:ascii="宋体" w:hAnsi="宋体" w:eastAsia="宋体" w:cs="宋体"/>
          <w:color w:val="000000"/>
          <w:sz w:val="24"/>
          <w:szCs w:val="24"/>
          <w:highlight w:val="none"/>
          <w:lang w:val="en-US" w:eastAsia="zh-CN"/>
        </w:rPr>
        <w:t xml:space="preserve">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可整支高温高压灭菌和紫外线灭菌，操作更安全；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3、人体工程学设计，显著减少手、手臂和肩膀用力，避免手部重复性劳损；</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4、下半支可徒手拆卸，便于清洁保养；</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5、伸缩式弹性吸嘴设计，确保吸头装配的气密性和移液均一性；</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6、四位数字放大体积显示，可精准设置移液体积；</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7、体积视窗位置合理（在前面），便于移液观察，可单手设定体积及操作；</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8、有密度调节窗口，适用于不同密度的液体 ，通用性更广泛；</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、颜色标识移液器量程；</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、多道移液器具备可拆卸的单独通道设计，确保移液精准性，节省维修成本；</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、多道移液器数字通道标识，保持同一方向移液以确保移液的均一性和精准性。</w:t>
      </w:r>
      <w:r>
        <w:rPr>
          <w:rFonts w:hint="eastAsia" w:ascii="宋体" w:hAnsi="宋体" w:eastAsia="宋体" w:cs="宋体"/>
          <w:color w:val="000000"/>
          <w:sz w:val="24"/>
          <w:szCs w:val="24"/>
          <w:highlight w:val="none"/>
        </w:rPr>
      </w:r>
      <w:r/>
    </w:p>
    <w:p>
      <w:pPr>
        <w:pStyle w:val="688"/>
        <w:spacing w:line="276"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十、</w:t>
      </w:r>
      <w:r>
        <w:rPr>
          <w:rFonts w:hint="eastAsia" w:ascii="宋体" w:hAnsi="宋体" w:eastAsia="宋体" w:cs="宋体"/>
          <w:b/>
          <w:bCs/>
          <w:color w:val="000000"/>
          <w:sz w:val="28"/>
          <w:szCs w:val="28"/>
          <w:highlight w:val="none"/>
        </w:rPr>
        <w:t xml:space="preserve">余氯等多参数便携式比色计</w:t>
      </w:r>
      <w:r>
        <w:rPr>
          <w:rFonts w:hint="eastAsia" w:ascii="宋体" w:hAnsi="宋体" w:eastAsia="宋体" w:cs="宋体"/>
          <w:b/>
          <w:bCs/>
          <w:color w:val="000000"/>
          <w:sz w:val="28"/>
          <w:szCs w:val="28"/>
          <w:highlight w:val="none"/>
          <w:lang w:val="en-US" w:eastAsia="zh-CN"/>
        </w:rPr>
        <w:t xml:space="preserve">1台</w:t>
      </w:r>
      <w:r>
        <w:rPr>
          <w:rFonts w:ascii="宋体" w:hAnsi="宋体" w:eastAsia="宋体" w:cs="宋体"/>
          <w:b/>
          <w:bCs/>
          <w:color w:val="000000"/>
          <w:sz w:val="28"/>
          <w:szCs w:val="28"/>
          <w:highlight w:val="none"/>
          <w:lang w:val="en-US" w:eastAsia="zh-CN"/>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1、用途</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具有自动选择测试方法等功能，可用于市政污水、自来水、饮用水、环境监测、锅炉水、冷却水、水处理、工业过程监测、教育、农业等领域的水质分析。</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2、工作条件</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电源：电池</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温度：0~50</w:t>
      </w:r>
      <w:r>
        <w:rPr>
          <w:rFonts w:ascii="Symbol" w:hAnsi="Symbol" w:eastAsia="Symbol" w:cs="Symbol"/>
          <w:color w:val="000000"/>
          <w:sz w:val="24"/>
          <w:szCs w:val="24"/>
          <w:highlight w:val="none"/>
        </w:rPr>
        <w:t xml:space="preserve">°</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湿度：相对湿度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90%，非冷凝</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3、技术性能指标</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 </w:t>
      </w:r>
      <w:r>
        <w:rPr>
          <w:rFonts w:hint="eastAsia" w:ascii="宋体" w:hAnsi="宋体" w:eastAsia="宋体" w:cs="宋体"/>
          <w:color w:val="000000"/>
          <w:sz w:val="24"/>
          <w:szCs w:val="24"/>
          <w:highlight w:val="none"/>
        </w:rPr>
        <w:t xml:space="preserve">读数模式：浓度(mg/L等)、吸光度（Abs）、透过率（%）</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 </w:t>
      </w:r>
      <w:r>
        <w:rPr>
          <w:rFonts w:hint="eastAsia" w:ascii="宋体" w:hAnsi="宋体" w:eastAsia="宋体" w:cs="宋体"/>
          <w:color w:val="000000"/>
          <w:sz w:val="24"/>
          <w:szCs w:val="24"/>
          <w:highlight w:val="none"/>
        </w:rPr>
        <w:t xml:space="preserve">已存储校准曲线：大于90条，可直接用于COD、氨氮、总磷、总氮重要水质参数分析</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 </w:t>
      </w:r>
      <w:r>
        <w:rPr>
          <w:rFonts w:hint="eastAsia" w:ascii="宋体" w:hAnsi="宋体" w:eastAsia="宋体" w:cs="宋体"/>
          <w:color w:val="000000"/>
          <w:sz w:val="24"/>
          <w:szCs w:val="24"/>
          <w:highlight w:val="none"/>
        </w:rPr>
        <w:t xml:space="preserve">自建曲线：</w:t>
      </w:r>
      <w:r>
        <w:rPr>
          <w:rFonts w:hint="eastAsia" w:ascii="宋体" w:hAnsi="宋体" w:eastAsia="宋体" w:cs="宋体"/>
          <w:color w:val="000000"/>
          <w:sz w:val="24"/>
          <w:szCs w:val="24"/>
          <w:highlight w:val="none"/>
          <w:lang w:eastAsia="zh-CN"/>
        </w:rPr>
        <w:t xml:space="preserve">不少于</w:t>
      </w:r>
      <w:r>
        <w:rPr>
          <w:rFonts w:hint="eastAsia" w:ascii="宋体" w:hAnsi="宋体" w:eastAsia="宋体" w:cs="宋体"/>
          <w:color w:val="000000"/>
          <w:sz w:val="24"/>
          <w:szCs w:val="24"/>
          <w:highlight w:val="none"/>
        </w:rPr>
        <w:t xml:space="preserve">10条</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 </w:t>
      </w:r>
      <w:r>
        <w:rPr>
          <w:rFonts w:hint="eastAsia" w:ascii="宋体" w:hAnsi="宋体" w:eastAsia="宋体" w:cs="宋体"/>
          <w:color w:val="000000"/>
          <w:sz w:val="24"/>
          <w:szCs w:val="24"/>
          <w:highlight w:val="none"/>
        </w:rPr>
        <w:t xml:space="preserve">波长范围：420nm，520nm，560nm，610nm</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 </w:t>
      </w:r>
      <w:r>
        <w:rPr>
          <w:rFonts w:hint="eastAsia" w:ascii="宋体" w:hAnsi="宋体" w:eastAsia="宋体" w:cs="宋体"/>
          <w:color w:val="000000"/>
          <w:sz w:val="24"/>
          <w:szCs w:val="24"/>
          <w:highlight w:val="none"/>
        </w:rPr>
        <w:t xml:space="preserve">波长准确度：±1 nm</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 </w:t>
      </w:r>
      <w:r>
        <w:rPr>
          <w:rFonts w:hint="eastAsia" w:ascii="宋体" w:hAnsi="宋体" w:eastAsia="宋体" w:cs="宋体"/>
          <w:color w:val="000000"/>
          <w:sz w:val="24"/>
          <w:szCs w:val="24"/>
          <w:highlight w:val="none"/>
        </w:rPr>
        <w:t xml:space="preserve">波长选择：基于测试方法的自动选择</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 </w:t>
      </w:r>
      <w:r>
        <w:rPr>
          <w:rFonts w:hint="eastAsia" w:ascii="宋体" w:hAnsi="宋体" w:eastAsia="宋体" w:cs="宋体"/>
          <w:color w:val="000000"/>
          <w:sz w:val="24"/>
          <w:szCs w:val="24"/>
          <w:highlight w:val="none"/>
        </w:rPr>
        <w:t xml:space="preserve">光度测量范围：0~2 A</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 </w:t>
      </w:r>
      <w:r>
        <w:rPr>
          <w:rFonts w:hint="eastAsia" w:ascii="宋体" w:hAnsi="宋体" w:eastAsia="宋体" w:cs="宋体"/>
          <w:color w:val="000000"/>
          <w:sz w:val="24"/>
          <w:szCs w:val="24"/>
          <w:highlight w:val="none"/>
        </w:rPr>
        <w:t xml:space="preserve">光度测量线性：±0.002 A（0~1 A）</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 </w:t>
      </w:r>
      <w:r>
        <w:rPr>
          <w:rFonts w:hint="eastAsia" w:ascii="宋体" w:hAnsi="宋体" w:eastAsia="宋体" w:cs="宋体"/>
          <w:color w:val="000000"/>
          <w:sz w:val="24"/>
          <w:szCs w:val="24"/>
          <w:highlight w:val="none"/>
        </w:rPr>
        <w:t xml:space="preserve">光度测量重复性：±0.002 A（0~1 A）</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3.10 </w:t>
      </w:r>
      <w:r>
        <w:rPr>
          <w:rFonts w:hint="eastAsia" w:ascii="宋体" w:hAnsi="宋体" w:eastAsia="宋体" w:cs="宋体"/>
          <w:color w:val="000000"/>
          <w:sz w:val="24"/>
          <w:szCs w:val="24"/>
          <w:highlight w:val="none"/>
        </w:rPr>
        <w:t xml:space="preserve">光度测量准确度：±0.005 A（1.0Abs时）</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 </w:t>
      </w:r>
      <w:r>
        <w:rPr>
          <w:rFonts w:hint="eastAsia" w:ascii="宋体" w:hAnsi="宋体" w:eastAsia="宋体" w:cs="宋体"/>
          <w:color w:val="000000"/>
          <w:sz w:val="24"/>
          <w:szCs w:val="24"/>
          <w:highlight w:val="none"/>
        </w:rPr>
        <w:t xml:space="preserve">光源：发光二极管（LED）</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 </w:t>
      </w:r>
      <w:r>
        <w:rPr>
          <w:rFonts w:hint="eastAsia" w:ascii="宋体" w:hAnsi="宋体" w:eastAsia="宋体" w:cs="宋体"/>
          <w:color w:val="000000"/>
          <w:sz w:val="24"/>
          <w:szCs w:val="24"/>
          <w:highlight w:val="none"/>
        </w:rPr>
        <w:t xml:space="preserve">检测器：硅光电二极管</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 </w:t>
      </w:r>
      <w:r>
        <w:rPr>
          <w:rFonts w:hint="eastAsia" w:ascii="宋体" w:hAnsi="宋体" w:eastAsia="宋体" w:cs="宋体"/>
          <w:color w:val="000000"/>
          <w:sz w:val="24"/>
          <w:szCs w:val="24"/>
          <w:highlight w:val="none"/>
        </w:rPr>
        <w:t xml:space="preserve">数据存储：</w:t>
      </w:r>
      <w:r>
        <w:rPr>
          <w:rFonts w:hint="eastAsia" w:ascii="宋体" w:hAnsi="宋体" w:eastAsia="宋体" w:cs="宋体"/>
          <w:color w:val="000000"/>
          <w:sz w:val="24"/>
          <w:szCs w:val="24"/>
          <w:highlight w:val="none"/>
          <w:lang w:eastAsia="zh-CN"/>
        </w:rPr>
        <w:t xml:space="preserve">不少于</w:t>
      </w:r>
      <w:r>
        <w:rPr>
          <w:rFonts w:hint="eastAsia" w:ascii="宋体" w:hAnsi="宋体" w:eastAsia="宋体" w:cs="宋体"/>
          <w:color w:val="000000"/>
          <w:sz w:val="24"/>
          <w:szCs w:val="24"/>
          <w:highlight w:val="none"/>
        </w:rPr>
        <w:t xml:space="preserve">500条，自动存储</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3.14 </w:t>
      </w:r>
      <w:r>
        <w:rPr>
          <w:rFonts w:hint="eastAsia" w:ascii="宋体" w:hAnsi="宋体" w:eastAsia="宋体" w:cs="宋体"/>
          <w:color w:val="000000"/>
          <w:sz w:val="24"/>
          <w:szCs w:val="24"/>
          <w:highlight w:val="none"/>
        </w:rPr>
        <w:t xml:space="preserve">接口：mini USB接口</w:t>
      </w:r>
      <w:r>
        <w:rPr>
          <w:rFonts w:hint="eastAsia" w:ascii="宋体" w:hAnsi="宋体" w:eastAsia="宋体" w:cs="宋体"/>
          <w:color w:val="000000"/>
          <w:sz w:val="24"/>
          <w:szCs w:val="24"/>
          <w:highlight w:val="none"/>
        </w:rPr>
      </w:r>
      <w:r/>
    </w:p>
    <w:p>
      <w:pPr>
        <w:pStyle w:val="68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3.15 </w:t>
      </w:r>
      <w:r>
        <w:rPr>
          <w:rFonts w:hint="eastAsia" w:ascii="宋体" w:hAnsi="宋体" w:eastAsia="宋体" w:cs="宋体"/>
          <w:color w:val="000000"/>
          <w:sz w:val="24"/>
          <w:szCs w:val="24"/>
          <w:highlight w:val="none"/>
        </w:rPr>
        <w:t xml:space="preserve">防护等级：不低于IP67，防尘，1米水深下防水30min</w:t>
      </w:r>
      <w:r>
        <w:rPr>
          <w:rFonts w:hint="eastAsia" w:ascii="宋体" w:hAnsi="宋体" w:eastAsia="宋体" w:cs="宋体"/>
          <w:color w:val="000000"/>
          <w:sz w:val="24"/>
          <w:szCs w:val="24"/>
          <w:highlight w:val="none"/>
        </w:rPr>
      </w:r>
      <w:r/>
    </w:p>
    <w:p>
      <w:pPr>
        <w:pStyle w:val="688"/>
        <w:spacing w:line="276"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十一、</w:t>
      </w:r>
      <w:r>
        <w:rPr>
          <w:rFonts w:hint="eastAsia" w:ascii="宋体" w:hAnsi="宋体" w:eastAsia="宋体" w:cs="宋体"/>
          <w:b/>
          <w:bCs/>
          <w:color w:val="000000"/>
          <w:sz w:val="28"/>
          <w:szCs w:val="28"/>
          <w:highlight w:val="none"/>
        </w:rPr>
        <w:t xml:space="preserve">双路粉尘采样器（5-40L/min）</w:t>
      </w:r>
      <w:r>
        <w:rPr>
          <w:rFonts w:hint="eastAsia" w:ascii="宋体" w:hAnsi="宋体" w:eastAsia="宋体" w:cs="宋体"/>
          <w:b/>
          <w:bCs/>
          <w:color w:val="000000"/>
          <w:sz w:val="28"/>
          <w:szCs w:val="28"/>
          <w:highlight w:val="none"/>
          <w:lang w:val="en-US" w:eastAsia="zh-CN"/>
        </w:rPr>
        <w:t xml:space="preserve">4台</w:t>
      </w:r>
      <w:r>
        <w:rPr>
          <w:rFonts w:ascii="宋体" w:hAnsi="宋体" w:eastAsia="宋体" w:cs="宋体"/>
          <w:b/>
          <w:bCs/>
          <w:color w:val="000000"/>
          <w:sz w:val="28"/>
          <w:szCs w:val="28"/>
          <w:highlight w:val="none"/>
          <w:lang w:val="en-US" w:eastAsia="zh-CN"/>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1.流量范围：3-35L/min</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2.流量分辨率：0.01L/min</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流量准确度：流量误差±3%以内</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工作续航：双路同时续航时间：≥8小时  </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充电时长：≤4小时</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数据存储：具有历史记录、故障记录功能，存储数据每个通道不小于5000组，支持U盘导出采样记录</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数字恒流：无刷真空泵机，采用闭环控制技术，流量随负载变化而自动调节以达到流量采样，不受电压波动和阻力变化影响流量等。</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校准权限及方式：开放式校准模式适配任何流量校准仪</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断电续采：具有断电关机后，机器开机可继续上次采样功能</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温度测量：内置温度传感器，检测环境温度，并实时显示</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气压测量：内置气压传感器，检测环境气压，并实时显示</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体积换算：依据内置温度、气压传感器，自动进行标态体积换算</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异常检测：具有异常、故障监测功能，包括负载压力异常、低电量警告等；</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流量超差检测：具有检测流量超差后自动暂停功能</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负载能力：≥20Kpa</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屏幕及操作：采用触摸屏操作方式，两个通道，可独立控制</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采样模式：手动/定时/定容/循环定时/循环定容</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多重防护：整机具有过压、过流、过热等自保护及普通应用场所下防爆功能；</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操作权限：具有锁屏功能，防止无关人员误操作</w:t>
      </w:r>
      <w:r>
        <w:rPr>
          <w:rFonts w:ascii="宋体" w:hAnsi="宋体" w:cs="宋体"/>
          <w:color w:val="000000"/>
          <w:sz w:val="24"/>
          <w:highlight w:val="none"/>
        </w:rPr>
      </w:r>
      <w:r/>
    </w:p>
    <w:p>
      <w:pPr>
        <w:pStyle w:val="688"/>
        <w:ind w:firstLine="480"/>
        <w:keepLines w:val="0"/>
        <w:keepNext w:val="0"/>
        <w:pageBreakBefore w:val="0"/>
        <w:widowControl w:val="off"/>
        <w:rPr>
          <w:rFonts w:ascii="等线" w:hAnsi="等线" w:eastAsia="等线"/>
          <w:color w:val="000000"/>
          <w:sz w:val="24"/>
          <w:highlight w:val="none"/>
        </w:rPr>
      </w:pP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气密性检测具有气路的密闭性检测功能，便于使用前对设备和连接件整个采样系统是否漏气进行检测</w:t>
      </w:r>
      <w:r>
        <w:rPr>
          <w:rFonts w:ascii="等线" w:hAnsi="等线" w:eastAsia="等线"/>
          <w:color w:val="000000"/>
          <w:sz w:val="24"/>
          <w:highlight w:val="none"/>
        </w:rPr>
      </w:r>
      <w:r/>
    </w:p>
    <w:p>
      <w:pPr>
        <w:pStyle w:val="688"/>
        <w:spacing w:line="276"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十二、</w:t>
      </w:r>
      <w:r>
        <w:rPr>
          <w:rFonts w:hint="eastAsia" w:ascii="宋体" w:hAnsi="宋体" w:eastAsia="宋体" w:cs="宋体"/>
          <w:b/>
          <w:bCs/>
          <w:color w:val="000000"/>
          <w:sz w:val="28"/>
          <w:szCs w:val="28"/>
          <w:highlight w:val="none"/>
        </w:rPr>
        <w:t xml:space="preserve">双路大气采样器（300-6000ml/min）</w:t>
      </w:r>
      <w:r>
        <w:rPr>
          <w:rFonts w:hint="eastAsia" w:ascii="宋体" w:hAnsi="宋体" w:eastAsia="宋体" w:cs="宋体"/>
          <w:b/>
          <w:bCs/>
          <w:color w:val="000000"/>
          <w:sz w:val="28"/>
          <w:szCs w:val="28"/>
          <w:highlight w:val="none"/>
          <w:lang w:val="en-US" w:eastAsia="zh-CN"/>
        </w:rPr>
        <w:t xml:space="preserve">4台</w:t>
      </w:r>
      <w:r>
        <w:rPr>
          <w:rFonts w:ascii="宋体" w:hAnsi="宋体" w:eastAsia="宋体" w:cs="宋体"/>
          <w:b/>
          <w:bCs/>
          <w:color w:val="000000"/>
          <w:sz w:val="28"/>
          <w:szCs w:val="28"/>
          <w:highlight w:val="none"/>
          <w:lang w:val="en-US" w:eastAsia="zh-CN"/>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1.采样流量：300-5500ml/min；分辨率：1ml/min；</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2.流量误差5%以内，出厂流量范围在3%以内</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3.交互方式：按键形式</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4.运行模式：手动/定时/定容模式</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5.双路同时续航时间：≥15小时；</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6.充电时间：≤4小时；</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7.运行界面显示内容:实时流量/采样模式/设定流量/设定时间（体积）/采样时长/采样体积/采样进度/环境温度/环境大气压/负载压力/计前温度等</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8.校准方式：内置单点校准和自动校准双模式，支持保存历史校准记录</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9.数据储存：具有事件记录功能，存储数据不小于10000组；</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10.内置温度传感器：温度范围-55℃~+125℃；</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11.内置大气压传感器:大气压范围30kPa~110kPa；</w:t>
      </w:r>
      <w:r>
        <w:rPr>
          <w:rFonts w:ascii="宋体" w:hAnsi="宋体" w:cs="宋体"/>
          <w:color w:val="000000"/>
          <w:sz w:val="24"/>
          <w:highlight w:val="none"/>
        </w:rPr>
      </w:r>
      <w:r/>
    </w:p>
    <w:p>
      <w:pPr>
        <w:pStyle w:val="688"/>
        <w:ind w:firstLine="480"/>
        <w:jc w:val="left"/>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12.内置负载压力传感器:负载压力范围-40kPa~0kPa；</w:t>
      </w:r>
      <w:r>
        <w:rPr>
          <w:rFonts w:ascii="宋体" w:hAnsi="宋体" w:cs="宋体"/>
          <w:color w:val="000000"/>
          <w:sz w:val="24"/>
          <w:highlight w:val="none"/>
        </w:rPr>
      </w:r>
      <w:r/>
    </w:p>
    <w:p>
      <w:pPr>
        <w:pStyle w:val="688"/>
        <w:numPr>
          <w:ilvl w:val="0"/>
          <w:numId w:val="0"/>
        </w:numPr>
        <w:ind w:firstLine="480"/>
        <w:jc w:val="left"/>
        <w:keepLines w:val="0"/>
        <w:keepNext w:val="0"/>
        <w:pageBreakBefore w:val="0"/>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13.支持设备自检:开机自检内部传感器、功能模块及气密性检测</w:t>
      </w:r>
      <w:r>
        <w:rPr>
          <w:rFonts w:hint="eastAsia" w:ascii="宋体" w:hAnsi="宋体" w:cs="宋体"/>
          <w:color w:val="000000"/>
          <w:sz w:val="24"/>
          <w:highlight w:val="none"/>
        </w:rPr>
      </w:r>
      <w:r/>
    </w:p>
    <w:p>
      <w:pPr>
        <w:pStyle w:val="688"/>
        <w:numPr>
          <w:ilvl w:val="0"/>
          <w:numId w:val="0"/>
        </w:numPr>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88"/>
        <w:spacing w:line="276"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十三、</w:t>
      </w:r>
      <w:r>
        <w:rPr>
          <w:rFonts w:hint="eastAsia" w:ascii="宋体" w:hAnsi="宋体" w:eastAsia="宋体" w:cs="宋体"/>
          <w:b/>
          <w:bCs/>
          <w:color w:val="000000"/>
          <w:sz w:val="28"/>
          <w:szCs w:val="28"/>
          <w:highlight w:val="none"/>
          <w:lang w:val="en-US" w:eastAsia="zh-CN"/>
        </w:rPr>
        <w:t xml:space="preserve">水质便携检测仪1台</w:t>
      </w:r>
      <w:r>
        <w:rPr>
          <w:rFonts w:ascii="宋体" w:hAnsi="宋体" w:eastAsia="宋体" w:cs="宋体"/>
          <w:b/>
          <w:bCs/>
          <w:color w:val="000000"/>
          <w:sz w:val="28"/>
          <w:szCs w:val="28"/>
          <w:highlight w:val="none"/>
          <w:lang w:val="en-US" w:eastAsia="zh-CN"/>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1、测定误差：≤±5%</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2、重复性误差：≤±3%</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3、波长精准度：±1nm</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4、光学稳定性： ≤±0.001A/20分钟（10万⼩时寿命）</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5、比色方式：双比色检测系统支持（16mm；25mm比色管）</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6、波长选择：根据测定项目自动选择</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7、波长校准：自动校准</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8、检测光源：进口固态冷光源</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9、数据显示：浓度、透过率（%）、吸光度（A）</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10、操作系统：水质智能检测系统</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11、数据传输：Type-C、wifi、蓝牙</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12、数据打印：蓝牙打印机</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13、数据处理：5万条数据、200条曲线（含自拓展）</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14、显示屏：3寸工业级彩色</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15、工作环境：5-45℃  ≤50%无冷凝</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16、供电方式：5V =2.5A</w:t>
      </w:r>
      <w:r>
        <w:rPr>
          <w:rFonts w:hint="eastAsia" w:ascii="宋体" w:hAnsi="宋体" w:eastAsia="宋体" w:cs="宋体"/>
          <w:color w:val="000000"/>
          <w:sz w:val="24"/>
          <w:szCs w:val="24"/>
          <w:highlight w:val="none"/>
        </w:rPr>
      </w:r>
      <w:r/>
    </w:p>
    <w:p>
      <w:pPr>
        <w:pStyle w:val="688"/>
        <w:ind w:firstLine="480"/>
        <w:keepLines w:val="0"/>
        <w:keepNext w:val="0"/>
        <w:pageBreakBefore w:val="0"/>
        <w:spacing w:line="22"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17、电池容量：5000毫安</w:t>
      </w:r>
      <w:r>
        <w:rPr>
          <w:rFonts w:hint="eastAsia" w:ascii="宋体" w:hAnsi="宋体" w:eastAsia="宋体" w:cs="宋体"/>
          <w:color w:val="000000"/>
          <w:sz w:val="24"/>
          <w:szCs w:val="24"/>
          <w:highlight w:val="none"/>
        </w:rPr>
      </w:r>
      <w:r/>
    </w:p>
    <w:p>
      <w:pPr>
        <w:pStyle w:val="688"/>
        <w:numPr>
          <w:ilvl w:val="0"/>
          <w:numId w:val="0"/>
        </w:numPr>
        <w:ind w:firstLine="480"/>
        <w:jc w:val="left"/>
        <w:keepLines w:val="0"/>
        <w:keepNext w:val="0"/>
        <w:pageBreakBefore w:val="0"/>
        <w:widowControl w:val="off"/>
        <w:tabs>
          <w:tab w:val="left" w:pos="129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88"/>
        <w:numPr>
          <w:ilvl w:val="0"/>
          <w:numId w:val="0"/>
        </w:numP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    以上所有产品，如设备性能参数符合要求必须提供相应的有效且真实的证明材料【设备生产厂家出具相关证明或检测报告或彩页或白皮书等】以证明技术参数及功能的有效性，如未附有效证明材料或者所附的证明材料由评标委员会认为不能佐证技术指标的有效性的，则同样视为不符合要求并作无效投标处理。</w:t>
      </w:r>
      <w:r>
        <w:rPr>
          <w:rFonts w:hint="eastAsia" w:ascii="宋体" w:hAnsi="宋体" w:eastAsia="宋体" w:cs="宋体"/>
          <w:b/>
          <w:bCs w:val="0"/>
          <w:color w:val="000000"/>
          <w:sz w:val="24"/>
          <w:szCs w:val="24"/>
          <w:highlight w:val="none"/>
          <w:lang w:val="en-US" w:eastAsia="zh-CN"/>
        </w:rPr>
      </w:r>
      <w:r/>
    </w:p>
    <w:p>
      <w:pPr>
        <w:pStyle w:val="689"/>
        <w:numPr>
          <w:ilvl w:val="0"/>
          <w:numId w:val="0"/>
        </w:numPr>
        <w:tabs>
          <w:tab w:val="left" w:pos="1800" w:leader="none"/>
        </w:tabs>
        <w:rPr>
          <w:rFonts w:hint="eastAsia" w:ascii="宋体" w:hAnsi="宋体" w:eastAsia="宋体" w:cs="宋体"/>
          <w:b w:val="0"/>
          <w:bCs/>
          <w:i/>
          <w:iCs/>
          <w:color w:val="000000"/>
          <w:sz w:val="24"/>
          <w:highlight w:val="none"/>
        </w:rPr>
      </w:pPr>
      <w:r>
        <w:rPr>
          <w:rFonts w:hint="eastAsia" w:ascii="宋体" w:hAnsi="宋体" w:eastAsia="宋体" w:cs="宋体"/>
          <w:b w:val="0"/>
          <w:bCs/>
          <w:i/>
          <w:iCs/>
          <w:color w:val="000000"/>
          <w:sz w:val="24"/>
          <w:highlight w:val="none"/>
        </w:rPr>
      </w:r>
      <w:r/>
    </w:p>
    <w:p>
      <w:pPr>
        <w:pStyle w:val="688"/>
        <w:rPr>
          <w:rFonts w:hint="eastAsia" w:ascii="宋体" w:hAnsi="宋体" w:eastAsia="宋体" w:cs="宋体"/>
          <w:b w:val="0"/>
          <w:bCs/>
          <w:i/>
          <w:iCs/>
          <w:color w:val="000000"/>
          <w:sz w:val="24"/>
          <w:highlight w:val="none"/>
        </w:rPr>
      </w:pPr>
      <w:r>
        <w:rPr>
          <w:rFonts w:hint="eastAsia" w:ascii="宋体" w:hAnsi="宋体" w:eastAsia="宋体" w:cs="宋体"/>
          <w:b w:val="0"/>
          <w:bCs/>
          <w:i/>
          <w:iCs/>
          <w:color w:val="000000"/>
          <w:sz w:val="24"/>
          <w:highlight w:val="none"/>
        </w:rPr>
      </w:r>
      <w:r/>
    </w:p>
    <w:p>
      <w:pPr>
        <w:pStyle w:val="688"/>
        <w:rPr>
          <w:rFonts w:hint="eastAsia" w:ascii="宋体" w:hAnsi="宋体" w:eastAsia="宋体" w:cs="宋体"/>
          <w:b w:val="0"/>
          <w:bCs/>
          <w:i/>
          <w:iCs/>
          <w:color w:val="000000"/>
          <w:sz w:val="24"/>
          <w:highlight w:val="none"/>
        </w:rPr>
      </w:pPr>
      <w:r>
        <w:rPr>
          <w:rFonts w:hint="eastAsia" w:ascii="宋体" w:hAnsi="宋体" w:eastAsia="宋体" w:cs="宋体"/>
          <w:b w:val="0"/>
          <w:bCs/>
          <w:i/>
          <w:iCs/>
          <w:color w:val="000000"/>
          <w:sz w:val="24"/>
          <w:highlight w:val="none"/>
        </w:rPr>
      </w:r>
      <w:r/>
    </w:p>
    <w:p>
      <w:pPr>
        <w:pStyle w:val="688"/>
        <w:jc w:val="left"/>
        <w:tabs>
          <w:tab w:val="left" w:pos="1460" w:leader="none"/>
        </w:tabs>
        <w:rPr>
          <w:rFonts w:hint="eastAsia" w:ascii="宋体" w:hAnsi="宋体" w:eastAsia="宋体" w:cs="宋体"/>
          <w:b/>
          <w:color w:val="000000"/>
          <w:highlight w:val="none"/>
        </w:rPr>
      </w:pPr>
      <w:r>
        <w:rPr>
          <w:rFonts w:hint="eastAsia" w:ascii="宋体" w:hAnsi="宋体" w:eastAsia="宋体" w:cs="宋体"/>
          <w:b/>
          <w:color w:val="000000"/>
          <w:highlight w:val="none"/>
        </w:rPr>
      </w:r>
      <w:r/>
      <w:r/>
    </w:p>
    <w:p>
      <w:pPr>
        <w:pStyle w:val="689"/>
        <w:numPr>
          <w:ilvl w:val="0"/>
          <w:numId w:val="0"/>
        </w:numPr>
        <w:tabs>
          <w:tab w:val="left" w:pos="180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highlight w:val="none"/>
        </w:rPr>
        <w:t xml:space="preserve">第四部分．合同书</w:t>
      </w:r>
      <w:r>
        <w:rPr>
          <w:rFonts w:hint="eastAsia" w:ascii="宋体" w:hAnsi="宋体" w:eastAsia="宋体" w:cs="宋体"/>
          <w:b w:val="0"/>
          <w:color w:val="000000"/>
          <w:sz w:val="24"/>
          <w:szCs w:val="24"/>
          <w:highlight w:val="none"/>
        </w:rPr>
        <w:t xml:space="preserve">(格式,投标时不需填写）</w:t>
      </w:r>
      <w:r>
        <w:rPr>
          <w:rFonts w:hint="eastAsia" w:ascii="宋体" w:hAnsi="宋体" w:eastAsia="宋体" w:cs="宋体"/>
          <w:b w:val="0"/>
          <w:color w:val="000000"/>
          <w:sz w:val="24"/>
          <w:szCs w:val="24"/>
          <w:highlight w:val="none"/>
        </w:rPr>
      </w:r>
      <w:r/>
    </w:p>
    <w:p>
      <w:pPr>
        <w:pStyle w:val="688"/>
        <w:spacing w:line="440" w:lineRule="exact"/>
        <w:rPr>
          <w:rFonts w:ascii="宋体" w:hAnsi="宋体" w:cs="宋体"/>
          <w:bCs/>
          <w:color w:val="000000"/>
          <w:sz w:val="24"/>
          <w:highlight w:val="none"/>
          <w:u w:val="single"/>
        </w:rPr>
      </w:pPr>
      <w:r/>
      <w:bookmarkStart w:id="1" w:name="_Toc245033607"/>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lang w:eastAsia="zh-CN"/>
        </w:rPr>
        <w:t xml:space="preserve">无锡市新吴区疾病预防控制中心</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住所：</w:t>
      </w:r>
      <w:r>
        <w:rPr>
          <w:rFonts w:hint="eastAsia" w:ascii="宋体" w:hAnsi="宋体" w:cs="宋体"/>
          <w:bCs/>
          <w:color w:val="000000"/>
          <w:sz w:val="24"/>
          <w:highlight w:val="none"/>
          <w:u w:val="single"/>
          <w:lang w:eastAsia="zh-CN"/>
        </w:rPr>
        <w:t xml:space="preserve">无锡市新吴区汉江路3号</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住所：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numPr>
          <w:ilvl w:val="0"/>
          <w:numId w:val="9"/>
        </w:numPr>
        <w:ind w:left="0" w:firstLine="523"/>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采购项目编号：</w:t>
      </w:r>
      <w:r>
        <w:rPr>
          <w:rFonts w:ascii="宋体" w:hAnsi="宋体" w:cs="宋体"/>
          <w:bCs/>
          <w:color w:val="000000"/>
          <w:sz w:val="24"/>
          <w:highlight w:val="none"/>
          <w:u w:val="single"/>
        </w:rPr>
        <w:t xml:space="preserve">              </w:t>
      </w:r>
      <w:r>
        <w:rPr>
          <w:rFonts w:ascii="宋体" w:hAnsi="宋体" w:cs="宋体"/>
          <w:bCs/>
          <w:color w:val="000000"/>
          <w:sz w:val="24"/>
          <w:highlight w:val="none"/>
        </w:rPr>
      </w:r>
      <w:r/>
    </w:p>
    <w:p>
      <w:pPr>
        <w:pStyle w:val="688"/>
        <w:numPr>
          <w:ilvl w:val="0"/>
          <w:numId w:val="9"/>
        </w:numPr>
        <w:ind w:left="0" w:firstLine="523"/>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采购内容：</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688"/>
        <w:numPr>
          <w:ilvl w:val="0"/>
          <w:numId w:val="9"/>
        </w:numPr>
        <w:ind w:left="0" w:firstLine="523"/>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中标总金额：（大写）</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；（小写）</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元</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88"/>
        <w:numPr>
          <w:ilvl w:val="0"/>
          <w:numId w:val="9"/>
        </w:numPr>
        <w:ind w:left="0" w:firstLine="523"/>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采购设备明细：</w:t>
      </w:r>
      <w:r>
        <w:rPr>
          <w:rFonts w:ascii="宋体" w:hAnsi="宋体" w:cs="宋体"/>
          <w:bCs/>
          <w:color w:val="000000"/>
          <w:sz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2409"/>
        <w:gridCol w:w="1276"/>
        <w:gridCol w:w="709"/>
        <w:gridCol w:w="1559"/>
        <w:gridCol w:w="1559"/>
      </w:tblGrid>
      <w:tr>
        <w:trPr/>
        <w:tc>
          <w:tcPr>
            <w:tcW w:w="1843" w:type="dxa"/>
            <w:vAlign w:val="center"/>
            <w:textDirection w:val="lrTb"/>
            <w:noWrap w:val="false"/>
          </w:tcPr>
          <w:p>
            <w:pPr>
              <w:pStyle w:val="688"/>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设备名称</w:t>
            </w:r>
            <w:r>
              <w:rPr>
                <w:rFonts w:ascii="宋体" w:hAnsi="宋体" w:cs="宋体"/>
                <w:bCs/>
                <w:color w:val="000000"/>
                <w:highlight w:val="none"/>
              </w:rPr>
            </w:r>
            <w:r/>
          </w:p>
        </w:tc>
        <w:tc>
          <w:tcPr>
            <w:tcW w:w="2409" w:type="dxa"/>
            <w:vAlign w:val="center"/>
            <w:textDirection w:val="lrTb"/>
            <w:noWrap w:val="false"/>
          </w:tcPr>
          <w:p>
            <w:pPr>
              <w:pStyle w:val="688"/>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生产厂家</w:t>
            </w:r>
            <w:r>
              <w:rPr>
                <w:rFonts w:ascii="宋体" w:hAnsi="宋体" w:cs="宋体"/>
                <w:bCs/>
                <w:color w:val="000000"/>
                <w:highlight w:val="none"/>
              </w:rPr>
            </w:r>
            <w:r/>
          </w:p>
        </w:tc>
        <w:tc>
          <w:tcPr>
            <w:tcW w:w="1276" w:type="dxa"/>
            <w:vAlign w:val="center"/>
            <w:textDirection w:val="lrTb"/>
            <w:noWrap w:val="false"/>
          </w:tcPr>
          <w:p>
            <w:pPr>
              <w:pStyle w:val="688"/>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规格型号</w:t>
            </w:r>
            <w:r>
              <w:rPr>
                <w:rFonts w:ascii="宋体" w:hAnsi="宋体" w:cs="宋体"/>
                <w:bCs/>
                <w:color w:val="000000"/>
                <w:highlight w:val="none"/>
              </w:rPr>
            </w:r>
            <w:r/>
          </w:p>
        </w:tc>
        <w:tc>
          <w:tcPr>
            <w:tcW w:w="709" w:type="dxa"/>
            <w:vAlign w:val="center"/>
            <w:textDirection w:val="lrTb"/>
            <w:noWrap w:val="false"/>
          </w:tcPr>
          <w:p>
            <w:pPr>
              <w:pStyle w:val="688"/>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数量</w:t>
            </w:r>
            <w:r>
              <w:rPr>
                <w:rFonts w:ascii="宋体" w:hAnsi="宋体" w:cs="宋体"/>
                <w:bCs/>
                <w:color w:val="000000"/>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单价（元）</w:t>
            </w:r>
            <w:r>
              <w:rPr>
                <w:rFonts w:ascii="宋体" w:hAnsi="宋体" w:cs="宋体"/>
                <w:bCs/>
                <w:color w:val="000000"/>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highlight w:val="none"/>
                <w:u w:val="single"/>
              </w:rPr>
            </w:pPr>
            <w:r>
              <w:rPr>
                <w:rFonts w:hint="eastAsia" w:ascii="宋体" w:hAnsi="宋体" w:cs="宋体"/>
                <w:bCs/>
                <w:color w:val="000000"/>
                <w:highlight w:val="none"/>
              </w:rPr>
              <w:t xml:space="preserve">成交总价（元）</w:t>
            </w:r>
            <w:r>
              <w:rPr>
                <w:rFonts w:ascii="宋体" w:hAnsi="宋体" w:cs="宋体"/>
                <w:bCs/>
                <w:color w:val="000000"/>
                <w:highlight w:val="none"/>
                <w:u w:val="single"/>
              </w:rPr>
            </w:r>
            <w:r/>
          </w:p>
        </w:tc>
      </w:tr>
      <w:tr>
        <w:trPr>
          <w:trHeight w:val="480"/>
        </w:trPr>
        <w:tc>
          <w:tcPr>
            <w:tcW w:w="1843" w:type="dxa"/>
            <w:vAlign w:val="center"/>
            <w:textDirection w:val="lrTb"/>
            <w:noWrap w:val="false"/>
          </w:tcPr>
          <w:p>
            <w:pPr>
              <w:pStyle w:val="688"/>
              <w:jc w:val="center"/>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24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276"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7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r>
      <w:tr>
        <w:trPr>
          <w:trHeight w:val="480"/>
        </w:trPr>
        <w:tc>
          <w:tcPr>
            <w:tcW w:w="1843" w:type="dxa"/>
            <w:vAlign w:val="center"/>
            <w:textDirection w:val="lrTb"/>
            <w:noWrap w:val="false"/>
          </w:tcPr>
          <w:p>
            <w:pPr>
              <w:pStyle w:val="688"/>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24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276"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7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r>
      <w:tr>
        <w:trPr>
          <w:trHeight w:val="480"/>
        </w:trPr>
        <w:tc>
          <w:tcPr>
            <w:tcW w:w="1843" w:type="dxa"/>
            <w:vAlign w:val="center"/>
            <w:textDirection w:val="lrTb"/>
            <w:noWrap w:val="false"/>
          </w:tcPr>
          <w:p>
            <w:pPr>
              <w:pStyle w:val="688"/>
              <w:jc w:val="center"/>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24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276"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70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c>
          <w:tcPr>
            <w:tcW w:w="1559" w:type="dxa"/>
            <w:vAlign w:val="center"/>
            <w:textDirection w:val="lrTb"/>
            <w:noWrap w:val="false"/>
          </w:tcPr>
          <w:p>
            <w:pPr>
              <w:pStyle w:val="688"/>
              <w:jc w:val="center"/>
              <w:spacing w:line="360" w:lineRule="auto"/>
              <w:rPr>
                <w:rFonts w:ascii="宋体" w:hAnsi="宋体" w:cs="宋体"/>
                <w:bCs/>
                <w:color w:val="000000"/>
                <w:sz w:val="18"/>
                <w:szCs w:val="18"/>
                <w:highlight w:val="none"/>
              </w:rPr>
            </w:pPr>
            <w:r>
              <w:rPr>
                <w:rFonts w:ascii="宋体" w:hAnsi="宋体" w:cs="宋体"/>
                <w:bCs/>
                <w:color w:val="000000"/>
                <w:sz w:val="18"/>
                <w:szCs w:val="18"/>
                <w:highlight w:val="none"/>
              </w:rPr>
            </w:r>
            <w:r/>
          </w:p>
        </w:tc>
      </w:tr>
      <w:tr>
        <w:trPr>
          <w:trHeight w:val="370"/>
        </w:trPr>
        <w:tc>
          <w:tcPr>
            <w:gridSpan w:val="4"/>
            <w:tcW w:w="6237" w:type="dxa"/>
            <w:vAlign w:val="bottom"/>
            <w:textDirection w:val="lrTb"/>
            <w:noWrap w:val="false"/>
          </w:tcPr>
          <w:p>
            <w:pPr>
              <w:pStyle w:val="688"/>
              <w:spacing w:line="360" w:lineRule="auto"/>
              <w:rPr>
                <w:rFonts w:ascii="宋体" w:hAnsi="宋体" w:cs="宋体"/>
                <w:bCs/>
                <w:color w:val="000000"/>
                <w:highlight w:val="none"/>
                <w:u w:val="single"/>
              </w:rPr>
            </w:pPr>
            <w:r>
              <w:rPr>
                <w:rFonts w:hint="eastAsia" w:ascii="宋体" w:hAnsi="宋体" w:cs="宋体"/>
                <w:bCs/>
                <w:color w:val="000000"/>
                <w:highlight w:val="none"/>
              </w:rPr>
              <w:t xml:space="preserve">总计（大写）：人民币 </w:t>
            </w:r>
            <w:r>
              <w:rPr>
                <w:rFonts w:ascii="宋体" w:hAnsi="宋体" w:cs="宋体"/>
                <w:bCs/>
                <w:color w:val="000000"/>
                <w:highlight w:val="none"/>
                <w:u w:val="single"/>
              </w:rPr>
            </w:r>
            <w:r/>
          </w:p>
        </w:tc>
        <w:tc>
          <w:tcPr>
            <w:gridSpan w:val="2"/>
            <w:tcW w:w="3118" w:type="dxa"/>
            <w:vAlign w:val="bottom"/>
            <w:textDirection w:val="lrTb"/>
            <w:noWrap w:val="false"/>
          </w:tcPr>
          <w:p>
            <w:pPr>
              <w:pStyle w:val="688"/>
              <w:spacing w:line="360" w:lineRule="auto"/>
              <w:rPr>
                <w:rFonts w:ascii="宋体" w:hAnsi="宋体" w:cs="宋体"/>
                <w:bCs/>
                <w:color w:val="000000"/>
                <w:highlight w:val="none"/>
                <w:u w:val="single"/>
              </w:rPr>
            </w:pPr>
            <w:r>
              <w:rPr>
                <w:rFonts w:hint="eastAsia" w:ascii="宋体" w:hAnsi="宋体" w:cs="宋体"/>
                <w:bCs/>
                <w:color w:val="000000"/>
                <w:highlight w:val="none"/>
              </w:rPr>
              <w:t xml:space="preserve">（小写）：￥</w:t>
            </w:r>
            <w:r>
              <w:rPr>
                <w:rFonts w:ascii="宋体" w:hAnsi="宋体" w:cs="宋体"/>
                <w:bCs/>
                <w:color w:val="000000"/>
                <w:highlight w:val="none"/>
                <w:u w:val="single"/>
              </w:rPr>
            </w:r>
            <w:r/>
          </w:p>
        </w:tc>
      </w:tr>
    </w:tbl>
    <w:p>
      <w:pPr>
        <w:pStyle w:val="688"/>
        <w:ind w:firstLine="520"/>
        <w:spacing w:line="360" w:lineRule="auto"/>
        <w:tabs>
          <w:tab w:val="left" w:pos="525" w:leader="none"/>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五、质量和包装要求及验收标准：</w:t>
      </w:r>
      <w:r>
        <w:rPr>
          <w:rFonts w:ascii="宋体" w:hAnsi="宋体" w:cs="宋体"/>
          <w:bCs/>
          <w:color w:val="000000"/>
          <w:sz w:val="24"/>
          <w:highlight w:val="none"/>
        </w:rPr>
      </w:r>
      <w:r/>
    </w:p>
    <w:p>
      <w:pPr>
        <w:pStyle w:val="688"/>
        <w:ind w:firstLine="520"/>
        <w:spacing w:line="360" w:lineRule="auto"/>
        <w:tabs>
          <w:tab w:val="left" w:pos="525" w:leader="none"/>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1．供方应严格按照招标文件的有关规定和供方投标文件及本合同的约定提供合格的货物及服务。                                   </w:t>
      </w:r>
      <w:r>
        <w:rPr>
          <w:rFonts w:ascii="宋体" w:hAnsi="宋体" w:cs="宋体"/>
          <w:bCs/>
          <w:color w:val="000000"/>
          <w:sz w:val="24"/>
          <w:highlight w:val="none"/>
        </w:rPr>
      </w:r>
      <w:r/>
    </w:p>
    <w:p>
      <w:pPr>
        <w:pStyle w:val="688"/>
        <w:ind w:firstLine="520"/>
        <w:spacing w:line="360" w:lineRule="auto"/>
        <w:tabs>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hAnsi="宋体" w:cs="宋体"/>
          <w:bCs/>
          <w:color w:val="000000"/>
          <w:sz w:val="24"/>
          <w:highlight w:val="none"/>
        </w:rPr>
      </w:r>
      <w:r/>
    </w:p>
    <w:p>
      <w:pPr>
        <w:pStyle w:val="688"/>
        <w:ind w:firstLine="520"/>
        <w:spacing w:line="360" w:lineRule="auto"/>
        <w:tabs>
          <w:tab w:val="left" w:pos="420" w:leader="none"/>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3．货物的到货验收包括：数量、外观、质量、性能、随机备件、装箱单、质量证书等随机资料及包装完整无破损。</w:t>
      </w:r>
      <w:r>
        <w:rPr>
          <w:rFonts w:ascii="宋体" w:hAnsi="宋体" w:cs="宋体"/>
          <w:bCs/>
          <w:color w:val="000000"/>
          <w:sz w:val="24"/>
          <w:highlight w:val="none"/>
        </w:rPr>
      </w:r>
      <w:r/>
    </w:p>
    <w:p>
      <w:pPr>
        <w:pStyle w:val="688"/>
        <w:ind w:firstLine="520"/>
        <w:spacing w:line="360" w:lineRule="auto"/>
        <w:tabs>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4．货物和系统调试验收标准：按行业通行标准、厂方出厂标准、招标文件要求和供方投标文件的承诺，并不低于国家相关标准。</w:t>
      </w:r>
      <w:r>
        <w:rPr>
          <w:rFonts w:ascii="宋体" w:hAnsi="宋体" w:cs="宋体"/>
          <w:bCs/>
          <w:color w:val="000000"/>
          <w:sz w:val="24"/>
          <w:highlight w:val="none"/>
        </w:rPr>
      </w:r>
      <w:r/>
    </w:p>
    <w:p>
      <w:pPr>
        <w:pStyle w:val="688"/>
        <w:ind w:firstLine="520"/>
        <w:spacing w:line="360" w:lineRule="auto"/>
        <w:tabs>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5．货物运到需方指定地点并经需方验证签收后，由于需方保管不善造成的质量问题，供方应负责修理，但有关费用由需方承担。</w:t>
      </w:r>
      <w:r>
        <w:rPr>
          <w:rFonts w:ascii="宋体" w:hAnsi="宋体" w:cs="宋体"/>
          <w:bCs/>
          <w:color w:val="000000"/>
          <w:sz w:val="24"/>
          <w:highlight w:val="none"/>
        </w:rPr>
      </w:r>
      <w:r/>
    </w:p>
    <w:p>
      <w:pPr>
        <w:pStyle w:val="688"/>
        <w:ind w:firstLine="520"/>
        <w:spacing w:line="360" w:lineRule="auto"/>
        <w:tabs>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6. 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ascii="宋体" w:hAnsi="宋体" w:cs="宋体"/>
          <w:bCs/>
          <w:color w:val="000000"/>
          <w:sz w:val="24"/>
          <w:highlight w:val="none"/>
        </w:rPr>
      </w:r>
      <w:r/>
    </w:p>
    <w:p>
      <w:pPr>
        <w:pStyle w:val="688"/>
        <w:ind w:firstLine="520"/>
        <w:spacing w:line="360" w:lineRule="auto"/>
        <w:tabs>
          <w:tab w:val="left" w:pos="105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7. 需方不得擅自变更招投标文件约定的性能、指标等相关内容，如有变更应按《中华人民共和国政府采购法》、财政部《政府采购货物和服务招标投标管理办法》的相关程序执行。</w:t>
      </w:r>
      <w:r>
        <w:rPr>
          <w:rFonts w:ascii="宋体" w:hAnsi="宋体" w:cs="宋体"/>
          <w:bCs/>
          <w:color w:val="000000"/>
          <w:sz w:val="24"/>
          <w:highlight w:val="none"/>
        </w:rPr>
      </w:r>
      <w:r/>
    </w:p>
    <w:p>
      <w:pPr>
        <w:pStyle w:val="688"/>
        <w:ind w:firstLine="480"/>
        <w:keepLines w:val="0"/>
        <w:keepNext w:val="0"/>
        <w:pageBreakBefore w:val="0"/>
        <w:spacing w:line="440" w:lineRule="exact"/>
        <w:widowControl w:val="off"/>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六、交货期或完工期：合同签订后【 </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】天</w:t>
      </w:r>
      <w:r>
        <w:rPr>
          <w:rFonts w:hint="eastAsia" w:ascii="宋体" w:hAnsi="宋体" w:cs="宋体"/>
          <w:bCs/>
          <w:color w:val="000000"/>
          <w:sz w:val="24"/>
          <w:highlight w:val="none"/>
          <w:u w:val="single"/>
        </w:rPr>
        <w:t xml:space="preserve">内完成所有设备的供货、安装、调试以及与之配套的辅助工作，交付采购人正常使用，调试验收合格及交付使用的时间以采购人盖章确认的验收合格文件为准。</w:t>
      </w:r>
      <w:r>
        <w:rPr>
          <w:rFonts w:ascii="宋体" w:hAnsi="宋体" w:cs="宋体"/>
          <w:bCs/>
          <w:color w:val="000000"/>
          <w:sz w:val="24"/>
          <w:highlight w:val="none"/>
        </w:rPr>
      </w:r>
      <w:r/>
    </w:p>
    <w:p>
      <w:pPr>
        <w:pStyle w:val="688"/>
        <w:ind w:left="458"/>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七、交货地点和方式：</w:t>
      </w:r>
      <w:r>
        <w:rPr>
          <w:rFonts w:ascii="宋体" w:hAnsi="宋体" w:cs="宋体"/>
          <w:bCs/>
          <w:color w:val="000000"/>
          <w:sz w:val="24"/>
          <w:highlight w:val="none"/>
        </w:rPr>
      </w:r>
      <w:r/>
    </w:p>
    <w:p>
      <w:pPr>
        <w:pStyle w:val="688"/>
        <w:ind w:firstLine="52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1．供方在验收时应先用信函、传真、电子邮件等书面方式通知需方。</w:t>
      </w:r>
      <w:r>
        <w:rPr>
          <w:rFonts w:ascii="宋体" w:hAnsi="宋体" w:cs="宋体"/>
          <w:bCs/>
          <w:color w:val="000000"/>
          <w:sz w:val="24"/>
          <w:highlight w:val="none"/>
        </w:rPr>
      </w:r>
      <w:r/>
    </w:p>
    <w:p>
      <w:pPr>
        <w:pStyle w:val="688"/>
        <w:ind w:firstLine="52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 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hAnsi="宋体" w:cs="宋体"/>
          <w:bCs/>
          <w:color w:val="000000"/>
          <w:sz w:val="24"/>
          <w:highlight w:val="none"/>
        </w:rPr>
      </w:r>
      <w:r/>
    </w:p>
    <w:p>
      <w:pPr>
        <w:pStyle w:val="688"/>
        <w:ind w:firstLine="52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8"/>
          <w:highlight w:val="none"/>
        </w:rPr>
        <w:t xml:space="preserve"> </w:t>
      </w:r>
      <w:r>
        <w:rPr>
          <w:rFonts w:hint="eastAsia" w:ascii="宋体" w:hAnsi="宋体" w:cs="宋体"/>
          <w:bCs/>
          <w:color w:val="000000"/>
          <w:sz w:val="24"/>
          <w:highlight w:val="none"/>
        </w:rPr>
        <w:t xml:space="preserve">货物交货时，所有货物必须带有货物质量检验合格证书、中文质保单、装箱单、中文货物安装使用说明书。其它附件所有部件必须原包装。</w:t>
      </w:r>
      <w:r>
        <w:rPr>
          <w:rFonts w:ascii="宋体" w:hAnsi="宋体" w:cs="宋体"/>
          <w:bCs/>
          <w:color w:val="000000"/>
          <w:sz w:val="24"/>
          <w:highlight w:val="none"/>
        </w:rPr>
      </w:r>
      <w:r/>
    </w:p>
    <w:p>
      <w:pPr>
        <w:pStyle w:val="688"/>
        <w:ind w:firstLine="480"/>
        <w:keepLines w:val="0"/>
        <w:keepNext w:val="0"/>
        <w:pageBreakBefore w:val="0"/>
        <w:spacing w:line="440" w:lineRule="exact"/>
        <w:widowControl w:val="off"/>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4. 运输及到货地点：由供方负责办理运输并承担所有费用，直接送到需方指定地点，即：</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无锡市新吴区疾病预防控制中心</w:t>
      </w:r>
      <w:r>
        <w:rPr>
          <w:rFonts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88"/>
        <w:ind w:left="458"/>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八、货款支付步骤和办法</w:t>
      </w:r>
      <w:r>
        <w:rPr>
          <w:rFonts w:ascii="宋体" w:hAnsi="宋体" w:cs="宋体"/>
          <w:bCs/>
          <w:color w:val="000000"/>
          <w:sz w:val="24"/>
          <w:highlight w:val="none"/>
        </w:rPr>
      </w:r>
      <w:r/>
    </w:p>
    <w:p>
      <w:pPr>
        <w:pStyle w:val="688"/>
        <w:ind w:firstLine="52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设备验收合格后首付50%，正常使用</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个月后付40%，余款10%在产品验收合格并正常使用1年内付清。</w:t>
      </w:r>
      <w:r>
        <w:rPr>
          <w:rFonts w:ascii="宋体" w:hAnsi="宋体" w:cs="宋体"/>
          <w:bCs/>
          <w:color w:val="000000"/>
          <w:sz w:val="24"/>
          <w:highlight w:val="none"/>
        </w:rPr>
      </w:r>
      <w:r/>
    </w:p>
    <w:p>
      <w:pPr>
        <w:pStyle w:val="688"/>
        <w:ind w:firstLine="480"/>
        <w:spacing w:line="360" w:lineRule="auto"/>
        <w:tabs>
          <w:tab w:val="left" w:pos="525" w:leader="none"/>
          <w:tab w:val="left" w:pos="840"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九、售后服务： </w:t>
      </w:r>
      <w:r>
        <w:rPr>
          <w:rFonts w:ascii="宋体" w:hAnsi="宋体" w:cs="宋体"/>
          <w:bCs/>
          <w:color w:val="000000"/>
          <w:sz w:val="24"/>
          <w:highlight w:val="none"/>
        </w:rPr>
      </w:r>
      <w:r/>
    </w:p>
    <w:p>
      <w:pPr>
        <w:pStyle w:val="688"/>
        <w:ind w:firstLine="480"/>
        <w:spacing w:line="360" w:lineRule="auto"/>
        <w:tabs>
          <w:tab w:val="left" w:pos="525" w:leader="none"/>
          <w:tab w:val="left" w:pos="840"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1.供方负责本项目的安装和调试，并保证其提供的货物符合国家、行业、地方、招投标文件及合同规定的质量、性能和标准，并正确且安全地安装。</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2.供方提供的服务全部按照国家有关法律法规规章和“三包”规定以及按招标文件要求和供方投标文件中的承诺执行。</w:t>
      </w:r>
      <w:r>
        <w:rPr>
          <w:rFonts w:ascii="宋体" w:hAnsi="宋体" w:cs="宋体"/>
          <w:bCs/>
          <w:color w:val="000000"/>
          <w:sz w:val="24"/>
          <w:highlight w:val="none"/>
        </w:rPr>
      </w:r>
      <w:r/>
    </w:p>
    <w:p>
      <w:pPr>
        <w:pStyle w:val="688"/>
        <w:ind w:firstLine="480"/>
        <w:spacing w:line="360" w:lineRule="auto"/>
        <w:tabs>
          <w:tab w:val="left" w:pos="525" w:leader="none"/>
          <w:tab w:val="left" w:pos="840" w:leader="none"/>
          <w:tab w:val="left" w:pos="945" w:leader="none"/>
          <w:tab w:val="left" w:pos="1050" w:leader="none"/>
        </w:tabs>
        <w:rPr>
          <w:rFonts w:ascii="宋体" w:hAnsi="宋体"/>
          <w:bCs/>
          <w:color w:val="000000"/>
          <w:sz w:val="24"/>
          <w:highlight w:val="none"/>
        </w:rPr>
      </w:pPr>
      <w:r>
        <w:rPr>
          <w:rFonts w:hint="eastAsia" w:ascii="宋体" w:hAnsi="宋体" w:cs="宋体"/>
          <w:bCs/>
          <w:color w:val="000000"/>
          <w:sz w:val="24"/>
          <w:highlight w:val="none"/>
        </w:rPr>
        <w:t xml:space="preserve">3.经双方协商，从交货并调试验收合格之日起，货物质保期为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年。质保期内设备出现质量问题的，供方应当无偿修理，故障排除时间不超过需方报故障后24小时。</w:t>
      </w:r>
      <w:r>
        <w:rPr>
          <w:rFonts w:hint="eastAsia" w:ascii="宋体" w:hAnsi="宋体"/>
          <w:bCs/>
          <w:color w:val="000000"/>
          <w:sz w:val="24"/>
          <w:highlight w:val="none"/>
        </w:rPr>
        <w:t xml:space="preserve">若供方未在上述时间内排除</w:t>
      </w:r>
      <w:r>
        <w:rPr>
          <w:rFonts w:hint="eastAsia" w:ascii="宋体" w:hAnsi="宋体" w:eastAsia="宋体" w:cs="Times New Roman"/>
          <w:bCs/>
          <w:color w:val="000000"/>
          <w:sz w:val="24"/>
          <w:highlight w:val="none"/>
        </w:rPr>
        <w:t xml:space="preserve">故障的，</w:t>
      </w:r>
      <w:r>
        <w:rPr>
          <w:rFonts w:hint="eastAsia" w:ascii="宋体" w:hAnsi="宋体" w:eastAsia="宋体" w:cs="Times New Roman"/>
          <w:bCs/>
          <w:color w:val="000000"/>
          <w:sz w:val="24"/>
          <w:highlight w:val="none"/>
          <w:lang w:eastAsia="zh-CN"/>
        </w:rPr>
        <w:t xml:space="preserve">供方赔偿需方损失</w:t>
      </w:r>
      <w:r>
        <w:rPr>
          <w:rFonts w:hint="eastAsia" w:ascii="宋体" w:hAnsi="宋体" w:eastAsia="宋体" w:cs="Times New Roman"/>
          <w:bCs/>
          <w:color w:val="000000"/>
          <w:sz w:val="24"/>
          <w:highlight w:val="none"/>
          <w:lang w:val="en-US" w:eastAsia="zh-CN"/>
        </w:rPr>
        <w:t xml:space="preserve">5000元/次，</w:t>
      </w:r>
      <w:r>
        <w:rPr>
          <w:rFonts w:hint="eastAsia" w:ascii="宋体" w:hAnsi="宋体" w:eastAsia="宋体" w:cs="Times New Roman"/>
          <w:bCs/>
          <w:color w:val="000000"/>
          <w:sz w:val="24"/>
          <w:highlight w:val="none"/>
        </w:rPr>
        <w:t xml:space="preserve">质保期外设备出现质量问题的，供方应在报故障后24小时内排除故障，并按照成本价向需方收</w:t>
      </w:r>
      <w:r>
        <w:rPr>
          <w:rFonts w:hint="eastAsia" w:ascii="宋体" w:hAnsi="宋体"/>
          <w:bCs/>
          <w:color w:val="000000"/>
          <w:sz w:val="24"/>
          <w:highlight w:val="none"/>
        </w:rPr>
        <w:t xml:space="preserve">取费用。</w:t>
      </w:r>
      <w:r>
        <w:rPr>
          <w:rFonts w:ascii="宋体" w:hAnsi="宋体"/>
          <w:bCs/>
          <w:color w:val="000000"/>
          <w:sz w:val="24"/>
          <w:highlight w:val="none"/>
        </w:rPr>
      </w:r>
      <w:r/>
    </w:p>
    <w:p>
      <w:pPr>
        <w:pStyle w:val="688"/>
        <w:ind w:firstLine="480"/>
        <w:spacing w:line="360" w:lineRule="auto"/>
        <w:tabs>
          <w:tab w:val="left" w:pos="525" w:leader="none"/>
          <w:tab w:val="left" w:pos="840"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4.需方应向供方现场调试的技术人员及维修人员提供方便条件，有关费用由供方负责。</w:t>
      </w:r>
      <w:r>
        <w:rPr>
          <w:rFonts w:ascii="宋体" w:hAnsi="宋体" w:cs="宋体"/>
          <w:bCs/>
          <w:color w:val="000000"/>
          <w:sz w:val="24"/>
          <w:highlight w:val="none"/>
        </w:rPr>
      </w:r>
      <w:r/>
    </w:p>
    <w:p>
      <w:pPr>
        <w:pStyle w:val="688"/>
        <w:ind w:firstLine="480"/>
        <w:spacing w:line="360" w:lineRule="auto"/>
        <w:tabs>
          <w:tab w:val="left" w:pos="525" w:leader="none"/>
          <w:tab w:val="left" w:pos="840"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5.需方如要求供方提供招标文件及供方投标文件以外的其它服务，其费用另定。</w:t>
      </w:r>
      <w:r>
        <w:rPr>
          <w:rFonts w:ascii="宋体" w:hAnsi="宋体" w:cs="宋体"/>
          <w:bCs/>
          <w:color w:val="000000"/>
          <w:sz w:val="24"/>
          <w:highlight w:val="none"/>
        </w:rPr>
      </w:r>
      <w:r/>
    </w:p>
    <w:p>
      <w:pPr>
        <w:pStyle w:val="688"/>
        <w:ind w:left="456"/>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十、违约责任：</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3.需方无正当理由逾期付款时，每逾期一日，需方应按照逾期付款金额的万分之五的标准累计计算向供方支付违约金。</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4.由于需方的原因要求延期交货，需方应按规定承付货款，并承担供方提供的代为保管费。（有关仓储规定另议）</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5.供方如无不可抗力，又未履行招标文件、投标文件和合同条款的，一经查实，由供方赔偿由此给需方造成的损失，并按照合同总价的30%向需方支付违约金，</w:t>
      </w:r>
      <w:r>
        <w:rPr>
          <w:rFonts w:hint="eastAsia" w:ascii="宋体" w:hAnsi="宋体"/>
          <w:bCs/>
          <w:color w:val="000000"/>
          <w:sz w:val="24"/>
          <w:highlight w:val="none"/>
        </w:rPr>
        <w:t xml:space="preserve">并赔偿需方因此遭受的全部损失。</w:t>
      </w:r>
      <w:r>
        <w:rPr>
          <w:rFonts w:hint="eastAsia" w:ascii="宋体" w:hAnsi="宋体" w:cs="宋体"/>
          <w:bCs/>
          <w:color w:val="000000"/>
          <w:sz w:val="24"/>
          <w:highlight w:val="none"/>
        </w:rPr>
        <w:t xml:space="preserve">因招、投标产生的其他责任及后果按招标文件的相关要求及处理方式执行。</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所有维权费用）。供方并应按照合同总价的20%向需方支付违约金，如给需方造成其他损失的，供方还应负责赔偿。</w:t>
      </w:r>
      <w:r>
        <w:rPr>
          <w:rFonts w:ascii="宋体" w:hAnsi="宋体" w:cs="宋体"/>
          <w:bCs/>
          <w:color w:val="000000"/>
          <w:sz w:val="24"/>
          <w:highlight w:val="none"/>
        </w:rPr>
      </w:r>
      <w:r/>
    </w:p>
    <w:p>
      <w:pPr>
        <w:pStyle w:val="688"/>
        <w:ind w:firstLine="480"/>
        <w:keepLines w:val="0"/>
        <w:keepNext w:val="0"/>
        <w:pageBreakBefore w:val="0"/>
        <w:spacing w:line="360" w:lineRule="auto"/>
        <w:widowControl w:val="off"/>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cs="宋体"/>
          <w:bCs/>
          <w:color w:val="000000"/>
          <w:sz w:val="24"/>
          <w:highlight w:val="none"/>
        </w:rPr>
      </w:r>
      <w:r/>
    </w:p>
    <w:p>
      <w:pPr>
        <w:pStyle w:val="688"/>
        <w:ind w:left="0" w:firstLine="456"/>
        <w:spacing w:line="360" w:lineRule="auto"/>
        <w:tabs>
          <w:tab w:val="left" w:pos="105"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8.招标文件及合同中所述之“不可抗力”系指不可预见、不可避免、不可克服的事件，包括但不限于：战争、洪水、台风、地震及其他法律、法规规定的事件。</w:t>
      </w:r>
      <w:r>
        <w:rPr>
          <w:rFonts w:ascii="宋体" w:hAnsi="宋体" w:cs="宋体"/>
          <w:bCs/>
          <w:color w:val="000000"/>
          <w:sz w:val="24"/>
          <w:highlight w:val="none"/>
        </w:rPr>
      </w:r>
      <w:r/>
    </w:p>
    <w:p>
      <w:pPr>
        <w:pStyle w:val="688"/>
        <w:ind w:left="0" w:firstLine="480"/>
        <w:spacing w:line="360" w:lineRule="auto"/>
        <w:tabs>
          <w:tab w:val="left" w:pos="105" w:leader="none"/>
          <w:tab w:val="left" w:pos="525" w:leader="none"/>
          <w:tab w:val="left" w:pos="945" w:leader="none"/>
        </w:tabs>
        <w:rPr>
          <w:rFonts w:ascii="宋体" w:hAnsi="宋体" w:cs="宋体"/>
          <w:bCs/>
          <w:color w:val="000000"/>
          <w:sz w:val="24"/>
          <w:highlight w:val="none"/>
        </w:rPr>
      </w:pPr>
      <w:r>
        <w:rPr>
          <w:rFonts w:ascii="宋体" w:hAnsi="宋体" w:cs="宋体"/>
          <w:bCs/>
          <w:color w:val="000000"/>
          <w:sz w:val="24"/>
          <w:highlight w:val="none"/>
        </w:rPr>
        <w:t xml:space="preserve">9.</w:t>
      </w:r>
      <w:r>
        <w:rPr>
          <w:rFonts w:hint="eastAsia" w:ascii="宋体" w:hAnsi="宋体" w:cs="宋体"/>
          <w:bCs/>
          <w:color w:val="000000"/>
          <w:sz w:val="24"/>
          <w:highlight w:val="none"/>
        </w:rPr>
        <w:t xml:space="preserve">上述所称损失，包括但不限于直接损失、可得利益损失、维权费用开支、诉讼费、仲裁费、律师费、公告费、执行费、担保费、保全费、交通费、差旅费等。</w:t>
      </w:r>
      <w:r>
        <w:rPr>
          <w:rFonts w:ascii="宋体" w:hAnsi="宋体" w:cs="宋体"/>
          <w:bCs/>
          <w:color w:val="000000"/>
          <w:sz w:val="24"/>
          <w:highlight w:val="none"/>
        </w:rPr>
      </w:r>
      <w:r/>
    </w:p>
    <w:p>
      <w:pPr>
        <w:pStyle w:val="688"/>
        <w:ind w:left="458"/>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十一、解决争议的方式：</w:t>
      </w:r>
      <w:r>
        <w:rPr>
          <w:rFonts w:ascii="宋体" w:hAnsi="宋体" w:cs="宋体"/>
          <w:bCs/>
          <w:color w:val="000000"/>
          <w:sz w:val="24"/>
          <w:highlight w:val="none"/>
        </w:rPr>
      </w:r>
      <w:r/>
    </w:p>
    <w:p>
      <w:pPr>
        <w:pStyle w:val="688"/>
        <w:numPr>
          <w:ilvl w:val="0"/>
          <w:numId w:val="10"/>
        </w:numPr>
        <w:ind w:left="0" w:firstLine="520"/>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合同经供需双方代表签字并盖章后即生效。</w:t>
      </w:r>
      <w:r>
        <w:rPr>
          <w:rFonts w:ascii="宋体" w:hAnsi="宋体" w:cs="宋体"/>
          <w:bCs/>
          <w:color w:val="000000"/>
          <w:sz w:val="24"/>
          <w:highlight w:val="none"/>
        </w:rPr>
      </w:r>
      <w:r/>
    </w:p>
    <w:p>
      <w:pPr>
        <w:pStyle w:val="688"/>
        <w:numPr>
          <w:ilvl w:val="0"/>
          <w:numId w:val="10"/>
        </w:numPr>
        <w:ind w:left="0" w:firstLine="520"/>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bCs/>
          <w:color w:val="000000"/>
          <w:sz w:val="24"/>
          <w:highlight w:val="none"/>
          <w:u w:val="single"/>
        </w:rPr>
        <w:t xml:space="preserve"> 2  </w:t>
      </w:r>
      <w:r>
        <w:rPr>
          <w:rFonts w:hint="eastAsia" w:ascii="宋体" w:hAnsi="宋体" w:cs="宋体"/>
          <w:bCs/>
          <w:color w:val="000000"/>
          <w:sz w:val="24"/>
          <w:highlight w:val="none"/>
        </w:rPr>
        <w:t xml:space="preserve">方式处理：</w:t>
      </w:r>
      <w:r>
        <w:rPr>
          <w:rFonts w:ascii="宋体" w:hAnsi="宋体" w:cs="宋体"/>
          <w:bCs/>
          <w:color w:val="000000"/>
          <w:sz w:val="24"/>
          <w:highlight w:val="none"/>
        </w:rPr>
      </w:r>
      <w:r/>
    </w:p>
    <w:p>
      <w:pPr>
        <w:pStyle w:val="688"/>
        <w:ind w:left="521"/>
        <w:spacing w:line="360" w:lineRule="auto"/>
        <w:tabs>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（1）向无锡仲裁委员会申请仲裁。</w:t>
      </w:r>
      <w:r>
        <w:rPr>
          <w:rFonts w:ascii="宋体" w:hAnsi="宋体" w:cs="宋体"/>
          <w:bCs/>
          <w:color w:val="000000"/>
          <w:sz w:val="24"/>
          <w:highlight w:val="none"/>
        </w:rPr>
      </w:r>
      <w:r/>
    </w:p>
    <w:p>
      <w:pPr>
        <w:pStyle w:val="688"/>
        <w:ind w:left="521"/>
        <w:spacing w:line="360" w:lineRule="auto"/>
        <w:tabs>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（2）向需方所在地法院提起诉讼。</w:t>
      </w:r>
      <w:r>
        <w:rPr>
          <w:rFonts w:ascii="宋体" w:hAnsi="宋体" w:cs="宋体"/>
          <w:bCs/>
          <w:color w:val="000000"/>
          <w:sz w:val="24"/>
          <w:highlight w:val="none"/>
        </w:rPr>
      </w:r>
      <w:r/>
    </w:p>
    <w:p>
      <w:pPr>
        <w:pStyle w:val="688"/>
        <w:numPr>
          <w:ilvl w:val="0"/>
          <w:numId w:val="10"/>
        </w:numPr>
        <w:ind w:left="0" w:firstLine="520"/>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ascii="宋体" w:hAnsi="宋体" w:cs="宋体"/>
          <w:bCs/>
          <w:color w:val="000000"/>
          <w:sz w:val="24"/>
          <w:highlight w:val="none"/>
        </w:rPr>
      </w:r>
      <w:r/>
    </w:p>
    <w:p>
      <w:pPr>
        <w:pStyle w:val="688"/>
        <w:numPr>
          <w:ilvl w:val="0"/>
          <w:numId w:val="10"/>
        </w:numPr>
        <w:ind w:left="0" w:firstLine="520"/>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合同中未有约定的按照有关的法律法规以及国家行业标准或技术文件规定予以解决。</w:t>
      </w:r>
      <w:r>
        <w:rPr>
          <w:rFonts w:ascii="宋体" w:hAnsi="宋体" w:cs="宋体"/>
          <w:bCs/>
          <w:color w:val="000000"/>
          <w:sz w:val="24"/>
          <w:highlight w:val="none"/>
        </w:rPr>
      </w:r>
      <w:r/>
    </w:p>
    <w:p>
      <w:pPr>
        <w:pStyle w:val="688"/>
        <w:ind w:firstLine="480"/>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十二、其它事项：</w:t>
      </w:r>
      <w:r>
        <w:rPr>
          <w:rFonts w:ascii="宋体" w:hAnsi="宋体" w:cs="宋体"/>
          <w:bCs/>
          <w:color w:val="000000"/>
          <w:sz w:val="24"/>
          <w:highlight w:val="none"/>
        </w:rPr>
      </w:r>
      <w:r/>
    </w:p>
    <w:p>
      <w:pPr>
        <w:pStyle w:val="688"/>
        <w:ind w:left="0" w:firstLine="456"/>
        <w:spacing w:line="360" w:lineRule="auto"/>
        <w:tabs>
          <w:tab w:val="left" w:pos="0" w:leader="none"/>
          <w:tab w:val="left" w:pos="525" w:leader="none"/>
          <w:tab w:val="left" w:pos="945" w:leader="none"/>
        </w:tabs>
        <w:rPr>
          <w:rFonts w:ascii="宋体" w:hAnsi="宋体" w:cs="宋体"/>
          <w:bCs/>
          <w:color w:val="000000"/>
          <w:sz w:val="24"/>
          <w:highlight w:val="none"/>
        </w:rPr>
      </w:pPr>
      <w:r>
        <w:rPr>
          <w:rFonts w:hint="eastAsia" w:ascii="宋体" w:hAnsi="宋体" w:cs="宋体"/>
          <w:bCs/>
          <w:color w:val="000000"/>
          <w:sz w:val="24"/>
          <w:highlight w:val="none"/>
        </w:rPr>
        <w:t xml:space="preserve">供需双方确认：对本合同条款及后果均已知悉，一致确认不存在欺诈、胁迫、乘人之危、重大误解、显失公平等任何可能导致合同无效或被撤销的情形。</w:t>
      </w:r>
      <w:r>
        <w:rPr>
          <w:rFonts w:ascii="宋体" w:hAnsi="宋体" w:cs="宋体"/>
          <w:bCs/>
          <w:color w:val="000000"/>
          <w:sz w:val="24"/>
          <w:highlight w:val="none"/>
        </w:rPr>
      </w:r>
      <w:r/>
    </w:p>
    <w:p>
      <w:pPr>
        <w:pStyle w:val="688"/>
        <w:ind w:left="458"/>
        <w:spacing w:line="440" w:lineRule="exact"/>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十三、合同不可分割部分：</w:t>
      </w:r>
      <w:r>
        <w:rPr>
          <w:rFonts w:ascii="宋体" w:hAnsi="宋体" w:cs="宋体"/>
          <w:bCs/>
          <w:color w:val="000000"/>
          <w:sz w:val="24"/>
          <w:highlight w:val="none"/>
        </w:rPr>
      </w:r>
      <w:r/>
    </w:p>
    <w:p>
      <w:pPr>
        <w:pStyle w:val="688"/>
        <w:ind w:firstLine="480"/>
        <w:spacing w:line="440" w:lineRule="exact"/>
        <w:tabs>
          <w:tab w:val="left" w:pos="210" w:leader="none"/>
          <w:tab w:val="left" w:pos="42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ascii="宋体" w:hAnsi="宋体" w:cs="宋体"/>
          <w:bCs/>
          <w:color w:val="000000"/>
          <w:sz w:val="24"/>
          <w:highlight w:val="none"/>
        </w:rPr>
      </w:r>
      <w:r/>
    </w:p>
    <w:p>
      <w:pPr>
        <w:pStyle w:val="688"/>
        <w:ind w:left="458"/>
        <w:spacing w:line="440" w:lineRule="exact"/>
        <w:tabs>
          <w:tab w:val="left" w:pos="210" w:leader="none"/>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十四、合同生效：</w:t>
      </w:r>
      <w:r>
        <w:rPr>
          <w:rFonts w:ascii="宋体" w:hAnsi="宋体" w:cs="宋体"/>
          <w:bCs/>
          <w:color w:val="000000"/>
          <w:sz w:val="24"/>
          <w:highlight w:val="none"/>
        </w:rPr>
      </w:r>
      <w:r/>
    </w:p>
    <w:p>
      <w:pPr>
        <w:pStyle w:val="688"/>
        <w:spacing w:line="400" w:lineRule="exact"/>
        <w:rPr>
          <w:rFonts w:ascii="宋体" w:hAnsi="宋体" w:cs="宋体"/>
          <w:bCs/>
          <w:color w:val="000000"/>
          <w:sz w:val="24"/>
          <w:highlight w:val="none"/>
        </w:rPr>
      </w:pPr>
      <w:r>
        <w:rPr>
          <w:rFonts w:hint="eastAsia" w:ascii="宋体" w:hAnsi="宋体" w:cs="宋体"/>
          <w:bCs/>
          <w:color w:val="000000"/>
          <w:sz w:val="24"/>
          <w:highlight w:val="none"/>
        </w:rPr>
        <w:tab/>
      </w:r>
      <w:r>
        <w:rPr>
          <w:rFonts w:hint="eastAsia" w:ascii="宋体" w:hAnsi="宋体" w:cs="宋体"/>
          <w:bCs/>
          <w:color w:val="000000"/>
          <w:sz w:val="24"/>
          <w:highlight w:val="none"/>
        </w:rPr>
        <w:t xml:space="preserve">本协议书一式</w:t>
      </w:r>
      <w:r>
        <w:rPr>
          <w:rFonts w:hint="eastAsia" w:ascii="宋体" w:hAnsi="宋体" w:cs="宋体"/>
          <w:bCs/>
          <w:color w:val="000000"/>
          <w:sz w:val="24"/>
          <w:highlight w:val="none"/>
          <w:lang w:eastAsia="zh-CN"/>
        </w:rPr>
        <w:t xml:space="preserve">伍</w:t>
      </w:r>
      <w:r>
        <w:rPr>
          <w:rFonts w:hint="eastAsia" w:ascii="宋体" w:hAnsi="宋体" w:cs="宋体"/>
          <w:bCs/>
          <w:color w:val="000000"/>
          <w:sz w:val="24"/>
          <w:highlight w:val="none"/>
        </w:rPr>
        <w:t xml:space="preserve">份，具有同等法律效力。供需双方各执贰份，</w:t>
      </w:r>
      <w:r>
        <w:rPr>
          <w:rFonts w:hint="eastAsia" w:ascii="宋体" w:hAnsi="宋体" w:cs="宋体"/>
          <w:bCs/>
          <w:color w:val="000000"/>
          <w:sz w:val="24"/>
          <w:highlight w:val="none"/>
          <w:lang w:eastAsia="zh-CN"/>
        </w:rPr>
        <w:t xml:space="preserve">采购代理机构</w:t>
      </w:r>
      <w:r>
        <w:rPr>
          <w:rFonts w:hint="eastAsia" w:ascii="宋体" w:hAnsi="宋体" w:cs="宋体"/>
          <w:bCs/>
          <w:color w:val="000000"/>
          <w:sz w:val="24"/>
          <w:highlight w:val="none"/>
        </w:rPr>
        <w:t xml:space="preserve">执壹份。</w:t>
      </w:r>
      <w:r>
        <w:rPr>
          <w:rFonts w:ascii="宋体" w:hAnsi="宋体" w:cs="宋体"/>
          <w:bCs/>
          <w:color w:val="000000"/>
          <w:sz w:val="24"/>
          <w:highlight w:val="none"/>
        </w:rPr>
      </w:r>
      <w:r/>
    </w:p>
    <w:p>
      <w:pPr>
        <w:pStyle w:val="688"/>
        <w:ind w:left="6000" w:hanging="6000"/>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688"/>
        <w:ind w:left="6000" w:hanging="6000"/>
        <w:spacing w:line="440" w:lineRule="exact"/>
        <w:rPr>
          <w:rFonts w:hint="eastAsia" w:ascii="宋体" w:hAnsi="宋体" w:cs="宋体"/>
          <w:bCs/>
          <w:color w:val="000000"/>
          <w:sz w:val="24"/>
          <w:highlight w:val="none"/>
          <w:lang w:eastAsia="zh-CN"/>
        </w:rPr>
      </w:pPr>
      <w:r/>
      <w:bookmarkEnd w:id="1"/>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lang w:eastAsia="zh-CN"/>
        </w:rPr>
      </w:r>
      <w:r/>
    </w:p>
    <w:p>
      <w:pPr>
        <w:pStyle w:val="688"/>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法定（授权）代表人：</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ascii="宋体" w:hAnsi="宋体" w:cs="宋体"/>
          <w:bCs/>
          <w:color w:val="000000"/>
          <w:sz w:val="24"/>
          <w:highlight w:val="none"/>
          <w:u w:val="single"/>
        </w:rPr>
      </w:r>
      <w:r/>
    </w:p>
    <w:p>
      <w:pPr>
        <w:pStyle w:val="688"/>
        <w:ind w:firstLine="480"/>
        <w:spacing w:line="44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                                供方户名：</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88"/>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供方开户银行：</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688"/>
        <w:jc w:val="left"/>
        <w:rPr>
          <w:rFonts w:ascii="宋体" w:hAnsi="宋体" w:cs="宋体"/>
          <w:bCs/>
          <w:color w:val="000000"/>
          <w:sz w:val="24"/>
          <w:highlight w:val="none"/>
        </w:rPr>
      </w:pPr>
      <w:r>
        <w:rPr>
          <w:rFonts w:ascii="宋体" w:hAnsi="宋体" w:cs="宋体"/>
          <w:bCs/>
          <w:color w:val="000000"/>
          <w:sz w:val="24"/>
          <w:highlight w:val="none"/>
        </w:rPr>
      </w:r>
      <w:r/>
    </w:p>
    <w:p>
      <w:pPr>
        <w:pStyle w:val="688"/>
        <w:jc w:val="left"/>
        <w:rPr>
          <w:rFonts w:ascii="宋体" w:hAnsi="宋体" w:cs="宋体"/>
          <w:bCs/>
          <w:color w:val="000000"/>
          <w:sz w:val="24"/>
          <w:highlight w:val="none"/>
        </w:rPr>
      </w:pPr>
      <w:r>
        <w:rPr>
          <w:rFonts w:ascii="宋体" w:hAnsi="宋体" w:cs="宋体"/>
          <w:bCs/>
          <w:color w:val="000000"/>
          <w:sz w:val="24"/>
          <w:highlight w:val="none"/>
        </w:rPr>
      </w:r>
      <w:r/>
    </w:p>
    <w:p>
      <w:pPr>
        <w:pStyle w:val="688"/>
        <w:rPr>
          <w:rFonts w:ascii="宋体" w:hAnsi="宋体" w:cs="宋体"/>
          <w:bCs/>
          <w:color w:val="000000"/>
          <w:szCs w:val="20"/>
          <w:highlight w:val="none"/>
        </w:rPr>
      </w:pPr>
      <w:r>
        <w:rPr>
          <w:rFonts w:ascii="宋体" w:hAnsi="宋体" w:cs="宋体"/>
          <w:bCs/>
          <w:color w:val="000000"/>
          <w:szCs w:val="20"/>
          <w:highlight w:val="none"/>
        </w:rPr>
      </w:r>
      <w:r/>
    </w:p>
    <w:p>
      <w:pPr>
        <w:pStyle w:val="688"/>
        <w:jc w:val="center"/>
        <w:spacing w:line="560" w:lineRule="exact"/>
        <w:rPr>
          <w:rFonts w:ascii="方正小标宋简体" w:eastAsia="方正小标宋简体"/>
          <w:bCs/>
          <w:color w:val="000000"/>
          <w:sz w:val="44"/>
          <w:szCs w:val="44"/>
          <w:highlight w:val="none"/>
        </w:rPr>
      </w:pPr>
      <w:r>
        <w:rPr>
          <w:rFonts w:hint="eastAsia" w:ascii="方正小标宋简体" w:eastAsia="方正小标宋简体"/>
          <w:bCs/>
          <w:color w:val="000000"/>
          <w:sz w:val="44"/>
          <w:szCs w:val="44"/>
          <w:highlight w:val="none"/>
        </w:rPr>
        <w:t xml:space="preserve">医疗设备购销廉洁协议</w:t>
      </w:r>
      <w:r>
        <w:rPr>
          <w:rFonts w:ascii="方正小标宋简体" w:eastAsia="方正小标宋简体"/>
          <w:bCs/>
          <w:color w:val="000000"/>
          <w:sz w:val="44"/>
          <w:szCs w:val="4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为了进一步加强党风廉政建设，预防业务活动中不规范和违纪违法行为的发生，根据上级有关法律法规和单位行风建设规章制度，（甲方）</w:t>
      </w:r>
      <w:r>
        <w:rPr>
          <w:rFonts w:hint="eastAsia" w:ascii="宋体" w:hAnsi="宋体" w:cs="宋体"/>
          <w:bCs/>
          <w:color w:val="000000"/>
          <w:sz w:val="24"/>
          <w:highlight w:val="none"/>
          <w:u w:val="single"/>
          <w:lang w:eastAsia="zh-CN"/>
        </w:rPr>
        <w:t xml:space="preserve">无锡市新吴区疾病预防控制中心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（医疗卫生单位），（乙方）</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特订立如下协议。</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一、甲乙双方的权利和义务</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（一）双方严格遵守国家有关法律法规及党风廉政的规定。</w:t>
      </w:r>
      <w:r>
        <w:rPr>
          <w:rFonts w:ascii="宋体" w:hAnsi="宋体" w:cs="宋体"/>
          <w:bCs/>
          <w:color w:val="000000"/>
          <w:sz w:val="24"/>
          <w:highlight w:val="none"/>
        </w:rPr>
      </w:r>
      <w:r/>
    </w:p>
    <w:p>
      <w:pPr>
        <w:pStyle w:val="729"/>
        <w:ind w:firstLine="600"/>
        <w:spacing w:line="52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（二）双方的业务活动坚持公开、公正、诚信、透明的原则，不得损害国家、集体和病人的利益，违反行业管理的各项规章制度。</w:t>
      </w:r>
      <w:r>
        <w:rPr>
          <w:rFonts w:ascii="宋体" w:hAnsi="宋体" w:eastAsia="宋体" w:cs="宋体"/>
          <w:bCs/>
          <w:color w:val="000000"/>
          <w:sz w:val="24"/>
          <w:szCs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（三）发现对方在业务活动中有违反廉政规定的行为，有及时提醒对方纠正的权利和义务。</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（四）双方承诺严格遵守本协议，自觉接受双方纪检监察部门的监督。</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二、甲方的义务</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（一）甲方及其工作人员不得索要或接受乙方的钱物。</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（二）甲方工作人员不得私自接受乙方承担费用的旅游、参观、学习培训等活动。</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（三）甲方工作人员要秉公办事，不得营私舞弊，不得以权谋私，获得非法利益。</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（四）甲方工作人员有义务宣传、告知</w:t>
      </w:r>
      <w:r>
        <w:rPr>
          <w:rFonts w:hint="eastAsia" w:ascii="宋体" w:hAnsi="宋体" w:cs="宋体"/>
          <w:bCs/>
          <w:color w:val="000000"/>
          <w:sz w:val="24"/>
          <w:highlight w:val="none"/>
          <w:lang w:eastAsia="zh-CN"/>
        </w:rPr>
        <w:t xml:space="preserve">本单位</w:t>
      </w:r>
      <w:r>
        <w:rPr>
          <w:rFonts w:hint="eastAsia" w:ascii="宋体" w:hAnsi="宋体" w:cs="宋体"/>
          <w:bCs/>
          <w:color w:val="000000"/>
          <w:sz w:val="24"/>
          <w:highlight w:val="none"/>
        </w:rPr>
        <w:t xml:space="preserve">已建立的行风建设制度和规定。</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三、乙方的承诺</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1、不以现金、有价证券、实物或变相组织旅游和娱乐活动等形式贿赂本院管理及医务人员。</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2、不以任何名义为甲方工作人员报销应由个人支付的任何费用。</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3、不以任何理由安排甲方工作人员参加高消费宴请及娱乐活动。</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4、不为甲方工作人员及其家属购置或提供通讯工具、交通工具、高档办公用品和一些其他服务。</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5、不得要求</w:t>
      </w:r>
      <w:r>
        <w:rPr>
          <w:rFonts w:hint="eastAsia" w:ascii="宋体" w:hAnsi="宋体" w:cs="宋体"/>
          <w:bCs/>
          <w:color w:val="000000"/>
          <w:sz w:val="24"/>
          <w:highlight w:val="none"/>
          <w:lang w:eastAsia="zh-CN"/>
        </w:rPr>
        <w:t xml:space="preserve">本单位</w:t>
      </w:r>
      <w:r>
        <w:rPr>
          <w:rFonts w:hint="eastAsia" w:ascii="宋体" w:hAnsi="宋体" w:cs="宋体"/>
          <w:bCs/>
          <w:color w:val="000000"/>
          <w:sz w:val="24"/>
          <w:highlight w:val="none"/>
        </w:rPr>
        <w:t xml:space="preserve">任何部门、任何个人对药品、器械的使用情况进行统计。</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6、遵守“两指”制度。医药器械代表必须在指定时间、指定地点开展活动。</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四、违约责任</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（一）甲方及其工作人员违反本协议，按管理权限，依据有关规定给予党纪、政纪或组织处理；涉嫌犯罪的，移交司法机关追究刑事责任。</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rPr>
          <w:rFonts w:ascii="宋体" w:hAnsi="宋体" w:cs="宋体"/>
          <w:bCs/>
          <w:color w:val="000000"/>
          <w:sz w:val="24"/>
          <w:highlight w:val="none"/>
        </w:rPr>
      </w:r>
      <w:r/>
    </w:p>
    <w:p>
      <w:pPr>
        <w:pStyle w:val="688"/>
        <w:ind w:firstLine="480"/>
        <w:spacing w:line="520" w:lineRule="exact"/>
        <w:rPr>
          <w:rFonts w:ascii="宋体" w:hAnsi="宋体" w:cs="宋体"/>
          <w:bCs/>
          <w:color w:val="000000"/>
          <w:sz w:val="24"/>
          <w:highlight w:val="none"/>
        </w:rPr>
      </w:pPr>
      <w:r>
        <w:rPr>
          <w:rFonts w:ascii="宋体" w:hAnsi="宋体" w:cs="宋体"/>
          <w:bCs/>
          <w:color w:val="000000"/>
          <w:sz w:val="24"/>
          <w:highlight w:val="none"/>
        </w:rPr>
      </w:r>
      <w:r/>
    </w:p>
    <w:p>
      <w:pPr>
        <w:pStyle w:val="688"/>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甲方：</w:t>
      </w:r>
      <w:r>
        <w:rPr>
          <w:rFonts w:hint="eastAsia" w:ascii="宋体" w:hAnsi="宋体" w:cs="宋体"/>
          <w:bCs/>
          <w:color w:val="000000"/>
          <w:sz w:val="24"/>
          <w:highlight w:val="none"/>
          <w:lang w:eastAsia="zh-CN"/>
        </w:rPr>
        <w:t xml:space="preserve">无锡市新吴区疾病预防控制中心</w:t>
      </w:r>
      <w:r>
        <w:rPr>
          <w:rFonts w:hint="eastAsia" w:ascii="宋体" w:hAnsi="宋体" w:cs="宋体"/>
          <w:bCs/>
          <w:color w:val="000000"/>
          <w:sz w:val="24"/>
          <w:highlight w:val="none"/>
        </w:rPr>
        <w:t xml:space="preserve">                乙方：</w:t>
      </w:r>
      <w:r>
        <w:rPr>
          <w:rFonts w:ascii="宋体" w:hAnsi="宋体" w:cs="宋体"/>
          <w:bCs/>
          <w:color w:val="000000"/>
          <w:sz w:val="24"/>
          <w:highlight w:val="none"/>
        </w:rPr>
      </w:r>
      <w:r/>
    </w:p>
    <w:p>
      <w:pPr>
        <w:pStyle w:val="688"/>
        <w:ind w:left="5280" w:hanging="5280"/>
        <w:jc w:val="left"/>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代表签字：                             代表签字：               </w:t>
      </w:r>
      <w:r>
        <w:rPr>
          <w:rFonts w:ascii="宋体" w:hAnsi="宋体" w:cs="宋体"/>
          <w:bCs/>
          <w:color w:val="000000"/>
          <w:sz w:val="24"/>
          <w:highlight w:val="none"/>
        </w:rPr>
      </w:r>
      <w:r/>
    </w:p>
    <w:p>
      <w:pPr>
        <w:pStyle w:val="688"/>
        <w:jc w:val="left"/>
        <w:spacing w:line="520" w:lineRule="exact"/>
        <w:tabs>
          <w:tab w:val="left" w:pos="4320" w:leader="none"/>
        </w:tabs>
        <w:rPr>
          <w:rFonts w:ascii="宋体" w:hAnsi="宋体" w:cs="宋体"/>
          <w:bCs/>
          <w:color w:val="000000"/>
          <w:sz w:val="24"/>
          <w:highlight w:val="none"/>
        </w:rPr>
      </w:pPr>
      <w:r>
        <w:rPr>
          <w:rFonts w:hint="eastAsia" w:ascii="宋体" w:hAnsi="宋体" w:cs="宋体"/>
          <w:bCs/>
          <w:color w:val="000000"/>
          <w:sz w:val="24"/>
          <w:highlight w:val="none"/>
        </w:rPr>
        <w:t xml:space="preserve">日期：                                 日期：                  </w:t>
      </w:r>
      <w:r>
        <w:rPr>
          <w:rFonts w:ascii="宋体" w:hAnsi="宋体" w:cs="宋体"/>
          <w:bCs/>
          <w:color w:val="000000"/>
          <w:sz w:val="2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left"/>
        <w:rPr>
          <w:rFonts w:ascii="宋体" w:hAnsi="宋体" w:cs="宋体"/>
          <w:bCs/>
          <w:color w:val="000000"/>
          <w:sz w:val="24"/>
          <w:highlight w:val="none"/>
        </w:rPr>
      </w:pPr>
      <w:r>
        <w:rPr>
          <w:rFonts w:ascii="宋体" w:hAnsi="宋体" w:cs="宋体"/>
          <w:bCs/>
          <w:color w:val="000000"/>
          <w:sz w:val="24"/>
          <w:highlight w:val="none"/>
        </w:rPr>
      </w:r>
      <w:r/>
    </w:p>
    <w:p>
      <w:pPr>
        <w:pStyle w:val="688"/>
        <w:rPr>
          <w:rFonts w:ascii="宋体" w:hAnsi="宋体" w:cs="宋体"/>
          <w:bCs/>
          <w:color w:val="000000"/>
          <w:szCs w:val="20"/>
          <w:highlight w:val="none"/>
        </w:rPr>
      </w:pPr>
      <w:r>
        <w:rPr>
          <w:rFonts w:ascii="宋体" w:hAnsi="宋体" w:cs="宋体"/>
          <w:bCs/>
          <w:color w:val="000000"/>
          <w:szCs w:val="20"/>
          <w:highlight w:val="none"/>
        </w:rPr>
      </w:r>
      <w:r/>
    </w:p>
    <w:p>
      <w:pPr>
        <w:pStyle w:val="688"/>
        <w:jc w:val="center"/>
        <w:spacing w:line="360" w:lineRule="auto"/>
        <w:rPr>
          <w:rFonts w:ascii="宋体" w:hAnsi="宋体" w:cs="宋体"/>
          <w:bCs/>
          <w:color w:val="000000"/>
          <w:sz w:val="44"/>
          <w:szCs w:val="44"/>
          <w:highlight w:val="none"/>
        </w:rPr>
        <w:outlineLvl w:val="0"/>
      </w:pPr>
      <w:r>
        <w:rPr>
          <w:rFonts w:ascii="宋体" w:hAnsi="宋体" w:cs="宋体"/>
          <w:bCs/>
          <w:color w:val="000000"/>
          <w:sz w:val="44"/>
          <w:szCs w:val="44"/>
          <w:highlight w:val="none"/>
        </w:rPr>
      </w:r>
      <w:r/>
    </w:p>
    <w:p>
      <w:pPr>
        <w:pStyle w:val="733"/>
        <w:ind w:left="1260"/>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688"/>
        <w:jc w:val="left"/>
        <w:rPr>
          <w:rFonts w:ascii="宋体" w:hAnsi="宋体" w:cs="宋体"/>
          <w:bCs/>
          <w:color w:val="000000"/>
          <w:sz w:val="24"/>
          <w:highlight w:val="none"/>
        </w:rPr>
      </w:pPr>
      <w:r>
        <w:rPr>
          <w:rFonts w:ascii="宋体" w:hAnsi="宋体" w:cs="宋体"/>
          <w:bCs/>
          <w:color w:val="000000"/>
          <w:sz w:val="24"/>
          <w:highlight w:val="none"/>
        </w:rPr>
      </w:r>
      <w:r/>
    </w:p>
    <w:p>
      <w:pPr>
        <w:pStyle w:val="688"/>
        <w:rPr>
          <w:rFonts w:ascii="宋体" w:hAnsi="宋体" w:cs="宋体"/>
          <w:bCs/>
          <w:color w:val="000000"/>
          <w:szCs w:val="20"/>
          <w:highlight w:val="none"/>
        </w:rPr>
      </w:pPr>
      <w:r>
        <w:rPr>
          <w:rFonts w:ascii="宋体" w:hAnsi="宋体" w:cs="宋体"/>
          <w:bCs/>
          <w:color w:val="000000"/>
          <w:szCs w:val="20"/>
          <w:highlight w:val="none"/>
        </w:rPr>
      </w:r>
      <w:r/>
    </w:p>
    <w:p>
      <w:pPr>
        <w:pStyle w:val="688"/>
        <w:jc w:val="center"/>
        <w:spacing w:line="360" w:lineRule="auto"/>
        <w:rPr>
          <w:rFonts w:ascii="宋体" w:hAnsi="宋体" w:cs="宋体"/>
          <w:bCs/>
          <w:color w:val="000000"/>
          <w:sz w:val="44"/>
          <w:szCs w:val="44"/>
          <w:highlight w:val="none"/>
        </w:rPr>
        <w:outlineLvl w:val="0"/>
      </w:pPr>
      <w:r>
        <w:rPr>
          <w:rFonts w:ascii="宋体" w:hAnsi="宋体" w:cs="宋体"/>
          <w:bCs/>
          <w:color w:val="000000"/>
          <w:sz w:val="44"/>
          <w:szCs w:val="44"/>
          <w:highlight w:val="none"/>
        </w:rPr>
      </w:r>
      <w:r/>
    </w:p>
    <w:p>
      <w:pPr>
        <w:pStyle w:val="733"/>
        <w:ind w:left="1260"/>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688"/>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733"/>
        <w:ind w:left="1260"/>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688"/>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733"/>
        <w:ind w:left="0"/>
        <w:rPr>
          <w:rFonts w:ascii="宋体" w:hAnsi="宋体" w:cs="宋体"/>
          <w:color w:val="000000"/>
          <w:sz w:val="44"/>
          <w:szCs w:val="44"/>
          <w:highlight w:val="none"/>
        </w:rPr>
      </w:pPr>
      <w:r>
        <w:rPr>
          <w:rFonts w:ascii="宋体" w:hAnsi="宋体" w:cs="宋体"/>
          <w:bCs/>
          <w:color w:val="000000"/>
          <w:sz w:val="44"/>
          <w:szCs w:val="44"/>
          <w:highlight w:val="none"/>
        </w:rPr>
      </w:r>
      <w:r>
        <w:rPr>
          <w:rFonts w:ascii="宋体" w:hAnsi="宋体" w:cs="宋体"/>
          <w:bCs/>
          <w:color w:val="000000"/>
          <w:sz w:val="44"/>
          <w:szCs w:val="44"/>
          <w:highlight w:val="none"/>
        </w:rPr>
      </w:r>
    </w:p>
    <w:p>
      <w:pPr>
        <w:pStyle w:val="733"/>
        <w:ind w:left="0"/>
        <w:rPr>
          <w:rFonts w:ascii="宋体" w:hAnsi="宋体" w:cs="宋体"/>
          <w:color w:val="000000"/>
          <w:sz w:val="44"/>
          <w:szCs w:val="44"/>
          <w:highlight w:val="none"/>
        </w:rPr>
      </w:pPr>
      <w:r>
        <w:rPr>
          <w:rFonts w:ascii="宋体" w:hAnsi="宋体" w:cs="宋体"/>
          <w:bCs/>
          <w:color w:val="000000"/>
          <w:sz w:val="44"/>
          <w:szCs w:val="44"/>
          <w:highlight w:val="none"/>
        </w:rPr>
      </w:r>
      <w:r/>
    </w:p>
    <w:p>
      <w:pPr>
        <w:pStyle w:val="688"/>
        <w:rPr>
          <w:rFonts w:ascii="宋体" w:hAnsi="宋体" w:cs="宋体"/>
          <w:bCs/>
          <w:color w:val="000000"/>
          <w:sz w:val="44"/>
          <w:szCs w:val="44"/>
          <w:highlight w:val="none"/>
        </w:rPr>
      </w:pPr>
      <w:r>
        <w:rPr>
          <w:rFonts w:ascii="宋体" w:hAnsi="宋体" w:cs="宋体"/>
          <w:bCs/>
          <w:color w:val="000000"/>
          <w:sz w:val="44"/>
          <w:szCs w:val="44"/>
          <w:highlight w:val="none"/>
        </w:rPr>
      </w:r>
      <w:r/>
    </w:p>
    <w:p>
      <w:pPr>
        <w:pStyle w:val="688"/>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第五</w:t>
      </w:r>
      <w:r>
        <w:rPr>
          <w:rFonts w:hint="eastAsia" w:ascii="黑体" w:hAnsi="黑体" w:eastAsia="黑体"/>
          <w:color w:val="000000"/>
          <w:sz w:val="36"/>
          <w:szCs w:val="36"/>
          <w:highlight w:val="none"/>
          <w:lang w:eastAsia="zh-CN"/>
        </w:rPr>
        <w:t xml:space="preserve">部分</w:t>
      </w:r>
      <w:r>
        <w:rPr>
          <w:rFonts w:hint="eastAsia" w:ascii="黑体" w:hAnsi="黑体" w:eastAsia="黑体"/>
          <w:color w:val="000000"/>
          <w:sz w:val="36"/>
          <w:szCs w:val="36"/>
          <w:highlight w:val="none"/>
        </w:rPr>
        <w:t xml:space="preserve">  评标方法与评标标准</w:t>
      </w:r>
      <w:r>
        <w:rPr>
          <w:rFonts w:ascii="黑体" w:hAnsi="黑体" w:eastAsia="黑体"/>
          <w:color w:val="000000"/>
          <w:sz w:val="36"/>
          <w:szCs w:val="36"/>
          <w:highlight w:val="none"/>
        </w:rPr>
      </w:r>
      <w:r/>
    </w:p>
    <w:p>
      <w:pPr>
        <w:pStyle w:val="981"/>
        <w:ind w:firstLine="602"/>
        <w:spacing w:before="0" w:after="0" w:line="500" w:lineRule="exact"/>
        <w:rPr>
          <w:rFonts w:cs="Arial"/>
          <w:b/>
          <w:color w:val="000000"/>
          <w:sz w:val="30"/>
          <w:szCs w:val="30"/>
          <w:highlight w:val="none"/>
        </w:rPr>
      </w:pPr>
      <w:r>
        <w:rPr>
          <w:rFonts w:hint="eastAsia" w:cs="Arial"/>
          <w:b/>
          <w:color w:val="000000"/>
          <w:sz w:val="30"/>
          <w:szCs w:val="30"/>
          <w:highlight w:val="none"/>
          <w:lang w:eastAsia="zh-CN"/>
        </w:rPr>
        <w:t xml:space="preserve">一、</w:t>
      </w:r>
      <w:r>
        <w:rPr>
          <w:rFonts w:hint="eastAsia" w:cs="Arial"/>
          <w:b/>
          <w:color w:val="000000"/>
          <w:sz w:val="30"/>
          <w:szCs w:val="30"/>
          <w:highlight w:val="none"/>
        </w:rPr>
        <w:t xml:space="preserve">评标方法</w:t>
      </w:r>
      <w:r>
        <w:rPr>
          <w:rFonts w:cs="Arial"/>
          <w:b/>
          <w:color w:val="000000"/>
          <w:sz w:val="30"/>
          <w:szCs w:val="30"/>
          <w:highlight w:val="none"/>
        </w:rPr>
      </w:r>
      <w:r/>
    </w:p>
    <w:p>
      <w:pPr>
        <w:pStyle w:val="981"/>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981"/>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981"/>
        <w:spacing w:before="0" w:after="0" w:line="500" w:lineRule="exact"/>
        <w:rPr>
          <w:rFonts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ascii="宋体" w:hAnsi="宋体"/>
          <w:bCs/>
          <w:color w:val="000000"/>
          <w:highlight w:val="none"/>
        </w:rPr>
      </w:r>
      <w:r/>
    </w:p>
    <w:p>
      <w:pPr>
        <w:pStyle w:val="981"/>
        <w:spacing w:before="0" w:after="0" w:line="500" w:lineRule="exact"/>
        <w:rPr>
          <w:rFonts w:ascii="宋体" w:hAnsi="宋体"/>
          <w:bCs/>
          <w:color w:val="000000"/>
          <w:highlight w:val="none"/>
        </w:rPr>
      </w:pPr>
      <w:r>
        <w:rPr>
          <w:rFonts w:hint="eastAsia" w:ascii="宋体" w:hAnsi="宋体" w:cs="宋体"/>
          <w:b/>
          <w:bCs w:val="0"/>
          <w:color w:val="000000"/>
          <w:sz w:val="24"/>
          <w:highlight w:val="none"/>
        </w:rPr>
        <w:t xml:space="preserve">本项目</w:t>
      </w:r>
      <w:r>
        <w:rPr>
          <w:rFonts w:hint="eastAsia" w:ascii="宋体" w:hAnsi="宋体" w:cs="宋体"/>
          <w:b/>
          <w:bCs w:val="0"/>
          <w:color w:val="000000"/>
          <w:sz w:val="24"/>
          <w:highlight w:val="none"/>
          <w:lang w:eastAsia="zh-CN"/>
        </w:rPr>
        <w:t xml:space="preserve">核心产品</w:t>
      </w:r>
      <w:r>
        <w:rPr>
          <w:rFonts w:hint="eastAsia" w:ascii="宋体" w:hAnsi="宋体" w:eastAsia="宋体" w:cs="宋体"/>
          <w:b/>
          <w:bCs w:val="0"/>
          <w:color w:val="000000"/>
          <w:sz w:val="24"/>
          <w:highlight w:val="none"/>
          <w:lang w:val="en-US" w:eastAsia="zh-CN"/>
        </w:rPr>
        <w:t xml:space="preserve">微生物鉴定质谱仪。</w:t>
      </w: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981"/>
        <w:spacing w:before="0" w:after="0" w:line="500" w:lineRule="exact"/>
        <w:rPr>
          <w:rFonts w:ascii="宋体" w:hAnsi="宋体"/>
          <w:bCs/>
          <w:color w:val="000000"/>
          <w:highlight w:val="none"/>
        </w:rPr>
      </w:pPr>
      <w:r>
        <w:rPr>
          <w:rFonts w:hint="eastAsia" w:cs="Arial"/>
          <w:b/>
          <w:color w:val="000000"/>
          <w:sz w:val="30"/>
          <w:szCs w:val="30"/>
          <w:highlight w:val="none"/>
          <w:lang w:eastAsia="zh-CN"/>
        </w:rPr>
        <w:t xml:space="preserve">二、</w:t>
      </w:r>
      <w:r>
        <w:rPr>
          <w:rFonts w:hint="eastAsia" w:cs="Arial"/>
          <w:b/>
          <w:color w:val="000000"/>
          <w:sz w:val="30"/>
          <w:szCs w:val="30"/>
          <w:highlight w:val="none"/>
        </w:rPr>
        <w:t xml:space="preserve">评标标准</w:t>
      </w:r>
      <w:r>
        <w:rPr>
          <w:rFonts w:ascii="宋体" w:hAnsi="宋体"/>
          <w:bCs/>
          <w:color w:val="000000"/>
          <w:highlight w:val="none"/>
        </w:rPr>
      </w:r>
      <w:r/>
    </w:p>
    <w:p>
      <w:pPr>
        <w:pStyle w:val="981"/>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lang w:eastAsia="zh-CN"/>
        </w:rPr>
        <w:t xml:space="preserve">（一）、</w:t>
      </w:r>
      <w:r>
        <w:rPr>
          <w:rFonts w:hint="eastAsia" w:ascii="宋体" w:hAnsi="宋体"/>
          <w:b/>
          <w:color w:val="000000"/>
          <w:sz w:val="28"/>
          <w:szCs w:val="28"/>
          <w:highlight w:val="none"/>
        </w:rPr>
        <w:t xml:space="preserve">落实政府采购政策的价格调整</w:t>
      </w:r>
      <w:r>
        <w:rPr>
          <w:rFonts w:hint="eastAsia" w:ascii="宋体" w:hAnsi="宋体"/>
          <w:b/>
          <w:color w:val="000000"/>
          <w:sz w:val="28"/>
          <w:szCs w:val="28"/>
          <w:highlight w:val="none"/>
        </w:rPr>
      </w:r>
      <w:r/>
    </w:p>
    <w:p>
      <w:pPr>
        <w:pStyle w:val="68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8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w:t>
      </w:r>
      <w:r>
        <w:rPr>
          <w:rFonts w:hint="eastAsia" w:ascii="宋体" w:hAnsi="宋体"/>
          <w:bCs/>
          <w:color w:val="000000"/>
          <w:sz w:val="24"/>
          <w:szCs w:val="24"/>
          <w:highlight w:val="none"/>
          <w:lang w:eastAsia="zh-CN"/>
        </w:rPr>
        <w:t xml:space="preserve">部分</w:t>
      </w:r>
      <w:r>
        <w:rPr>
          <w:rFonts w:hint="eastAsia" w:ascii="宋体" w:hAnsi="宋体"/>
          <w:bCs/>
          <w:color w:val="000000"/>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8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即，当小微型企业价格扣除政策和本国产品价格扣除政策同时享受时，按以下计算方式进行计算：供应商参与评审的报价=供应商投标总报价×[1-（小微型企业价格扣除+本国产品价格扣除）]</w:t>
      </w:r>
      <w:r>
        <w:rPr>
          <w:rFonts w:hint="eastAsia" w:ascii="宋体" w:hAnsi="宋体"/>
          <w:bCs/>
          <w:color w:val="000000"/>
          <w:sz w:val="24"/>
          <w:szCs w:val="24"/>
          <w:highlight w:val="none"/>
        </w:rPr>
      </w:r>
      <w:r/>
    </w:p>
    <w:p>
      <w:pPr>
        <w:pStyle w:val="688"/>
        <w:ind w:firstLine="480"/>
        <w:jc w:val="left"/>
        <w:spacing w:line="500" w:lineRule="exact"/>
        <w:rPr>
          <w:rFonts w:hint="eastAsia" w:eastAsia="宋体"/>
          <w:color w:val="000000"/>
          <w:highlight w:val="none"/>
          <w:lang w:eastAsia="zh-CN"/>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例如，供应商总报价1000000元，经认定可以享受小微型企业价格扣除政策以及本国产品价格扣除政策的，则该供应商参与评审的报价为：1000000×[1-（10%+20%）]=700000元</w:t>
      </w:r>
      <w:r>
        <w:rPr>
          <w:rFonts w:hint="eastAsia" w:ascii="宋体" w:hAnsi="宋体"/>
          <w:bCs/>
          <w:color w:val="000000"/>
          <w:sz w:val="24"/>
          <w:szCs w:val="24"/>
          <w:highlight w:val="none"/>
          <w:lang w:eastAsia="zh-CN"/>
        </w:rPr>
        <w:t xml:space="preserve">。</w:t>
      </w:r>
      <w:r>
        <w:rPr>
          <w:rFonts w:hint="eastAsia" w:eastAsia="宋体"/>
          <w:color w:val="000000"/>
          <w:highlight w:val="none"/>
          <w:lang w:eastAsia="zh-CN"/>
        </w:rPr>
      </w:r>
      <w:r/>
    </w:p>
    <w:p>
      <w:pPr>
        <w:pStyle w:val="981"/>
        <w:ind w:firstLine="360"/>
        <w:spacing w:before="0" w:after="0" w:line="500" w:lineRule="exact"/>
        <w:rPr>
          <w:rFonts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lang w:eastAsia="zh-CN"/>
        </w:rPr>
        <w:t xml:space="preserve">（二）、</w:t>
      </w:r>
      <w:r>
        <w:rPr>
          <w:rFonts w:hint="eastAsia" w:ascii="宋体" w:hAnsi="宋体"/>
          <w:b/>
          <w:color w:val="000000"/>
          <w:sz w:val="28"/>
          <w:szCs w:val="28"/>
          <w:highlight w:val="none"/>
        </w:rPr>
        <w:t xml:space="preserve">评分标准</w:t>
      </w:r>
      <w:r>
        <w:rPr>
          <w:rFonts w:ascii="宋体" w:hAnsi="宋体"/>
          <w:color w:val="000000"/>
          <w:highlight w:val="none"/>
          <w:shd w:val="clear" w:color="ffffff" w:fill="d9d9d9"/>
        </w:rPr>
      </w:r>
      <w:r/>
    </w:p>
    <w:p>
      <w:pPr>
        <w:pStyle w:val="688"/>
        <w:ind w:firstLine="472"/>
        <w:spacing w:line="440" w:lineRule="exact"/>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688"/>
        <w:ind w:firstLine="472"/>
        <w:spacing w:line="440" w:lineRule="exact"/>
        <w:rPr>
          <w:rFonts w:hint="eastAsia" w:ascii="Times New Roman" w:hAnsi="宋体" w:eastAsia="宋体" w:cs="宋体"/>
          <w:b/>
          <w:bCs/>
          <w:color w:val="000000"/>
          <w:sz w:val="24"/>
          <w:highlight w:val="none"/>
        </w:rPr>
      </w:pPr>
      <w:r>
        <w:rPr>
          <w:rFonts w:hint="eastAsia" w:ascii="Times New Roman" w:hAnsi="宋体" w:eastAsia="宋体" w:cs="宋体"/>
          <w:b/>
          <w:bCs/>
          <w:color w:val="000000"/>
          <w:sz w:val="24"/>
          <w:highlight w:val="none"/>
        </w:rPr>
        <w:t xml:space="preserve">（1）报价分                        </w:t>
      </w:r>
      <w:r>
        <w:rPr>
          <w:rFonts w:hint="eastAsia" w:ascii="Times New Roman" w:hAnsi="宋体" w:eastAsia="宋体" w:cs="宋体"/>
          <w:b/>
          <w:bCs/>
          <w:color w:val="000000"/>
          <w:sz w:val="24"/>
          <w:highlight w:val="none"/>
          <w:lang w:val="en-US" w:eastAsia="zh-CN"/>
        </w:rPr>
        <w:t xml:space="preserve">   </w:t>
      </w:r>
      <w:r>
        <w:rPr>
          <w:rFonts w:hint="eastAsia" w:ascii="Times New Roman" w:hAnsi="宋体" w:eastAsia="宋体" w:cs="宋体"/>
          <w:b/>
          <w:bCs/>
          <w:color w:val="000000"/>
          <w:sz w:val="24"/>
          <w:highlight w:val="none"/>
        </w:rPr>
        <w:t xml:space="preserve"> </w:t>
      </w:r>
      <w:r>
        <w:rPr>
          <w:rFonts w:hint="eastAsia" w:ascii="Times New Roman" w:hAnsi="宋体" w:eastAsia="宋体" w:cs="宋体"/>
          <w:b/>
          <w:bCs/>
          <w:color w:val="000000"/>
          <w:sz w:val="24"/>
          <w:highlight w:val="none"/>
          <w:lang w:val="en-US" w:eastAsia="zh-CN"/>
        </w:rPr>
        <w:t xml:space="preserve">50</w:t>
      </w:r>
      <w:r>
        <w:rPr>
          <w:rFonts w:hint="eastAsia" w:ascii="Times New Roman" w:hAnsi="宋体" w:eastAsia="宋体" w:cs="宋体"/>
          <w:b/>
          <w:bCs/>
          <w:color w:val="000000"/>
          <w:sz w:val="24"/>
          <w:highlight w:val="none"/>
        </w:rPr>
        <w:t xml:space="preserve">分</w:t>
      </w:r>
      <w:r>
        <w:rPr>
          <w:rFonts w:hint="eastAsia" w:ascii="Times New Roman" w:hAnsi="宋体" w:eastAsia="宋体" w:cs="宋体"/>
          <w:b/>
          <w:bCs/>
          <w:color w:val="000000"/>
          <w:sz w:val="24"/>
          <w:highlight w:val="none"/>
        </w:rPr>
      </w:r>
      <w:r/>
    </w:p>
    <w:p>
      <w:pPr>
        <w:pStyle w:val="688"/>
        <w:ind w:firstLine="472"/>
        <w:spacing w:line="440" w:lineRule="exact"/>
        <w:rPr>
          <w:rFonts w:hint="eastAsia" w:ascii="Times New Roman" w:hAnsi="宋体" w:eastAsia="宋体" w:cs="宋体"/>
          <w:b/>
          <w:bCs/>
          <w:color w:val="000000"/>
          <w:sz w:val="24"/>
          <w:highlight w:val="none"/>
        </w:rPr>
      </w:pPr>
      <w:r>
        <w:rPr>
          <w:rFonts w:hint="eastAsia" w:ascii="Times New Roman" w:hAnsi="宋体" w:eastAsia="宋体" w:cs="宋体"/>
          <w:b/>
          <w:bCs/>
          <w:color w:val="000000"/>
          <w:sz w:val="24"/>
          <w:highlight w:val="none"/>
        </w:rPr>
        <w:t xml:space="preserve">（2）设备配置性能</w:t>
      </w:r>
      <w:r>
        <w:rPr>
          <w:rFonts w:hint="eastAsia" w:ascii="Times New Roman" w:hAnsi="宋体" w:eastAsia="宋体" w:cs="宋体"/>
          <w:b/>
          <w:bCs/>
          <w:color w:val="000000"/>
          <w:sz w:val="24"/>
          <w:highlight w:val="none"/>
          <w:lang w:val="en-US" w:eastAsia="zh-CN"/>
        </w:rPr>
        <w:t xml:space="preserve">                  </w:t>
      </w:r>
      <w:r>
        <w:rPr>
          <w:rFonts w:hint="eastAsia" w:ascii="Times New Roman" w:hAnsi="宋体" w:eastAsia="宋体" w:cs="宋体"/>
          <w:b/>
          <w:bCs/>
          <w:color w:val="000000"/>
          <w:sz w:val="24"/>
          <w:highlight w:val="none"/>
        </w:rPr>
        <w:t xml:space="preserve">    </w:t>
      </w:r>
      <w:r>
        <w:rPr>
          <w:rFonts w:hint="eastAsia" w:ascii="Times New Roman" w:hAnsi="宋体" w:eastAsia="宋体" w:cs="宋体"/>
          <w:b/>
          <w:bCs/>
          <w:color w:val="000000"/>
          <w:sz w:val="24"/>
          <w:highlight w:val="none"/>
          <w:lang w:val="en-US" w:eastAsia="zh-CN"/>
        </w:rPr>
        <w:t xml:space="preserve">20</w:t>
      </w:r>
      <w:r>
        <w:rPr>
          <w:rFonts w:hint="eastAsia" w:ascii="Times New Roman" w:hAnsi="宋体" w:eastAsia="宋体" w:cs="宋体"/>
          <w:b/>
          <w:bCs/>
          <w:color w:val="000000"/>
          <w:sz w:val="24"/>
          <w:highlight w:val="none"/>
        </w:rPr>
        <w:t xml:space="preserve">分</w:t>
      </w:r>
      <w:r>
        <w:rPr>
          <w:rFonts w:hint="eastAsia" w:ascii="Times New Roman" w:hAnsi="宋体" w:eastAsia="宋体" w:cs="宋体"/>
          <w:b/>
          <w:bCs/>
          <w:color w:val="000000"/>
          <w:sz w:val="24"/>
          <w:highlight w:val="none"/>
        </w:rPr>
      </w:r>
      <w:r/>
    </w:p>
    <w:p>
      <w:pPr>
        <w:pStyle w:val="688"/>
        <w:ind w:firstLine="472"/>
        <w:spacing w:line="440" w:lineRule="exact"/>
        <w:rPr>
          <w:rFonts w:hint="eastAsia" w:ascii="Times New Roman" w:hAnsi="宋体" w:eastAsia="宋体" w:cs="宋体"/>
          <w:b/>
          <w:bCs/>
          <w:color w:val="000000"/>
          <w:sz w:val="24"/>
          <w:highlight w:val="none"/>
        </w:rPr>
      </w:pPr>
      <w:r>
        <w:rPr>
          <w:rFonts w:hint="eastAsia" w:ascii="Times New Roman" w:hAnsi="宋体" w:eastAsia="宋体" w:cs="宋体"/>
          <w:b/>
          <w:bCs/>
          <w:color w:val="000000"/>
          <w:sz w:val="24"/>
          <w:highlight w:val="none"/>
        </w:rPr>
        <w:t xml:space="preserve">（</w:t>
      </w:r>
      <w:r>
        <w:rPr>
          <w:rFonts w:hint="eastAsia" w:ascii="Times New Roman" w:hAnsi="宋体" w:eastAsia="宋体" w:cs="宋体"/>
          <w:b/>
          <w:bCs/>
          <w:color w:val="000000"/>
          <w:sz w:val="24"/>
          <w:highlight w:val="none"/>
          <w:lang w:val="en-US" w:eastAsia="zh-CN"/>
        </w:rPr>
        <w:t xml:space="preserve">3</w:t>
      </w:r>
      <w:r>
        <w:rPr>
          <w:rFonts w:hint="eastAsia" w:ascii="Times New Roman" w:hAnsi="宋体" w:eastAsia="宋体" w:cs="宋体"/>
          <w:b/>
          <w:bCs/>
          <w:color w:val="000000"/>
          <w:sz w:val="24"/>
          <w:highlight w:val="none"/>
        </w:rPr>
        <w:t xml:space="preserve">）</w:t>
      </w:r>
      <w:r>
        <w:rPr>
          <w:rFonts w:hint="eastAsia" w:ascii="Times New Roman" w:hAnsi="宋体" w:eastAsia="宋体" w:cs="宋体"/>
          <w:b/>
          <w:bCs/>
          <w:color w:val="000000"/>
          <w:sz w:val="24"/>
          <w:highlight w:val="none"/>
          <w:lang w:eastAsia="zh-CN"/>
        </w:rPr>
        <w:t xml:space="preserve">服务方案</w:t>
      </w:r>
      <w:r>
        <w:rPr>
          <w:rFonts w:hint="eastAsia" w:ascii="Times New Roman" w:hAnsi="宋体" w:eastAsia="宋体" w:cs="宋体"/>
          <w:b/>
          <w:bCs/>
          <w:color w:val="000000"/>
          <w:sz w:val="24"/>
          <w:highlight w:val="none"/>
          <w:lang w:val="en-US" w:eastAsia="zh-CN"/>
        </w:rPr>
        <w:t xml:space="preserve">      </w:t>
      </w:r>
      <w:r>
        <w:rPr>
          <w:rFonts w:hint="eastAsia" w:ascii="Times New Roman" w:hAnsi="宋体" w:eastAsia="宋体" w:cs="宋体"/>
          <w:b/>
          <w:bCs/>
          <w:color w:val="000000"/>
          <w:sz w:val="24"/>
          <w:highlight w:val="none"/>
        </w:rPr>
        <w:t xml:space="preserve">                </w:t>
      </w:r>
      <w:r>
        <w:rPr>
          <w:rFonts w:hint="eastAsia" w:ascii="Times New Roman" w:hAnsi="宋体" w:eastAsia="宋体" w:cs="宋体"/>
          <w:b/>
          <w:bCs/>
          <w:color w:val="000000"/>
          <w:sz w:val="24"/>
          <w:highlight w:val="none"/>
          <w:lang w:val="en-US" w:eastAsia="zh-CN"/>
        </w:rPr>
        <w:t xml:space="preserve">   </w:t>
      </w:r>
      <w:r>
        <w:rPr>
          <w:rFonts w:hint="eastAsia" w:ascii="Times New Roman" w:hAnsi="宋体" w:eastAsia="宋体" w:cs="宋体"/>
          <w:b/>
          <w:bCs/>
          <w:color w:val="000000"/>
          <w:sz w:val="24"/>
          <w:highlight w:val="none"/>
        </w:rPr>
        <w:t xml:space="preserve"> </w:t>
      </w:r>
      <w:r>
        <w:rPr>
          <w:rFonts w:hint="eastAsia" w:ascii="Times New Roman" w:hAnsi="宋体" w:eastAsia="宋体" w:cs="宋体"/>
          <w:b/>
          <w:bCs/>
          <w:color w:val="000000"/>
          <w:sz w:val="24"/>
          <w:highlight w:val="none"/>
          <w:lang w:val="en-US" w:eastAsia="zh-CN"/>
        </w:rPr>
        <w:t xml:space="preserve">30</w:t>
      </w:r>
      <w:r>
        <w:rPr>
          <w:rFonts w:hint="eastAsia" w:ascii="Times New Roman" w:hAnsi="宋体" w:eastAsia="宋体" w:cs="宋体"/>
          <w:b/>
          <w:bCs/>
          <w:color w:val="000000"/>
          <w:sz w:val="24"/>
          <w:highlight w:val="none"/>
        </w:rPr>
        <w:t xml:space="preserve">分</w:t>
      </w:r>
      <w:r>
        <w:rPr>
          <w:rFonts w:hint="eastAsia" w:ascii="Times New Roman" w:hAnsi="宋体" w:eastAsia="宋体" w:cs="宋体"/>
          <w:b/>
          <w:bCs/>
          <w:color w:val="000000"/>
          <w:sz w:val="24"/>
          <w:highlight w:val="none"/>
        </w:rPr>
      </w:r>
      <w:r/>
    </w:p>
    <w:p>
      <w:pPr>
        <w:pStyle w:val="688"/>
        <w:ind w:firstLine="480"/>
        <w:spacing w:line="440" w:lineRule="exact"/>
        <w:rPr>
          <w:rFonts w:hAnsi="宋体" w:cs="宋体"/>
          <w:bCs/>
          <w:color w:val="000000"/>
          <w:sz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Ansi="宋体" w:cs="宋体"/>
          <w:bCs/>
          <w:color w:val="000000"/>
          <w:sz w:val="24"/>
          <w:highlight w:val="none"/>
        </w:rPr>
      </w:r>
      <w:r/>
    </w:p>
    <w:p>
      <w:pPr>
        <w:pStyle w:val="688"/>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1.报价分（</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88"/>
        <w:ind w:firstLine="480"/>
        <w:spacing w:line="500" w:lineRule="exact"/>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highlight w:val="none"/>
        </w:rPr>
      </w:r>
      <w:r/>
    </w:p>
    <w:p>
      <w:pPr>
        <w:pStyle w:val="688"/>
        <w:ind w:firstLine="480"/>
        <w:spacing w:line="500" w:lineRule="exact"/>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ascii="宋体" w:hAnsi="宋体"/>
          <w:bCs/>
          <w:color w:val="000000"/>
          <w:sz w:val="24"/>
          <w:szCs w:val="24"/>
          <w:highlight w:val="none"/>
        </w:rPr>
      </w:r>
      <w:r/>
    </w:p>
    <w:p>
      <w:pPr>
        <w:pStyle w:val="688"/>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rPr>
        <w:t xml:space="preserve">设备配置性能（</w:t>
      </w:r>
      <w:r>
        <w:rPr>
          <w:rFonts w:hint="eastAsia" w:ascii="宋体" w:hAnsi="宋体" w:eastAsia="宋体" w:cs="Times New Roman"/>
          <w:b/>
          <w:bCs/>
          <w:color w:val="000000"/>
          <w:sz w:val="24"/>
          <w:szCs w:val="24"/>
          <w:highlight w:val="none"/>
          <w:lang w:val="en-US" w:eastAsia="zh-CN"/>
        </w:rPr>
        <w:t xml:space="preserve">20</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68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微生物鉴定质谱仪</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分子泵为复合型涡轮分子泵，具有叶片级和拖拽级，拖拽级≥10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L/S</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分子泵抽速≥300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②软件鉴定结果微生物名称中文和拉丁文同时给出，无需切换。为保证生物安全风险，对于布鲁氏菌、脑膜炎奈瑟菌等软件具有高危致病菌标识，提供软件界面截图。满足要求得2分。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③具备细菌蛋白指纹图谱数据库和细菌DNA预测蛋白图谱数据库“双鉴定系统”，支持双鉴定系统结果交叉复核，比对结果一致性，保证报告准确性，满足要求得2分。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④细菌DNA预测蛋白图谱数据库：采用无实物菌株建库，基于全球菌株基因组信息建立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数据库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10000</w:t>
      </w:r>
      <w:r>
        <w:rPr>
          <w:rFonts w:hint="eastAsia" w:ascii="宋体" w:hAnsi="宋体" w:eastAsia="宋体" w:cs="宋体"/>
          <w:color w:val="000000"/>
          <w:sz w:val="24"/>
          <w:szCs w:val="24"/>
          <w:highlight w:val="none"/>
          <w:lang w:eastAsia="zh-CN"/>
        </w:rPr>
        <w:t xml:space="preserve">种</w:t>
      </w:r>
      <w:r>
        <w:rPr>
          <w:rFonts w:hint="eastAsia" w:ascii="宋体" w:hAnsi="宋体" w:eastAsia="宋体" w:cs="宋体"/>
          <w:color w:val="000000"/>
          <w:sz w:val="24"/>
          <w:szCs w:val="24"/>
          <w:highlight w:val="none"/>
          <w:lang w:val="en-US" w:eastAsia="zh-CN"/>
        </w:rPr>
        <w:t xml:space="preserve">，全面覆盖临床诊断、食品安全、环境监测、工业生物技术、农业生产、畜牧兽医、药品等领域。满足要求得2分。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具备20种以上施万菌数据库；分枝杆菌数据库≥170种，该分枝杆菌数据库建设工作</w:t>
      </w:r>
      <w:r>
        <w:rPr>
          <w:rFonts w:hint="eastAsia" w:ascii="宋体" w:hAnsi="宋体" w:eastAsia="宋体" w:cs="宋体"/>
          <w:color w:val="000000"/>
          <w:sz w:val="24"/>
          <w:szCs w:val="24"/>
          <w:highlight w:val="none"/>
          <w:lang w:val="en-US" w:eastAsia="zh-CN"/>
        </w:rPr>
        <w:t xml:space="preserve">与国家单位合作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满足要求得2分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鉴定结果：标配检索鉴定软件给出质谱鉴定结果的同时还可给出国家级出版社提供的的微生物形态学（平板菌落图及染色图）形态图，以辅助对鉴定结果进行判读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w:t>
      </w:r>
      <w:r>
        <w:rPr>
          <w:rFonts w:hint="eastAsia" w:ascii="宋体" w:hAnsi="宋体" w:eastAsia="宋体" w:cs="宋体"/>
          <w:color w:val="000000"/>
          <w:sz w:val="24"/>
          <w:szCs w:val="24"/>
          <w:highlight w:val="none"/>
        </w:rPr>
        <w:t xml:space="preserve">软件配套专业微生物知识库，包含菌种的形态学、生物特性、核糖体蛋白信息等，支持用户上传形态图，为实验室检测提供参考依据。</w:t>
      </w:r>
      <w:r>
        <w:rPr>
          <w:rFonts w:hint="eastAsia" w:ascii="宋体" w:hAnsi="宋体" w:eastAsia="宋体" w:cs="宋体"/>
          <w:color w:val="000000"/>
          <w:sz w:val="24"/>
          <w:szCs w:val="24"/>
          <w:highlight w:val="none"/>
          <w:lang w:val="en-US" w:eastAsia="zh-CN"/>
        </w:rPr>
        <w:t xml:space="preserve">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⑧为提升公共卫生应急响应能力，样本无需培养，直接采用磁珠法原理特异性吸附菌体，同时匹配仪器自动化操作，且取得临床注册证。满足要求得2分。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⑨</w:t>
      </w:r>
      <w:r>
        <w:rPr>
          <w:rFonts w:hint="eastAsia" w:ascii="宋体" w:hAnsi="宋体" w:eastAsia="宋体" w:cs="宋体"/>
          <w:color w:val="000000"/>
          <w:sz w:val="24"/>
          <w:szCs w:val="24"/>
          <w:highlight w:val="none"/>
        </w:rPr>
        <w:t xml:space="preserve">可提供同品牌一次性硅基靶板和重复使用不锈钢靶板，重复性靶板为</w:t>
      </w:r>
      <w:r>
        <w:rPr>
          <w:rFonts w:hint="eastAsia" w:ascii="宋体" w:hAnsi="宋体" w:eastAsia="宋体" w:cs="宋体"/>
          <w:color w:val="000000"/>
          <w:sz w:val="24"/>
          <w:szCs w:val="24"/>
          <w:highlight w:val="none"/>
          <w:lang w:val="en-US" w:eastAsia="zh-CN"/>
        </w:rPr>
        <w:t xml:space="preserve">一体式</w:t>
      </w:r>
      <w:r>
        <w:rPr>
          <w:rFonts w:hint="eastAsia" w:ascii="宋体" w:hAnsi="宋体" w:eastAsia="宋体" w:cs="宋体"/>
          <w:color w:val="000000"/>
          <w:sz w:val="24"/>
          <w:szCs w:val="24"/>
          <w:highlight w:val="none"/>
        </w:rPr>
        <w:t xml:space="preserve">靶板，</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eastAsia="zh-CN"/>
        </w:rPr>
        <w:t xml:space="preserve">激光彩印条码。</w:t>
      </w:r>
      <w:r>
        <w:rPr>
          <w:rFonts w:hint="eastAsia" w:ascii="宋体" w:hAnsi="宋体" w:eastAsia="宋体" w:cs="宋体"/>
          <w:color w:val="000000"/>
          <w:sz w:val="24"/>
          <w:szCs w:val="24"/>
          <w:highlight w:val="none"/>
          <w:lang w:val="en-US" w:eastAsia="zh-CN"/>
        </w:rPr>
        <w:t xml:space="preserve">一体式</w:t>
      </w:r>
      <w:r>
        <w:rPr>
          <w:rFonts w:hint="eastAsia" w:ascii="宋体" w:hAnsi="宋体" w:eastAsia="宋体" w:cs="宋体"/>
          <w:color w:val="000000"/>
          <w:sz w:val="24"/>
          <w:szCs w:val="24"/>
          <w:highlight w:val="none"/>
        </w:rPr>
        <w:t xml:space="preserve">靶板靶面精度2微米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确保高平整度</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eastAsia="zh-CN"/>
        </w:rPr>
        <w:t xml:space="preserve">表面经镜面抛光处理，具有易于清洗、无残留的特性。</w:t>
      </w:r>
      <w:r>
        <w:rPr>
          <w:rFonts w:hint="eastAsia" w:ascii="宋体" w:hAnsi="宋体" w:eastAsia="宋体" w:cs="宋体"/>
          <w:color w:val="000000"/>
          <w:sz w:val="24"/>
          <w:szCs w:val="24"/>
          <w:highlight w:val="none"/>
          <w:lang w:val="en-US" w:eastAsia="zh-CN"/>
        </w:rPr>
        <w:t xml:space="preserve">满足要求得2分。</w:t>
      </w:r>
      <w:r>
        <w:rPr>
          <w:rFonts w:hint="eastAsia" w:ascii="宋体" w:hAnsi="宋体" w:eastAsia="宋体" w:cs="宋体"/>
          <w:color w:val="000000"/>
          <w:sz w:val="24"/>
          <w:szCs w:val="24"/>
          <w:highlight w:val="none"/>
          <w:lang w:val="en-US" w:eastAsia="zh-CN"/>
        </w:rPr>
      </w:r>
      <w:r/>
    </w:p>
    <w:p>
      <w:pPr>
        <w:pStyle w:val="68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⑩系统能连接第三方药敏仪，实现质谱结果的自动传输，无需人工手抄结果。满足要求得2分。</w:t>
      </w:r>
      <w:r>
        <w:rPr>
          <w:rFonts w:hint="eastAsia" w:ascii="宋体" w:hAnsi="宋体" w:eastAsia="宋体" w:cs="宋体"/>
          <w:color w:val="000000"/>
          <w:sz w:val="24"/>
          <w:szCs w:val="24"/>
          <w:highlight w:val="none"/>
          <w:lang w:val="en-US" w:eastAsia="zh-CN"/>
        </w:rPr>
      </w:r>
      <w:r/>
    </w:p>
    <w:p>
      <w:pPr>
        <w:pStyle w:val="688"/>
        <w:ind w:firstLine="480"/>
        <w:jc w:val="left"/>
        <w:spacing w:line="384" w:lineRule="auto"/>
        <w:tabs>
          <w:tab w:val="left" w:pos="1401" w:leader="none"/>
        </w:tabs>
        <w:rPr>
          <w:rFonts w:hint="eastAsia"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cs="宋体"/>
          <w:bCs/>
          <w:color w:val="000000"/>
          <w:sz w:val="24"/>
          <w:highlight w:val="none"/>
        </w:rPr>
        <w:t xml:space="preserve">如</w:t>
      </w:r>
      <w:r>
        <w:rPr>
          <w:rFonts w:hint="eastAsia" w:ascii="宋体" w:hAnsi="宋体"/>
          <w:b/>
          <w:bCs/>
          <w:color w:val="000000"/>
          <w:sz w:val="24"/>
          <w:highlight w:val="none"/>
        </w:rPr>
        <w:t xml:space="preserve">设备配置性能</w:t>
      </w:r>
      <w:r>
        <w:rPr>
          <w:rFonts w:hint="eastAsia" w:ascii="宋体" w:hAnsi="宋体" w:cs="宋体"/>
          <w:bCs/>
          <w:color w:val="000000"/>
          <w:sz w:val="24"/>
          <w:highlight w:val="none"/>
          <w:lang w:eastAsia="zh-CN"/>
        </w:rPr>
        <w:t xml:space="preserve">为正偏离</w:t>
      </w:r>
      <w:r>
        <w:rPr>
          <w:rFonts w:hint="eastAsia" w:ascii="宋体" w:hAnsi="宋体" w:cs="宋体"/>
          <w:bCs/>
          <w:color w:val="000000"/>
          <w:sz w:val="24"/>
          <w:highlight w:val="none"/>
        </w:rPr>
        <w:t xml:space="preserve">必须提供相应的有效且真实的证明材料【</w:t>
      </w:r>
      <w:r>
        <w:rPr>
          <w:rFonts w:hint="eastAsia" w:ascii="宋体" w:hAnsi="宋体" w:cs="宋体"/>
          <w:bCs/>
          <w:color w:val="000000"/>
          <w:sz w:val="24"/>
          <w:highlight w:val="none"/>
          <w:lang w:eastAsia="zh-CN"/>
        </w:rPr>
        <w:t xml:space="preserve">除了评分标准中要求提供的证明材料，其他证明为</w:t>
      </w:r>
      <w:r>
        <w:rPr>
          <w:rFonts w:hint="eastAsia" w:ascii="宋体" w:hAnsi="宋体" w:cs="宋体"/>
          <w:b/>
          <w:bCs/>
          <w:color w:val="000000"/>
          <w:sz w:val="24"/>
          <w:highlight w:val="none"/>
        </w:rPr>
        <w:t xml:space="preserve">彩页或白皮书或注册检验报告或提供加盖生产厂商公章的参数表等</w:t>
      </w:r>
      <w:r>
        <w:rPr>
          <w:rFonts w:hint="eastAsia" w:ascii="宋体" w:hAnsi="宋体" w:cs="宋体"/>
          <w:bCs/>
          <w:color w:val="000000"/>
          <w:sz w:val="24"/>
          <w:highlight w:val="none"/>
        </w:rPr>
        <w:t xml:space="preserve">】以证明技术参数及功能的有效性，如未附有效证明材料或者所附的证明材料由评标委员会认为不能佐证技术指标的有效性的，则同样视为</w:t>
      </w:r>
      <w:r>
        <w:rPr>
          <w:rFonts w:hint="eastAsia" w:ascii="宋体" w:hAnsi="宋体" w:cs="宋体"/>
          <w:bCs/>
          <w:color w:val="000000"/>
          <w:sz w:val="24"/>
          <w:highlight w:val="none"/>
          <w:lang w:eastAsia="zh-CN"/>
        </w:rPr>
        <w:t xml:space="preserve">无正偏离</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88"/>
        <w:ind w:firstLine="360"/>
        <w:spacing w:line="360" w:lineRule="auto"/>
        <w:tabs>
          <w:tab w:val="left" w:pos="426" w:leader="none"/>
        </w:tabs>
        <w:rPr>
          <w:rFonts w:hint="eastAsia"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Times New Roman"/>
          <w:b/>
          <w:bCs/>
          <w:color w:val="000000"/>
          <w:sz w:val="24"/>
          <w:szCs w:val="24"/>
          <w:highlight w:val="none"/>
          <w:lang w:eastAsia="zh-CN"/>
        </w:rPr>
        <w:t xml:space="preserve">服务方案</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30</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688"/>
        <w:ind w:left="15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设备出现质量问题时的响应时间、响应内容和补救措施 </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88"/>
        <w:ind w:left="150" w:firstLine="6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3条：①设备出现质量问题的响应时间。②设备出现质量问题供应商处理问题的相关响应内容。③设备出现质量问题相关有效的补救措施。投标供应商须针对每条内容进行阐述。内容详实、需求贴合度高且条理清晰的该条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分；内容较为简单、可行、细节待完善的该条得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分，每缺少一条内容或存在逻辑错误、前后矛盾，或存在违反现行相关规范的，该条不得分。</w:t>
      </w:r>
      <w:r>
        <w:rPr>
          <w:rFonts w:hint="eastAsia" w:ascii="宋体" w:hAnsi="宋体" w:cs="宋体"/>
          <w:color w:val="000000"/>
          <w:sz w:val="24"/>
          <w:highlight w:val="none"/>
        </w:rPr>
      </w:r>
      <w:r/>
    </w:p>
    <w:p>
      <w:pPr>
        <w:pStyle w:val="688"/>
        <w:ind w:left="15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针对本项目采购方人员的培训方案及其他相关技术方案   </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88"/>
        <w:ind w:left="150" w:firstLine="6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包括2条：①供应商拟派人员对采购人进行培训的具体方案。②其他与本项目有关的对采购人有利的相关技术方案。投标供应商须针对每条内容进行阐述。内容详实、需求贴合度高且条理清晰的该条得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分；内容较为简单、可行、细节待完善的该条得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分，每缺少一条内容或存在逻辑错误、前后矛盾，或存在违反现行相关规范的，该条不得分。</w:t>
      </w:r>
      <w:r>
        <w:rPr>
          <w:rFonts w:hint="eastAsia" w:ascii="宋体" w:hAnsi="宋体" w:cs="宋体"/>
          <w:color w:val="000000"/>
          <w:sz w:val="24"/>
          <w:highlight w:val="none"/>
        </w:rPr>
      </w:r>
      <w:r/>
    </w:p>
    <w:p>
      <w:pPr>
        <w:pStyle w:val="688"/>
        <w:ind w:left="15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保证售后服务质量的有效措施 </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8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包括2条：①针对本项目售后服务主要涉及的内容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其中微生物质谱仪须提供原厂质保函原件扫描件</w:t>
      </w:r>
      <w:r>
        <w:rPr>
          <w:rFonts w:hint="eastAsia" w:ascii="宋体" w:hAnsi="宋体" w:cs="宋体"/>
          <w:color w:val="000000"/>
          <w:sz w:val="24"/>
          <w:highlight w:val="none"/>
        </w:rPr>
        <w:t xml:space="preserve">。②保证售后服务质量的相关有效措施。投标供应商须针对每条内容进行阐述。内容详实、需求贴合度高且条理清晰的该条得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分；内容较为简单、可行、细节待完善的该条得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分，每缺少一条内容或存在逻辑错误、前后矛盾</w:t>
      </w:r>
      <w:r>
        <w:rPr>
          <w:rFonts w:hint="eastAsia" w:ascii="宋体" w:hAnsi="宋体" w:cs="宋体"/>
          <w:color w:val="000000"/>
          <w:sz w:val="24"/>
          <w:highlight w:val="none"/>
          <w:lang w:eastAsia="zh-CN"/>
        </w:rPr>
        <w:t xml:space="preserve">、未提供要求的质保函等相关材料</w:t>
      </w:r>
      <w:r>
        <w:rPr>
          <w:rFonts w:hint="eastAsia" w:ascii="宋体" w:hAnsi="宋体" w:cs="宋体"/>
          <w:color w:val="000000"/>
          <w:sz w:val="24"/>
          <w:highlight w:val="none"/>
        </w:rPr>
        <w:t xml:space="preserve">，或存在违反现行相关规范的，该条不得分。</w:t>
      </w:r>
      <w:r>
        <w:rPr>
          <w:rFonts w:hint="eastAsia" w:ascii="宋体" w:hAnsi="宋体" w:cs="宋体"/>
          <w:color w:val="000000"/>
          <w:sz w:val="24"/>
          <w:highlight w:val="none"/>
        </w:rPr>
      </w:r>
      <w:r/>
    </w:p>
    <w:p>
      <w:pPr>
        <w:pStyle w:val="688"/>
        <w:ind w:left="15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针对本项目维保人员的配备方案 </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88"/>
        <w:ind w:left="150" w:firstLine="6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包括2条：①相关人员具体的配备方案。②所配备人员的具体岗位职责。投标供应商须针对每条内容进行阐述。内容详实、需求贴合度高且条理清晰的该条得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分；内容较为简单、可行、细节待完善的该条得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分，每缺少一条内容或存在逻辑错误、前后矛盾</w:t>
      </w:r>
      <w:r>
        <w:rPr>
          <w:rFonts w:hint="eastAsia" w:ascii="宋体" w:hAnsi="宋体" w:cs="宋体"/>
          <w:color w:val="000000"/>
          <w:sz w:val="24"/>
          <w:highlight w:val="none"/>
          <w:lang w:eastAsia="zh-CN"/>
        </w:rPr>
        <w:t xml:space="preserve">、未提供要求的证明材料</w:t>
      </w:r>
      <w:r>
        <w:rPr>
          <w:rFonts w:hint="eastAsia" w:ascii="宋体" w:hAnsi="宋体" w:cs="宋体"/>
          <w:color w:val="000000"/>
          <w:sz w:val="24"/>
          <w:highlight w:val="none"/>
        </w:rPr>
        <w:t xml:space="preserve">，或存在违反现行相关规范的，该条不得分。</w:t>
      </w:r>
      <w:r>
        <w:rPr>
          <w:rFonts w:hint="eastAsia" w:ascii="宋体" w:hAnsi="宋体" w:cs="宋体"/>
          <w:color w:val="000000"/>
          <w:sz w:val="24"/>
          <w:highlight w:val="none"/>
        </w:rPr>
      </w:r>
      <w:r/>
    </w:p>
    <w:p>
      <w:pPr>
        <w:pStyle w:val="688"/>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其他售后服务内容及方案（</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条：①质保期满后维保内容及</w:t>
      </w:r>
      <w:r>
        <w:rPr>
          <w:rFonts w:hint="eastAsia" w:ascii="宋体" w:hAnsi="宋体" w:cs="宋体"/>
          <w:color w:val="000000"/>
          <w:sz w:val="24"/>
          <w:highlight w:val="none"/>
          <w:lang w:eastAsia="zh-CN"/>
        </w:rPr>
        <w:t xml:space="preserve">其</w:t>
      </w:r>
      <w:r>
        <w:rPr>
          <w:rFonts w:hint="eastAsia" w:ascii="宋体" w:hAnsi="宋体" w:cs="宋体"/>
          <w:color w:val="000000"/>
          <w:sz w:val="24"/>
          <w:highlight w:val="none"/>
        </w:rPr>
        <w:t xml:space="preserve">收费</w:t>
      </w:r>
      <w:r>
        <w:rPr>
          <w:rFonts w:hint="eastAsia" w:ascii="宋体" w:hAnsi="宋体" w:cs="宋体"/>
          <w:color w:val="000000"/>
          <w:sz w:val="24"/>
          <w:highlight w:val="none"/>
          <w:lang w:eastAsia="zh-CN"/>
        </w:rPr>
        <w:t xml:space="preserve">情况、</w:t>
      </w:r>
      <w:r>
        <w:rPr>
          <w:rFonts w:hint="eastAsia" w:ascii="宋体" w:hAnsi="宋体" w:cs="宋体"/>
          <w:color w:val="000000"/>
          <w:sz w:val="24"/>
          <w:highlight w:val="none"/>
        </w:rPr>
        <w:t xml:space="preserve">零配件和维修备品备件的价格。②其零配件和维修备品备件的供应保障。投标供应商须针对每条内容进行阐述。内容详实、需求贴合度高且条理清晰的该条得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分；内容较为简单、可行、细节待完善的该条得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分，每缺少一条内容或存在逻辑错误、前后矛盾，或存在违反现行相关规范的，该条不得分。</w:t>
      </w:r>
      <w:r>
        <w:rPr>
          <w:rFonts w:hint="eastAsia" w:ascii="宋体" w:hAnsi="宋体" w:cs="宋体"/>
          <w:color w:val="000000"/>
          <w:sz w:val="24"/>
          <w:highlight w:val="none"/>
        </w:rPr>
      </w:r>
      <w:r/>
    </w:p>
    <w:p>
      <w:pPr>
        <w:pStyle w:val="688"/>
        <w:rPr>
          <w:color w:val="000000"/>
          <w:highlight w:val="none"/>
        </w:rPr>
      </w:pPr>
      <w:r>
        <w:rPr>
          <w:color w:val="000000"/>
          <w:highlight w:val="none"/>
        </w:rPr>
      </w:r>
      <w:r/>
    </w:p>
    <w:p>
      <w:pPr>
        <w:pStyle w:val="6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r>
      <w:r/>
    </w:p>
    <w:p>
      <w:pPr>
        <w:pStyle w:val="688"/>
        <w:jc w:val="center"/>
        <w:spacing w:line="360" w:lineRule="auto"/>
        <w:rPr>
          <w:rFonts w:hint="eastAsia" w:ascii="宋体" w:hAnsi="宋体" w:cs="宋体"/>
          <w:bCs/>
          <w:color w:val="000000"/>
          <w:sz w:val="44"/>
          <w:szCs w:val="44"/>
          <w:highlight w:val="none"/>
        </w:rPr>
        <w:outlineLvl w:val="0"/>
      </w:pPr>
      <w:r>
        <w:rPr>
          <w:rFonts w:hint="eastAsia" w:ascii="宋体" w:hAnsi="宋体" w:cs="宋体"/>
          <w:bCs/>
          <w:color w:val="000000"/>
          <w:sz w:val="44"/>
          <w:szCs w:val="44"/>
          <w:highlight w:val="none"/>
        </w:rPr>
        <w:t xml:space="preserve">第</w:t>
      </w:r>
      <w:r>
        <w:rPr>
          <w:rFonts w:hint="eastAsia" w:ascii="宋体" w:hAnsi="宋体" w:cs="宋体"/>
          <w:bCs/>
          <w:color w:val="000000"/>
          <w:sz w:val="44"/>
          <w:szCs w:val="44"/>
          <w:highlight w:val="none"/>
          <w:lang w:eastAsia="zh-CN"/>
        </w:rPr>
        <w:t xml:space="preserve">六</w:t>
      </w:r>
      <w:r>
        <w:rPr>
          <w:rFonts w:hint="eastAsia" w:ascii="宋体" w:hAnsi="宋体" w:cs="宋体"/>
          <w:bCs/>
          <w:color w:val="000000"/>
          <w:sz w:val="44"/>
          <w:szCs w:val="44"/>
          <w:highlight w:val="none"/>
        </w:rPr>
        <w:t xml:space="preserve">部分．附件（投标文件格式）</w:t>
      </w:r>
      <w:r>
        <w:rPr>
          <w:rFonts w:hint="eastAsia" w:ascii="宋体" w:hAnsi="宋体" w:cs="宋体"/>
          <w:bCs/>
          <w:color w:val="000000"/>
          <w:sz w:val="44"/>
          <w:szCs w:val="44"/>
          <w:highlight w:val="none"/>
        </w:rPr>
      </w:r>
      <w:r/>
    </w:p>
    <w:p>
      <w:pPr>
        <w:pStyle w:val="688"/>
        <w:jc w:val="both"/>
        <w:rPr>
          <w:rFonts w:hint="eastAsia" w:ascii="黑体" w:hAnsi="华文中宋" w:eastAsia="黑体"/>
          <w:bCs/>
          <w:color w:val="000000"/>
          <w:spacing w:val="20"/>
          <w:sz w:val="84"/>
          <w:szCs w:val="84"/>
          <w:highlight w:val="none"/>
        </w:rPr>
      </w:pPr>
      <w:r>
        <w:rPr>
          <w:rFonts w:hint="eastAsia" w:cs="Arial"/>
          <w:b/>
          <w:color w:val="000000"/>
          <w:sz w:val="28"/>
          <w:szCs w:val="28"/>
          <w:highlight w:val="none"/>
        </w:rPr>
        <w:t xml:space="preserve">封面格式（参考格式）</w:t>
      </w:r>
      <w:r>
        <w:rPr>
          <w:rFonts w:hint="eastAsia" w:ascii="黑体" w:hAnsi="华文中宋" w:eastAsia="黑体"/>
          <w:bCs/>
          <w:color w:val="000000"/>
          <w:spacing w:val="20"/>
          <w:sz w:val="84"/>
          <w:szCs w:val="84"/>
          <w:highlight w:val="none"/>
        </w:rPr>
      </w:r>
      <w:r/>
    </w:p>
    <w:p>
      <w:pPr>
        <w:pStyle w:val="688"/>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ascii="黑体" w:hAnsi="华文中宋" w:eastAsia="黑体"/>
          <w:bCs/>
          <w:color w:val="000000"/>
          <w:spacing w:val="20"/>
          <w:sz w:val="84"/>
          <w:szCs w:val="84"/>
          <w:highlight w:val="none"/>
        </w:rPr>
      </w:r>
      <w:r/>
    </w:p>
    <w:p>
      <w:pPr>
        <w:pStyle w:val="688"/>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8"/>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8"/>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8"/>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8"/>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ascii="黑体" w:hAnsi="华文中宋" w:eastAsia="黑体"/>
          <w:bCs/>
          <w:color w:val="000000"/>
          <w:sz w:val="30"/>
          <w:szCs w:val="30"/>
          <w:highlight w:val="none"/>
        </w:rPr>
      </w:r>
      <w:r/>
    </w:p>
    <w:p>
      <w:pPr>
        <w:pStyle w:val="688"/>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r>
      <w:r/>
    </w:p>
    <w:p>
      <w:pPr>
        <w:pStyle w:val="68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ascii="黑体" w:hAnsi="华文中宋" w:eastAsia="黑体"/>
          <w:bCs/>
          <w:color w:val="000000"/>
          <w:sz w:val="30"/>
          <w:szCs w:val="30"/>
          <w:highlight w:val="none"/>
        </w:rPr>
      </w:r>
      <w:r/>
    </w:p>
    <w:p>
      <w:pPr>
        <w:pStyle w:val="68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88"/>
        <w:jc w:val="center"/>
        <w:spacing w:line="360" w:lineRule="auto"/>
        <w:rPr>
          <w:rFonts w:hint="eastAsia" w:ascii="宋体" w:hAnsi="宋体" w:cs="宋体"/>
          <w:bCs/>
          <w:color w:val="000000"/>
          <w:sz w:val="30"/>
          <w:szCs w:val="30"/>
          <w:highlight w:val="none"/>
        </w:rPr>
        <w:outlineLvl w:val="0"/>
      </w:pPr>
      <w:r>
        <w:rPr>
          <w:rFonts w:hint="eastAsia" w:ascii="宋体" w:hAnsi="宋体" w:cs="宋体"/>
          <w:bCs/>
          <w:color w:val="000000"/>
          <w:sz w:val="30"/>
          <w:szCs w:val="30"/>
          <w:highlight w:val="none"/>
        </w:rPr>
      </w:r>
      <w:r/>
    </w:p>
    <w:p>
      <w:pPr>
        <w:pStyle w:val="688"/>
        <w:jc w:val="center"/>
        <w:spacing w:line="360" w:lineRule="auto"/>
        <w:rPr>
          <w:rFonts w:hint="eastAsia" w:ascii="宋体" w:hAnsi="宋体" w:cs="宋体"/>
          <w:bCs/>
          <w:color w:val="000000"/>
          <w:sz w:val="30"/>
          <w:szCs w:val="30"/>
          <w:highlight w:val="none"/>
        </w:rPr>
        <w:outlineLvl w:val="0"/>
      </w:pPr>
      <w:r>
        <w:rPr>
          <w:rFonts w:hint="eastAsia" w:ascii="宋体" w:hAnsi="宋体" w:cs="宋体"/>
          <w:bCs/>
          <w:color w:val="000000"/>
          <w:sz w:val="30"/>
          <w:szCs w:val="30"/>
          <w:highlight w:val="none"/>
        </w:rPr>
      </w:r>
      <w:r/>
    </w:p>
    <w:p>
      <w:pPr>
        <w:pStyle w:val="733"/>
        <w:ind w:left="126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88"/>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88"/>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rPr>
          <w:rFonts w:hint="eastAsia" w:ascii="宋体" w:hAnsi="宋体" w:cs="宋体"/>
          <w:color w:val="000000"/>
          <w:sz w:val="30"/>
          <w:szCs w:val="30"/>
          <w:highlight w:val="none"/>
        </w:rPr>
      </w:pPr>
      <w:r>
        <w:rPr>
          <w:rFonts w:hint="eastAsia" w:ascii="宋体" w:hAnsi="宋体" w:cs="宋体"/>
          <w:bCs/>
          <w:color w:val="000000"/>
          <w:sz w:val="30"/>
          <w:szCs w:val="30"/>
          <w:highlight w:val="none"/>
        </w:rPr>
      </w:r>
      <w:r>
        <w:rPr>
          <w:rFonts w:hint="eastAsia" w:ascii="宋体" w:hAnsi="宋体" w:cs="宋体"/>
          <w:bCs/>
          <w:color w:val="000000"/>
          <w:sz w:val="30"/>
          <w:szCs w:val="30"/>
          <w:highlight w:val="none"/>
        </w:rP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pStyle w:val="688"/>
        <w:rPr>
          <w:rFonts w:hint="eastAsia" w:ascii="宋体" w:hAnsi="宋体" w:cs="宋体"/>
          <w:color w:val="000000"/>
          <w:sz w:val="30"/>
          <w:szCs w:val="30"/>
          <w:highlight w:val="none"/>
        </w:rPr>
      </w:pPr>
      <w:r>
        <w:rPr>
          <w:rFonts w:hint="eastAsia" w:ascii="宋体" w:hAnsi="宋体" w:cs="宋体"/>
          <w:bCs/>
          <w:color w:val="000000"/>
          <w:sz w:val="30"/>
          <w:szCs w:val="30"/>
          <w:highlight w:val="none"/>
        </w:rPr>
      </w:r>
      <w:r/>
    </w:p>
    <w:p>
      <w:pPr>
        <w:pStyle w:val="688"/>
        <w:rPr>
          <w:rFonts w:hint="eastAsia"/>
          <w:color w:val="000000"/>
          <w:highlight w:val="none"/>
        </w:rPr>
      </w:pPr>
      <w:r>
        <w:rPr>
          <w:rFonts w:hint="eastAsia"/>
          <w:color w:val="000000"/>
          <w:highlight w:val="none"/>
        </w:rPr>
      </w:r>
      <w:r/>
    </w:p>
    <w:p>
      <w:pPr>
        <w:pStyle w:val="688"/>
        <w:jc w:val="center"/>
        <w:spacing w:line="360" w:lineRule="auto"/>
        <w:rPr>
          <w:rFonts w:hint="eastAsia" w:ascii="宋体" w:hAnsi="宋体" w:cs="宋体"/>
          <w:bCs/>
          <w:color w:val="000000"/>
          <w:sz w:val="30"/>
          <w:szCs w:val="30"/>
          <w:highlight w:val="none"/>
        </w:rPr>
        <w:outlineLvl w:val="0"/>
      </w:pPr>
      <w:r>
        <w:rPr>
          <w:rFonts w:hint="eastAsia" w:ascii="宋体" w:hAnsi="宋体" w:cs="宋体"/>
          <w:bCs/>
          <w:color w:val="000000"/>
          <w:sz w:val="30"/>
          <w:szCs w:val="30"/>
          <w:highlight w:val="none"/>
        </w:rPr>
        <w:t xml:space="preserve">（一）</w:t>
      </w:r>
      <w:r>
        <w:rPr>
          <w:rFonts w:hint="eastAsia" w:ascii="宋体" w:hAnsi="宋体" w:cs="宋体"/>
          <w:bCs/>
          <w:color w:val="000000"/>
          <w:sz w:val="30"/>
          <w:szCs w:val="30"/>
          <w:highlight w:val="none"/>
          <w:lang w:eastAsia="zh-CN"/>
        </w:rPr>
        <w:t xml:space="preserve">投标函</w:t>
      </w:r>
      <w:r>
        <w:rPr>
          <w:rFonts w:hint="eastAsia" w:ascii="宋体" w:hAnsi="宋体" w:cs="宋体"/>
          <w:bCs/>
          <w:color w:val="000000"/>
          <w:sz w:val="30"/>
          <w:szCs w:val="30"/>
          <w:highlight w:val="none"/>
        </w:rPr>
        <w:t xml:space="preserve">（格式）</w:t>
      </w:r>
      <w:r>
        <w:rPr>
          <w:rFonts w:hint="eastAsia" w:ascii="宋体" w:hAnsi="宋体" w:cs="宋体"/>
          <w:bCs/>
          <w:color w:val="000000"/>
          <w:sz w:val="30"/>
          <w:szCs w:val="30"/>
          <w:highlight w:val="none"/>
        </w:rPr>
      </w:r>
      <w:r/>
    </w:p>
    <w:p>
      <w:pPr>
        <w:pStyle w:val="688"/>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88"/>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致江苏苏咨工程咨询有限责任公司：</w:t>
      </w:r>
      <w:r>
        <w:rPr>
          <w:rFonts w:ascii="宋体"/>
          <w:bCs/>
          <w:color w:val="000000"/>
          <w:sz w:val="24"/>
          <w:szCs w:val="24"/>
          <w:highlight w:val="none"/>
        </w:rPr>
      </w:r>
      <w:r/>
    </w:p>
    <w:p>
      <w:pPr>
        <w:pStyle w:val="68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我方收到贵方编号：          招标文件，经仔细阅读和研究，我方决定参加此项目的投标。</w:t>
      </w:r>
      <w:r>
        <w:rPr>
          <w:rFonts w:ascii="宋体"/>
          <w:bCs/>
          <w:color w:val="000000"/>
          <w:sz w:val="24"/>
          <w:szCs w:val="24"/>
          <w:highlight w:val="none"/>
        </w:rPr>
      </w:r>
      <w:r/>
    </w:p>
    <w:p>
      <w:pPr>
        <w:pStyle w:val="688"/>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2"/>
          <w:bCs/>
          <w:color w:val="000000"/>
          <w:highlight w:val="none"/>
        </w:rPr>
      </w:pPr>
      <w:r>
        <w:rPr>
          <w:rFonts w:hint="eastAsia" w:ascii="宋体" w:hAnsi="宋体"/>
          <w:bCs/>
          <w:color w:val="000000"/>
          <w:sz w:val="24"/>
          <w:szCs w:val="24"/>
          <w:highlight w:val="none"/>
        </w:rPr>
        <w:t xml:space="preserve">我方愿意提供江苏苏咨工程咨询有限责任公司在招标文件中要求的文件、资料。</w:t>
      </w:r>
      <w:r>
        <w:rPr>
          <w:rStyle w:val="982"/>
          <w:bCs/>
          <w:color w:val="000000"/>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8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8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88"/>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688"/>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w:t>
      </w:r>
      <w:r>
        <w:rPr>
          <w:rFonts w:hint="eastAsia" w:ascii="宋体" w:hAnsi="宋体" w:cs="宋体"/>
          <w:bCs/>
          <w:color w:val="000000"/>
          <w:sz w:val="28"/>
          <w:szCs w:val="28"/>
          <w:highlight w:val="none"/>
          <w:lang w:eastAsia="zh-CN"/>
        </w:rPr>
        <w:t xml:space="preserve">开标一览表</w:t>
      </w:r>
      <w:r>
        <w:rPr>
          <w:rFonts w:hint="eastAsia" w:ascii="宋体" w:hAnsi="宋体" w:cs="宋体"/>
          <w:bCs/>
          <w:color w:val="000000"/>
          <w:sz w:val="28"/>
          <w:szCs w:val="28"/>
          <w:highlight w:val="none"/>
        </w:rPr>
        <w:t xml:space="preserve">（格式）</w:t>
      </w:r>
      <w:r>
        <w:rPr>
          <w:rFonts w:hint="eastAsia" w:ascii="宋体" w:hAnsi="宋体" w:cs="宋体"/>
          <w:bCs/>
          <w:color w:val="000000"/>
          <w:sz w:val="28"/>
          <w:szCs w:val="28"/>
          <w:highlight w:val="none"/>
        </w:rPr>
      </w:r>
      <w:r/>
    </w:p>
    <w:p>
      <w:pPr>
        <w:pStyle w:val="688"/>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89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pStyle w:val="688"/>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88"/>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5802" w:type="dxa"/>
            <w:vAlign w:val="center"/>
            <w:textDirection w:val="lrTb"/>
            <w:noWrap w:val="false"/>
          </w:tcPr>
          <w:p>
            <w:pPr>
              <w:pStyle w:val="980"/>
              <w:jc w:val="center"/>
              <w:spacing w:line="400" w:lineRule="exact"/>
              <w:rPr>
                <w:rFonts w:hint="eastAsia" w:hAnsi="宋体" w:eastAsia="宋体"/>
                <w:bCs/>
                <w:color w:val="000000"/>
                <w:szCs w:val="24"/>
                <w:highlight w:val="none"/>
                <w:lang w:eastAsia="zh-CN"/>
              </w:rPr>
            </w:pPr>
            <w:r>
              <w:rPr>
                <w:rFonts w:hint="eastAsia" w:ascii="黑体" w:hAnsi="Times New Roman" w:eastAsia="黑体" w:cs="Times New Roman"/>
                <w:color w:val="000000"/>
                <w:sz w:val="24"/>
                <w:szCs w:val="24"/>
                <w:highlight w:val="none"/>
                <w:lang w:val="en-US" w:eastAsia="zh-CN" w:bidi="ar-SA"/>
              </w:rPr>
              <w:t xml:space="preserve">2026年新吴区疾控中心检验检测设备采购项目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980"/>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990" w:type="dxa"/>
            <w:vAlign w:val="center"/>
            <w:textDirection w:val="lrTb"/>
            <w:noWrap w:val="false"/>
          </w:tcPr>
          <w:p>
            <w:pPr>
              <w:pStyle w:val="688"/>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88"/>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688"/>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688"/>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688"/>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27"/>
        <w:rPr>
          <w:rFonts w:hint="eastAsia"/>
          <w:bCs/>
          <w:color w:val="000000"/>
          <w:highlight w:val="none"/>
        </w:rPr>
      </w:pPr>
      <w:r>
        <w:rPr>
          <w:rFonts w:hint="eastAsia"/>
          <w:bCs/>
          <w:color w:val="000000"/>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27"/>
        <w:rPr>
          <w:rFonts w:hint="eastAsia"/>
          <w:bCs/>
          <w:color w:val="000000"/>
          <w:highlight w:val="none"/>
        </w:rPr>
      </w:pPr>
      <w:r>
        <w:rPr>
          <w:rFonts w:hint="eastAsia"/>
          <w:bCs/>
          <w:color w:val="000000"/>
          <w:highlight w:val="none"/>
        </w:rPr>
      </w:r>
      <w:r/>
    </w:p>
    <w:p>
      <w:pPr>
        <w:pStyle w:val="68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33"/>
        <w:ind w:left="126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jc w:val="center"/>
        <w:keepLines w:val="0"/>
        <w:keepNext w:val="0"/>
        <w:pageBreakBefore w:val="0"/>
        <w:spacing w:line="400" w:lineRule="exact"/>
        <w:rPr>
          <w:rFonts w:hint="eastAsia" w:ascii="黑体" w:hAnsi="Times New Roman" w:eastAsia="黑体" w:cs="Times New Roman"/>
          <w:bCs/>
          <w:color w:val="000000"/>
          <w:sz w:val="28"/>
          <w:szCs w:val="28"/>
          <w:highlight w:val="none"/>
          <w:lang w:eastAsia="zh-CN"/>
        </w:rPr>
        <w:outlineLvl w:val="0"/>
      </w:pPr>
      <w:r>
        <w:rPr>
          <w:rFonts w:hint="eastAsia" w:ascii="黑体" w:hAnsi="Times New Roman" w:eastAsia="黑体" w:cs="Times New Roman"/>
          <w:bCs/>
          <w:color w:val="000000"/>
          <w:sz w:val="28"/>
          <w:szCs w:val="28"/>
          <w:highlight w:val="none"/>
          <w:lang w:eastAsia="zh-CN"/>
        </w:rPr>
        <w:t xml:space="preserve">（三）</w:t>
      </w:r>
      <w:r>
        <w:rPr>
          <w:rFonts w:hint="eastAsia" w:ascii="黑体" w:hAnsi="Times New Roman" w:eastAsia="黑体" w:cs="Times New Roman"/>
          <w:bCs/>
          <w:color w:val="000000"/>
          <w:sz w:val="28"/>
          <w:szCs w:val="28"/>
          <w:highlight w:val="none"/>
        </w:rPr>
        <w:t xml:space="preserve">分项报价表</w:t>
      </w:r>
      <w:r>
        <w:rPr>
          <w:rFonts w:hint="eastAsia" w:ascii="黑体" w:hAnsi="Times New Roman" w:eastAsia="黑体" w:cs="Times New Roman"/>
          <w:bCs/>
          <w:color w:val="000000"/>
          <w:sz w:val="28"/>
          <w:szCs w:val="28"/>
          <w:highlight w:val="none"/>
          <w:lang w:eastAsia="zh-CN"/>
        </w:rPr>
        <w:t xml:space="preserve">（给定格式）：</w:t>
      </w:r>
      <w:r>
        <w:rPr>
          <w:rFonts w:hint="eastAsia" w:ascii="黑体" w:hAnsi="Times New Roman" w:eastAsia="黑体" w:cs="Times New Roman"/>
          <w:bCs/>
          <w:color w:val="000000"/>
          <w:sz w:val="28"/>
          <w:szCs w:val="28"/>
          <w:highlight w:val="none"/>
          <w:lang w:eastAsia="zh-CN"/>
        </w:rPr>
      </w:r>
      <w:r/>
    </w:p>
    <w:p>
      <w:pPr>
        <w:pStyle w:val="688"/>
        <w:jc w:val="center"/>
        <w:keepLines w:val="0"/>
        <w:keepNext w:val="0"/>
        <w:pageBreakBefore w:val="0"/>
        <w:spacing w:line="400" w:lineRule="exact"/>
        <w:rPr>
          <w:rFonts w:hint="eastAsia" w:ascii="黑体" w:hAnsi="Times New Roman" w:eastAsia="黑体" w:cs="Times New Roman"/>
          <w:bCs/>
          <w:color w:val="000000"/>
          <w:sz w:val="24"/>
          <w:szCs w:val="24"/>
          <w:highlight w:val="none"/>
          <w:lang w:eastAsia="zh-CN"/>
        </w:rPr>
      </w:pPr>
      <w:r>
        <w:rPr>
          <w:rFonts w:hint="eastAsia" w:ascii="黑体" w:hAnsi="Times New Roman" w:eastAsia="黑体" w:cs="Times New Roman"/>
          <w:bCs/>
          <w:color w:val="000000"/>
          <w:sz w:val="24"/>
          <w:szCs w:val="24"/>
          <w:highlight w:val="none"/>
        </w:rPr>
        <w:t xml:space="preserve">分项报价表</w:t>
      </w:r>
      <w:r>
        <w:rPr>
          <w:rFonts w:hint="eastAsia" w:ascii="黑体" w:hAnsi="Times New Roman" w:eastAsia="黑体" w:cs="Times New Roman"/>
          <w:bCs/>
          <w:color w:val="000000"/>
          <w:sz w:val="24"/>
          <w:szCs w:val="24"/>
          <w:highlight w:val="none"/>
          <w:lang w:eastAsia="zh-CN"/>
        </w:rPr>
      </w:r>
      <w:r/>
    </w:p>
    <w:p>
      <w:pPr>
        <w:pStyle w:val="688"/>
        <w:keepLines w:val="0"/>
        <w:keepNext w:val="0"/>
        <w:pageBreakBefore w:val="0"/>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lang w:val="en-US" w:eastAsia="zh-CN"/>
        </w:rPr>
      </w:r>
      <w:r/>
    </w:p>
    <w:tbl>
      <w:tblPr>
        <w:tblW w:w="1031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trHeight w:val="708"/>
        </w:trPr>
        <w:tc>
          <w:tcPr>
            <w:tcMar>
              <w:left w:w="15" w:type="dxa"/>
              <w:top w:w="15" w:type="dxa"/>
              <w:right w:w="15" w:type="dxa"/>
              <w:bottom w:w="0" w:type="dxa"/>
            </w:tcMar>
            <w:tcW w:w="531" w:type="dxa"/>
            <w:vAlign w:val="center"/>
            <w:textDirection w:val="lrTb"/>
            <w:noWrap/>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Mar>
              <w:left w:w="15" w:type="dxa"/>
              <w:top w:w="15" w:type="dxa"/>
              <w:right w:w="15" w:type="dxa"/>
              <w:bottom w:w="0" w:type="dxa"/>
            </w:tcMar>
            <w:tcW w:w="1559"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Mar>
              <w:left w:w="15" w:type="dxa"/>
              <w:top w:w="15" w:type="dxa"/>
              <w:right w:w="15" w:type="dxa"/>
              <w:bottom w:w="0" w:type="dxa"/>
            </w:tcMar>
            <w:tcW w:w="638" w:type="dxa"/>
            <w:vAlign w:val="center"/>
            <w:textDirection w:val="lrTb"/>
            <w:noWrap/>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ascii="宋体" w:hAnsi="宋体" w:eastAsia="宋体" w:cs="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ascii="宋体" w:hAnsi="宋体" w:eastAsia="宋体" w:cs="宋体"/>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w:t>
            </w:r>
            <w:r>
              <w:rPr>
                <w:rFonts w:ascii="宋体" w:hAnsi="宋体" w:eastAsia="宋体" w:cs="宋体"/>
                <w:color w:val="000000"/>
                <w:sz w:val="24"/>
                <w:szCs w:val="24"/>
                <w:highlight w:val="none"/>
              </w:rPr>
            </w:r>
            <w:r/>
          </w:p>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厂家</w:t>
            </w:r>
            <w:r>
              <w:rPr>
                <w:rFonts w:ascii="宋体" w:hAnsi="宋体" w:eastAsia="宋体" w:cs="宋体"/>
                <w:color w:val="000000"/>
                <w:sz w:val="24"/>
                <w:szCs w:val="24"/>
                <w:highlight w:val="none"/>
              </w:rPr>
            </w:r>
            <w:r/>
          </w:p>
        </w:tc>
        <w:tc>
          <w:tcPr>
            <w:tcW w:w="992" w:type="dxa"/>
            <w:vAlign w:val="top"/>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ascii="宋体" w:hAnsi="宋体" w:eastAsia="宋体" w:cs="宋体"/>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是否中小企业</w:t>
            </w:r>
            <w:r>
              <w:rPr>
                <w:rFonts w:ascii="宋体" w:hAnsi="宋体" w:eastAsia="宋体" w:cs="宋体"/>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免费</w:t>
            </w:r>
            <w:r>
              <w:rPr>
                <w:rFonts w:ascii="宋体" w:hAnsi="宋体" w:eastAsia="宋体" w:cs="宋体"/>
                <w:color w:val="000000"/>
                <w:sz w:val="24"/>
                <w:szCs w:val="24"/>
                <w:highlight w:val="none"/>
              </w:rPr>
            </w:r>
            <w:r/>
          </w:p>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ascii="宋体" w:hAnsi="宋体" w:eastAsia="宋体" w:cs="宋体"/>
                <w:color w:val="000000"/>
                <w:sz w:val="24"/>
                <w:szCs w:val="24"/>
                <w:highlight w:val="none"/>
              </w:rPr>
            </w:r>
            <w:r/>
          </w:p>
        </w:tc>
        <w:tc>
          <w:tcPr>
            <w:tcW w:w="993"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单报价</w:t>
            </w:r>
            <w:r>
              <w:rPr>
                <w:rFonts w:ascii="宋体" w:hAnsi="宋体" w:eastAsia="宋体" w:cs="宋体"/>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分项总报价</w:t>
            </w:r>
            <w:r>
              <w:rPr>
                <w:rFonts w:ascii="宋体" w:hAnsi="宋体" w:eastAsia="宋体" w:cs="宋体"/>
                <w:color w:val="000000"/>
                <w:sz w:val="24"/>
                <w:szCs w:val="24"/>
                <w:highlight w:val="none"/>
              </w:rPr>
            </w:r>
            <w:r/>
          </w:p>
        </w:tc>
      </w:tr>
      <w:tr>
        <w:trPr>
          <w:cantSplit/>
          <w:trHeight w:val="446"/>
        </w:trPr>
        <w:tc>
          <w:tcPr>
            <w:tcMar>
              <w:left w:w="15" w:type="dxa"/>
              <w:top w:w="15" w:type="dxa"/>
              <w:right w:w="15" w:type="dxa"/>
              <w:bottom w:w="0" w:type="dxa"/>
            </w:tcMar>
            <w:tcW w:w="531" w:type="dxa"/>
            <w:vAlign w:val="center"/>
            <w:textDirection w:val="lrTb"/>
            <w:noWrap/>
          </w:tcPr>
          <w:p>
            <w:pPr>
              <w:pStyle w:val="688"/>
              <w:jc w:val="center"/>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Mar>
              <w:left w:w="15" w:type="dxa"/>
              <w:top w:w="15" w:type="dxa"/>
              <w:right w:w="15" w:type="dxa"/>
              <w:bottom w:w="0" w:type="dxa"/>
            </w:tcMar>
            <w:tcW w:w="1559" w:type="dxa"/>
            <w:vAlign w:val="center"/>
            <w:textDirection w:val="lrTb"/>
            <w:noWrap w:val="false"/>
          </w:tcPr>
          <w:p>
            <w:pPr>
              <w:pStyle w:val="688"/>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pStyle w:val="688"/>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8"/>
              <w:jc w:val="center"/>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tc>
        <w:tc>
          <w:tcPr>
            <w:tcW w:w="992" w:type="dxa"/>
            <w:vAlign w:val="top"/>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tc>
        <w:tc>
          <w:tcPr>
            <w:tcW w:w="993"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446"/>
        </w:trPr>
        <w:tc>
          <w:tcPr>
            <w:tcMar>
              <w:left w:w="15" w:type="dxa"/>
              <w:top w:w="15" w:type="dxa"/>
              <w:right w:w="15" w:type="dxa"/>
              <w:bottom w:w="0" w:type="dxa"/>
            </w:tcMar>
            <w:tcW w:w="531" w:type="dxa"/>
            <w:vAlign w:val="center"/>
            <w:textDirection w:val="lrTb"/>
            <w:noWrap/>
          </w:tcPr>
          <w:p>
            <w:pPr>
              <w:pStyle w:val="688"/>
              <w:jc w:val="center"/>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Mar>
              <w:left w:w="15" w:type="dxa"/>
              <w:top w:w="15" w:type="dxa"/>
              <w:right w:w="15" w:type="dxa"/>
              <w:bottom w:w="0" w:type="dxa"/>
            </w:tcMar>
            <w:tcW w:w="1559" w:type="dxa"/>
            <w:vAlign w:val="center"/>
            <w:textDirection w:val="lrTb"/>
            <w:noWrap w:val="false"/>
          </w:tcPr>
          <w:p>
            <w:pPr>
              <w:pStyle w:val="688"/>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pStyle w:val="688"/>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top"/>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3"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482"/>
        </w:trPr>
        <w:tc>
          <w:tcPr>
            <w:tcMar>
              <w:left w:w="15" w:type="dxa"/>
              <w:top w:w="15" w:type="dxa"/>
              <w:right w:w="15" w:type="dxa"/>
              <w:bottom w:w="0" w:type="dxa"/>
            </w:tcMar>
            <w:tcW w:w="531" w:type="dxa"/>
            <w:vAlign w:val="center"/>
            <w:textDirection w:val="lrTb"/>
            <w:noWrap/>
          </w:tcPr>
          <w:p>
            <w:pPr>
              <w:pStyle w:val="688"/>
              <w:jc w:val="center"/>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Mar>
              <w:left w:w="15" w:type="dxa"/>
              <w:top w:w="15" w:type="dxa"/>
              <w:right w:w="15" w:type="dxa"/>
              <w:bottom w:w="0" w:type="dxa"/>
            </w:tcMar>
            <w:tcW w:w="1559" w:type="dxa"/>
            <w:vAlign w:val="center"/>
            <w:textDirection w:val="lrTb"/>
            <w:noWrap w:val="false"/>
          </w:tcPr>
          <w:p>
            <w:pPr>
              <w:pStyle w:val="688"/>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pStyle w:val="688"/>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pStyle w:val="688"/>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top"/>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3"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381"/>
        </w:trPr>
        <w:tc>
          <w:tcPr>
            <w:gridSpan w:val="11"/>
            <w:tcMar>
              <w:left w:w="15" w:type="dxa"/>
              <w:top w:w="15" w:type="dxa"/>
              <w:right w:w="15" w:type="dxa"/>
              <w:bottom w:w="0" w:type="dxa"/>
            </w:tcMar>
            <w:tcW w:w="10311" w:type="dxa"/>
            <w:vAlign w:val="center"/>
            <w:textDirection w:val="lrTb"/>
            <w:noWrap/>
          </w:tcPr>
          <w:p>
            <w:pPr>
              <w:pStyle w:val="688"/>
              <w:keepLines w:val="0"/>
              <w:keepNext w:val="0"/>
              <w:pageBreakBefore w:val="0"/>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交货完工期：合同签订生效后</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天内送货并安装调试完毕。</w:t>
            </w:r>
            <w:r>
              <w:rPr>
                <w:rFonts w:ascii="宋体" w:hAnsi="宋体"/>
                <w:bCs/>
                <w:color w:val="000000"/>
                <w:sz w:val="24"/>
                <w:szCs w:val="24"/>
                <w:highlight w:val="none"/>
              </w:rPr>
            </w:r>
            <w:r/>
          </w:p>
        </w:tc>
      </w:tr>
      <w:tr>
        <w:trPr>
          <w:cantSplit/>
          <w:trHeight w:val="369"/>
        </w:trPr>
        <w:tc>
          <w:tcPr>
            <w:gridSpan w:val="11"/>
            <w:tcMar>
              <w:left w:w="15" w:type="dxa"/>
              <w:top w:w="15" w:type="dxa"/>
              <w:right w:w="15" w:type="dxa"/>
              <w:bottom w:w="0" w:type="dxa"/>
            </w:tcMar>
            <w:tcW w:w="10311" w:type="dxa"/>
            <w:vAlign w:val="center"/>
            <w:textDirection w:val="lrTb"/>
            <w:noWrap/>
          </w:tcPr>
          <w:p>
            <w:pPr>
              <w:pStyle w:val="688"/>
              <w:keepLines w:val="0"/>
              <w:keepNext w:val="0"/>
              <w:pageBreakBefore w:val="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总报价：大写小写</w:t>
            </w:r>
            <w:r>
              <w:rPr>
                <w:rFonts w:ascii="宋体" w:hAnsi="宋体"/>
                <w:color w:val="000000"/>
                <w:sz w:val="24"/>
                <w:szCs w:val="24"/>
                <w:highlight w:val="none"/>
              </w:rPr>
            </w:r>
            <w:r/>
          </w:p>
        </w:tc>
      </w:tr>
      <w:tr>
        <w:trPr>
          <w:cantSplit/>
          <w:trHeight w:val="369"/>
        </w:trPr>
        <w:tc>
          <w:tcPr>
            <w:gridSpan w:val="11"/>
            <w:tcMar>
              <w:left w:w="15" w:type="dxa"/>
              <w:top w:w="15" w:type="dxa"/>
              <w:right w:w="15" w:type="dxa"/>
              <w:bottom w:w="0" w:type="dxa"/>
            </w:tcMar>
            <w:tcW w:w="10311" w:type="dxa"/>
            <w:vAlign w:val="center"/>
            <w:textDirection w:val="lrTb"/>
            <w:noWrap/>
          </w:tcPr>
          <w:p>
            <w:pPr>
              <w:pStyle w:val="688"/>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tc>
      </w:tr>
    </w:tbl>
    <w:p>
      <w:pPr>
        <w:pStyle w:val="688"/>
        <w:keepLines w:val="0"/>
        <w:keepNext w:val="0"/>
        <w:pageBreakBefore w:val="0"/>
        <w:spacing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688"/>
        <w:keepLines w:val="0"/>
        <w:keepNext w:val="0"/>
        <w:pageBreakBefore w:val="0"/>
        <w:spacing w:line="400" w:lineRule="exact"/>
        <w:rPr>
          <w:rFonts w:ascii="宋体" w:hAnsi="宋体"/>
          <w:b/>
          <w:color w:val="000000"/>
          <w:highlight w:val="none"/>
        </w:rPr>
        <w:outlineLvl w:val="0"/>
      </w:pPr>
      <w:r>
        <w:rPr>
          <w:rFonts w:ascii="宋体" w:hAnsi="宋体"/>
          <w:b/>
          <w:color w:val="000000"/>
          <w:highlight w:val="none"/>
        </w:rPr>
      </w:r>
      <w:r/>
    </w:p>
    <w:p>
      <w:pPr>
        <w:pStyle w:val="688"/>
        <w:keepLines w:val="0"/>
        <w:keepNext w:val="0"/>
        <w:pageBreakBefore w:val="0"/>
        <w:spacing w:line="400" w:lineRule="exact"/>
        <w:rPr>
          <w:rFonts w:hint="eastAsia"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eastAsia="zh-CN"/>
        </w:rPr>
        <w:t xml:space="preserve">采购代理机构</w:t>
      </w:r>
      <w:r>
        <w:rPr>
          <w:rFonts w:hint="eastAsia" w:ascii="宋体"/>
          <w:bCs/>
          <w:color w:val="000000"/>
          <w:highlight w:val="none"/>
        </w:rPr>
        <w:t xml:space="preserve">有权将相关内容进行公示；</w:t>
      </w:r>
      <w:r>
        <w:rPr>
          <w:rFonts w:hint="eastAsia" w:ascii="宋体"/>
          <w:bCs/>
          <w:color w:val="000000"/>
          <w:highlight w:val="none"/>
        </w:rPr>
      </w:r>
      <w:r/>
    </w:p>
    <w:p>
      <w:pPr>
        <w:pStyle w:val="688"/>
        <w:keepLines w:val="0"/>
        <w:keepNext w:val="0"/>
        <w:pageBreakBefore w:val="0"/>
        <w:spacing w:line="400" w:lineRule="exact"/>
        <w:rPr>
          <w:rFonts w:hint="eastAsia" w:ascii="宋体"/>
          <w:bCs/>
          <w:color w:val="000000"/>
          <w:highlight w:val="none"/>
        </w:rPr>
        <w:outlineLvl w:val="0"/>
      </w:pPr>
      <w:r>
        <w:rPr>
          <w:rFonts w:hint="eastAsia" w:ascii="宋体"/>
          <w:bCs/>
          <w:color w:val="000000"/>
          <w:highlight w:val="none"/>
        </w:rPr>
        <w:t xml:space="preserve">（2）投标人应当根据“采购需求”的内容在上表中详细填写；</w:t>
      </w:r>
      <w:r>
        <w:rPr>
          <w:rFonts w:hint="eastAsia" w:ascii="宋体"/>
          <w:bCs/>
          <w:color w:val="000000"/>
          <w:highlight w:val="none"/>
        </w:rPr>
      </w:r>
      <w:r/>
    </w:p>
    <w:p>
      <w:pPr>
        <w:pStyle w:val="688"/>
        <w:keepLines w:val="0"/>
        <w:keepNext w:val="0"/>
        <w:pageBreakBefore w:val="0"/>
        <w:spacing w:line="400" w:lineRule="exact"/>
        <w:rPr>
          <w:rFonts w:hint="eastAsia" w:ascii="宋体"/>
          <w:bCs/>
          <w:color w:val="000000"/>
          <w:highlight w:val="none"/>
        </w:rPr>
        <w:outlineLvl w:val="0"/>
      </w:pPr>
      <w:r>
        <w:rPr>
          <w:rFonts w:hint="eastAsia" w:ascii="宋体"/>
          <w:bCs/>
          <w:color w:val="000000"/>
          <w:highlight w:val="none"/>
          <w:lang w:eastAsia="zh-CN"/>
        </w:rPr>
        <w:t xml:space="preserve">（</w:t>
      </w:r>
      <w:r>
        <w:rPr>
          <w:rFonts w:hint="eastAsia" w:ascii="宋体"/>
          <w:bCs/>
          <w:color w:val="000000"/>
          <w:highlight w:val="none"/>
          <w:lang w:val="en-US" w:eastAsia="zh-CN"/>
        </w:rPr>
        <w:t xml:space="preserve">3</w:t>
      </w:r>
      <w:r>
        <w:rPr>
          <w:rFonts w:hint="eastAsia" w:ascii="宋体"/>
          <w:bCs/>
          <w:color w:val="000000"/>
          <w:highlight w:val="none"/>
          <w:lang w:eastAsia="zh-CN"/>
        </w:rPr>
        <w:t xml:space="preserve">）</w:t>
      </w:r>
      <w:r>
        <w:rPr>
          <w:rFonts w:hint="eastAsia" w:ascii="宋体"/>
          <w:bCs/>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bCs/>
          <w:color w:val="000000"/>
          <w:highlight w:val="none"/>
        </w:rPr>
      </w:r>
      <w:r/>
    </w:p>
    <w:p>
      <w:pPr>
        <w:pStyle w:val="688"/>
        <w:keepLines w:val="0"/>
        <w:keepNext w:val="0"/>
        <w:pageBreakBefore w:val="0"/>
        <w:spacing w:line="400" w:lineRule="exact"/>
        <w:rPr>
          <w:rFonts w:hint="eastAsia" w:ascii="宋体"/>
          <w:bCs/>
          <w:color w:val="000000"/>
          <w:highlight w:val="none"/>
        </w:rPr>
        <w:outlineLvl w:val="0"/>
      </w:pPr>
      <w:r>
        <w:rPr>
          <w:rFonts w:hint="eastAsia" w:ascii="宋体"/>
          <w:bCs/>
          <w:color w:val="000000"/>
          <w:highlight w:val="none"/>
        </w:rPr>
        <w:t xml:space="preserve">（</w:t>
      </w:r>
      <w:r>
        <w:rPr>
          <w:rFonts w:hint="eastAsia" w:ascii="宋体"/>
          <w:bCs/>
          <w:color w:val="000000"/>
          <w:highlight w:val="none"/>
          <w:lang w:val="en-US" w:eastAsia="zh-CN"/>
        </w:rPr>
        <w:t xml:space="preserve">4</w:t>
      </w:r>
      <w:r>
        <w:rPr>
          <w:rFonts w:hint="eastAsia" w:ascii="宋体"/>
          <w:bCs/>
          <w:color w:val="000000"/>
          <w:highlight w:val="none"/>
        </w:rPr>
        <w:t xml:space="preserve">）表格不够可自行延长。</w:t>
      </w:r>
      <w:r>
        <w:rPr>
          <w:rFonts w:hint="eastAsia" w:ascii="宋体"/>
          <w:bCs/>
          <w:color w:val="000000"/>
          <w:highlight w:val="none"/>
        </w:rPr>
      </w:r>
      <w:r/>
    </w:p>
    <w:p>
      <w:pPr>
        <w:pStyle w:val="688"/>
        <w:rPr>
          <w:bCs/>
          <w:color w:val="000000"/>
          <w:highlight w:val="none"/>
        </w:rPr>
      </w:pPr>
      <w:r>
        <w:rPr>
          <w:bCs/>
          <w:color w:val="000000"/>
          <w:highlight w:val="none"/>
        </w:rPr>
      </w:r>
      <w:r/>
    </w:p>
    <w:p>
      <w:pPr>
        <w:pStyle w:val="68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91"/>
        <w:jc w:val="center"/>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（四）关于资格的声明函（格式）</w:t>
      </w:r>
      <w:r>
        <w:rPr>
          <w:rFonts w:hint="eastAsia" w:ascii="宋体" w:hAnsi="宋体" w:eastAsia="宋体" w:cs="宋体"/>
          <w:b w:val="0"/>
          <w:color w:val="000000"/>
          <w:sz w:val="28"/>
          <w:szCs w:val="28"/>
          <w:highlight w:val="none"/>
        </w:rPr>
      </w:r>
      <w:r/>
    </w:p>
    <w:p>
      <w:pPr>
        <w:pStyle w:val="688"/>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采购编号：</w:t>
      </w:r>
      <w:r>
        <w:rPr>
          <w:rFonts w:hint="eastAsia" w:ascii="宋体" w:hAnsi="宋体" w:cs="宋体"/>
          <w:bCs/>
          <w:color w:val="000000"/>
          <w:sz w:val="24"/>
          <w:highlight w:val="none"/>
        </w:rPr>
      </w:r>
      <w:r/>
    </w:p>
    <w:p>
      <w:pPr>
        <w:pStyle w:val="688"/>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w:t>
      </w:r>
      <w:r>
        <w:rPr>
          <w:rFonts w:hint="eastAsia" w:ascii="宋体" w:hAnsi="宋体" w:cs="宋体"/>
          <w:bCs/>
          <w:color w:val="000000"/>
          <w:sz w:val="24"/>
          <w:highlight w:val="none"/>
        </w:rPr>
      </w:r>
      <w:r/>
    </w:p>
    <w:p>
      <w:pPr>
        <w:pStyle w:val="688"/>
        <w:jc w:val="center"/>
        <w:rPr>
          <w:rFonts w:hint="eastAsia" w:ascii="宋体" w:hAnsi="宋体" w:cs="宋体"/>
          <w:bCs/>
          <w:color w:val="000000"/>
          <w:highlight w:val="none"/>
        </w:rPr>
      </w:pPr>
      <w:r>
        <w:rPr>
          <w:rFonts w:hint="eastAsia" w:ascii="宋体" w:hAnsi="宋体" w:cs="宋体"/>
          <w:bCs/>
          <w:color w:val="000000"/>
          <w:highlight w:val="none"/>
        </w:rPr>
      </w:r>
      <w:r/>
    </w:p>
    <w:p>
      <w:pPr>
        <w:pStyle w:val="688"/>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   江苏苏咨工程咨询有限责任公司： </w:t>
      </w:r>
      <w:r>
        <w:rPr>
          <w:rFonts w:hint="eastAsia" w:ascii="宋体" w:hAnsi="宋体" w:cs="宋体"/>
          <w:bCs/>
          <w:color w:val="000000"/>
          <w:sz w:val="24"/>
          <w:highlight w:val="none"/>
          <w:u w:val="single"/>
        </w:rPr>
      </w:r>
      <w:r/>
    </w:p>
    <w:p>
      <w:pPr>
        <w:pStyle w:val="688"/>
        <w:ind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我公司（单位）参加政府采购活动前三年内在经营活动中没有重大违法记录。</w:t>
      </w:r>
      <w:r>
        <w:rPr>
          <w:rFonts w:hint="eastAsia" w:ascii="宋体" w:hAnsi="宋体" w:cs="宋体"/>
          <w:bCs/>
          <w:color w:val="000000"/>
          <w:sz w:val="24"/>
          <w:highlight w:val="none"/>
        </w:rPr>
      </w:r>
      <w:r/>
    </w:p>
    <w:p>
      <w:pPr>
        <w:pStyle w:val="731"/>
        <w:ind w:left="0" w:right="34" w:firstLine="403"/>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rPr>
          <w:rFonts w:hint="eastAsia" w:ascii="宋体" w:hAnsi="宋体" w:cs="宋体"/>
          <w:bCs/>
          <w:color w:val="000000"/>
          <w:szCs w:val="24"/>
          <w:highlight w:val="none"/>
        </w:rPr>
      </w:r>
      <w:r/>
    </w:p>
    <w:p>
      <w:pPr>
        <w:pStyle w:val="731"/>
        <w:ind w:left="0" w:right="34" w:firstLine="403"/>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731"/>
        <w:ind w:left="0" w:right="34" w:firstLine="403"/>
        <w:spacing w:line="360" w:lineRule="auto"/>
        <w:rPr>
          <w:rFonts w:hint="eastAsia" w:ascii="宋体" w:hAnsi="宋体" w:cs="宋体"/>
          <w:bCs/>
          <w:color w:val="000000"/>
          <w:sz w:val="21"/>
          <w:highlight w:val="none"/>
        </w:rPr>
      </w:pPr>
      <w:r>
        <w:rPr>
          <w:rFonts w:hint="eastAsia" w:ascii="宋体" w:hAnsi="宋体" w:cs="宋体"/>
          <w:bCs/>
          <w:color w:val="000000"/>
          <w:sz w:val="21"/>
          <w:highlight w:val="none"/>
        </w:rPr>
      </w:r>
      <w:r/>
    </w:p>
    <w:p>
      <w:pPr>
        <w:pStyle w:val="731"/>
        <w:ind w:left="0" w:right="34" w:firstLine="403"/>
        <w:spacing w:line="360" w:lineRule="auto"/>
        <w:rPr>
          <w:rFonts w:hint="eastAsia" w:ascii="宋体" w:hAnsi="宋体" w:cs="宋体"/>
          <w:bCs/>
          <w:color w:val="000000"/>
          <w:sz w:val="21"/>
          <w:highlight w:val="none"/>
        </w:rPr>
      </w:pPr>
      <w:r>
        <w:rPr>
          <w:rFonts w:hint="eastAsia" w:ascii="宋体" w:hAnsi="宋体" w:cs="宋体"/>
          <w:bCs/>
          <w:color w:val="000000"/>
          <w:sz w:val="21"/>
          <w:highlight w:val="none"/>
        </w:rPr>
      </w:r>
      <w:r/>
    </w:p>
    <w:p>
      <w:pPr>
        <w:pStyle w:val="688"/>
        <w:ind w:firstLine="48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731"/>
        <w:ind w:left="0" w:right="34" w:firstLine="403"/>
        <w:spacing w:line="360" w:lineRule="auto"/>
        <w:rPr>
          <w:rFonts w:hint="eastAsia" w:ascii="宋体" w:hAnsi="宋体" w:cs="宋体"/>
          <w:bCs/>
          <w:color w:val="000000"/>
          <w:sz w:val="21"/>
          <w:highlight w:val="none"/>
        </w:rPr>
      </w:pPr>
      <w:r>
        <w:rPr>
          <w:rFonts w:hint="eastAsia" w:ascii="宋体" w:hAnsi="宋体" w:cs="宋体"/>
          <w:bCs/>
          <w:color w:val="000000"/>
          <w:highlight w:val="none"/>
        </w:rPr>
        <w:t xml:space="preserve">　　　　　　　　　　　法定代表人或法定代表人授权代表签字或盖章：</w:t>
      </w:r>
      <w:r>
        <w:rPr>
          <w:rFonts w:hint="eastAsia" w:ascii="宋体" w:hAnsi="宋体" w:cs="宋体"/>
          <w:bCs/>
          <w:color w:val="000000"/>
          <w:sz w:val="21"/>
          <w:highlight w:val="none"/>
        </w:rPr>
      </w:r>
      <w:r/>
    </w:p>
    <w:p>
      <w:pPr>
        <w:pStyle w:val="731"/>
        <w:ind w:left="0" w:right="34" w:firstLine="403"/>
        <w:spacing w:line="360" w:lineRule="auto"/>
        <w:rPr>
          <w:rFonts w:hint="eastAsia" w:ascii="宋体" w:hAnsi="宋体" w:cs="宋体"/>
          <w:bCs/>
          <w:color w:val="000000"/>
          <w:sz w:val="21"/>
          <w:highlight w:val="none"/>
        </w:rPr>
      </w:pPr>
      <w:r>
        <w:rPr>
          <w:rFonts w:hint="eastAsia" w:ascii="宋体" w:hAnsi="宋体" w:cs="宋体"/>
          <w:bCs/>
          <w:color w:val="000000"/>
          <w:sz w:val="21"/>
          <w:highlight w:val="none"/>
        </w:rPr>
      </w:r>
      <w:r/>
    </w:p>
    <w:p>
      <w:pPr>
        <w:pStyle w:val="688"/>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88"/>
        <w:jc w:val="center"/>
        <w:rPr>
          <w:rFonts w:hint="eastAsia" w:ascii="宋体" w:hAnsi="宋体" w:cs="宋体"/>
          <w:bCs/>
          <w:color w:val="000000"/>
          <w:sz w:val="32"/>
          <w:highlight w:val="none"/>
        </w:rPr>
        <w:outlineLvl w:val="0"/>
      </w:pPr>
      <w:r>
        <w:rPr>
          <w:rFonts w:hint="eastAsia" w:ascii="宋体" w:hAnsi="宋体" w:cs="宋体"/>
          <w:bCs/>
          <w:color w:val="000000"/>
          <w:sz w:val="32"/>
          <w:highlight w:val="none"/>
        </w:rPr>
      </w:r>
      <w:r/>
    </w:p>
    <w:p>
      <w:pPr>
        <w:pStyle w:val="691"/>
        <w:jc w:val="center"/>
        <w:rPr>
          <w:rFonts w:hint="eastAsia" w:ascii="宋体" w:hAnsi="宋体" w:eastAsia="宋体" w:cs="宋体"/>
          <w:b w:val="0"/>
          <w:color w:val="000000"/>
          <w:sz w:val="28"/>
          <w:szCs w:val="28"/>
          <w:highlight w:val="none"/>
        </w:rPr>
      </w:pPr>
      <w:r>
        <w:rPr>
          <w:rFonts w:hint="eastAsia" w:ascii="宋体" w:hAnsi="宋体" w:eastAsia="宋体" w:cs="宋体"/>
          <w:b w:val="0"/>
          <w:color w:val="000000"/>
          <w:highlight w:val="none"/>
        </w:rPr>
        <w:br w:type="page" w:clear="all"/>
      </w:r>
      <w:r>
        <w:rPr>
          <w:rFonts w:hint="eastAsia" w:ascii="宋体" w:hAnsi="宋体" w:eastAsia="宋体" w:cs="宋体"/>
          <w:b w:val="0"/>
          <w:color w:val="000000"/>
          <w:sz w:val="28"/>
          <w:szCs w:val="28"/>
          <w:highlight w:val="none"/>
        </w:rPr>
        <w:t xml:space="preserve">（五）承诺书（格式）：</w:t>
      </w:r>
      <w:r>
        <w:rPr>
          <w:rFonts w:hint="eastAsia" w:ascii="宋体" w:hAnsi="宋体" w:eastAsia="宋体" w:cs="宋体"/>
          <w:b w:val="0"/>
          <w:color w:val="000000"/>
          <w:sz w:val="28"/>
          <w:szCs w:val="28"/>
          <w:highlight w:val="none"/>
        </w:rPr>
      </w:r>
      <w:r/>
    </w:p>
    <w:p>
      <w:pPr>
        <w:pStyle w:val="688"/>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688"/>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（投标供应商名称）           </w:t>
      </w:r>
      <w:r>
        <w:rPr>
          <w:rFonts w:hint="eastAsia" w:ascii="宋体" w:hAnsi="宋体" w:cs="宋体"/>
          <w:bCs/>
          <w:color w:val="000000"/>
          <w:sz w:val="24"/>
          <w:highlight w:val="none"/>
        </w:rPr>
        <w:t xml:space="preserve">在此承诺：</w:t>
      </w:r>
      <w:r>
        <w:rPr>
          <w:rFonts w:hint="eastAsia" w:ascii="宋体" w:hAnsi="宋体" w:cs="宋体"/>
          <w:bCs/>
          <w:color w:val="000000"/>
          <w:sz w:val="24"/>
          <w:highlight w:val="none"/>
        </w:rPr>
      </w:r>
      <w:r/>
    </w:p>
    <w:p>
      <w:pPr>
        <w:pStyle w:val="68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480"/>
        <w:spacing w:before="240"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我公司自愿参加贵单位（公司）</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cs="宋体"/>
          <w:bCs/>
          <w:color w:val="000000"/>
          <w:sz w:val="24"/>
          <w:highlight w:val="none"/>
        </w:rPr>
      </w:r>
      <w:r/>
    </w:p>
    <w:p>
      <w:pPr>
        <w:pStyle w:val="688"/>
        <w:ind w:firstLine="480"/>
        <w:spacing w:before="240"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480"/>
        <w:spacing w:before="240"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540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28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投标供应商（盖章）：</w:t>
      </w:r>
      <w:r>
        <w:rPr>
          <w:rFonts w:hint="eastAsia" w:ascii="宋体" w:hAnsi="宋体" w:cs="宋体"/>
          <w:bCs/>
          <w:color w:val="000000"/>
          <w:sz w:val="24"/>
          <w:highlight w:val="none"/>
        </w:rPr>
      </w:r>
      <w:r/>
    </w:p>
    <w:p>
      <w:pPr>
        <w:pStyle w:val="688"/>
        <w:ind w:right="960"/>
        <w:jc w:val="center"/>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法定代表人或授权代表签字或盖章：</w:t>
      </w:r>
      <w:r>
        <w:rPr>
          <w:rFonts w:hint="eastAsia" w:ascii="宋体" w:hAnsi="宋体" w:cs="宋体"/>
          <w:bCs/>
          <w:color w:val="000000"/>
          <w:sz w:val="24"/>
          <w:highlight w:val="none"/>
        </w:rPr>
      </w:r>
      <w:r/>
    </w:p>
    <w:p>
      <w:pPr>
        <w:pStyle w:val="688"/>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688"/>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688"/>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688"/>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688"/>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691"/>
        <w:jc w:val="center"/>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w:t>
      </w:r>
      <w:r>
        <w:rPr>
          <w:rFonts w:hint="eastAsia" w:ascii="宋体" w:hAnsi="宋体" w:eastAsia="宋体" w:cs="宋体"/>
          <w:b w:val="0"/>
          <w:color w:val="000000"/>
          <w:sz w:val="28"/>
          <w:szCs w:val="28"/>
          <w:highlight w:val="none"/>
          <w:lang w:eastAsia="zh-CN"/>
        </w:rPr>
        <w:t xml:space="preserve">六</w:t>
      </w:r>
      <w:r>
        <w:rPr>
          <w:rFonts w:hint="eastAsia" w:ascii="宋体" w:hAnsi="宋体" w:eastAsia="宋体" w:cs="宋体"/>
          <w:b w:val="0"/>
          <w:color w:val="000000"/>
          <w:sz w:val="28"/>
          <w:szCs w:val="28"/>
          <w:highlight w:val="none"/>
        </w:rPr>
        <w:t xml:space="preserve">）法定代表人授权委托书（格式）：</w:t>
      </w:r>
      <w:r>
        <w:rPr>
          <w:rFonts w:hint="eastAsia" w:ascii="宋体" w:hAnsi="宋体" w:eastAsia="宋体" w:cs="宋体"/>
          <w:b w:val="0"/>
          <w:color w:val="000000"/>
          <w:sz w:val="28"/>
          <w:szCs w:val="28"/>
          <w:highlight w:val="none"/>
        </w:rPr>
      </w:r>
      <w:r/>
    </w:p>
    <w:p>
      <w:pPr>
        <w:pStyle w:val="688"/>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30"/>
          <w:highlight w:val="none"/>
        </w:rPr>
        <w:t xml:space="preserve">                           </w:t>
      </w:r>
      <w:r>
        <w:rPr>
          <w:rFonts w:hint="eastAsia" w:ascii="宋体" w:hAnsi="宋体" w:cs="宋体"/>
          <w:bCs/>
          <w:color w:val="000000"/>
          <w:sz w:val="24"/>
          <w:highlight w:val="none"/>
        </w:rPr>
        <w:t xml:space="preserve">采购编号：</w:t>
      </w:r>
      <w:r>
        <w:rPr>
          <w:rFonts w:hint="eastAsia" w:ascii="宋体" w:hAnsi="宋体" w:cs="宋体"/>
          <w:bCs/>
          <w:color w:val="000000"/>
          <w:sz w:val="24"/>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江苏苏咨工程咨询有限责任公司：</w:t>
      </w:r>
      <w:r>
        <w:rPr>
          <w:rFonts w:hint="eastAsia" w:ascii="宋体" w:hAnsi="宋体" w:cs="宋体"/>
          <w:bCs/>
          <w:color w:val="000000"/>
          <w:sz w:val="24"/>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t xml:space="preserve">   （投标供应商单位名称）          </w:t>
      </w:r>
      <w:r>
        <w:rPr>
          <w:rFonts w:hint="eastAsia" w:ascii="宋体" w:hAnsi="宋体" w:cs="宋体"/>
          <w:bCs/>
          <w:color w:val="000000"/>
          <w:sz w:val="24"/>
          <w:highlight w:val="none"/>
        </w:rPr>
        <w:t xml:space="preserve">系中华人民共和国合法企业，</w:t>
      </w:r>
      <w:r>
        <w:rPr>
          <w:rFonts w:hint="eastAsia" w:ascii="宋体" w:hAnsi="宋体" w:cs="宋体"/>
          <w:bCs/>
          <w:color w:val="000000"/>
          <w:sz w:val="24"/>
          <w:highlight w:val="none"/>
        </w:rPr>
      </w:r>
      <w:r/>
    </w:p>
    <w:p>
      <w:pPr>
        <w:pStyle w:val="688"/>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法定地址：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，特授权</w:t>
      </w:r>
      <w:r>
        <w:rPr>
          <w:rFonts w:hint="eastAsia" w:ascii="宋体" w:hAnsi="宋体" w:cs="宋体"/>
          <w:bCs/>
          <w:color w:val="000000"/>
          <w:sz w:val="24"/>
          <w:highlight w:val="none"/>
          <w:u w:val="single"/>
        </w:rPr>
        <w:t xml:space="preserve">    （姓名）   </w:t>
      </w:r>
      <w:r>
        <w:rPr>
          <w:rFonts w:hint="eastAsia" w:ascii="宋体" w:hAnsi="宋体" w:cs="宋体"/>
          <w:bCs/>
          <w:color w:val="000000"/>
          <w:sz w:val="24"/>
          <w:highlight w:val="none"/>
        </w:rPr>
        <w:t xml:space="preserve">代表我公司（单位）全权办理针对本项目</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的投标，参与谈判、评审、签约等具体工作，并签署全部有关的文件、协议及合同。</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我公司（单位）对被授权人的签名负全部责任。</w:t>
      </w:r>
      <w:r>
        <w:rPr>
          <w:rFonts w:hint="eastAsia" w:ascii="宋体" w:hAnsi="宋体" w:cs="宋体"/>
          <w:bCs/>
          <w:color w:val="000000"/>
          <w:sz w:val="24"/>
          <w:highlight w:val="none"/>
        </w:rPr>
      </w:r>
      <w:r/>
    </w:p>
    <w:p>
      <w:pPr>
        <w:pStyle w:val="688"/>
        <w:ind w:firstLine="523"/>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被授权人情况：</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姓名：         性别：       年龄：       职务：</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身份证号码：                电话：</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rPr>
      </w:r>
      <w:r/>
    </w:p>
    <w:p>
      <w:pPr>
        <w:pStyle w:val="688"/>
        <w:ind w:firstLine="525"/>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被授权人签名：                单位名称（盖章）：</w:t>
      </w:r>
      <w:r>
        <w:rPr>
          <w:rFonts w:hint="eastAsia" w:ascii="宋体" w:hAnsi="宋体" w:cs="宋体"/>
          <w:bCs/>
          <w:color w:val="000000"/>
          <w:sz w:val="24"/>
          <w:highlight w:val="none"/>
        </w:rPr>
      </w:r>
      <w:r/>
    </w:p>
    <w:p>
      <w:pPr>
        <w:pStyle w:val="688"/>
        <w:ind w:firstLine="42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法定代表人（签字或盖章）：</w:t>
      </w:r>
      <w:r>
        <w:rPr>
          <w:rFonts w:hint="eastAsia" w:ascii="宋体" w:hAnsi="宋体" w:cs="宋体"/>
          <w:bCs/>
          <w:color w:val="000000"/>
          <w:sz w:val="24"/>
          <w:highlight w:val="none"/>
        </w:rPr>
      </w:r>
      <w:r/>
    </w:p>
    <w:p>
      <w:pPr>
        <w:pStyle w:val="688"/>
        <w:ind w:firstLine="42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42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88"/>
                              <w:jc w:val="center"/>
                              <w:rPr>
                                <w:rFonts w:hint="eastAsia" w:ascii="黑体" w:eastAsia="黑体"/>
                                <w:sz w:val="32"/>
                                <w:szCs w:val="32"/>
                              </w:rPr>
                            </w:pPr>
                            <w:r>
                              <w:rPr>
                                <w:rFonts w:hint="eastAsia" w:ascii="黑体" w:eastAsia="黑体"/>
                                <w:sz w:val="32"/>
                                <w:szCs w:val="32"/>
                              </w:rPr>
                            </w:r>
                            <w:r/>
                          </w:p>
                          <w:p>
                            <w:pPr>
                              <w:pStyle w:val="688"/>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pStyle w:val="688"/>
                        <w:jc w:val="center"/>
                        <w:rPr>
                          <w:rFonts w:hint="eastAsia" w:ascii="黑体" w:eastAsia="黑体"/>
                          <w:sz w:val="32"/>
                          <w:szCs w:val="32"/>
                        </w:rPr>
                      </w:pPr>
                      <w:r>
                        <w:rPr>
                          <w:rFonts w:hint="eastAsia" w:ascii="黑体" w:eastAsia="黑体"/>
                          <w:sz w:val="32"/>
                          <w:szCs w:val="32"/>
                        </w:rPr>
                      </w:r>
                      <w:r/>
                    </w:p>
                    <w:p>
                      <w:pPr>
                        <w:pStyle w:val="688"/>
                      </w:pPr>
                      <w:r/>
                      <w:r/>
                    </w:p>
                  </w:txbxContent>
                </v:textbox>
              </v:shape>
            </w:pict>
          </mc:Fallback>
        </mc:AlternateConten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65405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88"/>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pStyle w:val="688"/>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jc w:val="center"/>
                        <w:rPr>
                          <w:rFonts w:hint="eastAsia" w:ascii="黑体" w:eastAsia="黑体"/>
                          <w:sz w:val="32"/>
                          <w:szCs w:val="32"/>
                        </w:rPr>
                      </w:pPr>
                      <w:r>
                        <w:rPr>
                          <w:rFonts w:hint="eastAsia" w:ascii="黑体" w:eastAsia="黑体"/>
                          <w:sz w:val="32"/>
                          <w:szCs w:val="32"/>
                        </w:rPr>
                      </w:r>
                      <w:r/>
                    </w:p>
                    <w:p>
                      <w:pPr>
                        <w:pStyle w:val="688"/>
                      </w:pPr>
                      <w:r/>
                      <w:r/>
                    </w:p>
                  </w:txbxContent>
                </v:textbox>
              </v:shape>
            </w:pict>
          </mc:Fallback>
        </mc:AlternateContent>
      </w:r>
      <w:r>
        <w:rPr>
          <w:rFonts w:hint="eastAsia" w:ascii="宋体" w:hAnsi="宋体" w:cs="宋体"/>
          <w:bCs/>
          <w:color w:val="000000"/>
          <w:sz w:val="24"/>
          <w:highlight w:val="none"/>
        </w:rPr>
      </w:r>
      <w:r/>
    </w:p>
    <w:p>
      <w:pPr>
        <w:pStyle w:val="688"/>
        <w:spacing w:line="400" w:lineRule="exact"/>
        <w:rPr>
          <w:rFonts w:hint="eastAsia" w:ascii="宋体" w:hAnsi="宋体" w:cs="宋体"/>
          <w:bCs/>
          <w:color w:val="000000"/>
          <w:sz w:val="24"/>
          <w:highlight w:val="none"/>
        </w:rPr>
      </w:pPr>
      <w:r/>
      <w:bookmarkStart w:id="2" w:name="_Toc245033583"/>
      <w:r>
        <w:rPr>
          <w:rFonts w:hint="eastAsia" w:ascii="宋体" w:hAnsi="宋体" w:cs="宋体"/>
          <w:bCs/>
          <w:color w:val="000000"/>
          <w:sz w:val="24"/>
          <w:highlight w:val="none"/>
        </w:rPr>
      </w:r>
      <w:r/>
    </w:p>
    <w:p>
      <w:pPr>
        <w:pStyle w:val="688"/>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ind w:firstLine="490"/>
        <w:jc w:val="center"/>
        <w:keepLines w:val="0"/>
        <w:keepNext w:val="0"/>
        <w:pageBreakBefore w:val="0"/>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（七）</w:t>
      </w: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88"/>
        <w:ind w:firstLine="490"/>
        <w:jc w:val="center"/>
        <w:rPr>
          <w:rFonts w:ascii="宋体" w:hAnsi="宋体" w:cs="宋体"/>
          <w:bCs/>
          <w:sz w:val="28"/>
          <w:szCs w:val="28"/>
        </w:rPr>
        <w:outlineLvl w:val="0"/>
      </w:pPr>
      <w:r>
        <w:rPr>
          <w:rFonts w:hint="eastAsia" w:ascii="宋体" w:hAnsi="宋体" w:cs="宋体"/>
          <w:bCs/>
          <w:sz w:val="28"/>
          <w:szCs w:val="28"/>
          <w:lang w:eastAsia="zh-CN"/>
        </w:rPr>
        <w:t xml:space="preserve">一）</w:t>
      </w:r>
      <w:r>
        <w:rPr>
          <w:rFonts w:hint="eastAsia" w:ascii="宋体" w:hAnsi="宋体" w:cs="宋体"/>
          <w:bCs/>
          <w:sz w:val="28"/>
          <w:szCs w:val="28"/>
        </w:rPr>
        <w:t xml:space="preserve">投标商务部分偏离表</w:t>
      </w:r>
      <w:r>
        <w:rPr>
          <w:rFonts w:ascii="宋体" w:hAnsi="宋体" w:cs="宋体"/>
          <w:bCs/>
          <w:sz w:val="28"/>
          <w:szCs w:val="28"/>
        </w:rPr>
      </w:r>
      <w:r/>
    </w:p>
    <w:p>
      <w:pPr>
        <w:pStyle w:val="688"/>
        <w:jc w:val="center"/>
        <w:spacing w:line="400" w:lineRule="exact"/>
        <w:rPr>
          <w:rFonts w:ascii="宋体" w:hAnsi="宋体" w:cs="宋体"/>
          <w:bCs/>
          <w:sz w:val="28"/>
          <w:szCs w:val="28"/>
        </w:rPr>
        <w:outlineLvl w:val="0"/>
      </w:pPr>
      <w:r>
        <w:rPr>
          <w:rFonts w:ascii="宋体" w:hAnsi="宋体" w:cs="宋体"/>
          <w:bCs/>
          <w:sz w:val="28"/>
          <w:szCs w:val="28"/>
        </w:rPr>
      </w:r>
      <w:r/>
    </w:p>
    <w:p>
      <w:pPr>
        <w:pStyle w:val="688"/>
        <w:spacing w:line="400" w:lineRule="exact"/>
        <w:rPr>
          <w:rFonts w:ascii="宋体" w:hAnsi="宋体" w:cs="宋体"/>
          <w:bCs/>
          <w:sz w:val="24"/>
        </w:rPr>
      </w:pPr>
      <w:r>
        <w:rPr>
          <w:rFonts w:hint="eastAsia" w:ascii="宋体" w:hAnsi="宋体" w:cs="宋体"/>
          <w:bCs/>
          <w:sz w:val="24"/>
        </w:rPr>
        <w:t xml:space="preserve">项目编号： </w:t>
      </w:r>
      <w:r>
        <w:rPr>
          <w:rFonts w:ascii="宋体" w:hAnsi="宋体" w:cs="宋体"/>
          <w:bCs/>
          <w:sz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88"/>
              <w:jc w:val="center"/>
              <w:rPr>
                <w:rFonts w:ascii="宋体" w:hAnsi="宋体" w:cs="宋体"/>
                <w:b/>
                <w:bCs/>
                <w:sz w:val="24"/>
              </w:rPr>
            </w:pPr>
            <w:r>
              <w:rPr>
                <w:rFonts w:hint="eastAsia" w:ascii="宋体" w:hAnsi="宋体" w:cs="宋体"/>
                <w:b/>
                <w:bCs/>
                <w:sz w:val="24"/>
              </w:rPr>
              <w:t xml:space="preserve">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hAnsi="宋体" w:cs="宋体"/>
                <w:b/>
                <w:bCs/>
                <w:sz w:val="24"/>
              </w:rPr>
            </w:pPr>
            <w:r>
              <w:rPr>
                <w:rFonts w:hint="eastAsia" w:ascii="宋体" w:hAnsi="宋体" w:cs="宋体"/>
                <w:b/>
                <w:bCs/>
                <w:sz w:val="24"/>
              </w:rPr>
              <w:t xml:space="preserve">采购要求</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hAnsi="宋体" w:cs="宋体"/>
                <w:b/>
                <w:bCs/>
                <w:sz w:val="24"/>
              </w:rPr>
            </w:pPr>
            <w:r>
              <w:rPr>
                <w:rFonts w:hint="eastAsia" w:ascii="宋体" w:hAnsi="宋体" w:cs="宋体"/>
                <w:b/>
                <w:bCs/>
                <w:sz w:val="24"/>
              </w:rPr>
              <w:t xml:space="preserve">实报内容</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center"/>
              <w:rPr>
                <w:rFonts w:ascii="宋体" w:hAnsi="宋体" w:cs="宋体"/>
                <w:b/>
                <w:bCs/>
                <w:sz w:val="24"/>
              </w:rPr>
            </w:pPr>
            <w:r>
              <w:rPr>
                <w:rFonts w:hint="eastAsia" w:ascii="宋体" w:hAnsi="宋体" w:cs="宋体"/>
                <w:b/>
                <w:bCs/>
                <w:sz w:val="24"/>
              </w:rPr>
              <w:t xml:space="preserve">偏离说明</w:t>
            </w:r>
            <w:r>
              <w:rPr>
                <w:rFonts w:ascii="宋体" w:hAnsi="宋体" w:cs="宋体"/>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88"/>
              <w:jc w:val="center"/>
              <w:rPr>
                <w:rFonts w:ascii="宋体" w:hAnsi="宋体" w:cs="宋体"/>
                <w:bCs/>
                <w:sz w:val="20"/>
                <w:szCs w:val="20"/>
              </w:rPr>
            </w:pPr>
            <w:r>
              <w:rPr>
                <w:rFonts w:ascii="宋体" w:hAnsi="宋体" w:cs="宋体"/>
                <w:bCs/>
                <w:sz w:val="20"/>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rPr>
                <w:rFonts w:ascii="宋体" w:hAnsi="宋体" w:cs="宋体"/>
                <w:bCs/>
                <w:sz w:val="20"/>
                <w:szCs w:val="20"/>
              </w:rPr>
            </w:pPr>
            <w:r>
              <w:rPr>
                <w:rFonts w:ascii="宋体" w:hAnsi="宋体" w:cs="宋体"/>
                <w:bCs/>
                <w:sz w:val="20"/>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hAnsi="宋体" w:cs="宋体"/>
                <w:bCs/>
                <w:sz w:val="20"/>
                <w:szCs w:val="20"/>
              </w:rPr>
            </w:pPr>
            <w:r>
              <w:rPr>
                <w:rFonts w:ascii="宋体" w:hAnsi="宋体" w:cs="宋体"/>
                <w:bCs/>
                <w:sz w:val="20"/>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center"/>
              <w:rPr>
                <w:rFonts w:ascii="宋体" w:hAnsi="宋体" w:cs="宋体"/>
                <w:bCs/>
                <w:sz w:val="20"/>
                <w:szCs w:val="20"/>
              </w:rPr>
            </w:pPr>
            <w:r>
              <w:rPr>
                <w:rFonts w:ascii="宋体" w:hAnsi="宋体" w:cs="宋体"/>
                <w:bCs/>
                <w:sz w:val="20"/>
                <w:szCs w:val="20"/>
              </w:rPr>
            </w:r>
            <w:r/>
          </w:p>
        </w:tc>
      </w:tr>
    </w:tbl>
    <w:p>
      <w:pPr>
        <w:pStyle w:val="688"/>
        <w:rPr>
          <w:rFonts w:ascii="宋体" w:hAnsi="宋体" w:cs="宋体"/>
          <w:b/>
          <w:sz w:val="24"/>
        </w:rPr>
      </w:pPr>
      <w:r>
        <w:rPr>
          <w:rFonts w:hint="eastAsia" w:ascii="宋体" w:hAnsi="宋体" w:cs="宋体"/>
          <w:bCs/>
          <w:sz w:val="24"/>
        </w:rPr>
        <w:t xml:space="preserve">投标人名称（盖章）：</w:t>
      </w:r>
      <w:r>
        <w:rPr>
          <w:rFonts w:ascii="宋体" w:hAnsi="宋体" w:cs="宋体"/>
          <w:b/>
          <w:sz w:val="24"/>
        </w:rPr>
      </w:r>
      <w:r/>
    </w:p>
    <w:p>
      <w:pPr>
        <w:pStyle w:val="688"/>
        <w:rPr>
          <w:rFonts w:ascii="宋体" w:hAnsi="宋体" w:cs="宋体"/>
          <w:bCs/>
          <w:i/>
          <w:sz w:val="24"/>
        </w:rPr>
        <w:outlineLvl w:val="0"/>
      </w:pPr>
      <w:r>
        <w:rPr>
          <w:rFonts w:ascii="宋体" w:hAnsi="宋体" w:cs="宋体"/>
          <w:bCs/>
          <w:i/>
          <w:sz w:val="24"/>
        </w:rPr>
      </w:r>
      <w:r/>
    </w:p>
    <w:p>
      <w:pPr>
        <w:pStyle w:val="688"/>
        <w:ind w:firstLine="420"/>
        <w:rPr>
          <w:rFonts w:ascii="宋体" w:hAnsi="宋体" w:cs="宋体"/>
          <w:bCs/>
          <w:sz w:val="24"/>
        </w:rPr>
        <w:outlineLvl w:val="0"/>
      </w:pPr>
      <w:r>
        <w:rPr>
          <w:rFonts w:hint="eastAsia" w:ascii="宋体" w:hAnsi="宋体" w:cs="宋体"/>
          <w:bCs/>
          <w:sz w:val="24"/>
        </w:rPr>
        <w:t xml:space="preserve">注：（1）本表不得删除；</w:t>
      </w:r>
      <w:r>
        <w:rPr>
          <w:rFonts w:ascii="宋体" w:hAnsi="宋体" w:cs="宋体"/>
          <w:bCs/>
          <w:sz w:val="24"/>
        </w:rPr>
      </w:r>
      <w:r/>
    </w:p>
    <w:p>
      <w:pPr>
        <w:pStyle w:val="688"/>
        <w:ind w:firstLine="420"/>
        <w:rPr>
          <w:rFonts w:ascii="宋体" w:hAnsi="宋体" w:cs="宋体"/>
          <w:bCs/>
          <w:sz w:val="24"/>
        </w:rPr>
        <w:outlineLvl w:val="0"/>
      </w:pPr>
      <w:r>
        <w:rPr>
          <w:rFonts w:hint="eastAsia" w:ascii="宋体" w:hAnsi="宋体" w:cs="宋体"/>
          <w:bCs/>
          <w:sz w:val="24"/>
        </w:rPr>
        <w:t xml:space="preserve">   （2）如无任何偏离，请于本表 “偏离说明”中注明“无偏离”；</w:t>
      </w:r>
      <w:r>
        <w:rPr>
          <w:rFonts w:ascii="宋体" w:hAnsi="宋体" w:cs="宋体"/>
          <w:bCs/>
          <w:sz w:val="24"/>
        </w:rPr>
      </w:r>
      <w:r/>
    </w:p>
    <w:p>
      <w:pPr>
        <w:pStyle w:val="688"/>
        <w:ind w:firstLine="420"/>
        <w:rPr>
          <w:rFonts w:ascii="宋体" w:hAnsi="宋体" w:cs="宋体"/>
          <w:bCs/>
          <w:sz w:val="24"/>
        </w:rPr>
        <w:outlineLvl w:val="0"/>
      </w:pPr>
      <w:r>
        <w:rPr>
          <w:rFonts w:hint="eastAsia" w:ascii="宋体" w:hAnsi="宋体" w:cs="宋体"/>
          <w:bCs/>
          <w:sz w:val="24"/>
        </w:rPr>
        <w:t xml:space="preserve">   （3）如有偏离项，请于本表中列明偏离内容，如需要可自行延长，其余无偏离内容不须赘述。</w:t>
      </w:r>
      <w:r>
        <w:rPr>
          <w:rFonts w:ascii="宋体" w:hAnsi="宋体" w:cs="宋体"/>
          <w:bCs/>
          <w:sz w:val="24"/>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jc w:val="center"/>
        <w:keepLines w:val="0"/>
        <w:keepNext w:val="0"/>
        <w:pageBreakBefore w:val="0"/>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8"/>
        <w:ind w:firstLine="490"/>
        <w:jc w:val="center"/>
        <w:rPr>
          <w:rFonts w:ascii="宋体" w:hAnsi="宋体" w:cs="宋体"/>
          <w:bCs/>
          <w:sz w:val="28"/>
          <w:szCs w:val="28"/>
        </w:rPr>
        <w:outlineLvl w:val="0"/>
      </w:pPr>
      <w:r>
        <w:rPr>
          <w:rFonts w:hint="eastAsia" w:ascii="宋体" w:hAnsi="宋体" w:cs="宋体"/>
          <w:bCs/>
          <w:sz w:val="28"/>
          <w:szCs w:val="28"/>
          <w:lang w:eastAsia="zh-CN"/>
        </w:rPr>
        <w:t xml:space="preserve">二）</w:t>
      </w:r>
      <w:r>
        <w:rPr>
          <w:rFonts w:hint="eastAsia" w:ascii="宋体" w:hAnsi="宋体" w:cs="宋体"/>
          <w:bCs/>
          <w:sz w:val="28"/>
          <w:szCs w:val="28"/>
        </w:rPr>
        <w:t xml:space="preserve">投标</w:t>
      </w:r>
      <w:r>
        <w:rPr>
          <w:rFonts w:hint="eastAsia" w:ascii="宋体" w:hAnsi="宋体" w:cs="宋体"/>
          <w:bCs/>
          <w:sz w:val="28"/>
          <w:szCs w:val="28"/>
          <w:lang w:eastAsia="zh-CN"/>
        </w:rPr>
        <w:t xml:space="preserve">技术</w:t>
      </w:r>
      <w:r>
        <w:rPr>
          <w:rFonts w:hint="eastAsia" w:ascii="宋体" w:hAnsi="宋体" w:cs="宋体"/>
          <w:bCs/>
          <w:sz w:val="28"/>
          <w:szCs w:val="28"/>
        </w:rPr>
        <w:t xml:space="preserve">部分偏离表</w:t>
      </w:r>
      <w:r>
        <w:rPr>
          <w:rFonts w:ascii="宋体" w:hAnsi="宋体" w:cs="宋体"/>
          <w:bCs/>
          <w:sz w:val="28"/>
          <w:szCs w:val="28"/>
        </w:rPr>
      </w:r>
      <w:r/>
    </w:p>
    <w:p>
      <w:pPr>
        <w:pStyle w:val="688"/>
        <w:keepLines w:val="0"/>
        <w:keepNext w:val="0"/>
        <w:pageBreakBefore w:val="0"/>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val="en-US" w:eastAsia="zh-CN"/>
        </w:rPr>
        <w:t xml:space="preserve"> </w:t>
      </w:r>
      <w:r>
        <w:rPr>
          <w:rFonts w:ascii="黑体" w:eastAsia="黑体"/>
          <w:bCs/>
          <w:color w:val="000000"/>
          <w:sz w:val="24"/>
          <w:szCs w:val="24"/>
          <w:highlight w:val="none"/>
          <w:lang w:val="en-US"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8"/>
              <w:jc w:val="center"/>
              <w:keepLines w:val="0"/>
              <w:keepNext w:val="0"/>
              <w:pageBreakBefore w:val="0"/>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keepLines w:val="0"/>
              <w:keepNext w:val="0"/>
              <w:pageBreakBefore w:val="0"/>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keepLines w:val="0"/>
              <w:keepNext w:val="0"/>
              <w:pageBreakBefore w:val="0"/>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center"/>
              <w:keepLines w:val="0"/>
              <w:keepNext w:val="0"/>
              <w:pageBreakBefore w:val="0"/>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8"/>
              <w:jc w:val="center"/>
              <w:keepLines w:val="0"/>
              <w:keepNext w:val="0"/>
              <w:pageBreakBefore w:val="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keepLines w:val="0"/>
              <w:keepNext w:val="0"/>
              <w:pageBreakBefore w:val="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keepLines w:val="0"/>
              <w:keepNext w:val="0"/>
              <w:pageBreakBefore w:val="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left"/>
              <w:keepLines w:val="0"/>
              <w:keepNext w:val="0"/>
              <w:pageBreakBefore w:val="0"/>
              <w:rPr>
                <w:rFonts w:ascii="宋体"/>
                <w:color w:val="000000"/>
                <w:highlight w:val="none"/>
              </w:rPr>
            </w:pPr>
            <w:r>
              <w:rPr>
                <w:rFonts w:ascii="宋体"/>
                <w:color w:val="000000"/>
                <w:highlight w:val="none"/>
              </w:rPr>
            </w:r>
            <w:r/>
          </w:p>
        </w:tc>
      </w:tr>
    </w:tbl>
    <w:p>
      <w:pPr>
        <w:pStyle w:val="688"/>
        <w:keepLines w:val="0"/>
        <w:keepNext w:val="0"/>
        <w:pageBreakBefore w:val="0"/>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688"/>
        <w:keepLines w:val="0"/>
        <w:keepNext w:val="0"/>
        <w:pageBreakBefore w:val="0"/>
        <w:rPr>
          <w:rFonts w:ascii="宋体"/>
          <w:bCs/>
          <w:color w:val="000000"/>
          <w:sz w:val="30"/>
          <w:highlight w:val="none"/>
        </w:rPr>
      </w:pPr>
      <w:r>
        <w:rPr>
          <w:rFonts w:ascii="宋体"/>
          <w:bCs/>
          <w:color w:val="000000"/>
          <w:sz w:val="30"/>
          <w:highlight w:val="none"/>
        </w:rPr>
      </w:r>
      <w:r/>
    </w:p>
    <w:p>
      <w:pPr>
        <w:pStyle w:val="688"/>
        <w:keepLines w:val="0"/>
        <w:keepNext w:val="0"/>
        <w:pageBreakBefore w:val="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rPr>
      </w:r>
      <w:r/>
    </w:p>
    <w:p>
      <w:pPr>
        <w:pStyle w:val="688"/>
        <w:ind w:firstLine="480"/>
        <w:keepLines w:val="0"/>
        <w:keepNext w:val="0"/>
        <w:pageBreakBefore w:val="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）如无任何技术偏离，请于本表“偏离说明”中注明“无偏离”；</w:t>
      </w:r>
      <w:r>
        <w:rPr>
          <w:rFonts w:hint="eastAsia" w:ascii="宋体" w:hAnsi="宋体"/>
          <w:bCs/>
          <w:color w:val="000000"/>
          <w:sz w:val="24"/>
          <w:szCs w:val="24"/>
          <w:highlight w:val="none"/>
        </w:rPr>
      </w:r>
      <w:r/>
    </w:p>
    <w:p>
      <w:pPr>
        <w:pStyle w:val="688"/>
        <w:ind w:firstLine="480"/>
        <w:keepLines w:val="0"/>
        <w:keepNext w:val="0"/>
        <w:pageBreakBefore w:val="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（3）如有技术偏离项，请于本表中列明偏离内容；</w:t>
      </w:r>
      <w:r>
        <w:rPr>
          <w:rFonts w:hint="eastAsia" w:ascii="宋体" w:hAnsi="宋体"/>
          <w:bCs/>
          <w:color w:val="000000"/>
          <w:sz w:val="24"/>
          <w:szCs w:val="24"/>
          <w:highlight w:val="none"/>
        </w:rPr>
      </w:r>
      <w:r/>
    </w:p>
    <w:p>
      <w:pPr>
        <w:pStyle w:val="688"/>
        <w:ind w:firstLine="480"/>
        <w:keepLines w:val="0"/>
        <w:keepNext w:val="0"/>
        <w:pageBreakBefore w:val="0"/>
        <w:rPr>
          <w:rFonts w:ascii="宋体" w:hAnsi="宋体"/>
          <w:bCs/>
          <w:color w:val="000000"/>
          <w:sz w:val="24"/>
          <w:szCs w:val="24"/>
          <w:highlight w:val="none"/>
        </w:rPr>
        <w:outlineLvl w:val="0"/>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投标人应当根据“采购需求”的内容在上表中逐条填写。</w:t>
      </w:r>
      <w:r>
        <w:rPr>
          <w:rFonts w:ascii="宋体" w:hAnsi="宋体"/>
          <w:bCs/>
          <w:color w:val="000000"/>
          <w:sz w:val="24"/>
          <w:szCs w:val="24"/>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rPr>
          <w:rFonts w:hint="eastAsia" w:ascii="宋体" w:hAnsi="宋体" w:cs="宋体"/>
          <w:bCs/>
          <w:color w:val="000000"/>
          <w:highlight w:val="none"/>
        </w:rPr>
      </w:pPr>
      <w:r>
        <w:rPr>
          <w:rFonts w:hint="eastAsia" w:ascii="宋体" w:hAnsi="宋体" w:cs="宋体"/>
          <w:bCs/>
          <w:color w:val="000000"/>
          <w:highlight w:val="none"/>
        </w:rPr>
      </w:r>
      <w:r/>
    </w:p>
    <w:p>
      <w:pPr>
        <w:pStyle w:val="688"/>
        <w:jc w:val="center"/>
        <w:spacing w:line="400" w:lineRule="exact"/>
        <w:rPr>
          <w:rFonts w:hint="eastAsia" w:ascii="宋体" w:hAnsi="宋体" w:cs="宋体"/>
          <w:bCs/>
          <w:color w:val="000000"/>
          <w:sz w:val="24"/>
          <w:highlight w:val="none"/>
        </w:rPr>
      </w:pPr>
      <w:r/>
      <w:bookmarkEnd w:id="2"/>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八</w:t>
      </w:r>
      <w:r>
        <w:rPr>
          <w:rFonts w:hint="eastAsia" w:ascii="宋体" w:hAnsi="宋体" w:cs="宋体"/>
          <w:bCs/>
          <w:color w:val="000000"/>
          <w:sz w:val="24"/>
          <w:highlight w:val="none"/>
        </w:rPr>
        <w:t xml:space="preserve">）中小企业声明函（格式）：</w:t>
      </w:r>
      <w:r>
        <w:rPr>
          <w:rFonts w:hint="eastAsia" w:ascii="宋体" w:hAnsi="宋体" w:cs="宋体"/>
          <w:bCs/>
          <w:color w:val="000000"/>
          <w:sz w:val="24"/>
          <w:highlight w:val="none"/>
        </w:rPr>
      </w:r>
      <w:r/>
    </w:p>
    <w:p>
      <w:pPr>
        <w:pStyle w:val="68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rPr>
          <w:rFonts w:ascii="黑体" w:eastAsia="黑体"/>
          <w:bCs/>
          <w:color w:val="000000"/>
          <w:sz w:val="28"/>
          <w:szCs w:val="28"/>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highlight w:val="none"/>
        </w:rPr>
      </w:r>
      <w:r/>
    </w:p>
    <w:p>
      <w:pPr>
        <w:pStyle w:val="68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8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88"/>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rPr>
          <w:color w:val="000000"/>
          <w:highlight w:val="none"/>
        </w:rPr>
      </w:r>
      <w:r/>
    </w:p>
    <w:p>
      <w:pPr>
        <w:pStyle w:val="688"/>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rPr>
          <w:color w:val="000000"/>
          <w:highlight w:val="none"/>
        </w:rPr>
      </w:r>
      <w:r/>
    </w:p>
    <w:p>
      <w:pPr>
        <w:pStyle w:val="688"/>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88"/>
        <w:jc w:val="center"/>
        <w:spacing w:line="440" w:lineRule="exact"/>
        <w:rPr>
          <w:rFonts w:hint="eastAsia" w:ascii="黑体" w:eastAsia="黑体"/>
          <w:bCs/>
          <w:color w:val="000000"/>
          <w:sz w:val="28"/>
          <w:szCs w:val="28"/>
          <w:highlight w:val="none"/>
        </w:rPr>
      </w:pPr>
      <w:r>
        <w:rPr>
          <w:color w:val="000000"/>
          <w:highlight w:val="none"/>
        </w:rPr>
        <w:br w:type="page" w:clear="all"/>
      </w: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688"/>
        <w:ind w:firstLine="420"/>
        <w:spacing w:line="360" w:lineRule="auto"/>
        <w:rPr>
          <w:color w:val="000000"/>
          <w:highlight w:val="none"/>
        </w:rPr>
      </w:pPr>
      <w:r>
        <w:rPr>
          <w:color w:val="000000"/>
          <w:highlight w:val="none"/>
        </w:rPr>
        <w:t xml:space="preserve"> </w:t>
      </w:r>
      <w:r>
        <w:rPr>
          <w:color w:val="000000"/>
          <w:highlight w:val="none"/>
        </w:rPr>
      </w:r>
      <w:r/>
    </w:p>
    <w:p>
      <w:pPr>
        <w:pStyle w:val="6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8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88"/>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88"/>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88"/>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8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8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8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8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88"/>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88"/>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注：划删除线的地方无需填写。</w:t>
      </w:r>
      <w:r>
        <w:rPr>
          <w:rFonts w:hint="eastAsia" w:ascii="宋体" w:hAnsi="宋体" w:cs="宋体"/>
          <w:b/>
          <w:color w:val="000000"/>
          <w:sz w:val="18"/>
          <w:szCs w:val="18"/>
          <w:highlight w:val="none"/>
        </w:rPr>
      </w:r>
      <w:r/>
    </w:p>
    <w:p>
      <w:pPr>
        <w:pStyle w:val="688"/>
        <w:spacing w:line="440" w:lineRule="exact"/>
        <w:rPr>
          <w:color w:val="000000"/>
          <w:highlight w:val="none"/>
        </w:rPr>
      </w:pPr>
      <w:r>
        <w:rPr>
          <w:color w:val="000000"/>
          <w:highlight w:val="none"/>
        </w:rPr>
      </w:r>
      <w:r/>
    </w:p>
    <w:p>
      <w:pPr>
        <w:pStyle w:val="688"/>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8"/>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九</w:t>
      </w:r>
      <w:r>
        <w:rPr>
          <w:rFonts w:hint="eastAsia" w:ascii="宋体" w:hAnsi="宋体" w:cs="宋体"/>
          <w:bCs/>
          <w:color w:val="000000"/>
          <w:sz w:val="24"/>
          <w:highlight w:val="none"/>
        </w:rPr>
        <w:t xml:space="preserve">）残疾人福利性单位声明函</w:t>
      </w:r>
      <w:r>
        <w:rPr>
          <w:rFonts w:hint="eastAsia" w:ascii="宋体" w:hAnsi="宋体" w:cs="宋体"/>
          <w:bCs/>
          <w:color w:val="000000"/>
          <w:sz w:val="24"/>
          <w:highlight w:val="none"/>
        </w:rPr>
      </w:r>
      <w:r/>
    </w:p>
    <w:p>
      <w:pPr>
        <w:pStyle w:val="688"/>
        <w:ind w:firstLine="504"/>
        <w:spacing w:line="480" w:lineRule="auto"/>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cs="宋体"/>
          <w:bCs/>
          <w:color w:val="000000"/>
          <w:spacing w:val="6"/>
          <w:sz w:val="24"/>
          <w:highlight w:val="none"/>
        </w:rPr>
      </w:r>
      <w:r/>
    </w:p>
    <w:p>
      <w:pPr>
        <w:pStyle w:val="688"/>
        <w:spacing w:line="480" w:lineRule="auto"/>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本单位对上述声明的真实性负责。如有虚假，将依法承担相应责任。</w:t>
      </w:r>
      <w:r>
        <w:rPr>
          <w:rFonts w:hint="eastAsia" w:ascii="宋体" w:hAnsi="宋体" w:cs="宋体"/>
          <w:bCs/>
          <w:color w:val="000000"/>
          <w:spacing w:val="6"/>
          <w:sz w:val="24"/>
          <w:highlight w:val="none"/>
        </w:rPr>
      </w:r>
      <w:r/>
    </w:p>
    <w:p>
      <w:pPr>
        <w:pStyle w:val="688"/>
        <w:spacing w:line="480" w:lineRule="auto"/>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r>
      <w:r/>
    </w:p>
    <w:p>
      <w:pPr>
        <w:pStyle w:val="688"/>
        <w:spacing w:line="480" w:lineRule="auto"/>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                  企业名称（盖章）：</w:t>
      </w:r>
      <w:r>
        <w:rPr>
          <w:rFonts w:hint="eastAsia" w:ascii="宋体" w:hAnsi="宋体" w:cs="宋体"/>
          <w:bCs/>
          <w:color w:val="000000"/>
          <w:spacing w:val="6"/>
          <w:sz w:val="24"/>
          <w:highlight w:val="none"/>
        </w:rPr>
      </w:r>
      <w:r/>
    </w:p>
    <w:p>
      <w:pPr>
        <w:pStyle w:val="688"/>
        <w:spacing w:line="480" w:lineRule="auto"/>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                                日     期： </w:t>
      </w:r>
      <w:r>
        <w:rPr>
          <w:rFonts w:hint="eastAsia" w:ascii="宋体" w:hAnsi="宋体" w:cs="宋体"/>
          <w:bCs/>
          <w:color w:val="000000"/>
          <w:spacing w:val="6"/>
          <w:sz w:val="24"/>
          <w:highlight w:val="none"/>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Arial Unicode MS">
    <w:panose1 w:val="020B0604020202020204"/>
  </w:font>
  <w:font w:name="Calibri">
    <w:panose1 w:val="020F0502020204030204"/>
  </w:font>
  <w:font w:name="仿宋">
    <w:panose1 w:val="02010609060101010101"/>
  </w:font>
  <w:font w:name="等线">
    <w:panose1 w:val="02010600030101010101"/>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inherit">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rPr>
        <w:rStyle w:val="781"/>
        <w:szCs w:val="21"/>
      </w:rPr>
      <w:t xml:space="preserve">- </w:t>
    </w:r>
    <w:r>
      <w:rPr>
        <w:szCs w:val="21"/>
      </w:rPr>
      <w:fldChar w:fldCharType="begin"/>
    </w:r>
    <w:r>
      <w:rPr>
        <w:rStyle w:val="781"/>
        <w:szCs w:val="21"/>
      </w:rPr>
      <w:instrText xml:space="preserve"> PAGE </w:instrText>
    </w:r>
    <w:r>
      <w:rPr>
        <w:szCs w:val="21"/>
      </w:rPr>
      <w:fldChar w:fldCharType="separate"/>
    </w:r>
    <w:r>
      <w:rPr>
        <w:rStyle w:val="781"/>
        <w:szCs w:val="21"/>
      </w:rPr>
      <w:t xml:space="preserve">22</w:t>
    </w:r>
    <w:r>
      <w:rPr>
        <w:szCs w:val="21"/>
      </w:rPr>
      <w:fldChar w:fldCharType="end"/>
    </w:r>
    <w:r>
      <w:rPr>
        <w:rStyle w:val="781"/>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rPr>
        <w:rStyle w:val="781"/>
      </w:rPr>
      <w:framePr w:wrap="around" w:vAnchor="text" w:hAnchor="margin" w:xAlign="center" w:y="1"/>
    </w:pPr>
    <w:r>
      <w:fldChar w:fldCharType="begin"/>
    </w:r>
    <w:r>
      <w:rPr>
        <w:rStyle w:val="781"/>
      </w:rPr>
      <w:instrText xml:space="preserve">PAGE  </w:instrText>
    </w:r>
    <w:r>
      <w:fldChar w:fldCharType="separate"/>
    </w:r>
    <w:r>
      <w:fldChar w:fldCharType="end"/>
    </w:r>
    <w:r>
      <w:rPr>
        <w:rStyle w:val="781"/>
      </w:rPr>
    </w:r>
    <w:r/>
  </w:p>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7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spacing w:line="360" w:lineRule="auto"/>
      <w:rPr>
        <w:rFonts w:hint="eastAsia"/>
        <w:sz w:val="18"/>
        <w:szCs w:val="18"/>
        <w:u w:val="single"/>
      </w:rPr>
    </w:pPr>
    <w:r>
      <w:rPr>
        <w:rFonts w:hint="eastAsia"/>
        <w:sz w:val="18"/>
        <w:szCs w:val="18"/>
        <w:u w:val="single"/>
      </w:rPr>
      <w:t xml:space="preserve">                        </w:t>
    </w:r>
    <w:r>
      <w:rPr>
        <w:rFonts w:hint="eastAsia"/>
        <w:u w:val="single"/>
      </w:rPr>
      <w:t xml:space="preserve">                  </w:t>
    </w:r>
    <w:r>
      <w:rPr>
        <w:rFonts w:hint="eastAsia"/>
        <w:sz w:val="18"/>
        <w:szCs w:val="18"/>
        <w:u w:val="single"/>
      </w:rPr>
      <w:t xml:space="preserve">    </w:t>
    </w:r>
    <w:r>
      <w:rPr>
        <w:rFonts w:hint="eastAsia"/>
        <w:sz w:val="18"/>
        <w:szCs w:val="18"/>
        <w:u w:val="single"/>
        <w:lang w:eastAsia="zh-CN"/>
      </w:rPr>
      <w:t xml:space="preserve">2026年新吴区疾控中心检验检测设备采购项目</w:t>
    </w:r>
    <w:r>
      <w:rPr>
        <w:rFonts w:hint="eastAsia"/>
        <w:sz w:val="18"/>
        <w:szCs w:val="18"/>
        <w:u w:val="single"/>
      </w:rPr>
      <w:t xml:space="preserve">公开招标文件</w:t>
    </w:r>
    <w:r>
      <w:rPr>
        <w:rFonts w:hint="eastAsia"/>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decimal"/>
      <w:pStyle w:val="732"/>
      <w:isLgl w:val="false"/>
      <w:suff w:val="tab"/>
      <w:lvlText w:val=""/>
      <w:lvlJc w:val="left"/>
      <w:pPr>
        <w:pStyle w:val="688"/>
        <w:tabs>
          <w:tab w:val="num" w:pos="360" w:leader="none"/>
        </w:tabs>
      </w:pPr>
    </w:lvl>
    <w:lvl w:ilvl="1">
      <w:start w:val="1"/>
      <w:numFmt w:val="bullet"/>
      <w:pStyle w:val="88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8"/>
        <w:ind w:left="840" w:hanging="420"/>
        <w:tabs>
          <w:tab w:val="num" w:pos="840" w:leader="none"/>
        </w:tabs>
      </w:pPr>
      <w:rPr>
        <w:rFonts w:cs="Times New Roman"/>
      </w:rPr>
    </w:lvl>
    <w:lvl w:ilvl="2">
      <w:start w:val="10"/>
      <w:numFmt w:val="decimal"/>
      <w:isLgl w:val="false"/>
      <w:suff w:val="tab"/>
      <w:lvlText w:val="%3."/>
      <w:lvlJc w:val="left"/>
      <w:pPr>
        <w:pStyle w:val="688"/>
        <w:ind w:left="1200" w:hanging="360"/>
        <w:tabs>
          <w:tab w:val="num" w:pos="120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2">
    <w:multiLevelType w:val="hybridMultilevel"/>
    <w:lvl w:ilvl="0">
      <w:start w:val="1"/>
      <w:numFmt w:val="chineseCountingThousand"/>
      <w:pStyle w:val="689"/>
      <w:isLgl w:val="false"/>
      <w:suff w:val="tab"/>
      <w:lvlText w:val="第%1部分"/>
      <w:lvlJc w:val="left"/>
      <w:pPr>
        <w:pStyle w:val="688"/>
        <w:ind w:left="425" w:hanging="425"/>
        <w:tabs>
          <w:tab w:val="num" w:pos="1800" w:leader="none"/>
        </w:tabs>
      </w:pPr>
      <w:rPr>
        <w:rFonts w:hint="eastAsia"/>
      </w:rPr>
    </w:lvl>
    <w:lvl w:ilvl="1">
      <w:start w:val="1"/>
      <w:numFmt w:val="decimal"/>
      <w:pStyle w:val="690"/>
      <w:isLgl w:val="false"/>
      <w:suff w:val="tab"/>
      <w:lvlText w:val="%1.%2"/>
      <w:lvlJc w:val="left"/>
      <w:pPr>
        <w:pStyle w:val="688"/>
        <w:ind w:left="567" w:hanging="567"/>
        <w:tabs>
          <w:tab w:val="num" w:pos="567" w:leader="none"/>
        </w:tabs>
      </w:pPr>
      <w:rPr>
        <w:rFonts w:hint="eastAsia"/>
      </w:rPr>
    </w:lvl>
    <w:lvl w:ilvl="2">
      <w:start w:val="1"/>
      <w:numFmt w:val="decimal"/>
      <w:pStyle w:val="944"/>
      <w:isLgl w:val="false"/>
      <w:suff w:val="tab"/>
      <w:lvlText w:val="%1.%2.%3"/>
      <w:lvlJc w:val="left"/>
      <w:pPr>
        <w:pStyle w:val="688"/>
        <w:ind w:left="340" w:hanging="340"/>
        <w:tabs>
          <w:tab w:val="num" w:pos="1080" w:leader="none"/>
        </w:tabs>
      </w:pPr>
      <w:rPr>
        <w:rFonts w:hint="eastAsia"/>
      </w:rPr>
    </w:lvl>
    <w:lvl w:ilvl="3">
      <w:start w:val="1"/>
      <w:numFmt w:val="decimal"/>
      <w:isLgl w:val="false"/>
      <w:suff w:val="tab"/>
      <w:lvlText w:val="%1.%2.%3.%4"/>
      <w:lvlJc w:val="left"/>
      <w:pPr>
        <w:pStyle w:val="688"/>
        <w:ind w:left="851" w:hanging="851"/>
        <w:tabs>
          <w:tab w:val="num" w:pos="851" w:leader="none"/>
        </w:tabs>
      </w:pPr>
      <w:rPr>
        <w:rFonts w:hint="eastAsia"/>
      </w:rPr>
    </w:lvl>
    <w:lvl w:ilvl="4">
      <w:start w:val="1"/>
      <w:numFmt w:val="decimal"/>
      <w:pStyle w:val="692"/>
      <w:isLgl w:val="false"/>
      <w:suff w:val="tab"/>
      <w:lvlText w:val="%1.%2.%3.%4.%5"/>
      <w:lvlJc w:val="left"/>
      <w:pPr>
        <w:pStyle w:val="688"/>
        <w:ind w:left="992" w:hanging="992"/>
        <w:tabs>
          <w:tab w:val="num" w:pos="1080" w:leader="none"/>
        </w:tabs>
      </w:pPr>
      <w:rPr>
        <w:rFonts w:hint="eastAsia"/>
      </w:rPr>
    </w:lvl>
    <w:lvl w:ilvl="5">
      <w:start w:val="1"/>
      <w:numFmt w:val="decimal"/>
      <w:pStyle w:val="693"/>
      <w:isLgl w:val="false"/>
      <w:suff w:val="tab"/>
      <w:lvlText w:val="%1.%2.%3.%4.%5.%6"/>
      <w:lvlJc w:val="left"/>
      <w:pPr>
        <w:pStyle w:val="688"/>
        <w:ind w:left="1134" w:hanging="1134"/>
        <w:tabs>
          <w:tab w:val="num" w:pos="1440" w:leader="none"/>
        </w:tabs>
      </w:pPr>
      <w:rPr>
        <w:rFonts w:hint="eastAsia"/>
      </w:rPr>
    </w:lvl>
    <w:lvl w:ilvl="6">
      <w:start w:val="1"/>
      <w:numFmt w:val="decimal"/>
      <w:isLgl w:val="false"/>
      <w:suff w:val="tab"/>
      <w:lvlText w:val="%1.%2.%3.%4.%5.%6.%7."/>
      <w:lvlJc w:val="left"/>
      <w:pPr>
        <w:pStyle w:val="688"/>
        <w:ind w:left="1276" w:hanging="1276"/>
        <w:tabs>
          <w:tab w:val="num" w:pos="1276" w:leader="none"/>
        </w:tabs>
      </w:pPr>
      <w:rPr>
        <w:rFonts w:hint="eastAsia"/>
      </w:rPr>
    </w:lvl>
    <w:lvl w:ilvl="7">
      <w:start w:val="1"/>
      <w:numFmt w:val="decimal"/>
      <w:isLgl w:val="false"/>
      <w:suff w:val="tab"/>
      <w:lvlText w:val="%1.%2.%3.%4.%5.%6.%7.%8."/>
      <w:lvlJc w:val="left"/>
      <w:pPr>
        <w:pStyle w:val="688"/>
        <w:ind w:left="1418" w:hanging="1418"/>
        <w:tabs>
          <w:tab w:val="num" w:pos="1418" w:leader="none"/>
        </w:tabs>
      </w:pPr>
      <w:rPr>
        <w:rFonts w:hint="eastAsia"/>
      </w:rPr>
    </w:lvl>
    <w:lvl w:ilvl="8">
      <w:start w:val="1"/>
      <w:numFmt w:val="decimal"/>
      <w:isLgl w:val="false"/>
      <w:suff w:val="tab"/>
      <w:lvlText w:val="%1.%2.%3.%4.%5.%6.%7.%8.%9."/>
      <w:lvlJc w:val="left"/>
      <w:pPr>
        <w:pStyle w:val="688"/>
        <w:ind w:left="1559" w:hanging="1559"/>
        <w:tabs>
          <w:tab w:val="num" w:pos="1559" w:leader="none"/>
        </w:tabs>
      </w:pPr>
      <w:rPr>
        <w:rFonts w:hint="eastAsia"/>
      </w:rPr>
    </w:lvl>
  </w:abstractNum>
  <w:abstractNum w:abstractNumId="3">
    <w:multiLevelType w:val="hybridMultilevel"/>
    <w:lvl w:ilvl="0">
      <w:start w:val="1"/>
      <w:numFmt w:val="lowerLetter"/>
      <w:pStyle w:val="726"/>
      <w:isLgl w:val="false"/>
      <w:suff w:val="tab"/>
      <w:lvlText w:val="%1)"/>
      <w:lvlJc w:val="left"/>
      <w:pPr>
        <w:pStyle w:val="688"/>
        <w:ind w:left="1620" w:hanging="420"/>
        <w:tabs>
          <w:tab w:val="num" w:pos="1620" w:leader="none"/>
        </w:tabs>
      </w:pPr>
    </w:lvl>
    <w:lvl w:ilvl="1">
      <w:start w:val="1"/>
      <w:numFmt w:val="decimal"/>
      <w:isLgl w:val="false"/>
      <w:suff w:val="tab"/>
      <w:lvlText w:val="%2."/>
      <w:lvlJc w:val="left"/>
      <w:pPr>
        <w:pStyle w:val="688"/>
        <w:ind w:left="2040" w:hanging="420"/>
        <w:tabs>
          <w:tab w:val="num" w:pos="2040" w:leader="none"/>
        </w:tabs>
      </w:pPr>
    </w:lvl>
    <w:lvl w:ilvl="2">
      <w:start w:val="1"/>
      <w:numFmt w:val="lowerRoman"/>
      <w:isLgl w:val="false"/>
      <w:suff w:val="tab"/>
      <w:lvlText w:val="%3."/>
      <w:lvlJc w:val="right"/>
      <w:pPr>
        <w:pStyle w:val="688"/>
        <w:ind w:left="2460" w:hanging="420"/>
        <w:tabs>
          <w:tab w:val="num" w:pos="2460" w:leader="none"/>
        </w:tabs>
      </w:pPr>
    </w:lvl>
    <w:lvl w:ilvl="3">
      <w:start w:val="1"/>
      <w:numFmt w:val="decimal"/>
      <w:isLgl w:val="false"/>
      <w:suff w:val="tab"/>
      <w:lvlText w:val="%4."/>
      <w:lvlJc w:val="left"/>
      <w:pPr>
        <w:pStyle w:val="688"/>
        <w:ind w:left="2880" w:hanging="420"/>
        <w:tabs>
          <w:tab w:val="num" w:pos="2880" w:leader="none"/>
        </w:tabs>
      </w:pPr>
    </w:lvl>
    <w:lvl w:ilvl="4">
      <w:start w:val="1"/>
      <w:numFmt w:val="lowerLetter"/>
      <w:isLgl w:val="false"/>
      <w:suff w:val="tab"/>
      <w:lvlText w:val="%5)"/>
      <w:lvlJc w:val="left"/>
      <w:pPr>
        <w:pStyle w:val="688"/>
        <w:ind w:left="3300" w:hanging="420"/>
        <w:tabs>
          <w:tab w:val="num" w:pos="3300" w:leader="none"/>
        </w:tabs>
      </w:pPr>
    </w:lvl>
    <w:lvl w:ilvl="5">
      <w:start w:val="1"/>
      <w:numFmt w:val="lowerRoman"/>
      <w:isLgl w:val="false"/>
      <w:suff w:val="tab"/>
      <w:lvlText w:val="%6."/>
      <w:lvlJc w:val="right"/>
      <w:pPr>
        <w:pStyle w:val="688"/>
        <w:ind w:left="3720" w:hanging="420"/>
        <w:tabs>
          <w:tab w:val="num" w:pos="3720" w:leader="none"/>
        </w:tabs>
      </w:pPr>
    </w:lvl>
    <w:lvl w:ilvl="6">
      <w:start w:val="1"/>
      <w:numFmt w:val="decimal"/>
      <w:isLgl w:val="false"/>
      <w:suff w:val="tab"/>
      <w:lvlText w:val="%7."/>
      <w:lvlJc w:val="left"/>
      <w:pPr>
        <w:pStyle w:val="688"/>
        <w:ind w:left="4140" w:hanging="420"/>
        <w:tabs>
          <w:tab w:val="num" w:pos="4140" w:leader="none"/>
        </w:tabs>
      </w:pPr>
    </w:lvl>
    <w:lvl w:ilvl="7">
      <w:start w:val="1"/>
      <w:numFmt w:val="lowerLetter"/>
      <w:isLgl w:val="false"/>
      <w:suff w:val="tab"/>
      <w:lvlText w:val="%8)"/>
      <w:lvlJc w:val="left"/>
      <w:pPr>
        <w:pStyle w:val="688"/>
        <w:ind w:left="4560" w:hanging="420"/>
        <w:tabs>
          <w:tab w:val="num" w:pos="4560" w:leader="none"/>
        </w:tabs>
      </w:pPr>
    </w:lvl>
    <w:lvl w:ilvl="8">
      <w:start w:val="1"/>
      <w:numFmt w:val="lowerRoman"/>
      <w:isLgl w:val="false"/>
      <w:suff w:val="tab"/>
      <w:lvlText w:val="%9."/>
      <w:lvlJc w:val="right"/>
      <w:pPr>
        <w:pStyle w:val="688"/>
        <w:ind w:left="4980" w:hanging="420"/>
        <w:tabs>
          <w:tab w:val="num" w:pos="4980" w:leader="none"/>
        </w:tabs>
      </w:pPr>
    </w:lvl>
  </w:abstractNum>
  <w:abstractNum w:abstractNumId="4">
    <w:multiLevelType w:val="hybridMultilevel"/>
    <w:lvl w:ilvl="0">
      <w:start w:val="3"/>
      <w:numFmt w:val="decimal"/>
      <w:isLgl w:val="false"/>
      <w:suff w:val="tab"/>
      <w:lvlText w:val="%1"/>
      <w:lvlJc w:val="left"/>
      <w:pPr>
        <w:pStyle w:val="688"/>
        <w:ind w:left="360" w:hanging="360"/>
      </w:pPr>
    </w:lvl>
    <w:lvl w:ilvl="1">
      <w:start w:val="1"/>
      <w:numFmt w:val="decimal"/>
      <w:pStyle w:val="894"/>
      <w:isLgl w:val="false"/>
      <w:suff w:val="tab"/>
      <w:lvlText w:val="%1.%2"/>
      <w:lvlJc w:val="left"/>
      <w:pPr>
        <w:pStyle w:val="688"/>
        <w:ind w:left="644" w:hanging="360"/>
      </w:pPr>
      <w:rPr>
        <w:rFonts w:ascii="Times New Roman" w:hAnsi="Times New Roman" w:cs="Times New Roman"/>
        <w:b w:val="0"/>
      </w:rPr>
    </w:lvl>
    <w:lvl w:ilvl="2">
      <w:start w:val="1"/>
      <w:numFmt w:val="decimal"/>
      <w:pStyle w:val="860"/>
      <w:isLgl w:val="false"/>
      <w:suff w:val="tab"/>
      <w:lvlText w:val="%1.%2.%3"/>
      <w:lvlJc w:val="left"/>
      <w:pPr>
        <w:pStyle w:val="688"/>
        <w:ind w:left="720" w:hanging="720"/>
      </w:pPr>
      <w:rPr>
        <w:b w:val="0"/>
      </w:rPr>
    </w:lvl>
    <w:lvl w:ilvl="3">
      <w:start w:val="1"/>
      <w:numFmt w:val="decimal"/>
      <w:isLgl w:val="false"/>
      <w:suff w:val="tab"/>
      <w:lvlText w:val="%1.%2.%3.%4"/>
      <w:lvlJc w:val="left"/>
      <w:pPr>
        <w:pStyle w:val="688"/>
        <w:ind w:left="720" w:hanging="720"/>
      </w:pPr>
    </w:lvl>
    <w:lvl w:ilvl="4">
      <w:start w:val="1"/>
      <w:numFmt w:val="decimal"/>
      <w:isLgl w:val="false"/>
      <w:suff w:val="tab"/>
      <w:lvlText w:val="%1.%2.%3.%4.%5"/>
      <w:lvlJc w:val="left"/>
      <w:pPr>
        <w:pStyle w:val="688"/>
        <w:ind w:left="1080" w:hanging="1080"/>
      </w:pPr>
    </w:lvl>
    <w:lvl w:ilvl="5">
      <w:start w:val="1"/>
      <w:numFmt w:val="decimal"/>
      <w:isLgl w:val="false"/>
      <w:suff w:val="tab"/>
      <w:lvlText w:val="%1.%2.%3.%4.%5.%6"/>
      <w:lvlJc w:val="left"/>
      <w:pPr>
        <w:pStyle w:val="688"/>
        <w:ind w:left="1080" w:hanging="1080"/>
      </w:pPr>
    </w:lvl>
    <w:lvl w:ilvl="6">
      <w:start w:val="1"/>
      <w:numFmt w:val="decimal"/>
      <w:isLgl w:val="false"/>
      <w:suff w:val="tab"/>
      <w:lvlText w:val="%1.%2.%3.%4.%5.%6.%7"/>
      <w:lvlJc w:val="left"/>
      <w:pPr>
        <w:pStyle w:val="688"/>
        <w:ind w:left="1080" w:hanging="1080"/>
      </w:pPr>
    </w:lvl>
    <w:lvl w:ilvl="7">
      <w:start w:val="1"/>
      <w:numFmt w:val="decimal"/>
      <w:isLgl w:val="false"/>
      <w:suff w:val="tab"/>
      <w:lvlText w:val="%1.%2.%3.%4.%5.%6.%7.%8"/>
      <w:lvlJc w:val="left"/>
      <w:pPr>
        <w:pStyle w:val="688"/>
        <w:ind w:left="1440" w:hanging="1440"/>
      </w:pPr>
    </w:lvl>
    <w:lvl w:ilvl="8">
      <w:start w:val="1"/>
      <w:numFmt w:val="decimal"/>
      <w:isLgl w:val="false"/>
      <w:suff w:val="tab"/>
      <w:lvlText w:val="%1.%2.%3.%4.%5.%6.%7.%8.%9"/>
      <w:lvlJc w:val="left"/>
      <w:pPr>
        <w:pStyle w:val="688"/>
        <w:ind w:left="1440" w:hanging="1440"/>
      </w:pPr>
    </w:lvl>
  </w:abstractNum>
  <w:abstractNum w:abstractNumId="5">
    <w:multiLevelType w:val="hybridMultilevel"/>
    <w:lvl w:ilvl="0">
      <w:start w:val="1"/>
      <w:numFmt w:val="decimal"/>
      <w:isLgl w:val="false"/>
      <w:suff w:val="tab"/>
      <w:lvlText w:val="%1．"/>
      <w:lvlJc w:val="left"/>
      <w:pPr>
        <w:pStyle w:val="688"/>
        <w:ind w:left="315" w:hanging="315"/>
        <w:tabs>
          <w:tab w:val="num" w:pos="31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第%1部分．"/>
      <w:lvlJc w:val="left"/>
      <w:pPr>
        <w:pStyle w:val="6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88"/>
        <w:ind w:left="1080" w:hanging="1080"/>
        <w:tabs>
          <w:tab w:val="num" w:pos="1080" w:leader="none"/>
        </w:tabs>
      </w:pPr>
      <w:rPr>
        <w:rFonts w:cs="Times New Roman"/>
      </w:rPr>
    </w:lvl>
    <w:lvl w:ilvl="1">
      <w:start w:val="1"/>
      <w:numFmt w:val="decimal"/>
      <w:isLgl w:val="false"/>
      <w:suff w:val="tab"/>
      <w:lvlText w:val="%2."/>
      <w:lvlJc w:val="left"/>
      <w:pPr>
        <w:pStyle w:val="688"/>
        <w:ind w:left="780" w:hanging="360"/>
        <w:tabs>
          <w:tab w:val="num" w:pos="780" w:leader="none"/>
        </w:tabs>
      </w:pPr>
      <w:rPr>
        <w:rFonts w:cs="Times New Roman"/>
        <w:color w:val="000000"/>
      </w:rPr>
    </w:lvl>
    <w:lvl w:ilvl="2">
      <w:start w:val="1"/>
      <w:numFmt w:val="lowerRoman"/>
      <w:isLgl w:val="false"/>
      <w:suff w:val="tab"/>
      <w:lvlText w:val="%3."/>
      <w:lvlJc w:val="right"/>
      <w:pPr>
        <w:pStyle w:val="688"/>
        <w:ind w:left="1260" w:hanging="420"/>
        <w:tabs>
          <w:tab w:val="num" w:pos="126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9">
    <w:multiLevelType w:val="hybridMultilevel"/>
    <w:lvl w:ilvl="0">
      <w:start w:val="1"/>
      <w:numFmt w:val="decimal"/>
      <w:isLgl w:val="false"/>
      <w:suff w:val="tab"/>
      <w:lvlText w:val="%1．"/>
      <w:lvlJc w:val="left"/>
      <w:pPr>
        <w:pStyle w:val="688"/>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88"/>
        <w:ind w:left="450" w:hanging="450"/>
        <w:tabs>
          <w:tab w:val="num" w:pos="450" w:leader="none"/>
        </w:tabs>
      </w:pPr>
      <w:rPr>
        <w:rFonts w:hint="eastAsia"/>
      </w:rPr>
    </w:lvl>
    <w:lvl w:ilvl="1">
      <w:start w:val="1"/>
      <w:numFmt w:val="decimal"/>
      <w:isLgl w:val="false"/>
      <w:suff w:val="tab"/>
      <w:lvlText w:val="%2."/>
      <w:lvlJc w:val="left"/>
      <w:pPr>
        <w:pStyle w:val="688"/>
        <w:ind w:left="780" w:hanging="360"/>
        <w:tabs>
          <w:tab w:val="num" w:pos="780" w:leader="none"/>
        </w:tabs>
      </w:pPr>
      <w:rPr>
        <w:rFonts w:hint="eastAsia"/>
      </w:rPr>
    </w:lvl>
    <w:lvl w:ilvl="2">
      <w:start w:val="1"/>
      <w:numFmt w:val="lowerRoman"/>
      <w:isLgl w:val="false"/>
      <w:suff w:val="tab"/>
      <w:lvlText w:val="%3."/>
      <w:lvlJc w:val="right"/>
      <w:pPr>
        <w:pStyle w:val="688"/>
        <w:ind w:left="1260" w:hanging="420"/>
        <w:tabs>
          <w:tab w:val="num" w:pos="1260" w:leader="none"/>
        </w:tabs>
      </w:pPr>
    </w:lvl>
    <w:lvl w:ilvl="3">
      <w:start w:val="1"/>
      <w:numFmt w:val="decimal"/>
      <w:isLgl w:val="false"/>
      <w:suff w:val="tab"/>
      <w:lvlText w:val="%4."/>
      <w:lvlJc w:val="left"/>
      <w:pPr>
        <w:pStyle w:val="688"/>
        <w:ind w:left="1680" w:hanging="420"/>
        <w:tabs>
          <w:tab w:val="num" w:pos="1680" w:leader="none"/>
        </w:tabs>
      </w:pPr>
    </w:lvl>
    <w:lvl w:ilvl="4">
      <w:start w:val="1"/>
      <w:numFmt w:val="lowerLetter"/>
      <w:isLgl w:val="false"/>
      <w:suff w:val="tab"/>
      <w:lvlText w:val="%5)"/>
      <w:lvlJc w:val="left"/>
      <w:pPr>
        <w:pStyle w:val="688"/>
        <w:ind w:left="2100" w:hanging="420"/>
        <w:tabs>
          <w:tab w:val="num" w:pos="2100" w:leader="none"/>
        </w:tabs>
      </w:pPr>
    </w:lvl>
    <w:lvl w:ilvl="5">
      <w:start w:val="1"/>
      <w:numFmt w:val="lowerRoman"/>
      <w:isLgl w:val="false"/>
      <w:suff w:val="tab"/>
      <w:lvlText w:val="%6."/>
      <w:lvlJc w:val="right"/>
      <w:pPr>
        <w:pStyle w:val="688"/>
        <w:ind w:left="2520" w:hanging="420"/>
        <w:tabs>
          <w:tab w:val="num" w:pos="2520" w:leader="none"/>
        </w:tabs>
      </w:pPr>
    </w:lvl>
    <w:lvl w:ilvl="6">
      <w:start w:val="1"/>
      <w:numFmt w:val="decimal"/>
      <w:isLgl w:val="false"/>
      <w:suff w:val="tab"/>
      <w:lvlText w:val="%7."/>
      <w:lvlJc w:val="left"/>
      <w:pPr>
        <w:pStyle w:val="688"/>
        <w:ind w:left="2940" w:hanging="420"/>
        <w:tabs>
          <w:tab w:val="num" w:pos="2940" w:leader="none"/>
        </w:tabs>
      </w:pPr>
    </w:lvl>
    <w:lvl w:ilvl="7">
      <w:start w:val="1"/>
      <w:numFmt w:val="lowerLetter"/>
      <w:isLgl w:val="false"/>
      <w:suff w:val="tab"/>
      <w:lvlText w:val="%8)"/>
      <w:lvlJc w:val="left"/>
      <w:pPr>
        <w:pStyle w:val="688"/>
        <w:ind w:left="3360" w:hanging="420"/>
        <w:tabs>
          <w:tab w:val="num" w:pos="3360" w:leader="none"/>
        </w:tabs>
      </w:pPr>
    </w:lvl>
    <w:lvl w:ilvl="8">
      <w:start w:val="1"/>
      <w:numFmt w:val="lowerRoman"/>
      <w:isLgl w:val="false"/>
      <w:suff w:val="tab"/>
      <w:lvlText w:val="%9."/>
      <w:lvlJc w:val="right"/>
      <w:pPr>
        <w:pStyle w:val="688"/>
        <w:ind w:left="3780" w:hanging="420"/>
        <w:tabs>
          <w:tab w:val="num" w:pos="3780" w:leader="none"/>
        </w:tabs>
      </w:pPr>
    </w:lvl>
  </w:abstractNum>
  <w:num w:numId="1">
    <w:abstractNumId w:val="2"/>
  </w:num>
  <w:num w:numId="2">
    <w:abstractNumId w:val="3"/>
  </w:num>
  <w:num w:numId="3">
    <w:abstractNumId w:val="0"/>
  </w:num>
  <w:num w:numId="4">
    <w:abstractNumId w:val="4"/>
  </w:num>
  <w:num w:numId="5">
    <w:abstractNumId w:val="9"/>
  </w:num>
  <w:num w:numId="6">
    <w:abstractNumId w:val="7"/>
  </w:num>
  <w:num w:numId="7">
    <w:abstractNumId w:val="8"/>
  </w:num>
  <w:num w:numId="8">
    <w:abstractNumId w:val="6"/>
  </w:num>
  <w:num w:numId="9">
    <w:abstractNumId w:val="10"/>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88"/>
    <w:link w:val="688"/>
    <w:qFormat/>
    <w:pPr>
      <w:jc w:val="both"/>
      <w:widowControl w:val="off"/>
    </w:pPr>
    <w:rPr>
      <w:sz w:val="21"/>
      <w:szCs w:val="24"/>
      <w:lang w:val="en-US" w:eastAsia="zh-CN" w:bidi="ar-SA"/>
    </w:rPr>
  </w:style>
  <w:style w:type="paragraph" w:styleId="689">
    <w:name w:val="标题 1"/>
    <w:basedOn w:val="688"/>
    <w:next w:val="688"/>
    <w:link w:val="70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90">
    <w:name w:val="标题 2"/>
    <w:basedOn w:val="688"/>
    <w:next w:val="688"/>
    <w:link w:val="701"/>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91">
    <w:name w:val="标题 3"/>
    <w:basedOn w:val="688"/>
    <w:next w:val="688"/>
    <w:link w:val="702"/>
    <w:qFormat/>
    <w:pPr>
      <w:keepLines/>
      <w:keepNext/>
      <w:spacing w:before="260" w:after="260" w:line="416" w:lineRule="auto"/>
      <w:outlineLvl w:val="2"/>
    </w:pPr>
    <w:rPr>
      <w:rFonts w:ascii="黑体" w:eastAsia="黑体"/>
      <w:b/>
      <w:bCs/>
      <w:sz w:val="32"/>
      <w:szCs w:val="32"/>
    </w:rPr>
  </w:style>
  <w:style w:type="paragraph" w:styleId="692">
    <w:name w:val="标题 4"/>
    <w:basedOn w:val="688"/>
    <w:next w:val="688"/>
    <w:link w:val="703"/>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93">
    <w:name w:val="标题 5"/>
    <w:basedOn w:val="688"/>
    <w:next w:val="688"/>
    <w:link w:val="704"/>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94">
    <w:name w:val="标题 6"/>
    <w:basedOn w:val="688"/>
    <w:next w:val="688"/>
    <w:link w:val="705"/>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95">
    <w:name w:val="标题 7"/>
    <w:basedOn w:val="688"/>
    <w:next w:val="688"/>
    <w:link w:val="706"/>
    <w:qFormat/>
    <w:pPr>
      <w:ind w:left="1296" w:hanging="1296"/>
      <w:keepLines/>
      <w:keepNext/>
      <w:spacing w:before="240" w:after="64" w:line="320" w:lineRule="atLeast"/>
      <w:tabs>
        <w:tab w:val="left" w:pos="1296" w:leader="none"/>
      </w:tabs>
      <w:outlineLvl w:val="6"/>
    </w:pPr>
    <w:rPr>
      <w:b/>
      <w:sz w:val="24"/>
    </w:rPr>
  </w:style>
  <w:style w:type="paragraph" w:styleId="696">
    <w:name w:val="标题 8"/>
    <w:basedOn w:val="688"/>
    <w:next w:val="688"/>
    <w:link w:val="707"/>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97">
    <w:name w:val="标题 9"/>
    <w:basedOn w:val="688"/>
    <w:next w:val="688"/>
    <w:link w:val="708"/>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98">
    <w:name w:val="默认段落字体"/>
    <w:next w:val="698"/>
    <w:link w:val="688"/>
    <w:uiPriority w:val="1"/>
    <w:unhideWhenUsed/>
  </w:style>
  <w:style w:type="table" w:styleId="699">
    <w:name w:val="普通表格"/>
    <w:next w:val="699"/>
    <w:link w:val="688"/>
    <w:semiHidden/>
    <w:tblPr/>
  </w:style>
  <w:style w:type="character" w:styleId="700">
    <w:name w:val="标题 1 字符"/>
    <w:next w:val="700"/>
    <w:link w:val="689"/>
    <w:rPr>
      <w:rFonts w:ascii="黑体" w:eastAsia="黑体"/>
      <w:b/>
      <w:bCs/>
      <w:sz w:val="44"/>
      <w:szCs w:val="44"/>
    </w:rPr>
  </w:style>
  <w:style w:type="character" w:styleId="701">
    <w:name w:val="标题 2 字符"/>
    <w:next w:val="701"/>
    <w:link w:val="690"/>
    <w:rPr>
      <w:rFonts w:ascii="Arial" w:hAnsi="Arial" w:eastAsia="黑体"/>
      <w:b/>
      <w:bCs/>
      <w:sz w:val="32"/>
      <w:szCs w:val="32"/>
    </w:rPr>
  </w:style>
  <w:style w:type="character" w:styleId="702">
    <w:name w:val="标题 3 字符"/>
    <w:next w:val="702"/>
    <w:link w:val="691"/>
    <w:rPr>
      <w:rFonts w:ascii="黑体" w:eastAsia="黑体"/>
      <w:b/>
      <w:bCs/>
      <w:sz w:val="32"/>
      <w:szCs w:val="32"/>
    </w:rPr>
  </w:style>
  <w:style w:type="character" w:styleId="703">
    <w:name w:val="标题 4 字符"/>
    <w:next w:val="703"/>
    <w:link w:val="692"/>
    <w:rPr>
      <w:rFonts w:ascii="Arial" w:hAnsi="Arial" w:eastAsia="黑体"/>
      <w:b/>
      <w:bCs/>
      <w:sz w:val="28"/>
      <w:szCs w:val="28"/>
    </w:rPr>
  </w:style>
  <w:style w:type="character" w:styleId="704">
    <w:name w:val="标题 5 字符"/>
    <w:next w:val="704"/>
    <w:link w:val="693"/>
    <w:rPr>
      <w:rFonts w:ascii="黑体" w:eastAsia="黑体"/>
      <w:b/>
      <w:bCs/>
      <w:sz w:val="28"/>
      <w:szCs w:val="28"/>
    </w:rPr>
  </w:style>
  <w:style w:type="character" w:styleId="705">
    <w:name w:val="标题 6 字符"/>
    <w:next w:val="705"/>
    <w:link w:val="694"/>
    <w:rPr>
      <w:rFonts w:ascii="Arial" w:hAnsi="Arial" w:eastAsia="黑体"/>
      <w:b/>
      <w:sz w:val="24"/>
      <w:szCs w:val="24"/>
    </w:rPr>
  </w:style>
  <w:style w:type="character" w:styleId="706">
    <w:name w:val="标题 7 字符"/>
    <w:next w:val="706"/>
    <w:link w:val="695"/>
    <w:rPr>
      <w:b/>
      <w:sz w:val="24"/>
      <w:szCs w:val="24"/>
    </w:rPr>
  </w:style>
  <w:style w:type="character" w:styleId="707">
    <w:name w:val="标题 8 字符"/>
    <w:next w:val="707"/>
    <w:link w:val="696"/>
    <w:rPr>
      <w:rFonts w:ascii="Arial" w:hAnsi="Arial" w:eastAsia="黑体"/>
      <w:sz w:val="24"/>
      <w:szCs w:val="24"/>
    </w:rPr>
  </w:style>
  <w:style w:type="character" w:styleId="708">
    <w:name w:val="标题 9 字符"/>
    <w:next w:val="708"/>
    <w:link w:val="697"/>
    <w:rPr>
      <w:rFonts w:ascii="Arial" w:hAnsi="Arial" w:eastAsia="黑体"/>
      <w:sz w:val="21"/>
      <w:szCs w:val="24"/>
    </w:rPr>
  </w:style>
  <w:style w:type="paragraph" w:styleId="709">
    <w:name w:val="目录 7"/>
    <w:basedOn w:val="688"/>
    <w:next w:val="688"/>
    <w:link w:val="688"/>
    <w:uiPriority w:val="39"/>
    <w:pPr>
      <w:ind w:left="1260" w:firstLine="420"/>
      <w:jc w:val="left"/>
      <w:spacing w:line="288" w:lineRule="auto"/>
    </w:pPr>
    <w:rPr>
      <w:sz w:val="18"/>
      <w:szCs w:val="18"/>
    </w:rPr>
  </w:style>
  <w:style w:type="paragraph" w:styleId="710">
    <w:name w:val="索引 8"/>
    <w:basedOn w:val="688"/>
    <w:next w:val="688"/>
    <w:link w:val="688"/>
    <w:pPr>
      <w:ind w:left="1400"/>
    </w:pPr>
    <w:rPr>
      <w:szCs w:val="20"/>
    </w:rPr>
  </w:style>
  <w:style w:type="paragraph" w:styleId="711">
    <w:name w:val="正文缩进"/>
    <w:basedOn w:val="688"/>
    <w:next w:val="711"/>
    <w:link w:val="712"/>
    <w:pPr>
      <w:ind w:firstLine="420"/>
      <w:jc w:val="left"/>
      <w:widowControl/>
    </w:pPr>
    <w:rPr>
      <w:sz w:val="20"/>
      <w:szCs w:val="20"/>
    </w:rPr>
  </w:style>
  <w:style w:type="character" w:styleId="712">
    <w:name w:val="正文缩进 字符"/>
    <w:next w:val="712"/>
    <w:link w:val="711"/>
  </w:style>
  <w:style w:type="paragraph" w:styleId="713">
    <w:name w:val="题注"/>
    <w:basedOn w:val="688"/>
    <w:next w:val="688"/>
    <w:link w:val="688"/>
    <w:qFormat/>
    <w:rPr>
      <w:rFonts w:ascii="Arial" w:hAnsi="Arial" w:eastAsia="黑体" w:cs="Arial"/>
      <w:sz w:val="20"/>
      <w:szCs w:val="20"/>
    </w:rPr>
  </w:style>
  <w:style w:type="paragraph" w:styleId="714">
    <w:name w:val="索引 5"/>
    <w:basedOn w:val="688"/>
    <w:next w:val="688"/>
    <w:link w:val="688"/>
    <w:pPr>
      <w:ind w:left="800"/>
    </w:pPr>
    <w:rPr>
      <w:szCs w:val="20"/>
    </w:rPr>
  </w:style>
  <w:style w:type="paragraph" w:styleId="715">
    <w:name w:val="文档结构图"/>
    <w:basedOn w:val="688"/>
    <w:next w:val="715"/>
    <w:link w:val="716"/>
    <w:pPr>
      <w:shd w:val="clear" w:color="auto" w:fill="000080"/>
    </w:pPr>
  </w:style>
  <w:style w:type="character" w:styleId="716">
    <w:name w:val="文档结构图 字符"/>
    <w:next w:val="716"/>
    <w:link w:val="715"/>
    <w:rPr>
      <w:sz w:val="21"/>
      <w:szCs w:val="24"/>
      <w:shd w:val="clear" w:color="auto" w:fill="000080"/>
    </w:rPr>
  </w:style>
  <w:style w:type="paragraph" w:styleId="717">
    <w:name w:val="批注文字"/>
    <w:basedOn w:val="688"/>
    <w:next w:val="717"/>
    <w:link w:val="718"/>
    <w:pPr>
      <w:jc w:val="left"/>
    </w:pPr>
  </w:style>
  <w:style w:type="character" w:styleId="718">
    <w:name w:val="批注文字 字符"/>
    <w:next w:val="718"/>
    <w:link w:val="717"/>
    <w:rPr>
      <w:sz w:val="21"/>
      <w:szCs w:val="24"/>
    </w:rPr>
  </w:style>
  <w:style w:type="paragraph" w:styleId="719">
    <w:name w:val="索引 6"/>
    <w:basedOn w:val="688"/>
    <w:next w:val="688"/>
    <w:link w:val="688"/>
    <w:pPr>
      <w:ind w:left="1000"/>
    </w:pPr>
    <w:rPr>
      <w:szCs w:val="20"/>
    </w:rPr>
  </w:style>
  <w:style w:type="paragraph" w:styleId="720">
    <w:name w:val="称呼"/>
    <w:basedOn w:val="688"/>
    <w:next w:val="688"/>
    <w:link w:val="721"/>
    <w:pPr>
      <w:ind w:firstLine="420"/>
      <w:spacing w:after="20" w:line="288" w:lineRule="auto"/>
    </w:pPr>
    <w:rPr>
      <w:sz w:val="28"/>
    </w:rPr>
  </w:style>
  <w:style w:type="character" w:styleId="721">
    <w:name w:val="称呼 字符"/>
    <w:next w:val="721"/>
    <w:link w:val="720"/>
    <w:rPr>
      <w:sz w:val="28"/>
      <w:szCs w:val="24"/>
    </w:rPr>
  </w:style>
  <w:style w:type="paragraph" w:styleId="722">
    <w:name w:val="正文文本 3"/>
    <w:basedOn w:val="688"/>
    <w:next w:val="722"/>
    <w:link w:val="723"/>
    <w:pPr>
      <w:jc w:val="center"/>
      <w:spacing w:after="20" w:line="288" w:lineRule="auto"/>
    </w:pPr>
    <w:rPr>
      <w:b/>
      <w:bCs/>
      <w:sz w:val="24"/>
    </w:rPr>
  </w:style>
  <w:style w:type="character" w:styleId="723">
    <w:name w:val="正文文本 3 字符"/>
    <w:next w:val="723"/>
    <w:link w:val="722"/>
    <w:rPr>
      <w:b/>
      <w:bCs/>
      <w:sz w:val="24"/>
      <w:szCs w:val="24"/>
    </w:rPr>
  </w:style>
  <w:style w:type="paragraph" w:styleId="724">
    <w:name w:val="结束语"/>
    <w:basedOn w:val="688"/>
    <w:next w:val="724"/>
    <w:link w:val="725"/>
    <w:pPr>
      <w:ind w:left="100" w:firstLine="420"/>
      <w:spacing w:after="20" w:line="288" w:lineRule="auto"/>
    </w:pPr>
    <w:rPr>
      <w:sz w:val="28"/>
    </w:rPr>
  </w:style>
  <w:style w:type="character" w:styleId="725">
    <w:name w:val="结束语 字符"/>
    <w:next w:val="725"/>
    <w:link w:val="724"/>
    <w:rPr>
      <w:sz w:val="28"/>
      <w:szCs w:val="24"/>
    </w:rPr>
  </w:style>
  <w:style w:type="paragraph" w:styleId="726">
    <w:name w:val="列表项目符号 3"/>
    <w:basedOn w:val="688"/>
    <w:next w:val="726"/>
    <w:link w:val="688"/>
    <w:pPr>
      <w:numPr>
        <w:ilvl w:val="0"/>
        <w:numId w:val="2"/>
      </w:numPr>
      <w:tabs>
        <w:tab w:val="left" w:pos="1620" w:leader="none"/>
      </w:tabs>
    </w:pPr>
  </w:style>
  <w:style w:type="paragraph" w:styleId="727">
    <w:name w:val="正文文本"/>
    <w:basedOn w:val="688"/>
    <w:next w:val="688"/>
    <w:link w:val="728"/>
    <w:rPr>
      <w:rFonts w:ascii="仿宋_GB2312" w:eastAsia="仿宋_GB2312"/>
      <w:sz w:val="28"/>
      <w:szCs w:val="20"/>
    </w:rPr>
  </w:style>
  <w:style w:type="character" w:styleId="728">
    <w:name w:val="正文文本 字符"/>
    <w:next w:val="728"/>
    <w:link w:val="727"/>
    <w:rPr>
      <w:rFonts w:ascii="仿宋_GB2312" w:eastAsia="仿宋_GB2312"/>
      <w:sz w:val="28"/>
    </w:rPr>
  </w:style>
  <w:style w:type="paragraph" w:styleId="729">
    <w:name w:val="正文文本缩进"/>
    <w:basedOn w:val="688"/>
    <w:next w:val="729"/>
    <w:link w:val="730"/>
    <w:pPr>
      <w:ind w:left="156"/>
      <w:spacing w:line="300" w:lineRule="auto"/>
      <w:widowControl/>
    </w:pPr>
    <w:rPr>
      <w:rFonts w:ascii="仿宋_GB2312" w:eastAsia="仿宋_GB2312"/>
      <w:sz w:val="28"/>
      <w:szCs w:val="20"/>
    </w:rPr>
  </w:style>
  <w:style w:type="character" w:styleId="730">
    <w:name w:val="正文文本缩进 字符"/>
    <w:next w:val="730"/>
    <w:link w:val="729"/>
    <w:rPr>
      <w:rFonts w:ascii="仿宋_GB2312" w:eastAsia="仿宋_GB2312"/>
      <w:sz w:val="28"/>
    </w:rPr>
  </w:style>
  <w:style w:type="paragraph" w:styleId="731">
    <w:name w:val="文本块"/>
    <w:basedOn w:val="688"/>
    <w:next w:val="731"/>
    <w:link w:val="688"/>
    <w:pPr>
      <w:ind w:left="420" w:right="33"/>
      <w:jc w:val="left"/>
    </w:pPr>
    <w:rPr>
      <w:sz w:val="24"/>
      <w:szCs w:val="20"/>
    </w:rPr>
  </w:style>
  <w:style w:type="paragraph" w:styleId="732">
    <w:name w:val="列表项目符号 2"/>
    <w:basedOn w:val="688"/>
    <w:next w:val="732"/>
    <w:link w:val="688"/>
    <w:pPr>
      <w:numPr>
        <w:ilvl w:val="0"/>
        <w:numId w:val="3"/>
      </w:numPr>
      <w:ind w:left="780"/>
      <w:tabs>
        <w:tab w:val="left" w:pos="780" w:leader="none"/>
      </w:tabs>
    </w:pPr>
  </w:style>
  <w:style w:type="paragraph" w:styleId="733">
    <w:name w:val="索引 4"/>
    <w:basedOn w:val="688"/>
    <w:next w:val="688"/>
    <w:link w:val="688"/>
    <w:pPr>
      <w:ind w:left="600"/>
    </w:pPr>
    <w:rPr>
      <w:szCs w:val="20"/>
    </w:rPr>
  </w:style>
  <w:style w:type="paragraph" w:styleId="734">
    <w:name w:val="目录 5"/>
    <w:basedOn w:val="688"/>
    <w:next w:val="688"/>
    <w:link w:val="688"/>
    <w:uiPriority w:val="39"/>
    <w:pPr>
      <w:ind w:left="840" w:firstLine="420"/>
      <w:jc w:val="left"/>
      <w:spacing w:line="288" w:lineRule="auto"/>
    </w:pPr>
    <w:rPr>
      <w:sz w:val="18"/>
      <w:szCs w:val="18"/>
    </w:rPr>
  </w:style>
  <w:style w:type="paragraph" w:styleId="735">
    <w:name w:val="目录 3"/>
    <w:basedOn w:val="688"/>
    <w:next w:val="688"/>
    <w:link w:val="688"/>
    <w:uiPriority w:val="39"/>
    <w:pPr>
      <w:ind w:left="420" w:firstLine="420"/>
      <w:jc w:val="left"/>
      <w:spacing w:line="288" w:lineRule="auto"/>
    </w:pPr>
    <w:rPr>
      <w:iCs/>
      <w:sz w:val="20"/>
      <w:szCs w:val="20"/>
    </w:rPr>
  </w:style>
  <w:style w:type="paragraph" w:styleId="736">
    <w:name w:val="纯文本"/>
    <w:basedOn w:val="688"/>
    <w:next w:val="736"/>
    <w:link w:val="737"/>
    <w:rPr>
      <w:rFonts w:ascii="宋体" w:hAnsi="Courier New"/>
      <w:szCs w:val="21"/>
    </w:rPr>
  </w:style>
  <w:style w:type="character" w:styleId="737">
    <w:name w:val="纯文本 字符"/>
    <w:next w:val="737"/>
    <w:link w:val="736"/>
    <w:rPr>
      <w:rFonts w:ascii="宋体" w:hAnsi="Courier New"/>
      <w:sz w:val="21"/>
      <w:szCs w:val="21"/>
    </w:rPr>
  </w:style>
  <w:style w:type="paragraph" w:styleId="738">
    <w:name w:val="列表项目符号 5"/>
    <w:basedOn w:val="688"/>
    <w:next w:val="738"/>
    <w:link w:val="688"/>
    <w:pPr>
      <w:numPr>
        <w:ilvl w:val="0"/>
        <w:numId w:val="3"/>
      </w:numPr>
      <w:spacing w:line="360" w:lineRule="exact"/>
      <w:widowControl/>
      <w:tabs>
        <w:tab w:val="left" w:pos="2040" w:leader="none"/>
      </w:tabs>
    </w:pPr>
    <w:rPr>
      <w:rFonts w:eastAsia="楷体_GB2312"/>
      <w:sz w:val="24"/>
      <w:szCs w:val="20"/>
    </w:rPr>
  </w:style>
  <w:style w:type="paragraph" w:styleId="739">
    <w:name w:val="目录 8"/>
    <w:basedOn w:val="688"/>
    <w:next w:val="688"/>
    <w:link w:val="688"/>
    <w:uiPriority w:val="39"/>
    <w:pPr>
      <w:ind w:left="1470" w:firstLine="420"/>
      <w:jc w:val="left"/>
      <w:spacing w:line="288" w:lineRule="auto"/>
    </w:pPr>
    <w:rPr>
      <w:sz w:val="18"/>
      <w:szCs w:val="18"/>
    </w:rPr>
  </w:style>
  <w:style w:type="paragraph" w:styleId="740">
    <w:name w:val="索引 3"/>
    <w:basedOn w:val="688"/>
    <w:next w:val="688"/>
    <w:link w:val="688"/>
    <w:pPr>
      <w:ind w:left="400"/>
    </w:pPr>
    <w:rPr>
      <w:szCs w:val="20"/>
    </w:rPr>
  </w:style>
  <w:style w:type="paragraph" w:styleId="741">
    <w:name w:val="日期"/>
    <w:basedOn w:val="688"/>
    <w:next w:val="688"/>
    <w:link w:val="742"/>
    <w:pPr>
      <w:ind w:left="100"/>
    </w:pPr>
    <w:rPr>
      <w:rFonts w:ascii="楷体_GB2312" w:eastAsia="楷体_GB2312"/>
      <w:b/>
      <w:sz w:val="28"/>
    </w:rPr>
  </w:style>
  <w:style w:type="character" w:styleId="742">
    <w:name w:val="日期 字符"/>
    <w:next w:val="742"/>
    <w:link w:val="741"/>
    <w:rPr>
      <w:rFonts w:ascii="楷体_GB2312" w:eastAsia="楷体_GB2312"/>
      <w:b/>
      <w:sz w:val="28"/>
      <w:szCs w:val="24"/>
    </w:rPr>
  </w:style>
  <w:style w:type="paragraph" w:styleId="743">
    <w:name w:val="正文文本缩进 2"/>
    <w:basedOn w:val="688"/>
    <w:next w:val="743"/>
    <w:link w:val="744"/>
    <w:pPr>
      <w:ind w:firstLine="559"/>
      <w:spacing w:line="400" w:lineRule="exact"/>
      <w:tabs>
        <w:tab w:val="left" w:pos="0" w:leader="none"/>
        <w:tab w:val="left" w:pos="1134" w:leader="none"/>
      </w:tabs>
    </w:pPr>
    <w:rPr>
      <w:rFonts w:ascii="楷体_GB2312" w:eastAsia="楷体_GB2312"/>
      <w:sz w:val="24"/>
    </w:rPr>
  </w:style>
  <w:style w:type="character" w:styleId="744">
    <w:name w:val="正文文本缩进 2 字符"/>
    <w:next w:val="744"/>
    <w:link w:val="743"/>
    <w:rPr>
      <w:rFonts w:ascii="楷体_GB2312" w:eastAsia="楷体_GB2312"/>
      <w:sz w:val="24"/>
      <w:szCs w:val="24"/>
    </w:rPr>
  </w:style>
  <w:style w:type="paragraph" w:styleId="745">
    <w:name w:val="批注框文本"/>
    <w:basedOn w:val="688"/>
    <w:next w:val="745"/>
    <w:link w:val="746"/>
    <w:rPr>
      <w:sz w:val="18"/>
      <w:szCs w:val="18"/>
    </w:rPr>
  </w:style>
  <w:style w:type="character" w:styleId="746">
    <w:name w:val="批注框文本 字符"/>
    <w:next w:val="746"/>
    <w:link w:val="745"/>
    <w:rPr>
      <w:sz w:val="18"/>
      <w:szCs w:val="18"/>
    </w:rPr>
  </w:style>
  <w:style w:type="paragraph" w:styleId="747">
    <w:name w:val="页脚"/>
    <w:basedOn w:val="688"/>
    <w:next w:val="747"/>
    <w:link w:val="748"/>
    <w:uiPriority w:val="99"/>
    <w:pPr>
      <w:jc w:val="left"/>
      <w:tabs>
        <w:tab w:val="center" w:pos="4153" w:leader="none"/>
        <w:tab w:val="right" w:pos="8306" w:leader="none"/>
      </w:tabs>
    </w:pPr>
    <w:rPr>
      <w:sz w:val="18"/>
      <w:szCs w:val="18"/>
    </w:rPr>
  </w:style>
  <w:style w:type="character" w:styleId="748">
    <w:name w:val="页脚 字符"/>
    <w:next w:val="748"/>
    <w:link w:val="747"/>
    <w:uiPriority w:val="99"/>
    <w:rPr>
      <w:sz w:val="18"/>
      <w:szCs w:val="18"/>
    </w:rPr>
  </w:style>
  <w:style w:type="paragraph" w:styleId="749">
    <w:name w:val="页眉"/>
    <w:basedOn w:val="688"/>
    <w:next w:val="749"/>
    <w:link w:val="750"/>
    <w:pPr>
      <w:jc w:val="center"/>
      <w:tabs>
        <w:tab w:val="center" w:pos="4153" w:leader="none"/>
        <w:tab w:val="right" w:pos="8306" w:leader="none"/>
      </w:tabs>
      <w:pBdr>
        <w:bottom w:val="single" w:color="000000" w:sz="6" w:space="1"/>
      </w:pBdr>
    </w:pPr>
    <w:rPr>
      <w:sz w:val="18"/>
      <w:szCs w:val="18"/>
    </w:rPr>
  </w:style>
  <w:style w:type="character" w:styleId="750">
    <w:name w:val="页眉 字符"/>
    <w:next w:val="750"/>
    <w:link w:val="749"/>
    <w:rPr>
      <w:sz w:val="18"/>
      <w:szCs w:val="18"/>
    </w:rPr>
  </w:style>
  <w:style w:type="paragraph" w:styleId="751">
    <w:name w:val="目录 1"/>
    <w:basedOn w:val="688"/>
    <w:next w:val="688"/>
    <w:link w:val="688"/>
    <w:uiPriority w:val="39"/>
    <w:pPr>
      <w:spacing w:before="120" w:after="120" w:line="288" w:lineRule="auto"/>
      <w:tabs>
        <w:tab w:val="right" w:pos="8296" w:leader="dot"/>
      </w:tabs>
    </w:pPr>
    <w:rPr>
      <w:rFonts w:ascii="黑体" w:hAnsi="宋体" w:eastAsia="黑体"/>
      <w:caps/>
      <w:sz w:val="30"/>
      <w:szCs w:val="30"/>
    </w:rPr>
  </w:style>
  <w:style w:type="paragraph" w:styleId="752">
    <w:name w:val="目录 4"/>
    <w:basedOn w:val="688"/>
    <w:next w:val="688"/>
    <w:link w:val="688"/>
    <w:uiPriority w:val="39"/>
    <w:pPr>
      <w:ind w:left="630" w:firstLine="420"/>
      <w:jc w:val="left"/>
      <w:spacing w:line="288" w:lineRule="auto"/>
    </w:pPr>
    <w:rPr>
      <w:sz w:val="18"/>
      <w:szCs w:val="18"/>
    </w:rPr>
  </w:style>
  <w:style w:type="paragraph" w:styleId="753">
    <w:name w:val="副标题"/>
    <w:basedOn w:val="688"/>
    <w:next w:val="688"/>
    <w:link w:val="754"/>
    <w:qFormat/>
    <w:pPr>
      <w:jc w:val="center"/>
      <w:spacing w:before="240" w:after="60" w:line="312" w:lineRule="auto"/>
      <w:outlineLvl w:val="1"/>
    </w:pPr>
    <w:rPr>
      <w:rFonts w:ascii="幼圆" w:hAnsi="幼圆"/>
      <w:b/>
      <w:bCs/>
      <w:sz w:val="32"/>
      <w:szCs w:val="32"/>
    </w:rPr>
  </w:style>
  <w:style w:type="character" w:styleId="754">
    <w:name w:val="副标题 字符"/>
    <w:next w:val="754"/>
    <w:link w:val="753"/>
    <w:rPr>
      <w:rFonts w:ascii="幼圆" w:hAnsi="幼圆"/>
      <w:b/>
      <w:bCs/>
      <w:sz w:val="32"/>
      <w:szCs w:val="32"/>
    </w:rPr>
  </w:style>
  <w:style w:type="paragraph" w:styleId="755">
    <w:name w:val="列表"/>
    <w:basedOn w:val="688"/>
    <w:next w:val="755"/>
    <w:link w:val="688"/>
    <w:pPr>
      <w:numPr>
        <w:ilvl w:val="0"/>
        <w:numId w:val="3"/>
      </w:numPr>
      <w:spacing w:after="20" w:line="288" w:lineRule="auto"/>
      <w:tabs>
        <w:tab w:val="left" w:pos="420" w:leader="none"/>
      </w:tabs>
    </w:pPr>
    <w:rPr>
      <w:szCs w:val="20"/>
      <w:lang w:val="en-GB"/>
    </w:rPr>
  </w:style>
  <w:style w:type="paragraph" w:styleId="756">
    <w:name w:val="脚注文本"/>
    <w:basedOn w:val="688"/>
    <w:next w:val="756"/>
    <w:link w:val="757"/>
    <w:pPr>
      <w:ind w:firstLine="425"/>
      <w:jc w:val="left"/>
      <w:spacing w:after="60" w:line="360" w:lineRule="exact"/>
    </w:pPr>
    <w:rPr>
      <w:sz w:val="18"/>
      <w:szCs w:val="18"/>
    </w:rPr>
  </w:style>
  <w:style w:type="character" w:styleId="757">
    <w:name w:val="脚注文本 字符"/>
    <w:next w:val="757"/>
    <w:link w:val="756"/>
    <w:rPr>
      <w:sz w:val="18"/>
      <w:szCs w:val="18"/>
    </w:rPr>
  </w:style>
  <w:style w:type="paragraph" w:styleId="758">
    <w:name w:val="目录 6"/>
    <w:basedOn w:val="688"/>
    <w:next w:val="688"/>
    <w:link w:val="688"/>
    <w:uiPriority w:val="39"/>
    <w:pPr>
      <w:ind w:left="1050" w:firstLine="420"/>
      <w:jc w:val="left"/>
      <w:spacing w:line="288" w:lineRule="auto"/>
    </w:pPr>
    <w:rPr>
      <w:sz w:val="18"/>
      <w:szCs w:val="18"/>
    </w:rPr>
  </w:style>
  <w:style w:type="paragraph" w:styleId="759">
    <w:name w:val="正文文本缩进 3"/>
    <w:basedOn w:val="688"/>
    <w:next w:val="759"/>
    <w:link w:val="760"/>
    <w:pPr>
      <w:ind w:firstLine="698"/>
      <w:jc w:val="left"/>
      <w:spacing w:line="360" w:lineRule="auto"/>
    </w:pPr>
    <w:rPr>
      <w:rFonts w:ascii="仿宋_GB2312" w:eastAsia="仿宋_GB2312"/>
      <w:sz w:val="32"/>
      <w:szCs w:val="20"/>
    </w:rPr>
  </w:style>
  <w:style w:type="character" w:styleId="760">
    <w:name w:val="正文文本缩进 3 字符"/>
    <w:next w:val="760"/>
    <w:link w:val="759"/>
    <w:rPr>
      <w:rFonts w:ascii="仿宋_GB2312" w:eastAsia="仿宋_GB2312"/>
      <w:sz w:val="32"/>
    </w:rPr>
  </w:style>
  <w:style w:type="paragraph" w:styleId="761">
    <w:name w:val="索引 7"/>
    <w:basedOn w:val="688"/>
    <w:next w:val="688"/>
    <w:link w:val="688"/>
    <w:pPr>
      <w:ind w:left="1200"/>
    </w:pPr>
    <w:rPr>
      <w:szCs w:val="20"/>
    </w:rPr>
  </w:style>
  <w:style w:type="paragraph" w:styleId="762">
    <w:name w:val="索引 9"/>
    <w:basedOn w:val="688"/>
    <w:next w:val="688"/>
    <w:link w:val="688"/>
    <w:pPr>
      <w:ind w:left="1600"/>
    </w:pPr>
    <w:rPr>
      <w:szCs w:val="20"/>
    </w:rPr>
  </w:style>
  <w:style w:type="paragraph" w:styleId="763">
    <w:name w:val="目录 2"/>
    <w:basedOn w:val="688"/>
    <w:next w:val="688"/>
    <w:link w:val="688"/>
    <w:uiPriority w:val="39"/>
    <w:pPr>
      <w:ind w:left="210" w:firstLine="420"/>
      <w:jc w:val="left"/>
      <w:spacing w:line="288" w:lineRule="auto"/>
    </w:pPr>
    <w:rPr>
      <w:smallCaps/>
      <w:sz w:val="20"/>
      <w:szCs w:val="20"/>
    </w:rPr>
  </w:style>
  <w:style w:type="paragraph" w:styleId="764">
    <w:name w:val="目录 9"/>
    <w:basedOn w:val="688"/>
    <w:next w:val="688"/>
    <w:link w:val="688"/>
    <w:uiPriority w:val="39"/>
    <w:pPr>
      <w:ind w:left="1680" w:firstLine="420"/>
      <w:jc w:val="left"/>
      <w:spacing w:line="288" w:lineRule="auto"/>
    </w:pPr>
    <w:rPr>
      <w:sz w:val="18"/>
      <w:szCs w:val="18"/>
    </w:rPr>
  </w:style>
  <w:style w:type="paragraph" w:styleId="765">
    <w:name w:val="正文文本 2"/>
    <w:basedOn w:val="688"/>
    <w:next w:val="765"/>
    <w:link w:val="766"/>
    <w:pPr>
      <w:ind w:firstLine="420"/>
      <w:spacing w:after="20" w:line="720" w:lineRule="auto"/>
    </w:pPr>
    <w:rPr>
      <w:sz w:val="30"/>
    </w:rPr>
  </w:style>
  <w:style w:type="character" w:styleId="766">
    <w:name w:val="正文文本 2 字符"/>
    <w:next w:val="766"/>
    <w:link w:val="765"/>
    <w:rPr>
      <w:sz w:val="30"/>
      <w:szCs w:val="24"/>
    </w:rPr>
  </w:style>
  <w:style w:type="paragraph" w:styleId="767">
    <w:name w:val="HTML 预设格式"/>
    <w:basedOn w:val="688"/>
    <w:next w:val="767"/>
    <w:link w:val="76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68">
    <w:name w:val="HTML 预设格式 字符"/>
    <w:next w:val="768"/>
    <w:link w:val="767"/>
    <w:rPr>
      <w:rFonts w:ascii="黑体" w:hAnsi="Courier New" w:eastAsia="黑体"/>
    </w:rPr>
  </w:style>
  <w:style w:type="paragraph" w:styleId="769">
    <w:name w:val="普通(网站)"/>
    <w:basedOn w:val="688"/>
    <w:next w:val="769"/>
    <w:link w:val="770"/>
    <w:pPr>
      <w:ind w:firstLine="420"/>
      <w:jc w:val="left"/>
      <w:spacing w:before="100" w:beforeAutospacing="1" w:after="100" w:afterAutospacing="1" w:line="288" w:lineRule="auto"/>
      <w:widowControl/>
    </w:pPr>
    <w:rPr>
      <w:rFonts w:ascii="宋体" w:hAnsi="宋体"/>
      <w:sz w:val="24"/>
    </w:rPr>
  </w:style>
  <w:style w:type="character" w:styleId="770">
    <w:name w:val="普通(网站) 字符"/>
    <w:next w:val="770"/>
    <w:link w:val="769"/>
    <w:rPr>
      <w:rFonts w:ascii="宋体" w:hAnsi="宋体"/>
      <w:sz w:val="24"/>
      <w:szCs w:val="24"/>
    </w:rPr>
  </w:style>
  <w:style w:type="paragraph" w:styleId="771">
    <w:name w:val="索引 1"/>
    <w:basedOn w:val="688"/>
    <w:next w:val="688"/>
    <w:link w:val="688"/>
    <w:rPr>
      <w:szCs w:val="20"/>
    </w:rPr>
  </w:style>
  <w:style w:type="paragraph" w:styleId="772">
    <w:name w:val="索引 2"/>
    <w:basedOn w:val="688"/>
    <w:next w:val="688"/>
    <w:link w:val="688"/>
    <w:pPr>
      <w:ind w:left="200"/>
    </w:pPr>
    <w:rPr>
      <w:szCs w:val="20"/>
    </w:rPr>
  </w:style>
  <w:style w:type="paragraph" w:styleId="773">
    <w:name w:val="标题"/>
    <w:basedOn w:val="688"/>
    <w:next w:val="773"/>
    <w:link w:val="774"/>
    <w:qFormat/>
    <w:pPr>
      <w:ind w:firstLine="420"/>
      <w:jc w:val="center"/>
      <w:spacing w:before="240" w:after="60" w:line="288" w:lineRule="auto"/>
      <w:outlineLvl w:val="0"/>
    </w:pPr>
    <w:rPr>
      <w:rFonts w:ascii="Arial" w:hAnsi="Arial"/>
      <w:b/>
      <w:bCs/>
      <w:sz w:val="32"/>
      <w:szCs w:val="32"/>
    </w:rPr>
  </w:style>
  <w:style w:type="character" w:styleId="774">
    <w:name w:val="标题 字符"/>
    <w:next w:val="774"/>
    <w:link w:val="773"/>
    <w:rPr>
      <w:rFonts w:ascii="Arial" w:hAnsi="Arial" w:cs="Arial"/>
      <w:b/>
      <w:bCs/>
      <w:sz w:val="32"/>
      <w:szCs w:val="32"/>
    </w:rPr>
  </w:style>
  <w:style w:type="paragraph" w:styleId="775">
    <w:name w:val="批注主题"/>
    <w:basedOn w:val="717"/>
    <w:next w:val="717"/>
    <w:link w:val="776"/>
    <w:rPr>
      <w:b/>
      <w:bCs/>
    </w:rPr>
  </w:style>
  <w:style w:type="character" w:styleId="776">
    <w:name w:val="批注主题 字符"/>
    <w:next w:val="776"/>
    <w:link w:val="775"/>
    <w:rPr>
      <w:b/>
      <w:bCs/>
      <w:sz w:val="21"/>
      <w:szCs w:val="24"/>
    </w:rPr>
  </w:style>
  <w:style w:type="paragraph" w:styleId="777">
    <w:name w:val="正文首行缩进 2"/>
    <w:basedOn w:val="729"/>
    <w:next w:val="777"/>
    <w:link w:val="778"/>
    <w:pPr>
      <w:ind w:left="420" w:firstLine="420"/>
      <w:spacing w:after="120" w:line="240" w:lineRule="auto"/>
      <w:widowControl w:val="off"/>
    </w:pPr>
    <w:rPr>
      <w:rFonts w:ascii="Cambria" w:hAnsi="Cambria" w:eastAsia="华文细黑"/>
      <w:sz w:val="21"/>
    </w:rPr>
  </w:style>
  <w:style w:type="character" w:styleId="778">
    <w:name w:val="正文文本首行缩进 2 字符"/>
    <w:next w:val="778"/>
    <w:link w:val="777"/>
    <w:rPr>
      <w:rFonts w:ascii="Cambria" w:hAnsi="Cambria" w:eastAsia="华文细黑" w:cs="Cambria"/>
      <w:sz w:val="21"/>
    </w:rPr>
  </w:style>
  <w:style w:type="table" w:styleId="779">
    <w:name w:val="网格型"/>
    <w:basedOn w:val="699"/>
    <w:next w:val="779"/>
    <w:link w:val="688"/>
    <w:pPr>
      <w:jc w:val="both"/>
      <w:widowControl w:val="off"/>
    </w:pPr>
    <w:tblPr/>
  </w:style>
  <w:style w:type="character" w:styleId="780">
    <w:name w:val="要点"/>
    <w:basedOn w:val="698"/>
    <w:next w:val="780"/>
    <w:link w:val="688"/>
    <w:uiPriority w:val="22"/>
    <w:qFormat/>
    <w:rPr>
      <w:b/>
      <w:bCs/>
    </w:rPr>
  </w:style>
  <w:style w:type="character" w:styleId="781">
    <w:name w:val="页码"/>
    <w:next w:val="781"/>
    <w:link w:val="688"/>
  </w:style>
  <w:style w:type="character" w:styleId="782">
    <w:name w:val="已访问的超链接"/>
    <w:next w:val="782"/>
    <w:link w:val="688"/>
    <w:rPr>
      <w:color w:val="800080"/>
      <w:u w:val="single"/>
    </w:rPr>
  </w:style>
  <w:style w:type="character" w:styleId="783">
    <w:name w:val="强调"/>
    <w:next w:val="783"/>
    <w:link w:val="688"/>
    <w:qFormat/>
    <w:rPr>
      <w:i/>
    </w:rPr>
  </w:style>
  <w:style w:type="character" w:styleId="784">
    <w:name w:val="HTML 打字机"/>
    <w:next w:val="784"/>
    <w:link w:val="688"/>
    <w:unhideWhenUsed/>
    <w:rPr>
      <w:rFonts w:ascii="宋体" w:hAnsi="宋体" w:eastAsia="宋体" w:cs="宋体"/>
      <w:sz w:val="24"/>
      <w:szCs w:val="24"/>
    </w:rPr>
  </w:style>
  <w:style w:type="character" w:styleId="785">
    <w:name w:val="超链接"/>
    <w:next w:val="785"/>
    <w:link w:val="688"/>
    <w:uiPriority w:val="99"/>
    <w:rPr>
      <w:color w:val="0000ff"/>
      <w:u w:val="single"/>
    </w:rPr>
  </w:style>
  <w:style w:type="character" w:styleId="786">
    <w:name w:val="批注引用"/>
    <w:next w:val="786"/>
    <w:link w:val="688"/>
    <w:rPr>
      <w:sz w:val="21"/>
      <w:szCs w:val="21"/>
    </w:rPr>
  </w:style>
  <w:style w:type="character" w:styleId="787">
    <w:name w:val="脚注引用"/>
    <w:next w:val="787"/>
    <w:link w:val="688"/>
    <w:rPr>
      <w:rFonts w:ascii="宋体" w:hAnsi="宋体" w:eastAsia="宋体"/>
      <w:vertAlign w:val="superscript"/>
    </w:rPr>
  </w:style>
  <w:style w:type="paragraph" w:styleId="788">
    <w:name w:val="TOC Heading1"/>
    <w:next w:val="688"/>
    <w:link w:val="688"/>
    <w:unhideWhenUsed/>
    <w:qFormat/>
    <w:rPr>
      <w:rFonts w:hint="eastAsia" w:ascii="Times New Roman" w:hAnsi="Times New Roman" w:eastAsia="Times New Roman" w:cs="Times New Roman"/>
      <w:sz w:val="32"/>
      <w:szCs w:val="24"/>
      <w:lang w:val="en-US" w:eastAsia="zh-CN" w:bidi="ar-SA"/>
    </w:rPr>
  </w:style>
  <w:style w:type="character" w:styleId="789">
    <w:name w:val="批注主题 Char1"/>
    <w:next w:val="789"/>
    <w:link w:val="688"/>
    <w:rPr>
      <w:b/>
      <w:bCs/>
      <w:sz w:val="21"/>
      <w:szCs w:val="22"/>
    </w:rPr>
  </w:style>
  <w:style w:type="character" w:styleId="790">
    <w:name w:val="正文文本缩进 Char,正文文字4 Char,正文小标题 Char"/>
    <w:next w:val="790"/>
    <w:link w:val="688"/>
    <w:rPr>
      <w:rFonts w:ascii="Cambria" w:hAnsi="Cambria" w:eastAsia="华文细黑" w:cs="Cambria"/>
      <w:sz w:val="21"/>
      <w:szCs w:val="24"/>
    </w:rPr>
  </w:style>
  <w:style w:type="character" w:styleId="791">
    <w:name w:val="Comment"/>
    <w:next w:val="791"/>
    <w:link w:val="688"/>
    <w:rPr>
      <w:vanish/>
    </w:rPr>
  </w:style>
  <w:style w:type="character" w:styleId="792">
    <w:name w:val="font61"/>
    <w:next w:val="792"/>
    <w:link w:val="688"/>
    <w:qFormat/>
    <w:rPr>
      <w:rFonts w:ascii="Arial" w:hAnsi="Arial" w:cs="Arial"/>
      <w:color w:val="000000"/>
      <w:sz w:val="20"/>
      <w:szCs w:val="20"/>
      <w:u w:val="none"/>
    </w:rPr>
  </w:style>
  <w:style w:type="character" w:styleId="793">
    <w:name w:val="不明显强调"/>
    <w:next w:val="793"/>
    <w:link w:val="688"/>
    <w:qFormat/>
    <w:rPr>
      <w:i/>
      <w:iCs/>
      <w:color w:val="808080"/>
    </w:rPr>
  </w:style>
  <w:style w:type="character" w:styleId="794">
    <w:name w:val="正文文本 Char1"/>
    <w:next w:val="794"/>
    <w:link w:val="688"/>
    <w:rPr>
      <w:sz w:val="21"/>
      <w:szCs w:val="22"/>
    </w:rPr>
  </w:style>
  <w:style w:type="character" w:styleId="795">
    <w:name w:val="font71"/>
    <w:next w:val="795"/>
    <w:link w:val="688"/>
    <w:qFormat/>
    <w:rPr>
      <w:rFonts w:ascii="Arial" w:hAnsi="Arial" w:cs="Arial"/>
      <w:b/>
      <w:bCs/>
      <w:color w:val="000000"/>
      <w:sz w:val="20"/>
      <w:szCs w:val="20"/>
      <w:u w:val="none"/>
    </w:rPr>
  </w:style>
  <w:style w:type="character" w:styleId="796">
    <w:name w:val=" Char Char3"/>
    <w:next w:val="796"/>
    <w:link w:val="688"/>
    <w:rPr>
      <w:rFonts w:ascii="幼圆" w:hAnsi="华文细黑" w:eastAsia="幼圆" w:cs="Tahoma"/>
      <w:b/>
      <w:bCs/>
      <w:sz w:val="24"/>
      <w:szCs w:val="24"/>
      <w:lang w:val="en-US" w:eastAsia="zh-CN" w:bidi="ar-SA"/>
    </w:rPr>
  </w:style>
  <w:style w:type="character" w:styleId="797">
    <w:name w:val="Char Char"/>
    <w:next w:val="797"/>
    <w:link w:val="688"/>
    <w:rPr>
      <w:rFonts w:eastAsia="宋体"/>
      <w:b/>
      <w:bCs/>
      <w:sz w:val="32"/>
      <w:szCs w:val="44"/>
      <w:lang w:val="en-US" w:eastAsia="zh-CN" w:bidi="ar-SA"/>
    </w:rPr>
  </w:style>
  <w:style w:type="character" w:styleId="798">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798"/>
    <w:link w:val="688"/>
    <w:rPr>
      <w:rFonts w:eastAsia="宋体"/>
      <w:lang w:val="en-US" w:eastAsia="zh-CN" w:bidi="ar-SA"/>
    </w:rPr>
  </w:style>
  <w:style w:type="character" w:styleId="799">
    <w:name w:val=" Char Char2"/>
    <w:next w:val="799"/>
    <w:link w:val="688"/>
    <w:semiHidden/>
    <w:rPr>
      <w:rFonts w:eastAsia="华文细黑"/>
      <w:sz w:val="21"/>
      <w:szCs w:val="24"/>
      <w:lang w:val="en-US" w:eastAsia="zh-CN" w:bidi="ar-SA"/>
    </w:rPr>
  </w:style>
  <w:style w:type="character" w:styleId="800">
    <w:name w:val="Definition"/>
    <w:next w:val="800"/>
    <w:link w:val="688"/>
    <w:rPr>
      <w:i/>
    </w:rPr>
  </w:style>
  <w:style w:type="character" w:styleId="801">
    <w:name w:val=" Char Char4"/>
    <w:next w:val="801"/>
    <w:link w:val="688"/>
    <w:rPr>
      <w:rFonts w:ascii="华文细黑" w:hAnsi="华文细黑" w:eastAsia="幼圆" w:cs="Tahoma"/>
      <w:b/>
      <w:sz w:val="28"/>
      <w:szCs w:val="32"/>
      <w:lang w:val="en-US" w:eastAsia="zh-CN" w:bidi="ar-SA"/>
    </w:rPr>
  </w:style>
  <w:style w:type="character" w:styleId="802">
    <w:name w:val="Para head"/>
    <w:next w:val="802"/>
    <w:link w:val="688"/>
    <w:rPr>
      <w:rFonts w:ascii="Arial" w:hAnsi="Arial" w:eastAsia="Times New Roman"/>
      <w:sz w:val="20"/>
    </w:rPr>
  </w:style>
  <w:style w:type="character" w:styleId="803">
    <w:name w:val="标题 31,H32,H33,H34,H35,H36,H37,H38,H39,H310,H311,H321,H331,H341,H351,H361,H371,H381,H391,H3101,H312,H322,H332,H342,H352,H362,H372,H382,H392,H3102,H3111,H3211,H3311,H3411,H3511,H3611,H3711,H3811,H3911,H31011,H313,H323"/>
    <w:next w:val="803"/>
    <w:link w:val="688"/>
    <w:rPr>
      <w:rFonts w:hint="eastAsia" w:ascii="黑体" w:hAnsi="ˎ̥" w:eastAsia="黑体"/>
      <w:sz w:val="28"/>
    </w:rPr>
  </w:style>
  <w:style w:type="character" w:styleId="804">
    <w:name w:val=" Char Char Char"/>
    <w:next w:val="804"/>
    <w:link w:val="688"/>
    <w:rPr>
      <w:rFonts w:ascii="宋体" w:hAnsi="宋体" w:eastAsia="宋体"/>
      <w:b/>
      <w:sz w:val="24"/>
      <w:lang w:val="en-US" w:eastAsia="zh-CN" w:bidi="ar-SA"/>
    </w:rPr>
  </w:style>
  <w:style w:type="character" w:styleId="805">
    <w:name w:val=" Char Char,标题 5 Char1, Char Char5"/>
    <w:next w:val="805"/>
    <w:link w:val="688"/>
    <w:rPr>
      <w:rFonts w:eastAsia="华文细黑"/>
      <w:b/>
      <w:bCs/>
      <w:sz w:val="21"/>
      <w:szCs w:val="24"/>
      <w:lang w:val="en-US" w:eastAsia="zh-CN" w:bidi="ar-SA"/>
    </w:rPr>
  </w:style>
  <w:style w:type="character" w:styleId="806">
    <w:name w:val="font21"/>
    <w:next w:val="806"/>
    <w:link w:val="688"/>
    <w:rPr>
      <w:rFonts w:ascii="等线" w:hAnsi="等线" w:eastAsia="等线" w:cs="等线"/>
      <w:i w:val="0"/>
      <w:iCs w:val="0"/>
      <w:color w:val="000000"/>
      <w:sz w:val="24"/>
      <w:szCs w:val="24"/>
      <w:u w:val="none"/>
    </w:rPr>
  </w:style>
  <w:style w:type="character" w:styleId="807">
    <w:name w:val="称呼 Char1"/>
    <w:next w:val="807"/>
    <w:link w:val="688"/>
    <w:rPr>
      <w:sz w:val="21"/>
      <w:szCs w:val="24"/>
    </w:rPr>
  </w:style>
  <w:style w:type="character" w:styleId="808">
    <w:name w:val="日期 Char1"/>
    <w:next w:val="808"/>
    <w:link w:val="688"/>
    <w:rPr>
      <w:sz w:val="21"/>
      <w:szCs w:val="22"/>
    </w:rPr>
  </w:style>
  <w:style w:type="character" w:styleId="809">
    <w:name w:val="文档结构图 Char1"/>
    <w:next w:val="809"/>
    <w:link w:val="688"/>
    <w:rPr>
      <w:rFonts w:ascii="华文细黑"/>
      <w:sz w:val="18"/>
      <w:szCs w:val="18"/>
    </w:rPr>
  </w:style>
  <w:style w:type="character" w:styleId="810">
    <w:name w:val="CITE"/>
    <w:next w:val="810"/>
    <w:link w:val="688"/>
    <w:rPr>
      <w:i/>
    </w:rPr>
  </w:style>
  <w:style w:type="character" w:styleId="811">
    <w:name w:val="明显强调"/>
    <w:next w:val="811"/>
    <w:link w:val="688"/>
    <w:qFormat/>
    <w:rPr>
      <w:b/>
      <w:bCs/>
      <w:i/>
      <w:iCs/>
      <w:color w:val="4f81bd"/>
    </w:rPr>
  </w:style>
  <w:style w:type="character" w:styleId="812">
    <w:name w:val="页眉 Char1,L2 Char,h Char,ContentsHeader Char,Ò³Ã¼ Char,En-tête 1.1 Char,even Char,rh Char,RH Char"/>
    <w:next w:val="812"/>
    <w:link w:val="688"/>
    <w:rPr>
      <w:rFonts w:eastAsia="宋体"/>
      <w:sz w:val="18"/>
      <w:szCs w:val="18"/>
      <w:lang w:val="en-US" w:eastAsia="zh-CN" w:bidi="ar-SA"/>
    </w:rPr>
  </w:style>
  <w:style w:type="character" w:styleId="813">
    <w:name w:val="CODE"/>
    <w:next w:val="813"/>
    <w:link w:val="688"/>
    <w:rPr>
      <w:rFonts w:ascii="华文细黑" w:hAnsi="华文细黑"/>
      <w:sz w:val="20"/>
    </w:rPr>
  </w:style>
  <w:style w:type="character" w:styleId="814">
    <w:name w:val=" Char Char1"/>
    <w:next w:val="814"/>
    <w:link w:val="688"/>
    <w:rPr>
      <w:rFonts w:ascii="幼圆" w:hAnsi="Tahoma" w:eastAsia="幼圆" w:cs="Tahoma"/>
      <w:b/>
      <w:bCs/>
      <w:sz w:val="32"/>
      <w:szCs w:val="32"/>
      <w:lang w:val="en-US" w:eastAsia="zh-CN" w:bidi="ar-SA"/>
    </w:rPr>
  </w:style>
  <w:style w:type="character" w:styleId="815">
    <w:name w:val="脚注文本 Char1"/>
    <w:next w:val="815"/>
    <w:link w:val="688"/>
    <w:rPr>
      <w:sz w:val="18"/>
      <w:szCs w:val="18"/>
    </w:rPr>
  </w:style>
  <w:style w:type="character" w:styleId="816">
    <w:name w:val="明显引用 字符"/>
    <w:next w:val="816"/>
    <w:link w:val="817"/>
    <w:rPr>
      <w:b/>
      <w:bCs/>
      <w:i/>
      <w:iCs/>
      <w:color w:val="4f81bd"/>
      <w:sz w:val="21"/>
      <w:szCs w:val="22"/>
    </w:rPr>
  </w:style>
  <w:style w:type="paragraph" w:styleId="817">
    <w:name w:val="明显引用"/>
    <w:basedOn w:val="688"/>
    <w:next w:val="688"/>
    <w:link w:val="816"/>
    <w:qFormat/>
    <w:pPr>
      <w:ind w:left="936" w:right="936"/>
      <w:spacing w:before="200" w:after="280"/>
      <w:pBdr>
        <w:bottom w:val="single" w:color="4F81BD" w:sz="4" w:space="4"/>
      </w:pBdr>
    </w:pPr>
    <w:rPr>
      <w:b/>
      <w:bCs/>
      <w:i/>
      <w:iCs/>
      <w:color w:val="4f81bd"/>
      <w:szCs w:val="22"/>
    </w:rPr>
  </w:style>
  <w:style w:type="character" w:styleId="818">
    <w:name w:val="text_list1"/>
    <w:next w:val="818"/>
    <w:link w:val="688"/>
    <w:rPr>
      <w:rFonts w:ascii="Arial" w:hAnsi="Arial" w:cs="Arial"/>
      <w:color w:val="000000"/>
      <w:spacing w:val="272"/>
      <w:sz w:val="16"/>
      <w:szCs w:val="16"/>
    </w:rPr>
  </w:style>
  <w:style w:type="character" w:styleId="819">
    <w:name w:val="批注框文本 Char1"/>
    <w:next w:val="819"/>
    <w:link w:val="688"/>
    <w:rPr>
      <w:sz w:val="18"/>
      <w:szCs w:val="18"/>
    </w:rPr>
  </w:style>
  <w:style w:type="character" w:styleId="820">
    <w:name w:val="不明显参考"/>
    <w:next w:val="820"/>
    <w:link w:val="688"/>
    <w:qFormat/>
    <w:rPr>
      <w:smallCaps/>
      <w:color w:val="c0504d"/>
      <w:u w:val="single"/>
    </w:rPr>
  </w:style>
  <w:style w:type="character" w:styleId="821">
    <w:name w:val="Typewriter"/>
    <w:next w:val="821"/>
    <w:link w:val="688"/>
    <w:rPr>
      <w:rFonts w:ascii="华文细黑" w:hAnsi="华文细黑"/>
      <w:sz w:val="20"/>
    </w:rPr>
  </w:style>
  <w:style w:type="character" w:styleId="822">
    <w:name w:val="结束语 Char1"/>
    <w:next w:val="822"/>
    <w:link w:val="688"/>
    <w:rPr>
      <w:sz w:val="21"/>
      <w:szCs w:val="24"/>
    </w:rPr>
  </w:style>
  <w:style w:type="character" w:styleId="823">
    <w:name w:val="font51"/>
    <w:next w:val="823"/>
    <w:link w:val="688"/>
    <w:qFormat/>
    <w:rPr>
      <w:rFonts w:hint="eastAsia" w:ascii="宋体" w:hAnsi="宋体" w:eastAsia="宋体" w:cs="宋体"/>
      <w:color w:val="000000"/>
      <w:sz w:val="20"/>
      <w:szCs w:val="20"/>
      <w:u w:val="none"/>
    </w:rPr>
  </w:style>
  <w:style w:type="character" w:styleId="824">
    <w:name w:val="标题5 Char Char"/>
    <w:next w:val="824"/>
    <w:link w:val="825"/>
    <w:rPr>
      <w:rFonts w:ascii="Tahoma" w:hAnsi="Tahoma"/>
      <w:b/>
      <w:bCs/>
      <w:sz w:val="24"/>
      <w:szCs w:val="32"/>
    </w:rPr>
  </w:style>
  <w:style w:type="paragraph" w:styleId="825">
    <w:name w:val="标题5"/>
    <w:basedOn w:val="691"/>
    <w:next w:val="825"/>
    <w:link w:val="824"/>
    <w:pPr>
      <w:spacing w:line="413" w:lineRule="auto"/>
    </w:pPr>
    <w:rPr>
      <w:rFonts w:ascii="Tahoma" w:hAnsi="Tahoma" w:eastAsia="宋体"/>
      <w:sz w:val="24"/>
    </w:rPr>
  </w:style>
  <w:style w:type="character" w:styleId="826">
    <w:name w:val="副标题 Char1"/>
    <w:next w:val="826"/>
    <w:link w:val="688"/>
    <w:rPr>
      <w:rFonts w:ascii="Cambria" w:hAnsi="Cambria" w:cs="Times New Roman"/>
      <w:b/>
      <w:bCs/>
      <w:sz w:val="32"/>
      <w:szCs w:val="32"/>
    </w:rPr>
  </w:style>
  <w:style w:type="character" w:styleId="827">
    <w:name w:val="表格正文 Char"/>
    <w:next w:val="827"/>
    <w:link w:val="828"/>
    <w:rPr>
      <w:sz w:val="21"/>
      <w:szCs w:val="24"/>
    </w:rPr>
  </w:style>
  <w:style w:type="paragraph" w:styleId="828">
    <w:name w:val="表格正文"/>
    <w:basedOn w:val="688"/>
    <w:next w:val="828"/>
    <w:link w:val="827"/>
    <w:qFormat/>
  </w:style>
  <w:style w:type="character" w:styleId="829">
    <w:name w:val="Variable"/>
    <w:next w:val="829"/>
    <w:link w:val="688"/>
    <w:rPr>
      <w:i/>
    </w:rPr>
  </w:style>
  <w:style w:type="character" w:styleId="830">
    <w:name w:val="引用 字符"/>
    <w:next w:val="830"/>
    <w:link w:val="831"/>
    <w:rPr>
      <w:i/>
      <w:iCs/>
      <w:color w:val="000000"/>
      <w:sz w:val="21"/>
      <w:szCs w:val="22"/>
    </w:rPr>
  </w:style>
  <w:style w:type="paragraph" w:styleId="831">
    <w:name w:val="引用"/>
    <w:basedOn w:val="688"/>
    <w:next w:val="688"/>
    <w:link w:val="830"/>
    <w:qFormat/>
    <w:rPr>
      <w:i/>
      <w:iCs/>
      <w:color w:val="000000"/>
      <w:szCs w:val="22"/>
    </w:rPr>
  </w:style>
  <w:style w:type="character" w:styleId="832">
    <w:name w:val="明显引用 Char1"/>
    <w:next w:val="832"/>
    <w:link w:val="688"/>
    <w:uiPriority w:val="30"/>
    <w:rPr>
      <w:b/>
      <w:bCs/>
      <w:i/>
      <w:iCs/>
      <w:color w:val="4f81bd"/>
      <w:sz w:val="21"/>
      <w:szCs w:val="24"/>
    </w:rPr>
  </w:style>
  <w:style w:type="character" w:styleId="833">
    <w:name w:val="样式 标题 3 + (中文) 黑体 小四 非加粗 段前: 7.8 磅 段后: 0 磅 行距: 固定值 20 磅 Char"/>
    <w:next w:val="833"/>
    <w:link w:val="688"/>
    <w:rPr>
      <w:rFonts w:ascii="幼圆" w:hAnsi="华文细黑" w:eastAsia="幼圆" w:cs="华文细黑"/>
      <w:b/>
      <w:bCs/>
      <w:sz w:val="24"/>
      <w:lang w:val="en-US" w:eastAsia="zh-CN" w:bidi="ar-SA"/>
    </w:rPr>
  </w:style>
  <w:style w:type="character" w:styleId="834">
    <w:name w:val="HTML Markup"/>
    <w:next w:val="834"/>
    <w:link w:val="688"/>
    <w:rPr>
      <w:vanish/>
      <w:color w:val="ff0000"/>
    </w:rPr>
  </w:style>
  <w:style w:type="character" w:styleId="835">
    <w:name w:val="批注文字 Char Char"/>
    <w:next w:val="835"/>
    <w:link w:val="688"/>
    <w:rPr>
      <w:rFonts w:ascii="华文细黑" w:hAnsi="Cambria" w:eastAsia="华文细黑" w:cs="Cambria"/>
      <w:sz w:val="28"/>
      <w:szCs w:val="20"/>
    </w:rPr>
  </w:style>
  <w:style w:type="character" w:styleId="836">
    <w:name w:val="font01"/>
    <w:next w:val="836"/>
    <w:link w:val="688"/>
    <w:qFormat/>
    <w:rPr>
      <w:rFonts w:hint="eastAsia" w:ascii="宋体" w:hAnsi="宋体" w:eastAsia="宋体" w:cs="宋体"/>
      <w:b/>
      <w:bCs/>
      <w:color w:val="000000"/>
      <w:sz w:val="20"/>
      <w:szCs w:val="20"/>
      <w:u w:val="none"/>
    </w:rPr>
  </w:style>
  <w:style w:type="character" w:styleId="837">
    <w:name w:val="NormalCharacter1"/>
    <w:next w:val="837"/>
    <w:link w:val="838"/>
    <w:uiPriority w:val="99"/>
    <w:qFormat/>
  </w:style>
  <w:style w:type="paragraph" w:styleId="838">
    <w:name w:val="UserStyle_4"/>
    <w:basedOn w:val="688"/>
    <w:next w:val="838"/>
    <w:link w:val="837"/>
    <w:uiPriority w:val="99"/>
    <w:qFormat/>
  </w:style>
  <w:style w:type="character" w:styleId="839">
    <w:name w:val="书籍标题"/>
    <w:next w:val="839"/>
    <w:link w:val="688"/>
    <w:qFormat/>
    <w:rPr>
      <w:b/>
      <w:bCs/>
      <w:smallCaps/>
      <w:spacing w:val="5"/>
    </w:rPr>
  </w:style>
  <w:style w:type="character" w:styleId="840">
    <w:name w:val="引用 Char1"/>
    <w:next w:val="840"/>
    <w:link w:val="688"/>
    <w:uiPriority w:val="29"/>
    <w:rPr>
      <w:i/>
      <w:iCs/>
      <w:color w:val="000000"/>
      <w:sz w:val="21"/>
      <w:szCs w:val="24"/>
    </w:rPr>
  </w:style>
  <w:style w:type="character" w:styleId="841">
    <w:name w:val="HTML 预设格式 Char1"/>
    <w:next w:val="841"/>
    <w:link w:val="688"/>
    <w:rPr>
      <w:rFonts w:ascii="Courier New" w:hAnsi="Courier New" w:cs="Courier New"/>
    </w:rPr>
  </w:style>
  <w:style w:type="character" w:styleId="842">
    <w:name w:val="itm1"/>
    <w:next w:val="842"/>
    <w:link w:val="688"/>
    <w:rPr>
      <w:rFonts w:hint="eastAsia" w:ascii="宋体" w:hAnsi="宋体" w:eastAsia="宋体"/>
      <w:sz w:val="21"/>
      <w:szCs w:val="21"/>
    </w:rPr>
  </w:style>
  <w:style w:type="character" w:styleId="843">
    <w:name w:val="Sample"/>
    <w:next w:val="843"/>
    <w:link w:val="688"/>
    <w:rPr>
      <w:rFonts w:ascii="华文细黑" w:hAnsi="华文细黑"/>
    </w:rPr>
  </w:style>
  <w:style w:type="character" w:styleId="844">
    <w:name w:val="chword"/>
    <w:next w:val="844"/>
    <w:link w:val="688"/>
  </w:style>
  <w:style w:type="character" w:styleId="845">
    <w:name w:val="textcontents"/>
    <w:next w:val="845"/>
    <w:link w:val="688"/>
    <w:rPr>
      <w:rFonts w:cs="Cambria"/>
    </w:rPr>
  </w:style>
  <w:style w:type="character" w:styleId="846">
    <w:name w:val="Keyboard"/>
    <w:next w:val="846"/>
    <w:link w:val="688"/>
    <w:rPr>
      <w:rFonts w:ascii="华文细黑" w:hAnsi="华文细黑"/>
      <w:b/>
      <w:sz w:val="20"/>
    </w:rPr>
  </w:style>
  <w:style w:type="character" w:styleId="847">
    <w:name w:val="明显参考"/>
    <w:next w:val="847"/>
    <w:link w:val="688"/>
    <w:qFormat/>
    <w:rPr>
      <w:b/>
      <w:bCs/>
      <w:smallCaps/>
      <w:color w:val="c0504d"/>
      <w:spacing w:val="5"/>
      <w:u w:val="single"/>
    </w:rPr>
  </w:style>
  <w:style w:type="paragraph" w:styleId="848">
    <w:name w:val="xl39"/>
    <w:basedOn w:val="688"/>
    <w:next w:val="848"/>
    <w:link w:val="6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849">
    <w:name w:val="xl47"/>
    <w:basedOn w:val="688"/>
    <w:next w:val="849"/>
    <w:link w:val="6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50">
    <w:name w:val="H3"/>
    <w:basedOn w:val="688"/>
    <w:next w:val="688"/>
    <w:link w:val="688"/>
    <w:pPr>
      <w:jc w:val="left"/>
      <w:keepNext/>
      <w:spacing w:before="100" w:after="100"/>
      <w:outlineLvl w:val="3"/>
    </w:pPr>
    <w:rPr>
      <w:b/>
      <w:sz w:val="28"/>
      <w:szCs w:val="20"/>
    </w:rPr>
  </w:style>
  <w:style w:type="paragraph" w:styleId="851">
    <w:name w:val="xl38"/>
    <w:basedOn w:val="688"/>
    <w:next w:val="851"/>
    <w:link w:val="688"/>
    <w:pPr>
      <w:jc w:val="center"/>
      <w:spacing w:before="100" w:beforeAutospacing="1" w:after="100" w:afterAutospacing="1"/>
      <w:widowControl/>
    </w:pPr>
    <w:rPr>
      <w:rFonts w:hint="eastAsia" w:ascii="隶书" w:hAnsi="宋体" w:eastAsia="隶书"/>
      <w:b/>
      <w:bCs/>
      <w:sz w:val="48"/>
      <w:szCs w:val="48"/>
    </w:rPr>
  </w:style>
  <w:style w:type="paragraph" w:styleId="852">
    <w:name w:val="xl22"/>
    <w:basedOn w:val="688"/>
    <w:next w:val="852"/>
    <w:link w:val="68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53">
    <w:name w:val="xl46"/>
    <w:basedOn w:val="688"/>
    <w:next w:val="853"/>
    <w:link w:val="6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54">
    <w:name w:val="xl42"/>
    <w:basedOn w:val="688"/>
    <w:next w:val="854"/>
    <w:link w:val="68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855">
    <w:name w:val="TOC 标题"/>
    <w:basedOn w:val="689"/>
    <w:next w:val="688"/>
    <w:link w:val="688"/>
    <w:qFormat/>
    <w:pPr>
      <w:numPr>
        <w:ilvl w:val="0"/>
        <w:numId w:val="0"/>
      </w:numPr>
      <w:jc w:val="both"/>
      <w:tabs>
        <w:tab w:val="left" w:pos="1800" w:leader="none"/>
      </w:tabs>
      <w:outlineLvl w:val="9"/>
    </w:pPr>
    <w:rPr>
      <w:rFonts w:ascii="Cambria" w:hAnsi="Cambria" w:eastAsia="华文细黑" w:cs="Cambria"/>
    </w:rPr>
  </w:style>
  <w:style w:type="paragraph" w:styleId="856">
    <w:name w:val="无间隔"/>
    <w:next w:val="856"/>
    <w:link w:val="688"/>
    <w:qFormat/>
    <w:pPr>
      <w:jc w:val="both"/>
      <w:widowControl w:val="off"/>
    </w:pPr>
    <w:rPr>
      <w:rFonts w:ascii="仿宋_GB2312" w:hAnsi="仿宋_GB2312" w:eastAsia="华文细黑" w:cs="Cambria"/>
      <w:sz w:val="21"/>
      <w:szCs w:val="22"/>
      <w:lang w:val="en-US" w:eastAsia="zh-CN" w:bidi="ar-SA"/>
    </w:rPr>
  </w:style>
  <w:style w:type="paragraph" w:styleId="857">
    <w:name w:val="列表段落"/>
    <w:basedOn w:val="688"/>
    <w:next w:val="857"/>
    <w:link w:val="688"/>
    <w:qFormat/>
    <w:pPr>
      <w:ind w:firstLine="420"/>
    </w:pPr>
    <w:rPr>
      <w:rFonts w:ascii="Calibri" w:hAnsi="Calibri"/>
      <w:szCs w:val="22"/>
    </w:rPr>
  </w:style>
  <w:style w:type="paragraph" w:styleId="858">
    <w:name w:val="font6"/>
    <w:basedOn w:val="688"/>
    <w:next w:val="858"/>
    <w:link w:val="688"/>
    <w:pPr>
      <w:ind w:firstLine="420"/>
      <w:jc w:val="left"/>
      <w:spacing w:before="100" w:beforeAutospacing="1" w:after="100" w:afterAutospacing="1" w:line="288" w:lineRule="auto"/>
      <w:widowControl/>
    </w:pPr>
    <w:rPr>
      <w:sz w:val="24"/>
    </w:rPr>
  </w:style>
  <w:style w:type="paragraph" w:styleId="859">
    <w:name w:val="xl51"/>
    <w:basedOn w:val="688"/>
    <w:next w:val="859"/>
    <w:link w:val="68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60">
    <w:name w:val="head 1.1.1"/>
    <w:basedOn w:val="688"/>
    <w:next w:val="860"/>
    <w:link w:val="688"/>
    <w:qFormat/>
    <w:pPr>
      <w:numPr>
        <w:ilvl w:val="2"/>
        <w:numId w:val="4"/>
      </w:numPr>
      <w:contextualSpacing/>
      <w:ind w:firstLine="0"/>
      <w:jc w:val="left"/>
      <w:widowControl/>
    </w:pPr>
    <w:rPr>
      <w:rFonts w:ascii="Calibri" w:hAnsi="Calibri" w:cs="宋体"/>
      <w:bCs/>
      <w:sz w:val="24"/>
      <w:lang w:val="zh-CN" w:eastAsia="en-US"/>
    </w:rPr>
  </w:style>
  <w:style w:type="paragraph" w:styleId="861">
    <w:name w:val="xl44"/>
    <w:basedOn w:val="688"/>
    <w:next w:val="861"/>
    <w:link w:val="68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862">
    <w:name w:val="Address"/>
    <w:basedOn w:val="688"/>
    <w:next w:val="688"/>
    <w:link w:val="688"/>
    <w:pPr>
      <w:jc w:val="left"/>
    </w:pPr>
    <w:rPr>
      <w:rFonts w:ascii="Cambria" w:hAnsi="Cambria" w:eastAsia="华文细黑" w:cs="Cambria"/>
      <w:i/>
      <w:sz w:val="24"/>
      <w:szCs w:val="20"/>
    </w:rPr>
  </w:style>
  <w:style w:type="paragraph" w:styleId="863">
    <w:name w:val="图形"/>
    <w:basedOn w:val="688"/>
    <w:next w:val="863"/>
    <w:link w:val="688"/>
    <w:pPr>
      <w:ind w:firstLine="420"/>
      <w:jc w:val="center"/>
      <w:spacing w:after="20" w:line="288" w:lineRule="auto"/>
    </w:pPr>
  </w:style>
  <w:style w:type="paragraph" w:styleId="864">
    <w:name w:val="xl43"/>
    <w:basedOn w:val="688"/>
    <w:next w:val="864"/>
    <w:link w:val="68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865">
    <w:name w:val="TOC 标题1"/>
    <w:basedOn w:val="689"/>
    <w:next w:val="688"/>
    <w:link w:val="688"/>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866">
    <w:name w:val="正文(缩进)"/>
    <w:basedOn w:val="688"/>
    <w:next w:val="866"/>
    <w:link w:val="688"/>
    <w:pPr>
      <w:ind w:firstLine="200"/>
      <w:spacing w:line="360" w:lineRule="auto"/>
      <w:widowControl/>
    </w:pPr>
    <w:rPr>
      <w:rFonts w:eastAsia="仿宋_GB2312"/>
      <w:sz w:val="24"/>
      <w:szCs w:val="20"/>
    </w:rPr>
  </w:style>
  <w:style w:type="paragraph" w:styleId="867">
    <w:name w:val="表格文字"/>
    <w:basedOn w:val="688"/>
    <w:next w:val="867"/>
    <w:link w:val="688"/>
    <w:pPr>
      <w:jc w:val="left"/>
      <w:spacing w:line="288" w:lineRule="auto"/>
    </w:pPr>
    <w:rPr>
      <w:szCs w:val="20"/>
    </w:rPr>
  </w:style>
  <w:style w:type="paragraph" w:styleId="868">
    <w:name w:val="正文1)"/>
    <w:basedOn w:val="688"/>
    <w:next w:val="868"/>
    <w:link w:val="68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869">
    <w:name w:val="页眉1"/>
    <w:basedOn w:val="688"/>
    <w:next w:val="869"/>
    <w:link w:val="68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870">
    <w:name w:val="产品型号"/>
    <w:basedOn w:val="688"/>
    <w:next w:val="870"/>
    <w:link w:val="68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871">
    <w:name w:val="xl33"/>
    <w:basedOn w:val="688"/>
    <w:next w:val="871"/>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2">
    <w:name w:val="xl29"/>
    <w:basedOn w:val="688"/>
    <w:next w:val="872"/>
    <w:link w:val="68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73">
    <w:name w:val="H2"/>
    <w:basedOn w:val="688"/>
    <w:next w:val="688"/>
    <w:link w:val="688"/>
    <w:pPr>
      <w:jc w:val="left"/>
      <w:keepNext/>
      <w:spacing w:before="100" w:after="100"/>
      <w:outlineLvl w:val="2"/>
    </w:pPr>
    <w:rPr>
      <w:b/>
      <w:sz w:val="36"/>
      <w:szCs w:val="20"/>
    </w:rPr>
  </w:style>
  <w:style w:type="paragraph" w:styleId="874">
    <w:name w:val="CM4"/>
    <w:basedOn w:val="875"/>
    <w:next w:val="875"/>
    <w:link w:val="688"/>
    <w:uiPriority w:val="99"/>
    <w:pPr>
      <w:spacing w:line="468" w:lineRule="atLeast"/>
    </w:pPr>
    <w:rPr>
      <w:rFonts w:ascii="Times New Roman PSMT" w:hAnsi="Times New Roman" w:eastAsia="Times New Roman PSMT" w:cs="Times New Roman PSMT"/>
      <w:color w:val="000000"/>
    </w:rPr>
  </w:style>
  <w:style w:type="paragraph" w:styleId="875">
    <w:name w:val="Default"/>
    <w:next w:val="875"/>
    <w:link w:val="688"/>
    <w:pPr>
      <w:widowControl w:val="off"/>
    </w:pPr>
    <w:rPr>
      <w:rFonts w:ascii="宋体" w:hAnsi="宋体" w:eastAsia="华文细黑" w:cs="宋体"/>
      <w:color w:val="000000"/>
      <w:sz w:val="24"/>
      <w:szCs w:val="24"/>
      <w:lang w:val="en-US" w:eastAsia="zh-CN" w:bidi="ar-SA"/>
    </w:rPr>
  </w:style>
  <w:style w:type="paragraph" w:styleId="876">
    <w:name w:val="菲页1"/>
    <w:basedOn w:val="690"/>
    <w:next w:val="876"/>
    <w:link w:val="688"/>
    <w:pPr>
      <w:numPr>
        <w:ilvl w:val="1"/>
        <w:numId w:val="0"/>
      </w:numPr>
      <w:jc w:val="center"/>
      <w:widowControl/>
      <w:tabs>
        <w:tab w:val="left" w:pos="567" w:leader="none"/>
      </w:tabs>
    </w:pPr>
    <w:rPr>
      <w:rFonts w:ascii="黑体" w:hAnsi="宋体"/>
      <w:b w:val="0"/>
      <w:bCs w:val="0"/>
      <w:sz w:val="52"/>
      <w:szCs w:val="20"/>
    </w:rPr>
  </w:style>
  <w:style w:type="paragraph" w:styleId="877">
    <w:name w:val="名词解释"/>
    <w:basedOn w:val="688"/>
    <w:next w:val="877"/>
    <w:link w:val="688"/>
    <w:pPr>
      <w:ind w:left="2325" w:hanging="2325"/>
      <w:spacing w:after="20" w:line="288" w:lineRule="auto"/>
    </w:pPr>
    <w:rPr>
      <w:szCs w:val="20"/>
    </w:rPr>
  </w:style>
  <w:style w:type="paragraph" w:styleId="878">
    <w:name w:val="Definition List"/>
    <w:basedOn w:val="688"/>
    <w:next w:val="879"/>
    <w:link w:val="688"/>
    <w:pPr>
      <w:ind w:left="360"/>
      <w:jc w:val="left"/>
    </w:pPr>
    <w:rPr>
      <w:rFonts w:ascii="Cambria" w:hAnsi="Cambria" w:eastAsia="华文细黑" w:cs="Cambria"/>
      <w:sz w:val="24"/>
      <w:szCs w:val="20"/>
    </w:rPr>
  </w:style>
  <w:style w:type="paragraph" w:styleId="879">
    <w:name w:val="Definition Term"/>
    <w:basedOn w:val="688"/>
    <w:next w:val="878"/>
    <w:link w:val="688"/>
    <w:pPr>
      <w:jc w:val="left"/>
    </w:pPr>
    <w:rPr>
      <w:rFonts w:ascii="Cambria" w:hAnsi="Cambria" w:eastAsia="华文细黑" w:cs="Cambria"/>
      <w:sz w:val="24"/>
      <w:szCs w:val="20"/>
    </w:rPr>
  </w:style>
  <w:style w:type="paragraph" w:styleId="880">
    <w:name w:val="1"/>
    <w:basedOn w:val="688"/>
    <w:next w:val="880"/>
    <w:link w:val="688"/>
    <w:pPr>
      <w:ind w:firstLine="200"/>
      <w:spacing w:line="360" w:lineRule="auto"/>
    </w:pPr>
    <w:rPr>
      <w:rFonts w:ascii="华文细黑" w:hAnsi="华文细黑" w:eastAsia="华文细黑" w:cs="华文细黑"/>
      <w:sz w:val="24"/>
    </w:rPr>
  </w:style>
  <w:style w:type="paragraph" w:styleId="881">
    <w:name w:val="样式 标题 2 + Times New Roman 四号 非加粗 段前: 5 磅 段后: 0 磅 行距: 固定值 20..."/>
    <w:basedOn w:val="690"/>
    <w:next w:val="881"/>
    <w:link w:val="688"/>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882">
    <w:name w:val="xl27"/>
    <w:basedOn w:val="688"/>
    <w:next w:val="882"/>
    <w:link w:val="68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83">
    <w:name w:val="xl50"/>
    <w:basedOn w:val="688"/>
    <w:next w:val="883"/>
    <w:link w:val="688"/>
    <w:pPr>
      <w:jc w:val="center"/>
      <w:spacing w:before="100" w:beforeAutospacing="1" w:after="100" w:afterAutospacing="1"/>
      <w:widowControl/>
    </w:pPr>
    <w:rPr>
      <w:rFonts w:ascii="宋体" w:hAnsi="宋体"/>
      <w:b/>
      <w:bCs/>
      <w:sz w:val="40"/>
      <w:szCs w:val="40"/>
    </w:rPr>
  </w:style>
  <w:style w:type="paragraph" w:styleId="884">
    <w:name w:val="正文 A"/>
    <w:next w:val="884"/>
    <w:link w:val="688"/>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885">
    <w:name w:val="章标题"/>
    <w:next w:val="688"/>
    <w:link w:val="688"/>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886">
    <w:name w:val="样式 标题 3 + (中文) 黑体 小四 非加粗 段前: 7.8 磅 段后: 0 磅 行距: 固定值 20 磅"/>
    <w:basedOn w:val="691"/>
    <w:next w:val="886"/>
    <w:link w:val="688"/>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887">
    <w:name w:val="Char1"/>
    <w:basedOn w:val="688"/>
    <w:next w:val="887"/>
    <w:link w:val="688"/>
    <w:rPr>
      <w:rFonts w:ascii="仿宋_GB2312" w:eastAsia="仿宋_GB2312"/>
      <w:b/>
      <w:sz w:val="32"/>
      <w:szCs w:val="32"/>
    </w:rPr>
  </w:style>
  <w:style w:type="paragraph" w:styleId="888">
    <w:name w:val="xl48"/>
    <w:basedOn w:val="688"/>
    <w:next w:val="888"/>
    <w:link w:val="6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89">
    <w:name w:val="p0"/>
    <w:basedOn w:val="688"/>
    <w:next w:val="889"/>
    <w:link w:val="688"/>
    <w:pPr>
      <w:widowControl/>
    </w:pPr>
    <w:rPr>
      <w:szCs w:val="21"/>
    </w:rPr>
  </w:style>
  <w:style w:type="paragraph" w:styleId="890">
    <w:name w:val="Char Char Char Char Char Char Char Char Char Char"/>
    <w:basedOn w:val="688"/>
    <w:next w:val="890"/>
    <w:link w:val="688"/>
    <w:pPr>
      <w:tabs>
        <w:tab w:val="left" w:pos="360" w:leader="none"/>
      </w:tabs>
    </w:pPr>
  </w:style>
  <w:style w:type="paragraph" w:styleId="891">
    <w:name w:val="空半行"/>
    <w:basedOn w:val="688"/>
    <w:next w:val="891"/>
    <w:link w:val="688"/>
    <w:pPr>
      <w:spacing w:line="120" w:lineRule="exact"/>
    </w:pPr>
    <w:rPr>
      <w:rFonts w:ascii="Cambria" w:hAnsi="Cambria" w:eastAsia="Tahoma" w:cs="Cambria"/>
      <w:color w:val="ffffff"/>
      <w:sz w:val="30"/>
      <w:szCs w:val="20"/>
    </w:rPr>
  </w:style>
  <w:style w:type="paragraph" w:styleId="892">
    <w:name w:val="项目符号1"/>
    <w:basedOn w:val="688"/>
    <w:next w:val="892"/>
    <w:link w:val="688"/>
    <w:pPr>
      <w:numPr>
        <w:ilvl w:val="1"/>
        <w:numId w:val="3"/>
      </w:numPr>
      <w:tabs>
        <w:tab w:val="left" w:pos="360" w:leader="none"/>
      </w:tabs>
    </w:pPr>
    <w:rPr>
      <w:szCs w:val="20"/>
    </w:rPr>
  </w:style>
  <w:style w:type="paragraph" w:styleId="893">
    <w:name w:val=" Char Char Char Char"/>
    <w:basedOn w:val="688"/>
    <w:next w:val="893"/>
    <w:link w:val="688"/>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894">
    <w:name w:val="head 1.1"/>
    <w:basedOn w:val="688"/>
    <w:next w:val="894"/>
    <w:link w:val="688"/>
    <w:qFormat/>
    <w:pPr>
      <w:numPr>
        <w:ilvl w:val="1"/>
        <w:numId w:val="4"/>
      </w:numPr>
      <w:contextualSpacing/>
      <w:jc w:val="left"/>
      <w:spacing w:before="260" w:after="260"/>
      <w:widowControl/>
    </w:pPr>
    <w:rPr>
      <w:rFonts w:ascii="宋体" w:hAnsi="宋体" w:cs="宋体"/>
      <w:bCs/>
      <w:sz w:val="24"/>
      <w:lang w:val="zh-CN" w:eastAsia="en-US"/>
    </w:rPr>
  </w:style>
  <w:style w:type="paragraph" w:styleId="895">
    <w:name w:val="Normal1"/>
    <w:next w:val="895"/>
    <w:link w:val="688"/>
    <w:pPr>
      <w:jc w:val="both"/>
      <w:spacing w:line="312" w:lineRule="atLeast"/>
      <w:widowControl w:val="off"/>
    </w:pPr>
    <w:rPr>
      <w:rFonts w:ascii="宋体"/>
      <w:sz w:val="34"/>
      <w:lang w:val="en-US" w:eastAsia="zh-CN" w:bidi="ar-SA"/>
    </w:rPr>
  </w:style>
  <w:style w:type="paragraph" w:styleId="896">
    <w:name w:val="xl23"/>
    <w:basedOn w:val="688"/>
    <w:next w:val="896"/>
    <w:link w:val="68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97">
    <w:name w:val="xl30"/>
    <w:basedOn w:val="688"/>
    <w:next w:val="897"/>
    <w:link w:val="68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898">
    <w:name w:val="xl40"/>
    <w:basedOn w:val="688"/>
    <w:next w:val="898"/>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899">
    <w:name w:val="List Paragraph"/>
    <w:basedOn w:val="688"/>
    <w:next w:val="899"/>
    <w:link w:val="688"/>
    <w:uiPriority w:val="34"/>
    <w:qFormat/>
    <w:pPr>
      <w:ind w:firstLine="420"/>
    </w:pPr>
    <w:rPr>
      <w:rFonts w:ascii="Calibri" w:hAnsi="Calibri"/>
      <w:szCs w:val="22"/>
    </w:rPr>
  </w:style>
  <w:style w:type="paragraph" w:styleId="900">
    <w:name w:val=" Char Char Char Char Char Char Char Char Char Char"/>
    <w:basedOn w:val="688"/>
    <w:next w:val="900"/>
    <w:link w:val="688"/>
    <w:pPr>
      <w:numPr>
        <w:ilvl w:val="0"/>
        <w:numId w:val="2"/>
      </w:numPr>
      <w:tabs>
        <w:tab w:val="left" w:pos="1620" w:leader="none"/>
      </w:tabs>
    </w:pPr>
    <w:rPr>
      <w:sz w:val="24"/>
    </w:rPr>
  </w:style>
  <w:style w:type="paragraph" w:styleId="901">
    <w:name w:val="样式 标题 1 + 黑体 三号 非加粗 居中 段前: 6 磅 段后: 6 磅 行距: 固定值 20 磅"/>
    <w:basedOn w:val="689"/>
    <w:next w:val="901"/>
    <w:link w:val="688"/>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902">
    <w:name w:val="默认段落字体 Para Char Char Char1 Char"/>
    <w:basedOn w:val="688"/>
    <w:next w:val="902"/>
    <w:link w:val="688"/>
    <w:pPr>
      <w:ind w:left="420" w:firstLine="420"/>
      <w:spacing w:line="360" w:lineRule="auto"/>
    </w:pPr>
    <w:rPr>
      <w:sz w:val="24"/>
      <w:szCs w:val="21"/>
    </w:rPr>
  </w:style>
  <w:style w:type="paragraph" w:styleId="903">
    <w:name w:val="简介正文"/>
    <w:basedOn w:val="688"/>
    <w:next w:val="903"/>
    <w:link w:val="688"/>
    <w:pPr>
      <w:numPr>
        <w:ilvl w:val="0"/>
        <w:numId w:val="3"/>
      </w:numPr>
      <w:ind w:left="1701" w:hanging="1701"/>
      <w:spacing w:after="20" w:line="520" w:lineRule="exact"/>
      <w:tabs>
        <w:tab w:val="left" w:pos="360" w:leader="none"/>
      </w:tabs>
    </w:pPr>
    <w:rPr>
      <w:sz w:val="24"/>
      <w:szCs w:val="20"/>
    </w:rPr>
  </w:style>
  <w:style w:type="paragraph" w:styleId="904">
    <w:name w:val="Char Char Char Char Char Char Char Char Char Char Char Char Char Char Char Char"/>
    <w:basedOn w:val="688"/>
    <w:next w:val="904"/>
    <w:link w:val="688"/>
    <w:pPr>
      <w:tabs>
        <w:tab w:val="left" w:pos="360" w:leader="none"/>
      </w:tabs>
    </w:pPr>
    <w:rPr>
      <w:sz w:val="24"/>
    </w:rPr>
  </w:style>
  <w:style w:type="paragraph" w:styleId="905">
    <w:name w:val="xl52"/>
    <w:basedOn w:val="688"/>
    <w:next w:val="905"/>
    <w:link w:val="68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06">
    <w:name w:val="菲页(卷)"/>
    <w:basedOn w:val="689"/>
    <w:next w:val="895"/>
    <w:link w:val="688"/>
    <w:pPr>
      <w:ind w:left="780" w:hanging="360"/>
      <w:keepLines w:val="0"/>
      <w:spacing w:before="0" w:after="0" w:line="240" w:lineRule="auto"/>
      <w:widowControl/>
      <w:tabs>
        <w:tab w:val="left" w:pos="1800" w:leader="none"/>
      </w:tabs>
      <w:outlineLvl w:val="1"/>
    </w:pPr>
    <w:rPr>
      <w:b w:val="0"/>
      <w:bCs w:val="0"/>
      <w:sz w:val="52"/>
      <w:szCs w:val="20"/>
    </w:rPr>
  </w:style>
  <w:style w:type="paragraph" w:styleId="907">
    <w:name w:val="xl24"/>
    <w:basedOn w:val="688"/>
    <w:next w:val="907"/>
    <w:link w:val="68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08">
    <w:name w:val="xl34"/>
    <w:basedOn w:val="688"/>
    <w:next w:val="908"/>
    <w:link w:val="6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9">
    <w:name w:val="yyn"/>
    <w:basedOn w:val="688"/>
    <w:next w:val="909"/>
    <w:link w:val="688"/>
    <w:pPr>
      <w:ind w:right="562" w:firstLine="576"/>
      <w:keepNext/>
      <w:spacing w:line="360" w:lineRule="auto"/>
      <w:widowControl/>
    </w:pPr>
    <w:rPr>
      <w:rFonts w:ascii="宋体"/>
      <w:sz w:val="28"/>
      <w:szCs w:val="20"/>
    </w:rPr>
  </w:style>
  <w:style w:type="paragraph" w:styleId="910">
    <w:name w:val="BodyTextIndent1"/>
    <w:basedOn w:val="688"/>
    <w:next w:val="910"/>
    <w:link w:val="688"/>
    <w:qFormat/>
    <w:pPr>
      <w:ind w:firstLine="480"/>
      <w:spacing w:line="360" w:lineRule="auto"/>
      <w:widowControl/>
    </w:pPr>
    <w:rPr>
      <w:rFonts w:ascii="宋体" w:hAnsi="宋体" w:eastAsia="宋体" w:cs="Times New Roman"/>
      <w:sz w:val="24"/>
      <w:szCs w:val="20"/>
    </w:rPr>
  </w:style>
  <w:style w:type="paragraph" w:styleId="911">
    <w:name w:val="菲页2"/>
    <w:basedOn w:val="691"/>
    <w:next w:val="911"/>
    <w:link w:val="688"/>
    <w:pPr>
      <w:ind w:left="6233" w:hanging="420"/>
      <w:jc w:val="center"/>
      <w:spacing w:before="120" w:after="120" w:line="360" w:lineRule="auto"/>
      <w:widowControl/>
    </w:pPr>
    <w:rPr>
      <w:rFonts w:hAnsi="宋体"/>
      <w:b w:val="0"/>
      <w:bCs w:val="0"/>
      <w:sz w:val="44"/>
      <w:szCs w:val="20"/>
      <w:lang w:val="en-US" w:eastAsia="zh-CN"/>
    </w:rPr>
  </w:style>
  <w:style w:type="paragraph" w:styleId="912">
    <w:name w:val="_Style 1"/>
    <w:basedOn w:val="688"/>
    <w:next w:val="912"/>
    <w:link w:val="688"/>
    <w:uiPriority w:val="34"/>
    <w:qFormat/>
    <w:pPr>
      <w:ind w:firstLine="420"/>
    </w:pPr>
    <w:rPr>
      <w:rFonts w:ascii="Calibri" w:hAnsi="Calibri"/>
      <w:szCs w:val="22"/>
    </w:rPr>
  </w:style>
  <w:style w:type="paragraph" w:styleId="913">
    <w:name w:val="Normal (Web)"/>
    <w:basedOn w:val="688"/>
    <w:next w:val="913"/>
    <w:link w:val="688"/>
    <w:qFormat/>
    <w:pPr>
      <w:jc w:val="left"/>
      <w:widowControl/>
    </w:pPr>
    <w:rPr>
      <w:rFonts w:ascii="宋体" w:hAnsi="宋体" w:cs="宋体"/>
      <w:sz w:val="24"/>
      <w:szCs w:val="24"/>
    </w:rPr>
  </w:style>
  <w:style w:type="paragraph" w:styleId="914">
    <w:name w:val="Javis"/>
    <w:basedOn w:val="688"/>
    <w:next w:val="914"/>
    <w:link w:val="688"/>
    <w:pPr>
      <w:ind w:right="210"/>
    </w:pPr>
    <w:rPr>
      <w:rFonts w:cs="宋体"/>
      <w:sz w:val="24"/>
      <w:szCs w:val="20"/>
    </w:rPr>
  </w:style>
  <w:style w:type="paragraph" w:styleId="915">
    <w:name w:val="表头"/>
    <w:basedOn w:val="688"/>
    <w:next w:val="915"/>
    <w:link w:val="688"/>
    <w:pPr>
      <w:jc w:val="center"/>
      <w:spacing w:line="320" w:lineRule="atLeast"/>
    </w:pPr>
    <w:rPr>
      <w:rFonts w:eastAsia="黑体"/>
      <w:spacing w:val="-10"/>
      <w:szCs w:val="20"/>
    </w:rPr>
  </w:style>
  <w:style w:type="paragraph" w:styleId="916">
    <w:name w:val="标准文字"/>
    <w:basedOn w:val="688"/>
    <w:next w:val="916"/>
    <w:link w:val="688"/>
    <w:pPr>
      <w:ind w:firstLine="420"/>
      <w:spacing w:after="20" w:line="360" w:lineRule="auto"/>
    </w:pPr>
  </w:style>
  <w:style w:type="paragraph" w:styleId="917">
    <w:name w:val=" Char Char Char Char Char Char Char Char Char Char1"/>
    <w:basedOn w:val="688"/>
    <w:next w:val="917"/>
    <w:link w:val="688"/>
    <w:pPr>
      <w:ind w:left="425" w:hanging="425"/>
      <w:tabs>
        <w:tab w:val="left" w:pos="425" w:leader="none"/>
      </w:tabs>
    </w:pPr>
    <w:rPr>
      <w:sz w:val="28"/>
      <w:szCs w:val="20"/>
    </w:rPr>
  </w:style>
  <w:style w:type="paragraph" w:styleId="918">
    <w:name w:val="a2"/>
    <w:basedOn w:val="688"/>
    <w:next w:val="918"/>
    <w:link w:val="688"/>
    <w:pPr>
      <w:jc w:val="left"/>
      <w:spacing w:before="100" w:beforeAutospacing="1" w:after="100" w:afterAutospacing="1"/>
      <w:widowControl/>
    </w:pPr>
    <w:rPr>
      <w:rFonts w:ascii="宋体" w:hAnsi="宋体" w:cs="宋体"/>
      <w:sz w:val="24"/>
    </w:rPr>
  </w:style>
  <w:style w:type="paragraph" w:styleId="919">
    <w:name w:val="默认段落字体 Para Char Char Char"/>
    <w:basedOn w:val="688"/>
    <w:next w:val="919"/>
    <w:link w:val="688"/>
  </w:style>
  <w:style w:type="paragraph" w:styleId="920">
    <w:name w:val="H4"/>
    <w:basedOn w:val="688"/>
    <w:next w:val="688"/>
    <w:link w:val="688"/>
    <w:pPr>
      <w:jc w:val="left"/>
      <w:keepNext/>
      <w:spacing w:before="100" w:after="100"/>
      <w:outlineLvl w:val="4"/>
    </w:pPr>
    <w:rPr>
      <w:b/>
      <w:sz w:val="24"/>
      <w:szCs w:val="20"/>
    </w:rPr>
  </w:style>
  <w:style w:type="paragraph" w:styleId="921">
    <w:name w:val="Char Char Char Char Char Char Char"/>
    <w:basedOn w:val="688"/>
    <w:next w:val="921"/>
    <w:link w:val="688"/>
    <w:pPr>
      <w:jc w:val="left"/>
      <w:spacing w:after="160" w:line="240" w:lineRule="exact"/>
      <w:widowControl/>
    </w:pPr>
    <w:rPr>
      <w:rFonts w:ascii="Arial" w:hAnsi="Arial" w:eastAsia="Times New Roman" w:cs="Verdana"/>
      <w:b/>
      <w:sz w:val="24"/>
      <w:lang w:eastAsia="en-US"/>
    </w:rPr>
  </w:style>
  <w:style w:type="paragraph" w:styleId="922">
    <w:name w:val="样式 纯文本 + 楷体_GB2312 小四 行距: 固定值 20 磅1"/>
    <w:basedOn w:val="736"/>
    <w:next w:val="922"/>
    <w:link w:val="688"/>
    <w:pPr>
      <w:ind w:firstLine="200"/>
      <w:spacing w:line="400" w:lineRule="exact"/>
    </w:pPr>
    <w:rPr>
      <w:rFonts w:ascii="楷体_GB2312" w:eastAsia="楷体_GB2312"/>
      <w:sz w:val="24"/>
      <w:szCs w:val="20"/>
    </w:rPr>
  </w:style>
  <w:style w:type="paragraph" w:styleId="923">
    <w:name w:val="并列项-点"/>
    <w:basedOn w:val="688"/>
    <w:next w:val="923"/>
    <w:link w:val="688"/>
    <w:pPr>
      <w:ind w:left="851" w:hanging="284"/>
      <w:spacing w:before="120" w:line="360" w:lineRule="auto"/>
      <w:widowControl/>
      <w:tabs>
        <w:tab w:val="left" w:pos="851" w:leader="none"/>
        <w:tab w:val="left" w:pos="927" w:leader="none"/>
      </w:tabs>
    </w:pPr>
    <w:rPr>
      <w:sz w:val="24"/>
      <w:szCs w:val="20"/>
    </w:rPr>
  </w:style>
  <w:style w:type="paragraph" w:styleId="924">
    <w:name w:val="xl35"/>
    <w:basedOn w:val="688"/>
    <w:next w:val="924"/>
    <w:link w:val="6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25">
    <w:name w:val="ZDY正文"/>
    <w:basedOn w:val="688"/>
    <w:next w:val="925"/>
    <w:link w:val="688"/>
    <w:qFormat/>
    <w:pPr>
      <w:ind w:firstLine="200"/>
      <w:jc w:val="left"/>
      <w:spacing w:before="156" w:line="360" w:lineRule="auto"/>
    </w:pPr>
    <w:rPr>
      <w:rFonts w:ascii="宋体" w:hAnsi="宋体"/>
      <w:sz w:val="24"/>
    </w:rPr>
  </w:style>
  <w:style w:type="paragraph" w:styleId="926">
    <w:name w:val="xl37"/>
    <w:basedOn w:val="688"/>
    <w:next w:val="926"/>
    <w:link w:val="6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27">
    <w:name w:val="表格标题"/>
    <w:basedOn w:val="688"/>
    <w:next w:val="927"/>
    <w:link w:val="688"/>
    <w:pPr>
      <w:jc w:val="center"/>
      <w:spacing w:before="120" w:line="400" w:lineRule="exact"/>
    </w:pPr>
    <w:rPr>
      <w:rFonts w:eastAsia="文鼎CS中宋"/>
      <w:spacing w:val="8"/>
      <w:sz w:val="24"/>
      <w:szCs w:val="20"/>
    </w:rPr>
  </w:style>
  <w:style w:type="paragraph" w:styleId="928">
    <w:name w:val="font7"/>
    <w:basedOn w:val="688"/>
    <w:next w:val="928"/>
    <w:link w:val="688"/>
    <w:pPr>
      <w:ind w:firstLine="420"/>
      <w:jc w:val="left"/>
      <w:spacing w:before="100" w:beforeAutospacing="1" w:after="100" w:afterAutospacing="1" w:line="288" w:lineRule="auto"/>
      <w:widowControl/>
    </w:pPr>
    <w:rPr>
      <w:b/>
      <w:bCs/>
      <w:sz w:val="24"/>
    </w:rPr>
  </w:style>
  <w:style w:type="paragraph" w:styleId="929">
    <w:name w:val="xl41"/>
    <w:basedOn w:val="688"/>
    <w:next w:val="929"/>
    <w:link w:val="68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30">
    <w:name w:val="目录"/>
    <w:basedOn w:val="688"/>
    <w:next w:val="688"/>
    <w:link w:val="688"/>
    <w:pPr>
      <w:ind w:firstLine="420"/>
      <w:jc w:val="center"/>
      <w:spacing w:before="360" w:after="360" w:line="360" w:lineRule="auto"/>
    </w:pPr>
    <w:rPr>
      <w:b/>
      <w:spacing w:val="200"/>
      <w:sz w:val="36"/>
      <w:szCs w:val="20"/>
    </w:rPr>
  </w:style>
  <w:style w:type="paragraph" w:styleId="931">
    <w:name w:val="CM41"/>
    <w:basedOn w:val="875"/>
    <w:next w:val="875"/>
    <w:link w:val="688"/>
    <w:uiPriority w:val="99"/>
    <w:pPr>
      <w:spacing w:after="478"/>
    </w:pPr>
    <w:rPr>
      <w:rFonts w:ascii="Times New Roman PSMT" w:hAnsi="Times New Roman" w:eastAsia="Times New Roman PSMT" w:cs="Times New Roman PSMT"/>
      <w:color w:val="000000"/>
    </w:rPr>
  </w:style>
  <w:style w:type="paragraph" w:styleId="932">
    <w:name w:val="表蕊"/>
    <w:basedOn w:val="688"/>
    <w:next w:val="932"/>
    <w:link w:val="688"/>
    <w:pPr>
      <w:jc w:val="left"/>
      <w:spacing w:line="320" w:lineRule="atLeast"/>
    </w:pPr>
    <w:rPr>
      <w:rFonts w:eastAsia="楷体_GB2312"/>
      <w:spacing w:val="-10"/>
      <w:szCs w:val="20"/>
    </w:rPr>
  </w:style>
  <w:style w:type="paragraph" w:styleId="933">
    <w:name w:val="默认段落字体 Para Char"/>
    <w:basedOn w:val="688"/>
    <w:next w:val="933"/>
    <w:link w:val="688"/>
    <w:pPr>
      <w:ind w:firstLine="200"/>
      <w:spacing w:line="360" w:lineRule="auto"/>
    </w:pPr>
    <w:rPr>
      <w:rFonts w:ascii="华文细黑" w:hAnsi="华文细黑" w:eastAsia="华文细黑" w:cs="华文细黑"/>
      <w:sz w:val="24"/>
    </w:rPr>
  </w:style>
  <w:style w:type="paragraph" w:styleId="934">
    <w:name w:val="重点"/>
    <w:basedOn w:val="688"/>
    <w:next w:val="934"/>
    <w:link w:val="688"/>
    <w:pPr>
      <w:ind w:firstLine="420"/>
      <w:spacing w:after="20" w:line="288" w:lineRule="auto"/>
      <w:shd w:val="pct10" w:color="auto" w:fill="auto"/>
    </w:pPr>
    <w:rPr>
      <w:rFonts w:eastAsia="黑体"/>
      <w:b/>
    </w:rPr>
  </w:style>
  <w:style w:type="paragraph" w:styleId="935">
    <w:name w:val="Blockquote"/>
    <w:basedOn w:val="688"/>
    <w:next w:val="935"/>
    <w:link w:val="688"/>
    <w:pPr>
      <w:ind w:left="360" w:right="360"/>
      <w:jc w:val="left"/>
      <w:spacing w:before="100" w:after="100"/>
    </w:pPr>
    <w:rPr>
      <w:rFonts w:ascii="Cambria" w:hAnsi="Cambria" w:eastAsia="华文细黑" w:cs="Cambria"/>
      <w:sz w:val="24"/>
      <w:szCs w:val="20"/>
    </w:rPr>
  </w:style>
  <w:style w:type="paragraph" w:styleId="936">
    <w:name w:val="xl49"/>
    <w:basedOn w:val="688"/>
    <w:next w:val="936"/>
    <w:link w:val="688"/>
    <w:pPr>
      <w:jc w:val="center"/>
      <w:spacing w:before="100" w:beforeAutospacing="1" w:after="100" w:afterAutospacing="1"/>
      <w:widowControl/>
    </w:pPr>
    <w:rPr>
      <w:rFonts w:ascii="宋体" w:hAnsi="宋体"/>
      <w:b/>
      <w:bCs/>
      <w:color w:val="000000"/>
      <w:sz w:val="40"/>
      <w:szCs w:val="40"/>
    </w:rPr>
  </w:style>
  <w:style w:type="paragraph" w:styleId="937">
    <w:name w:val="xl45"/>
    <w:basedOn w:val="688"/>
    <w:next w:val="937"/>
    <w:link w:val="6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38">
    <w:name w:val="修订"/>
    <w:next w:val="938"/>
    <w:link w:val="688"/>
    <w:rPr>
      <w:rFonts w:ascii="Cambria" w:hAnsi="Cambria" w:eastAsia="华文细黑" w:cs="Cambria"/>
      <w:sz w:val="21"/>
      <w:szCs w:val="24"/>
      <w:lang w:val="en-US" w:eastAsia="zh-CN" w:bidi="ar-SA"/>
    </w:rPr>
  </w:style>
  <w:style w:type="paragraph" w:styleId="939">
    <w:name w:val="Char Char Char Char"/>
    <w:basedOn w:val="688"/>
    <w:next w:val="939"/>
    <w:link w:val="688"/>
    <w:rPr>
      <w:rFonts w:ascii="Tahoma" w:hAnsi="Tahoma"/>
      <w:sz w:val="24"/>
      <w:szCs w:val="20"/>
    </w:rPr>
  </w:style>
  <w:style w:type="paragraph" w:styleId="940">
    <w:name w:val="Char Char Char Char Char Char"/>
    <w:basedOn w:val="688"/>
    <w:next w:val="940"/>
    <w:link w:val="688"/>
    <w:pPr>
      <w:jc w:val="left"/>
      <w:spacing w:after="160" w:line="240" w:lineRule="exact"/>
      <w:widowControl/>
    </w:pPr>
    <w:rPr>
      <w:rFonts w:ascii="黑体" w:hAnsi="Verdana" w:eastAsia="黑体"/>
      <w:sz w:val="32"/>
      <w:szCs w:val="32"/>
    </w:rPr>
  </w:style>
  <w:style w:type="paragraph" w:styleId="941">
    <w:name w:val="Char Char Char1 Char Char Char"/>
    <w:basedOn w:val="688"/>
    <w:next w:val="941"/>
    <w:link w:val="688"/>
    <w:pPr>
      <w:ind w:firstLine="200"/>
    </w:pPr>
    <w:rPr>
      <w:rFonts w:ascii="Tahoma" w:hAnsi="Tahoma"/>
      <w:sz w:val="24"/>
      <w:szCs w:val="20"/>
    </w:rPr>
  </w:style>
  <w:style w:type="paragraph" w:styleId="942">
    <w:name w:val="函数注释1"/>
    <w:basedOn w:val="688"/>
    <w:next w:val="942"/>
    <w:link w:val="688"/>
    <w:pPr>
      <w:ind w:left="1678" w:right="210" w:hanging="1049"/>
      <w:jc w:val="left"/>
      <w:spacing w:after="20" w:line="320" w:lineRule="exact"/>
    </w:pPr>
    <w:rPr>
      <w:szCs w:val="20"/>
    </w:rPr>
  </w:style>
  <w:style w:type="paragraph" w:styleId="943">
    <w:name w:val="H1"/>
    <w:basedOn w:val="688"/>
    <w:next w:val="688"/>
    <w:link w:val="688"/>
    <w:pPr>
      <w:jc w:val="left"/>
      <w:keepNext/>
      <w:spacing w:before="100" w:after="100"/>
      <w:outlineLvl w:val="1"/>
    </w:pPr>
    <w:rPr>
      <w:b/>
      <w:sz w:val="48"/>
      <w:szCs w:val="20"/>
    </w:rPr>
  </w:style>
  <w:style w:type="paragraph" w:styleId="944">
    <w:name w:val="样式一"/>
    <w:basedOn w:val="688"/>
    <w:next w:val="944"/>
    <w:link w:val="688"/>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45">
    <w:name w:val="H5"/>
    <w:basedOn w:val="688"/>
    <w:next w:val="688"/>
    <w:link w:val="688"/>
    <w:pPr>
      <w:jc w:val="left"/>
      <w:keepNext/>
      <w:spacing w:before="100" w:after="100"/>
      <w:outlineLvl w:val="5"/>
    </w:pPr>
    <w:rPr>
      <w:b/>
      <w:sz w:val="20"/>
      <w:szCs w:val="20"/>
    </w:rPr>
  </w:style>
  <w:style w:type="paragraph" w:styleId="946">
    <w:name w:val="样式1"/>
    <w:basedOn w:val="688"/>
    <w:next w:val="946"/>
    <w:link w:val="688"/>
    <w:pPr>
      <w:spacing w:before="120" w:after="120" w:line="300" w:lineRule="auto"/>
    </w:pPr>
    <w:rPr>
      <w:rFonts w:ascii="宋体" w:hAnsi="宋体"/>
      <w:b/>
      <w:sz w:val="24"/>
      <w:szCs w:val="20"/>
    </w:rPr>
  </w:style>
  <w:style w:type="paragraph" w:styleId="947">
    <w:name w:val="z-Top of Form"/>
    <w:next w:val="688"/>
    <w:link w:val="688"/>
    <w:pPr>
      <w:jc w:val="center"/>
      <w:widowControl w:val="off"/>
      <w:pBdr>
        <w:bottom w:val="single" w:color="000000" w:sz="2" w:space="0"/>
      </w:pBdr>
    </w:pPr>
    <w:rPr>
      <w:rFonts w:ascii="Tahoma" w:hAnsi="Tahoma" w:eastAsia="华文细黑" w:cs="Cambria"/>
      <w:vanish/>
      <w:sz w:val="16"/>
      <w:lang w:val="en-US" w:eastAsia="zh-CN" w:bidi="ar-SA"/>
    </w:rPr>
  </w:style>
  <w:style w:type="paragraph" w:styleId="948">
    <w:name w:val="Char"/>
    <w:basedOn w:val="688"/>
    <w:next w:val="948"/>
    <w:link w:val="688"/>
    <w:pPr>
      <w:ind w:left="420" w:firstLine="420"/>
      <w:spacing w:line="240" w:lineRule="atLeast"/>
    </w:pPr>
    <w:rPr>
      <w:szCs w:val="21"/>
    </w:rPr>
  </w:style>
  <w:style w:type="paragraph" w:styleId="949">
    <w:name w:val="Table Paragraph"/>
    <w:basedOn w:val="688"/>
    <w:next w:val="949"/>
    <w:link w:val="688"/>
    <w:uiPriority w:val="1"/>
    <w:unhideWhenUsed/>
    <w:qFormat/>
    <w:pPr>
      <w:ind w:left="390" w:right="384"/>
      <w:jc w:val="center"/>
      <w:spacing w:before="144"/>
    </w:pPr>
    <w:rPr>
      <w:rFonts w:hint="eastAsia"/>
      <w:sz w:val="24"/>
    </w:rPr>
  </w:style>
  <w:style w:type="paragraph" w:styleId="950">
    <w:name w:val="font5"/>
    <w:basedOn w:val="688"/>
    <w:next w:val="950"/>
    <w:link w:val="688"/>
    <w:pPr>
      <w:jc w:val="left"/>
      <w:spacing w:before="100" w:beforeAutospacing="1" w:after="100" w:afterAutospacing="1"/>
      <w:widowControl/>
    </w:pPr>
    <w:rPr>
      <w:rFonts w:hint="eastAsia" w:ascii="宋体" w:hAnsi="宋体"/>
      <w:sz w:val="18"/>
      <w:szCs w:val="18"/>
    </w:rPr>
  </w:style>
  <w:style w:type="paragraph" w:styleId="951">
    <w:name w:val="名词解释11"/>
    <w:basedOn w:val="877"/>
    <w:next w:val="951"/>
    <w:link w:val="688"/>
    <w:pPr>
      <w:ind w:firstLine="0"/>
      <w:spacing w:after="0"/>
    </w:pPr>
  </w:style>
  <w:style w:type="paragraph" w:styleId="952">
    <w:name w:val="目录文字"/>
    <w:basedOn w:val="688"/>
    <w:next w:val="952"/>
    <w:link w:val="688"/>
    <w:pPr>
      <w:jc w:val="left"/>
      <w:spacing w:line="480" w:lineRule="auto"/>
      <w:widowControl/>
    </w:pPr>
    <w:rPr>
      <w:rFonts w:ascii="宋体" w:hAnsi="宋体"/>
      <w:sz w:val="24"/>
      <w:szCs w:val="20"/>
    </w:rPr>
  </w:style>
  <w:style w:type="paragraph" w:styleId="953">
    <w:name w:val="样式 (西文) 仿宋_GB2312 居中 行距: 1.5 倍行距"/>
    <w:basedOn w:val="688"/>
    <w:next w:val="953"/>
    <w:link w:val="688"/>
    <w:pPr>
      <w:jc w:val="center"/>
      <w:spacing w:line="360" w:lineRule="auto"/>
    </w:pPr>
    <w:rPr>
      <w:rFonts w:ascii="华文细黑" w:hAnsi="华文细黑" w:eastAsia="华文细黑" w:cs="华文细黑"/>
      <w:szCs w:val="20"/>
    </w:rPr>
  </w:style>
  <w:style w:type="paragraph" w:styleId="954">
    <w:name w:val="xl25"/>
    <w:basedOn w:val="688"/>
    <w:next w:val="954"/>
    <w:link w:val="6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55">
    <w:name w:val="xl36"/>
    <w:basedOn w:val="688"/>
    <w:next w:val="955"/>
    <w:link w:val="6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56">
    <w:name w:val="xl28"/>
    <w:basedOn w:val="688"/>
    <w:next w:val="956"/>
    <w:link w:val="68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7">
    <w:name w:val="正文2"/>
    <w:basedOn w:val="688"/>
    <w:next w:val="957"/>
    <w:link w:val="688"/>
    <w:pPr>
      <w:ind w:firstLine="200"/>
      <w:jc w:val="left"/>
      <w:spacing w:after="160" w:line="360" w:lineRule="auto"/>
      <w:widowControl/>
    </w:pPr>
    <w:rPr>
      <w:rFonts w:ascii="Verdana" w:hAnsi="Verdana" w:eastAsia="黑体"/>
      <w:szCs w:val="20"/>
      <w:lang w:eastAsia="en-US"/>
    </w:rPr>
  </w:style>
  <w:style w:type="paragraph" w:styleId="958">
    <w:name w:val="font0"/>
    <w:basedOn w:val="688"/>
    <w:next w:val="958"/>
    <w:link w:val="688"/>
    <w:pPr>
      <w:jc w:val="left"/>
      <w:spacing w:before="100" w:beforeAutospacing="1" w:after="100" w:afterAutospacing="1"/>
      <w:widowControl/>
    </w:pPr>
    <w:rPr>
      <w:rFonts w:hint="eastAsia" w:ascii="宋体" w:hAnsi="宋体"/>
      <w:sz w:val="18"/>
      <w:szCs w:val="18"/>
    </w:rPr>
  </w:style>
  <w:style w:type="paragraph" w:styleId="959">
    <w:name w:val="回信地址"/>
    <w:basedOn w:val="688"/>
    <w:next w:val="959"/>
    <w:link w:val="688"/>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60">
    <w:name w:val="列出段落1"/>
    <w:basedOn w:val="688"/>
    <w:next w:val="960"/>
    <w:link w:val="688"/>
    <w:uiPriority w:val="34"/>
    <w:qFormat/>
    <w:pPr>
      <w:ind w:firstLine="420"/>
      <w:spacing w:before="120" w:after="120" w:line="360" w:lineRule="auto"/>
    </w:pPr>
    <w:rPr>
      <w:rFonts w:ascii="Calibri" w:hAnsi="Calibri"/>
      <w:sz w:val="24"/>
      <w:szCs w:val="22"/>
    </w:rPr>
  </w:style>
  <w:style w:type="paragraph" w:styleId="961">
    <w:name w:val="标准式样"/>
    <w:basedOn w:val="763"/>
    <w:next w:val="961"/>
    <w:link w:val="688"/>
  </w:style>
  <w:style w:type="paragraph" w:styleId="962">
    <w:name w:val="xl31"/>
    <w:basedOn w:val="688"/>
    <w:next w:val="962"/>
    <w:link w:val="6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3">
    <w:name w:val="Char11"/>
    <w:basedOn w:val="688"/>
    <w:next w:val="963"/>
    <w:link w:val="688"/>
    <w:rPr>
      <w:rFonts w:ascii="仿宋_GB2312" w:eastAsia="仿宋_GB2312"/>
      <w:b/>
      <w:sz w:val="32"/>
      <w:szCs w:val="32"/>
    </w:rPr>
  </w:style>
  <w:style w:type="paragraph" w:styleId="964">
    <w:name w:val="xl32"/>
    <w:basedOn w:val="688"/>
    <w:next w:val="964"/>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5">
    <w:name w:val="表格"/>
    <w:basedOn w:val="688"/>
    <w:next w:val="965"/>
    <w:link w:val="688"/>
    <w:pPr>
      <w:jc w:val="center"/>
    </w:pPr>
    <w:rPr>
      <w:szCs w:val="21"/>
    </w:rPr>
  </w:style>
  <w:style w:type="paragraph" w:styleId="966">
    <w:name w:val="Preformatted"/>
    <w:basedOn w:val="688"/>
    <w:next w:val="966"/>
    <w:link w:val="68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967">
    <w:name w:val=" Char"/>
    <w:basedOn w:val="688"/>
    <w:next w:val="967"/>
    <w:link w:val="688"/>
    <w:pPr>
      <w:ind w:firstLine="200"/>
      <w:spacing w:line="360" w:lineRule="auto"/>
    </w:pPr>
    <w:rPr>
      <w:rFonts w:ascii="宋体" w:hAnsi="宋体" w:cs="宋体"/>
      <w:sz w:val="24"/>
    </w:rPr>
  </w:style>
  <w:style w:type="paragraph" w:styleId="968">
    <w:name w:val="程序代码"/>
    <w:basedOn w:val="688"/>
    <w:next w:val="968"/>
    <w:link w:val="688"/>
    <w:pPr>
      <w:ind w:left="839" w:firstLine="420"/>
      <w:spacing w:after="20" w:line="288" w:lineRule="auto"/>
    </w:pPr>
    <w:rPr>
      <w:rFonts w:eastAsia="仿宋_GB2312"/>
    </w:rPr>
  </w:style>
  <w:style w:type="paragraph" w:styleId="969">
    <w:name w:val="标题0"/>
    <w:basedOn w:val="773"/>
    <w:next w:val="773"/>
    <w:link w:val="688"/>
    <w:rPr>
      <w:sz w:val="52"/>
    </w:rPr>
  </w:style>
  <w:style w:type="paragraph" w:styleId="970">
    <w:name w:val="z-Bottom of Form"/>
    <w:next w:val="688"/>
    <w:link w:val="688"/>
    <w:pPr>
      <w:jc w:val="center"/>
      <w:widowControl w:val="off"/>
      <w:pBdr>
        <w:top w:val="single" w:color="000000" w:sz="2" w:space="0"/>
      </w:pBdr>
    </w:pPr>
    <w:rPr>
      <w:rFonts w:ascii="Tahoma" w:hAnsi="Tahoma" w:eastAsia="华文细黑" w:cs="Cambria"/>
      <w:vanish/>
      <w:sz w:val="16"/>
      <w:lang w:val="en-US" w:eastAsia="zh-CN" w:bidi="ar-SA"/>
    </w:rPr>
  </w:style>
  <w:style w:type="paragraph" w:styleId="971">
    <w:name w:val="默认段落字体 Para Char Char Char Char Char Char Char"/>
    <w:basedOn w:val="688"/>
    <w:next w:val="971"/>
    <w:link w:val="688"/>
    <w:rPr>
      <w:rFonts w:eastAsia="华文细黑" w:cs="Cambria"/>
      <w:sz w:val="24"/>
      <w:szCs w:val="20"/>
    </w:rPr>
  </w:style>
  <w:style w:type="paragraph" w:styleId="972">
    <w:name w:val="列表2"/>
    <w:basedOn w:val="688"/>
    <w:next w:val="972"/>
    <w:link w:val="688"/>
    <w:pPr>
      <w:ind w:left="1469" w:hanging="420"/>
      <w:spacing w:after="20" w:line="288" w:lineRule="auto"/>
      <w:tabs>
        <w:tab w:val="left" w:pos="1470" w:leader="none"/>
      </w:tabs>
    </w:pPr>
  </w:style>
  <w:style w:type="paragraph" w:styleId="973">
    <w:name w:val="flNote"/>
    <w:basedOn w:val="688"/>
    <w:next w:val="973"/>
    <w:link w:val="688"/>
    <w:pPr>
      <w:jc w:val="center"/>
      <w:spacing w:before="320" w:after="160" w:line="360" w:lineRule="atLeast"/>
    </w:pPr>
    <w:rPr>
      <w:rFonts w:ascii="Tahoma" w:hAnsi="Cambria" w:eastAsia="幼圆" w:cs="Cambria"/>
      <w:sz w:val="30"/>
      <w:szCs w:val="20"/>
    </w:rPr>
  </w:style>
  <w:style w:type="paragraph" w:styleId="974">
    <w:name w:val="xl26"/>
    <w:basedOn w:val="688"/>
    <w:next w:val="974"/>
    <w:link w:val="68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5">
    <w:name w:val="无间隔1"/>
    <w:next w:val="975"/>
    <w:link w:val="688"/>
    <w:uiPriority w:val="1"/>
    <w:qFormat/>
    <w:pPr>
      <w:jc w:val="both"/>
      <w:widowControl w:val="off"/>
    </w:pPr>
    <w:rPr>
      <w:rFonts w:ascii="Calibri" w:hAnsi="Calibri"/>
      <w:sz w:val="21"/>
      <w:szCs w:val="22"/>
      <w:lang w:val="en-US" w:eastAsia="zh-CN" w:bidi="ar-SA"/>
    </w:rPr>
  </w:style>
  <w:style w:type="paragraph" w:styleId="976">
    <w:name w:val="函数注释2"/>
    <w:basedOn w:val="688"/>
    <w:next w:val="976"/>
    <w:link w:val="688"/>
    <w:pPr>
      <w:ind w:left="1680" w:firstLine="420"/>
      <w:spacing w:after="20" w:line="288" w:lineRule="auto"/>
    </w:pPr>
  </w:style>
  <w:style w:type="paragraph" w:styleId="977">
    <w:name w:val="H6"/>
    <w:basedOn w:val="688"/>
    <w:next w:val="688"/>
    <w:link w:val="688"/>
    <w:pPr>
      <w:jc w:val="left"/>
      <w:keepNext/>
      <w:spacing w:before="100" w:after="100"/>
      <w:outlineLvl w:val="6"/>
    </w:pPr>
    <w:rPr>
      <w:b/>
      <w:sz w:val="16"/>
      <w:szCs w:val="20"/>
    </w:rPr>
  </w:style>
  <w:style w:type="paragraph" w:styleId="978">
    <w:name w:val="Default Paragraph Font Para Char"/>
    <w:basedOn w:val="688"/>
    <w:next w:val="978"/>
    <w:link w:val="688"/>
    <w:pPr>
      <w:jc w:val="left"/>
      <w:spacing w:after="160" w:line="240" w:lineRule="exact"/>
      <w:widowControl/>
    </w:pPr>
  </w:style>
  <w:style w:type="paragraph" w:styleId="979">
    <w:name w:val="列表_名词"/>
    <w:basedOn w:val="951"/>
    <w:next w:val="979"/>
    <w:link w:val="688"/>
    <w:pPr>
      <w:ind w:left="2745" w:hanging="420"/>
      <w:tabs>
        <w:tab w:val="left" w:pos="2745" w:leader="none"/>
      </w:tabs>
    </w:pPr>
  </w:style>
  <w:style w:type="paragraph" w:styleId="980">
    <w:name w:val="普通文字"/>
    <w:basedOn w:val="688"/>
    <w:next w:val="688"/>
    <w:link w:val="688"/>
    <w:qFormat/>
    <w:rPr>
      <w:rFonts w:ascii="宋体"/>
      <w:sz w:val="24"/>
      <w:szCs w:val="20"/>
    </w:rPr>
  </w:style>
  <w:style w:type="paragraph" w:styleId="981">
    <w:name w:val="普通正文"/>
    <w:basedOn w:val="688"/>
    <w:next w:val="981"/>
    <w:link w:val="688"/>
    <w:qFormat/>
    <w:pPr>
      <w:ind w:firstLine="480"/>
      <w:jc w:val="left"/>
      <w:spacing w:before="120" w:after="120" w:line="360" w:lineRule="auto"/>
    </w:pPr>
    <w:rPr>
      <w:rFonts w:ascii="Arial" w:hAnsi="Arial"/>
      <w:sz w:val="24"/>
      <w:szCs w:val="24"/>
    </w:rPr>
  </w:style>
  <w:style w:type="character" w:styleId="982">
    <w:name w:val="HTML 打字机1"/>
    <w:next w:val="982"/>
    <w:link w:val="688"/>
    <w:uiPriority w:val="99"/>
    <w:qFormat/>
    <w:rPr>
      <w:rFonts w:ascii="宋体" w:hAnsi="宋体" w:eastAsia="宋体" w:cs="宋体"/>
      <w:sz w:val="24"/>
      <w:szCs w:val="24"/>
    </w:rPr>
  </w:style>
  <w:style w:type="table" w:styleId="983">
    <w:name w:val="Table Normal"/>
    <w:next w:val="983"/>
    <w:link w:val="688"/>
    <w:uiPriority w:val="2"/>
    <w:unhideWhenUsed/>
    <w:qFormat/>
    <w:pPr>
      <w:widowControl w:val="off"/>
    </w:pPr>
    <w:rPr>
      <w:sz w:val="22"/>
      <w:lang w:eastAsia="en-US"/>
    </w:rPr>
    <w:tblPr/>
  </w:style>
  <w:style w:type="paragraph" w:styleId="984">
    <w:name w:val="正文缩进1"/>
    <w:basedOn w:val="688"/>
    <w:next w:val="984"/>
    <w:link w:val="688"/>
    <w:qFormat/>
    <w:pPr>
      <w:ind w:firstLine="420"/>
      <w:jc w:val="left"/>
      <w:widowControl/>
    </w:pPr>
    <w:rPr>
      <w:sz w:val="20"/>
      <w:szCs w:val="20"/>
    </w:rPr>
  </w:style>
  <w:style w:type="character" w:styleId="8494" w:default="1">
    <w:name w:val="Default Paragraph Font"/>
    <w:uiPriority w:val="1"/>
    <w:semiHidden/>
    <w:unhideWhenUsed/>
  </w:style>
  <w:style w:type="numbering" w:styleId="8495" w:default="1">
    <w:name w:val="No List"/>
    <w:uiPriority w:val="99"/>
    <w:semiHidden/>
    <w:unhideWhenUsed/>
  </w:style>
  <w:style w:type="table" w:styleId="84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无锡分公司</cp:lastModifiedBy>
  <cp:revision>7</cp:revision>
  <dcterms:created xsi:type="dcterms:W3CDTF">2022-12-06T08:14:00Z</dcterms:created>
  <dcterms:modified xsi:type="dcterms:W3CDTF">2026-08-13T03:19:56Z</dcterms:modified>
</cp:coreProperties>
</file>